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7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2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2" w:lineRule="exact"/>
        <w:rPr>
          <w:sz w:val="24"/>
          <w:szCs w:val="24"/>
          <w:color w:val="auto"/>
        </w:rPr>
      </w:pPr>
    </w:p>
    <w:p>
      <w:pPr>
        <w:ind w:left="520" w:hanging="516"/>
        <w:spacing w:after="0"/>
        <w:tabs>
          <w:tab w:leader="none" w:pos="5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1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For the Quarterly Period Ended: March 31, 2019</w:t>
      </w:r>
    </w:p>
    <w:p>
      <w:pPr>
        <w:spacing w:after="0" w:line="116" w:lineRule="exact"/>
        <w:rPr>
          <w:sz w:val="24"/>
          <w:szCs w:val="24"/>
          <w:color w:val="auto"/>
        </w:rPr>
      </w:pPr>
    </w:p>
    <w:p>
      <w:pPr>
        <w:ind w:left="520" w:hanging="516"/>
        <w:spacing w:after="0"/>
        <w:tabs>
          <w:tab w:leader="none" w:pos="52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51" w:lineRule="exact"/>
        <w:rPr>
          <w:sz w:val="24"/>
          <w:szCs w:val="24"/>
          <w:color w:val="auto"/>
        </w:rPr>
      </w:pPr>
    </w:p>
    <w:p>
      <w:pPr>
        <w:ind w:left="4260"/>
        <w:spacing w:after="0"/>
        <w:tabs>
          <w:tab w:leader="none" w:pos="660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3916045</wp:posOffset>
            </wp:positionH>
            <wp:positionV relativeFrom="paragraph">
              <wp:posOffset>-3810</wp:posOffset>
            </wp:positionV>
            <wp:extent cx="65532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5320" cy="6985"/>
                    </a:xfrm>
                    <a:prstGeom prst="rect">
                      <a:avLst/>
                    </a:prstGeom>
                    <a:noFill/>
                  </pic:spPr>
                </pic:pic>
              </a:graphicData>
            </a:graphic>
          </wp:anchor>
        </w:drawing>
      </w:r>
    </w:p>
    <w:p>
      <w:pPr>
        <w:spacing w:after="0" w:line="6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Commission file number 001-34702</w:t>
      </w:r>
    </w:p>
    <w:p>
      <w:pPr>
        <w:spacing w:after="0" w:line="6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4"/>
          <w:szCs w:val="34"/>
          <w:b w:val="1"/>
          <w:bCs w:val="1"/>
          <w:color w:val="auto"/>
        </w:rPr>
        <w:t>SPS COMMERCE,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3376295</wp:posOffset>
            </wp:positionH>
            <wp:positionV relativeFrom="paragraph">
              <wp:posOffset>78105</wp:posOffset>
            </wp:positionV>
            <wp:extent cx="536575" cy="5365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6575" cy="5365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i w:val="1"/>
          <w:iCs w:val="1"/>
          <w:color w:val="auto"/>
        </w:rPr>
        <w:t>(Exact Name of Registrant as Specified in its Charter)</w:t>
      </w:r>
    </w:p>
    <w:p>
      <w:pPr>
        <w:sectPr>
          <w:pgSz w:w="11900" w:h="16838" w:orient="portrait"/>
          <w:cols w:equalWidth="0" w:num="1">
            <w:col w:w="11360"/>
          </w:cols>
          <w:pgMar w:left="220" w:top="186" w:right="319" w:bottom="1440" w:gutter="0" w:footer="0" w:header="0"/>
        </w:sectPr>
      </w:pPr>
    </w:p>
    <w:p>
      <w:pPr>
        <w:spacing w:after="0" w:line="103"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41-2015127</w:t>
      </w:r>
    </w:p>
    <w:p>
      <w:pPr>
        <w:spacing w:after="0" w:line="9" w:lineRule="exact"/>
        <w:rPr>
          <w:sz w:val="24"/>
          <w:szCs w:val="24"/>
          <w:color w:val="auto"/>
        </w:rPr>
      </w:pPr>
    </w:p>
    <w:p>
      <w:pPr>
        <w:sectPr>
          <w:pgSz w:w="11900" w:h="16838" w:orient="portrait"/>
          <w:cols w:equalWidth="0" w:num="2">
            <w:col w:w="7540" w:space="720"/>
            <w:col w:w="3100"/>
          </w:cols>
          <w:pgMar w:left="220" w:top="186" w:right="319" w:bottom="1440" w:gutter="0" w:footer="0" w:header="0"/>
          <w:type w:val="continuous"/>
        </w:sectPr>
      </w:pPr>
    </w:p>
    <w:p>
      <w:pPr>
        <w:ind w:left="2180"/>
        <w:spacing w:after="0"/>
        <w:rPr>
          <w:sz w:val="20"/>
          <w:szCs w:val="20"/>
          <w:color w:val="auto"/>
        </w:rPr>
      </w:pPr>
      <w:r>
        <w:rPr>
          <w:rFonts w:ascii="Times New Roman" w:cs="Times New Roman" w:eastAsia="Times New Roman" w:hAnsi="Times New Roman"/>
          <w:sz w:val="11"/>
          <w:szCs w:val="11"/>
          <w:b w:val="1"/>
          <w:bCs w:val="1"/>
          <w:i w:val="1"/>
          <w:iCs w:val="1"/>
          <w:color w:val="auto"/>
        </w:rPr>
        <w:t>(State or Other Jurisdiction of</w:t>
      </w:r>
    </w:p>
    <w:p>
      <w:pPr>
        <w:ind w:left="2140"/>
        <w:spacing w:after="0"/>
        <w:rPr>
          <w:sz w:val="20"/>
          <w:szCs w:val="20"/>
          <w:color w:val="auto"/>
        </w:rPr>
      </w:pPr>
      <w:r>
        <w:rPr>
          <w:rFonts w:ascii="Times New Roman" w:cs="Times New Roman" w:eastAsia="Times New Roman" w:hAnsi="Times New Roman"/>
          <w:sz w:val="11"/>
          <w:szCs w:val="11"/>
          <w:b w:val="1"/>
          <w:bCs w:val="1"/>
          <w:i w:val="1"/>
          <w:i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320"/>
        <w:spacing w:after="0"/>
        <w:rPr>
          <w:sz w:val="20"/>
          <w:szCs w:val="20"/>
          <w:color w:val="auto"/>
        </w:rPr>
      </w:pPr>
      <w:r>
        <w:rPr>
          <w:rFonts w:ascii="Times New Roman" w:cs="Times New Roman" w:eastAsia="Times New Roman" w:hAnsi="Times New Roman"/>
          <w:sz w:val="11"/>
          <w:szCs w:val="11"/>
          <w:b w:val="1"/>
          <w:bCs w:val="1"/>
          <w:i w:val="1"/>
          <w:iCs w:val="1"/>
          <w:color w:val="auto"/>
        </w:rPr>
        <w:t>(I.R.S. Employer</w:t>
      </w:r>
    </w:p>
    <w:p>
      <w:pPr>
        <w:jc w:val="center"/>
        <w:ind w:right="2320"/>
        <w:spacing w:after="0"/>
        <w:rPr>
          <w:sz w:val="20"/>
          <w:szCs w:val="20"/>
          <w:color w:val="auto"/>
        </w:rPr>
      </w:pPr>
      <w:r>
        <w:rPr>
          <w:rFonts w:ascii="Times New Roman" w:cs="Times New Roman" w:eastAsia="Times New Roman" w:hAnsi="Times New Roman"/>
          <w:sz w:val="11"/>
          <w:szCs w:val="11"/>
          <w:b w:val="1"/>
          <w:bCs w:val="1"/>
          <w:i w:val="1"/>
          <w:iCs w:val="1"/>
          <w:color w:val="auto"/>
        </w:rPr>
        <w:t>Identification No.)</w:t>
      </w:r>
    </w:p>
    <w:p>
      <w:pPr>
        <w:spacing w:after="0" w:line="73" w:lineRule="exact"/>
        <w:rPr>
          <w:sz w:val="24"/>
          <w:szCs w:val="24"/>
          <w:color w:val="auto"/>
        </w:rPr>
      </w:pPr>
    </w:p>
    <w:p>
      <w:pPr>
        <w:sectPr>
          <w:pgSz w:w="11900" w:h="16838" w:orient="portrait"/>
          <w:cols w:equalWidth="0" w:num="2">
            <w:col w:w="7460" w:space="720"/>
            <w:col w:w="3180"/>
          </w:cols>
          <w:pgMar w:left="220" w:top="186" w:right="319" w:bottom="1440" w:gutter="0" w:footer="0" w:header="0"/>
          <w:type w:val="continuous"/>
        </w:sect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333 South Seventh Street, Suite 1000, Minneapolis, MN 55402</w:t>
      </w:r>
    </w:p>
    <w:p>
      <w:pPr>
        <w:spacing w:after="0" w:line="1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1"/>
          <w:szCs w:val="11"/>
          <w:b w:val="1"/>
          <w:bCs w:val="1"/>
          <w:i w:val="1"/>
          <w:iCs w:val="1"/>
          <w:color w:val="auto"/>
        </w:rPr>
        <w:t>(Address of Principal Executive Offices, Including Zip Code)</w:t>
      </w:r>
    </w:p>
    <w:p>
      <w:pPr>
        <w:spacing w:after="0" w:line="9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(612) 435-9400</w:t>
      </w:r>
    </w:p>
    <w:p>
      <w:pPr>
        <w:spacing w:after="0" w:line="1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1"/>
          <w:szCs w:val="11"/>
          <w:b w:val="1"/>
          <w:bCs w:val="1"/>
          <w:i w:val="1"/>
          <w:iCs w:val="1"/>
          <w:color w:val="auto"/>
        </w:rPr>
        <w:t>(Registrant’s Telephone Number, Including Area Code)</w:t>
      </w:r>
    </w:p>
    <w:p>
      <w:pPr>
        <w:sectPr>
          <w:pgSz w:w="11900" w:h="16838" w:orient="portrait"/>
          <w:cols w:equalWidth="0" w:num="1">
            <w:col w:w="11360"/>
          </w:cols>
          <w:pgMar w:left="220" w:top="186" w:right="319" w:bottom="1440" w:gutter="0" w:footer="0" w:header="0"/>
          <w:type w:val="continuous"/>
        </w:sectPr>
      </w:pPr>
    </w:p>
    <w:p>
      <w:pPr>
        <w:spacing w:after="0" w:line="96" w:lineRule="exact"/>
        <w:rPr>
          <w:sz w:val="24"/>
          <w:szCs w:val="24"/>
          <w:color w:val="auto"/>
        </w:rPr>
      </w:pPr>
    </w:p>
    <w:p>
      <w:pPr>
        <w:ind w:right="280"/>
        <w:spacing w:after="0" w:line="18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55" w:lineRule="exact"/>
        <w:rPr>
          <w:sz w:val="24"/>
          <w:szCs w:val="24"/>
          <w:color w:val="auto"/>
        </w:rPr>
      </w:pPr>
    </w:p>
    <w:p>
      <w:pPr>
        <w:ind w:right="60"/>
        <w:spacing w:after="0" w:line="18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55" w:lineRule="exact"/>
        <w:rPr>
          <w:sz w:val="24"/>
          <w:szCs w:val="24"/>
          <w:color w:val="auto"/>
        </w:rPr>
      </w:pPr>
    </w:p>
    <w:p>
      <w:pPr>
        <w:spacing w:after="0" w:line="28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800" w:type="dxa"/>
            <w:vAlign w:val="bottom"/>
          </w:tcPr>
          <w:p>
            <w:pPr>
              <w:ind w:left="640"/>
              <w:spacing w:after="0" w:line="141" w:lineRule="exact"/>
              <w:rPr>
                <w:sz w:val="20"/>
                <w:szCs w:val="20"/>
                <w:color w:val="auto"/>
              </w:rPr>
            </w:pPr>
            <w:r>
              <w:rPr>
                <w:rFonts w:ascii="MS PGothic" w:cs="MS PGothic" w:eastAsia="MS PGothic" w:hAnsi="MS PGothic"/>
                <w:sz w:val="14"/>
                <w:szCs w:val="14"/>
                <w:color w:val="auto"/>
              </w:rPr>
              <w:t>☒</w:t>
            </w:r>
          </w:p>
        </w:tc>
        <w:tc>
          <w:tcPr>
            <w:tcW w:w="5040" w:type="dxa"/>
            <w:vAlign w:val="bottom"/>
          </w:tcPr>
          <w:p>
            <w:pPr>
              <w:ind w:left="3000"/>
              <w:spacing w:after="0"/>
              <w:rPr>
                <w:sz w:val="20"/>
                <w:szCs w:val="20"/>
                <w:color w:val="auto"/>
              </w:rPr>
            </w:pPr>
            <w:r>
              <w:rPr>
                <w:rFonts w:ascii="Times New Roman" w:cs="Times New Roman" w:eastAsia="Times New Roman" w:hAnsi="Times New Roman"/>
                <w:sz w:val="14"/>
                <w:szCs w:val="14"/>
                <w:color w:val="auto"/>
              </w:rPr>
              <w:t>Accelerated filer</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2"/>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800" w:type="dxa"/>
            <w:vAlign w:val="bottom"/>
          </w:tcPr>
          <w:p>
            <w:pPr>
              <w:ind w:left="640"/>
              <w:spacing w:after="0" w:line="141" w:lineRule="exact"/>
              <w:rPr>
                <w:sz w:val="20"/>
                <w:szCs w:val="20"/>
                <w:color w:val="auto"/>
              </w:rPr>
            </w:pPr>
            <w:r>
              <w:rPr>
                <w:rFonts w:ascii="MS PGothic" w:cs="MS PGothic" w:eastAsia="MS PGothic" w:hAnsi="MS PGothic"/>
                <w:sz w:val="14"/>
                <w:szCs w:val="14"/>
                <w:color w:val="auto"/>
              </w:rPr>
              <w:t>☐</w:t>
            </w:r>
          </w:p>
        </w:tc>
        <w:tc>
          <w:tcPr>
            <w:tcW w:w="5040" w:type="dxa"/>
            <w:vAlign w:val="bottom"/>
          </w:tcPr>
          <w:p>
            <w:pPr>
              <w:ind w:left="30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2"/>
        </w:trPr>
        <w:tc>
          <w:tcPr>
            <w:tcW w:w="190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5040" w:type="dxa"/>
            <w:vAlign w:val="bottom"/>
          </w:tcPr>
          <w:p>
            <w:pPr>
              <w:ind w:left="3000"/>
              <w:spacing w:after="0"/>
              <w:rPr>
                <w:sz w:val="20"/>
                <w:szCs w:val="20"/>
                <w:color w:val="auto"/>
              </w:rPr>
            </w:pPr>
            <w:r>
              <w:rPr>
                <w:rFonts w:ascii="Times New Roman" w:cs="Times New Roman" w:eastAsia="Times New Roman" w:hAnsi="Times New Roman"/>
                <w:sz w:val="14"/>
                <w:szCs w:val="14"/>
                <w:color w:val="auto"/>
              </w:rPr>
              <w:t>Emerging growth company</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65" w:lineRule="exact"/>
        <w:rPr>
          <w:sz w:val="24"/>
          <w:szCs w:val="24"/>
          <w:color w:val="auto"/>
        </w:rPr>
      </w:pPr>
    </w:p>
    <w:p>
      <w:pPr>
        <w:ind w:right="360"/>
        <w:spacing w:after="0" w:line="18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4" w:lineRule="exact"/>
        <w:rPr>
          <w:sz w:val="24"/>
          <w:szCs w:val="24"/>
          <w:color w:val="auto"/>
        </w:rPr>
      </w:pPr>
    </w:p>
    <w:p>
      <w:pPr>
        <w:ind w:right="3820"/>
        <w:spacing w:after="0" w:line="22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The number of shares of the registrant’s common stock, par value $0.001 per share, outstanding at April 19, 2019 was 17,914,088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81915</wp:posOffset>
            </wp:positionV>
            <wp:extent cx="731520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5200" cy="38735"/>
                    </a:xfrm>
                    <a:prstGeom prst="rect">
                      <a:avLst/>
                    </a:prstGeom>
                    <a:noFill/>
                  </pic:spPr>
                </pic:pic>
              </a:graphicData>
            </a:graphic>
          </wp:anchor>
        </w:drawing>
      </w:r>
    </w:p>
    <w:p>
      <w:pPr>
        <w:sectPr>
          <w:pgSz w:w="11900" w:h="16838" w:orient="portrait"/>
          <w:cols w:equalWidth="0" w:num="1">
            <w:col w:w="11360"/>
          </w:cols>
          <w:pgMar w:left="220" w:top="186" w:right="31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4"/>
          <w:szCs w:val="14"/>
          <w:b w:val="1"/>
          <w:bCs w:val="1"/>
          <w:color w:val="auto"/>
        </w:rPr>
        <w:t>SPS COMMERCE,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QUARTERLY REPORT ON FORM 10-Q</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INDEX</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900" w:type="dxa"/>
            <w:vAlign w:val="bottom"/>
            <w:gridSpan w:val="18"/>
            <w:vMerge w:val="restart"/>
          </w:tcPr>
          <w:p>
            <w:pPr>
              <w:spacing w:after="0"/>
              <w:rPr>
                <w:rFonts w:ascii="Times New Roman" w:cs="Times New Roman" w:eastAsia="Times New Roman" w:hAnsi="Times New Roman"/>
                <w:sz w:val="14"/>
                <w:szCs w:val="14"/>
                <w:b w:val="1"/>
                <w:bCs w:val="1"/>
                <w:color w:val="0000EE"/>
              </w:rPr>
            </w:pPr>
            <w:hyperlink w:anchor="page4">
              <w:r>
                <w:rPr>
                  <w:rFonts w:ascii="Times New Roman" w:cs="Times New Roman" w:eastAsia="Times New Roman" w:hAnsi="Times New Roman"/>
                  <w:sz w:val="14"/>
                  <w:szCs w:val="14"/>
                  <w:b w:val="1"/>
                  <w:bCs w:val="1"/>
                  <w:color w:val="0000EE"/>
                </w:rPr>
                <w:t>PART I. FINANCIAL INFORMATION</w:t>
              </w:r>
            </w:hyperlink>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38"/>
        </w:trPr>
        <w:tc>
          <w:tcPr>
            <w:tcW w:w="9900" w:type="dxa"/>
            <w:vAlign w:val="bottom"/>
            <w:gridSpan w:val="18"/>
            <w:vMerge w:val="continue"/>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4"/>
        </w:trPr>
        <w:tc>
          <w:tcPr>
            <w:tcW w:w="106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auto"/>
              </w:rPr>
              <w:t>Item 1.</w:t>
            </w:r>
          </w:p>
        </w:tc>
        <w:tc>
          <w:tcPr>
            <w:tcW w:w="1340" w:type="dxa"/>
            <w:vAlign w:val="bottom"/>
            <w:tcBorders>
              <w:top w:val="single" w:sz="8" w:color="0000EE"/>
            </w:tcBorders>
            <w:gridSpan w:val="6"/>
          </w:tcPr>
          <w:p>
            <w:pPr>
              <w:spacing w:after="0"/>
              <w:rPr>
                <w:rFonts w:ascii="Times New Roman" w:cs="Times New Roman" w:eastAsia="Times New Roman" w:hAnsi="Times New Roman"/>
                <w:sz w:val="14"/>
                <w:szCs w:val="14"/>
                <w:color w:val="0000EE"/>
              </w:rPr>
            </w:pPr>
            <w:hyperlink w:anchor="page4">
              <w:r>
                <w:rPr>
                  <w:rFonts w:ascii="Times New Roman" w:cs="Times New Roman" w:eastAsia="Times New Roman" w:hAnsi="Times New Roman"/>
                  <w:sz w:val="14"/>
                  <w:szCs w:val="14"/>
                  <w:color w:val="0000EE"/>
                </w:rPr>
                <w:t>Financial Statements</w:t>
              </w:r>
            </w:hyperlink>
          </w:p>
        </w:tc>
        <w:tc>
          <w:tcPr>
            <w:tcW w:w="7500" w:type="dxa"/>
            <w:vAlign w:val="bottom"/>
            <w:gridSpan w:val="10"/>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40" w:type="dxa"/>
            <w:vAlign w:val="bottom"/>
            <w:gridSpan w:val="16"/>
          </w:tcPr>
          <w:p>
            <w:pPr>
              <w:spacing w:after="0"/>
              <w:rPr>
                <w:rFonts w:ascii="Times New Roman" w:cs="Times New Roman" w:eastAsia="Times New Roman" w:hAnsi="Times New Roman"/>
                <w:sz w:val="14"/>
                <w:szCs w:val="14"/>
                <w:color w:val="0000EE"/>
              </w:rPr>
            </w:pPr>
            <w:hyperlink w:anchor="page4">
              <w:r>
                <w:rPr>
                  <w:rFonts w:ascii="Times New Roman" w:cs="Times New Roman" w:eastAsia="Times New Roman" w:hAnsi="Times New Roman"/>
                  <w:sz w:val="14"/>
                  <w:szCs w:val="14"/>
                  <w:color w:val="0000EE"/>
                </w:rPr>
                <w:t xml:space="preserve">Condensed Consolidated Balance Sheets as of March 31, 2019 and </w:t>
              </w:r>
            </w:hyperlink>
            <w:r>
              <w:rPr>
                <w:rFonts w:ascii="Times New Roman" w:cs="Times New Roman" w:eastAsia="Times New Roman" w:hAnsi="Times New Roman"/>
                <w:sz w:val="14"/>
                <w:szCs w:val="14"/>
                <w:color w:val="000000"/>
              </w:rPr>
              <w:t>December</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31, 2018 (unaudited)</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40" w:type="dxa"/>
            <w:vAlign w:val="bottom"/>
            <w:gridSpan w:val="16"/>
          </w:tcPr>
          <w:p>
            <w:pPr>
              <w:spacing w:after="0"/>
              <w:rPr>
                <w:rFonts w:ascii="Times New Roman" w:cs="Times New Roman" w:eastAsia="Times New Roman" w:hAnsi="Times New Roman"/>
                <w:sz w:val="14"/>
                <w:szCs w:val="14"/>
                <w:color w:val="0000EE"/>
              </w:rPr>
            </w:pPr>
            <w:hyperlink w:anchor="page5">
              <w:r>
                <w:rPr>
                  <w:rFonts w:ascii="Times New Roman" w:cs="Times New Roman" w:eastAsia="Times New Roman" w:hAnsi="Times New Roman"/>
                  <w:sz w:val="14"/>
                  <w:szCs w:val="14"/>
                  <w:color w:val="0000EE"/>
                </w:rPr>
                <w:t>Condensed Consolidated Statements of Comprehensive Income for the three months ended March 31, 2019 and 2018 (unaudited)</w:t>
              </w:r>
            </w:hyperlink>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580" w:type="dxa"/>
            <w:vAlign w:val="bottom"/>
            <w:tcBorders>
              <w:bottom w:val="single" w:sz="8" w:color="0000EE"/>
            </w:tcBorders>
            <w:gridSpan w:val="15"/>
          </w:tcPr>
          <w:p>
            <w:pPr>
              <w:spacing w:after="0"/>
              <w:rPr>
                <w:rFonts w:ascii="Times New Roman" w:cs="Times New Roman" w:eastAsia="Times New Roman" w:hAnsi="Times New Roman"/>
                <w:sz w:val="14"/>
                <w:szCs w:val="14"/>
                <w:color w:val="0000EE"/>
                <w:w w:val="97"/>
              </w:rPr>
            </w:pPr>
            <w:hyperlink w:anchor="page6">
              <w:r>
                <w:rPr>
                  <w:rFonts w:ascii="Times New Roman" w:cs="Times New Roman" w:eastAsia="Times New Roman" w:hAnsi="Times New Roman"/>
                  <w:sz w:val="14"/>
                  <w:szCs w:val="14"/>
                  <w:color w:val="0000EE"/>
                  <w:w w:val="97"/>
                </w:rPr>
                <w:t>Condensed Consolidated Statements of Stockholders’ Equity for the three months ended March 31, 2019 and March 31, 2018 (unaudited)</w:t>
              </w:r>
            </w:hyperlink>
          </w:p>
        </w:tc>
        <w:tc>
          <w:tcPr>
            <w:tcW w:w="1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44"/>
        </w:trPr>
        <w:tc>
          <w:tcPr>
            <w:tcW w:w="6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60" w:type="dxa"/>
            <w:vAlign w:val="bottom"/>
            <w:tcBorders>
              <w:bottom w:val="single" w:sz="8" w:color="0000EE"/>
            </w:tcBorders>
            <w:gridSpan w:val="13"/>
          </w:tcPr>
          <w:p>
            <w:pPr>
              <w:spacing w:after="0"/>
              <w:rPr>
                <w:rFonts w:ascii="Times New Roman" w:cs="Times New Roman" w:eastAsia="Times New Roman" w:hAnsi="Times New Roman"/>
                <w:sz w:val="14"/>
                <w:szCs w:val="14"/>
                <w:color w:val="0000EE"/>
                <w:w w:val="97"/>
              </w:rPr>
            </w:pPr>
            <w:hyperlink w:anchor="page7">
              <w:r>
                <w:rPr>
                  <w:rFonts w:ascii="Times New Roman" w:cs="Times New Roman" w:eastAsia="Times New Roman" w:hAnsi="Times New Roman"/>
                  <w:sz w:val="14"/>
                  <w:szCs w:val="14"/>
                  <w:color w:val="0000EE"/>
                  <w:w w:val="97"/>
                </w:rPr>
                <w:t>Condensed Consolidated Statements of Cash Flows for the three months ended March 31, 2019 and 2018 (unaudited)</w:t>
              </w:r>
            </w:hyperlink>
          </w:p>
        </w:tc>
        <w:tc>
          <w:tcPr>
            <w:tcW w:w="2380" w:type="dxa"/>
            <w:vAlign w:val="bottom"/>
            <w:gridSpan w:val="3"/>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44"/>
        </w:trPr>
        <w:tc>
          <w:tcPr>
            <w:tcW w:w="6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0" w:type="dxa"/>
            <w:vAlign w:val="bottom"/>
            <w:tcBorders>
              <w:bottom w:val="single" w:sz="8" w:color="0000EE"/>
            </w:tcBorders>
            <w:gridSpan w:val="11"/>
          </w:tcPr>
          <w:p>
            <w:pPr>
              <w:spacing w:after="0"/>
              <w:rPr>
                <w:rFonts w:ascii="Times New Roman" w:cs="Times New Roman" w:eastAsia="Times New Roman" w:hAnsi="Times New Roman"/>
                <w:sz w:val="14"/>
                <w:szCs w:val="14"/>
                <w:color w:val="0000EE"/>
                <w:w w:val="99"/>
              </w:rPr>
            </w:pPr>
            <w:hyperlink w:anchor="page8">
              <w:r>
                <w:rPr>
                  <w:rFonts w:ascii="Times New Roman" w:cs="Times New Roman" w:eastAsia="Times New Roman" w:hAnsi="Times New Roman"/>
                  <w:sz w:val="14"/>
                  <w:szCs w:val="14"/>
                  <w:color w:val="0000EE"/>
                  <w:w w:val="99"/>
                </w:rPr>
                <w:t>Notes to Condensed Consolidated Financial Statements (unaudited)</w:t>
              </w:r>
            </w:hyperlink>
          </w:p>
        </w:tc>
        <w:tc>
          <w:tcPr>
            <w:tcW w:w="5040" w:type="dxa"/>
            <w:vAlign w:val="bottom"/>
            <w:gridSpan w:val="5"/>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44"/>
        </w:trPr>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2.</w:t>
            </w:r>
          </w:p>
        </w:tc>
        <w:tc>
          <w:tcPr>
            <w:tcW w:w="8840" w:type="dxa"/>
            <w:vAlign w:val="bottom"/>
            <w:gridSpan w:val="16"/>
          </w:tcPr>
          <w:p>
            <w:pPr>
              <w:spacing w:after="0"/>
              <w:rPr>
                <w:rFonts w:ascii="Times New Roman" w:cs="Times New Roman" w:eastAsia="Times New Roman" w:hAnsi="Times New Roman"/>
                <w:sz w:val="14"/>
                <w:szCs w:val="14"/>
                <w:color w:val="0000EE"/>
              </w:rPr>
            </w:pPr>
            <w:hyperlink w:anchor="page20">
              <w:r>
                <w:rPr>
                  <w:rFonts w:ascii="Times New Roman" w:cs="Times New Roman" w:eastAsia="Times New Roman" w:hAnsi="Times New Roman"/>
                  <w:sz w:val="14"/>
                  <w:szCs w:val="14"/>
                  <w:color w:val="0000EE"/>
                </w:rPr>
                <w:t>Management’s Discussion and Analysis of Financial Condition and Results of Operations</w:t>
              </w:r>
            </w:hyperlink>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44"/>
        </w:trPr>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3.</w:t>
            </w:r>
          </w:p>
        </w:tc>
        <w:tc>
          <w:tcPr>
            <w:tcW w:w="3420" w:type="dxa"/>
            <w:vAlign w:val="bottom"/>
            <w:tcBorders>
              <w:top w:val="single" w:sz="8" w:color="0000EE"/>
              <w:bottom w:val="single" w:sz="8" w:color="0000EE"/>
            </w:tcBorders>
            <w:gridSpan w:val="10"/>
          </w:tcPr>
          <w:p>
            <w:pPr>
              <w:spacing w:after="0"/>
              <w:rPr>
                <w:rFonts w:ascii="Times New Roman" w:cs="Times New Roman" w:eastAsia="Times New Roman" w:hAnsi="Times New Roman"/>
                <w:sz w:val="14"/>
                <w:szCs w:val="14"/>
                <w:color w:val="0000EE"/>
              </w:rPr>
            </w:pPr>
            <w:hyperlink w:anchor="page24">
              <w:r>
                <w:rPr>
                  <w:rFonts w:ascii="Times New Roman" w:cs="Times New Roman" w:eastAsia="Times New Roman" w:hAnsi="Times New Roman"/>
                  <w:sz w:val="14"/>
                  <w:szCs w:val="14"/>
                  <w:color w:val="0000EE"/>
                </w:rPr>
                <w:t>Quantitative and Qualitative Disclosures About Market Risk</w:t>
              </w:r>
            </w:hyperlink>
          </w:p>
        </w:tc>
        <w:tc>
          <w:tcPr>
            <w:tcW w:w="1620" w:type="dxa"/>
            <w:vAlign w:val="bottom"/>
            <w:tcBorders>
              <w:top w:val="single" w:sz="8" w:color="0000EE"/>
            </w:tcBorders>
            <w:gridSpan w:val="2"/>
          </w:tcPr>
          <w:p>
            <w:pPr>
              <w:spacing w:after="0"/>
              <w:rPr>
                <w:sz w:val="21"/>
                <w:szCs w:val="21"/>
                <w:color w:val="auto"/>
              </w:rPr>
            </w:pPr>
          </w:p>
        </w:tc>
        <w:tc>
          <w:tcPr>
            <w:tcW w:w="3800" w:type="dxa"/>
            <w:vAlign w:val="bottom"/>
            <w:gridSpan w:val="4"/>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44"/>
        </w:trPr>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4.</w:t>
            </w:r>
          </w:p>
        </w:tc>
        <w:tc>
          <w:tcPr>
            <w:tcW w:w="1380" w:type="dxa"/>
            <w:vAlign w:val="bottom"/>
            <w:tcBorders>
              <w:bottom w:val="single" w:sz="8" w:color="0000EE"/>
            </w:tcBorders>
            <w:gridSpan w:val="7"/>
          </w:tcPr>
          <w:p>
            <w:pPr>
              <w:spacing w:after="0"/>
              <w:rPr>
                <w:rFonts w:ascii="Times New Roman" w:cs="Times New Roman" w:eastAsia="Times New Roman" w:hAnsi="Times New Roman"/>
                <w:sz w:val="14"/>
                <w:szCs w:val="14"/>
                <w:color w:val="0000EE"/>
                <w:w w:val="98"/>
              </w:rPr>
            </w:pPr>
            <w:hyperlink w:anchor="page25">
              <w:r>
                <w:rPr>
                  <w:rFonts w:ascii="Times New Roman" w:cs="Times New Roman" w:eastAsia="Times New Roman" w:hAnsi="Times New Roman"/>
                  <w:sz w:val="14"/>
                  <w:szCs w:val="14"/>
                  <w:color w:val="0000EE"/>
                  <w:w w:val="98"/>
                </w:rPr>
                <w:t>Controls and Procedures</w:t>
              </w:r>
            </w:hyperlink>
          </w:p>
        </w:tc>
        <w:tc>
          <w:tcPr>
            <w:tcW w:w="7460" w:type="dxa"/>
            <w:vAlign w:val="bottom"/>
            <w:gridSpan w:val="9"/>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44"/>
        </w:trPr>
        <w:tc>
          <w:tcPr>
            <w:tcW w:w="9900" w:type="dxa"/>
            <w:vAlign w:val="bottom"/>
            <w:gridSpan w:val="18"/>
          </w:tcPr>
          <w:p>
            <w:pPr>
              <w:spacing w:after="0"/>
              <w:rPr>
                <w:rFonts w:ascii="Times New Roman" w:cs="Times New Roman" w:eastAsia="Times New Roman" w:hAnsi="Times New Roman"/>
                <w:sz w:val="14"/>
                <w:szCs w:val="14"/>
                <w:b w:val="1"/>
                <w:bCs w:val="1"/>
                <w:color w:val="0000EE"/>
              </w:rPr>
            </w:pPr>
            <w:hyperlink w:anchor="page26">
              <w:r>
                <w:rPr>
                  <w:rFonts w:ascii="Times New Roman" w:cs="Times New Roman" w:eastAsia="Times New Roman" w:hAnsi="Times New Roman"/>
                  <w:sz w:val="14"/>
                  <w:szCs w:val="14"/>
                  <w:b w:val="1"/>
                  <w:bCs w:val="1"/>
                  <w:color w:val="0000EE"/>
                </w:rPr>
                <w:t>PART II. OTHER INFORMATION</w:t>
              </w:r>
            </w:hyperlink>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06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auto"/>
              </w:rPr>
              <w:t>Item 1.</w:t>
            </w:r>
          </w:p>
        </w:tc>
        <w:tc>
          <w:tcPr>
            <w:tcW w:w="104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4"/>
                <w:szCs w:val="14"/>
                <w:color w:val="0000EE"/>
                <w:w w:val="98"/>
              </w:rPr>
            </w:pPr>
            <w:hyperlink w:anchor="page26">
              <w:r>
                <w:rPr>
                  <w:rFonts w:ascii="Times New Roman" w:cs="Times New Roman" w:eastAsia="Times New Roman" w:hAnsi="Times New Roman"/>
                  <w:sz w:val="14"/>
                  <w:szCs w:val="14"/>
                  <w:color w:val="0000EE"/>
                  <w:w w:val="98"/>
                </w:rPr>
                <w:t>Legal Proceedings</w:t>
              </w:r>
            </w:hyperlink>
          </w:p>
        </w:tc>
        <w:tc>
          <w:tcPr>
            <w:tcW w:w="120" w:type="dxa"/>
            <w:vAlign w:val="bottom"/>
            <w:tcBorders>
              <w:top w:val="single" w:sz="8" w:color="0000EE"/>
            </w:tcBorders>
          </w:tcPr>
          <w:p>
            <w:pPr>
              <w:spacing w:after="0"/>
              <w:rPr>
                <w:sz w:val="21"/>
                <w:szCs w:val="21"/>
                <w:color w:val="auto"/>
              </w:rPr>
            </w:pPr>
          </w:p>
        </w:tc>
        <w:tc>
          <w:tcPr>
            <w:tcW w:w="7680" w:type="dxa"/>
            <w:vAlign w:val="bottom"/>
            <w:gridSpan w:val="11"/>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44"/>
        </w:trPr>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1A.</w:t>
            </w:r>
          </w:p>
        </w:tc>
        <w:tc>
          <w:tcPr>
            <w:tcW w:w="700" w:type="dxa"/>
            <w:vAlign w:val="bottom"/>
            <w:tcBorders>
              <w:bottom w:val="single" w:sz="8" w:color="0000EE"/>
            </w:tcBorders>
            <w:gridSpan w:val="2"/>
          </w:tcPr>
          <w:p>
            <w:pPr>
              <w:spacing w:after="0"/>
              <w:rPr>
                <w:rFonts w:ascii="Times New Roman" w:cs="Times New Roman" w:eastAsia="Times New Roman" w:hAnsi="Times New Roman"/>
                <w:sz w:val="14"/>
                <w:szCs w:val="14"/>
                <w:color w:val="0000EE"/>
                <w:w w:val="96"/>
              </w:rPr>
            </w:pPr>
            <w:hyperlink w:anchor="page26">
              <w:r>
                <w:rPr>
                  <w:rFonts w:ascii="Times New Roman" w:cs="Times New Roman" w:eastAsia="Times New Roman" w:hAnsi="Times New Roman"/>
                  <w:sz w:val="14"/>
                  <w:szCs w:val="14"/>
                  <w:color w:val="0000EE"/>
                  <w:w w:val="96"/>
                </w:rPr>
                <w:t>Risk Factors</w:t>
              </w:r>
            </w:hyperlink>
          </w:p>
        </w:tc>
        <w:tc>
          <w:tcPr>
            <w:tcW w:w="8140" w:type="dxa"/>
            <w:vAlign w:val="bottom"/>
            <w:gridSpan w:val="14"/>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44"/>
        </w:trPr>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2.</w:t>
            </w:r>
          </w:p>
        </w:tc>
        <w:tc>
          <w:tcPr>
            <w:tcW w:w="3400" w:type="dxa"/>
            <w:vAlign w:val="bottom"/>
            <w:tcBorders>
              <w:bottom w:val="single" w:sz="8" w:color="0000EE"/>
            </w:tcBorders>
            <w:gridSpan w:val="9"/>
          </w:tcPr>
          <w:p>
            <w:pPr>
              <w:spacing w:after="0"/>
              <w:rPr>
                <w:rFonts w:ascii="Times New Roman" w:cs="Times New Roman" w:eastAsia="Times New Roman" w:hAnsi="Times New Roman"/>
                <w:sz w:val="14"/>
                <w:szCs w:val="14"/>
                <w:color w:val="0000EE"/>
                <w:w w:val="99"/>
              </w:rPr>
            </w:pPr>
            <w:hyperlink w:anchor="page26">
              <w:r>
                <w:rPr>
                  <w:rFonts w:ascii="Times New Roman" w:cs="Times New Roman" w:eastAsia="Times New Roman" w:hAnsi="Times New Roman"/>
                  <w:sz w:val="14"/>
                  <w:szCs w:val="14"/>
                  <w:color w:val="0000EE"/>
                  <w:w w:val="99"/>
                </w:rPr>
                <w:t>Unregistered Sales of Equity Securities and Use of Proceeds</w:t>
              </w:r>
            </w:hyperlink>
          </w:p>
        </w:tc>
        <w:tc>
          <w:tcPr>
            <w:tcW w:w="5440" w:type="dxa"/>
            <w:vAlign w:val="bottom"/>
            <w:gridSpan w:val="7"/>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44"/>
        </w:trPr>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3.</w:t>
            </w:r>
          </w:p>
        </w:tc>
        <w:tc>
          <w:tcPr>
            <w:tcW w:w="8840" w:type="dxa"/>
            <w:vAlign w:val="bottom"/>
            <w:gridSpan w:val="16"/>
          </w:tcPr>
          <w:p>
            <w:pPr>
              <w:spacing w:after="0"/>
              <w:rPr>
                <w:rFonts w:ascii="Times New Roman" w:cs="Times New Roman" w:eastAsia="Times New Roman" w:hAnsi="Times New Roman"/>
                <w:sz w:val="14"/>
                <w:szCs w:val="14"/>
                <w:color w:val="0000EE"/>
              </w:rPr>
            </w:pPr>
            <w:hyperlink w:anchor="page26">
              <w:r>
                <w:rPr>
                  <w:rFonts w:ascii="Times New Roman" w:cs="Times New Roman" w:eastAsia="Times New Roman" w:hAnsi="Times New Roman"/>
                  <w:sz w:val="14"/>
                  <w:szCs w:val="14"/>
                  <w:color w:val="0000EE"/>
                </w:rPr>
                <w:t>Defaults Upon Senior Securities</w:t>
              </w:r>
            </w:hyperlink>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44"/>
        </w:trPr>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4.</w:t>
            </w:r>
          </w:p>
        </w:tc>
        <w:tc>
          <w:tcPr>
            <w:tcW w:w="138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4"/>
                <w:szCs w:val="14"/>
                <w:color w:val="0000EE"/>
                <w:w w:val="98"/>
              </w:rPr>
            </w:pPr>
            <w:hyperlink w:anchor="page26">
              <w:r>
                <w:rPr>
                  <w:rFonts w:ascii="Times New Roman" w:cs="Times New Roman" w:eastAsia="Times New Roman" w:hAnsi="Times New Roman"/>
                  <w:sz w:val="14"/>
                  <w:szCs w:val="14"/>
                  <w:color w:val="0000EE"/>
                  <w:w w:val="98"/>
                </w:rPr>
                <w:t>Mine Safety Disclosures</w:t>
              </w:r>
            </w:hyperlink>
          </w:p>
        </w:tc>
        <w:tc>
          <w:tcPr>
            <w:tcW w:w="420" w:type="dxa"/>
            <w:vAlign w:val="bottom"/>
            <w:tcBorders>
              <w:top w:val="single" w:sz="8" w:color="0000EE"/>
            </w:tcBorders>
          </w:tcPr>
          <w:p>
            <w:pPr>
              <w:spacing w:after="0"/>
              <w:rPr>
                <w:sz w:val="21"/>
                <w:szCs w:val="21"/>
                <w:color w:val="auto"/>
              </w:rPr>
            </w:pPr>
          </w:p>
        </w:tc>
        <w:tc>
          <w:tcPr>
            <w:tcW w:w="7040" w:type="dxa"/>
            <w:vAlign w:val="bottom"/>
            <w:gridSpan w:val="8"/>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44"/>
        </w:trPr>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5.</w:t>
            </w:r>
          </w:p>
        </w:tc>
        <w:tc>
          <w:tcPr>
            <w:tcW w:w="1020" w:type="dxa"/>
            <w:vAlign w:val="bottom"/>
            <w:tcBorders>
              <w:bottom w:val="single" w:sz="8" w:color="0000EE"/>
            </w:tcBorders>
            <w:gridSpan w:val="3"/>
          </w:tcPr>
          <w:p>
            <w:pPr>
              <w:spacing w:after="0"/>
              <w:rPr>
                <w:rFonts w:ascii="Times New Roman" w:cs="Times New Roman" w:eastAsia="Times New Roman" w:hAnsi="Times New Roman"/>
                <w:sz w:val="14"/>
                <w:szCs w:val="14"/>
                <w:color w:val="0000EE"/>
                <w:w w:val="97"/>
              </w:rPr>
            </w:pPr>
            <w:hyperlink w:anchor="page26">
              <w:r>
                <w:rPr>
                  <w:rFonts w:ascii="Times New Roman" w:cs="Times New Roman" w:eastAsia="Times New Roman" w:hAnsi="Times New Roman"/>
                  <w:sz w:val="14"/>
                  <w:szCs w:val="14"/>
                  <w:color w:val="0000EE"/>
                  <w:w w:val="97"/>
                </w:rPr>
                <w:t>Other Information</w:t>
              </w:r>
            </w:hyperlink>
          </w:p>
        </w:tc>
        <w:tc>
          <w:tcPr>
            <w:tcW w:w="7820" w:type="dxa"/>
            <w:vAlign w:val="bottom"/>
            <w:gridSpan w:val="13"/>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44"/>
        </w:trPr>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6.</w:t>
            </w:r>
          </w:p>
        </w:tc>
        <w:tc>
          <w:tcPr>
            <w:tcW w:w="8840" w:type="dxa"/>
            <w:vAlign w:val="bottom"/>
            <w:gridSpan w:val="16"/>
          </w:tcPr>
          <w:p>
            <w:pPr>
              <w:spacing w:after="0"/>
              <w:rPr>
                <w:rFonts w:ascii="Times New Roman" w:cs="Times New Roman" w:eastAsia="Times New Roman" w:hAnsi="Times New Roman"/>
                <w:sz w:val="14"/>
                <w:szCs w:val="14"/>
                <w:color w:val="0000EE"/>
              </w:rPr>
            </w:pPr>
            <w:hyperlink w:anchor="page27">
              <w:r>
                <w:rPr>
                  <w:rFonts w:ascii="Times New Roman" w:cs="Times New Roman" w:eastAsia="Times New Roman" w:hAnsi="Times New Roman"/>
                  <w:sz w:val="14"/>
                  <w:szCs w:val="14"/>
                  <w:color w:val="0000EE"/>
                </w:rPr>
                <w:t>Exhibits</w:t>
              </w:r>
            </w:hyperlink>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244"/>
        </w:trPr>
        <w:tc>
          <w:tcPr>
            <w:tcW w:w="1060" w:type="dxa"/>
            <w:vAlign w:val="bottom"/>
            <w:gridSpan w:val="2"/>
          </w:tcPr>
          <w:p>
            <w:pPr>
              <w:spacing w:after="0"/>
              <w:rPr>
                <w:rFonts w:ascii="Times New Roman" w:cs="Times New Roman" w:eastAsia="Times New Roman" w:hAnsi="Times New Roman"/>
                <w:sz w:val="14"/>
                <w:szCs w:val="14"/>
                <w:b w:val="1"/>
                <w:bCs w:val="1"/>
                <w:color w:val="0000EE"/>
              </w:rPr>
            </w:pPr>
            <w:hyperlink w:anchor="page28">
              <w:r>
                <w:rPr>
                  <w:rFonts w:ascii="Times New Roman" w:cs="Times New Roman" w:eastAsia="Times New Roman" w:hAnsi="Times New Roman"/>
                  <w:sz w:val="14"/>
                  <w:szCs w:val="14"/>
                  <w:b w:val="1"/>
                  <w:bCs w:val="1"/>
                  <w:color w:val="0000EE"/>
                </w:rPr>
                <w:t>Signatures</w:t>
              </w:r>
            </w:hyperlink>
          </w:p>
        </w:tc>
        <w:tc>
          <w:tcPr>
            <w:tcW w:w="460" w:type="dxa"/>
            <w:vAlign w:val="bottom"/>
            <w:tcBorders>
              <w:top w:val="single" w:sz="8" w:color="0000EE"/>
            </w:tcBorders>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20"/>
        </w:trPr>
        <w:tc>
          <w:tcPr>
            <w:tcW w:w="6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Unless the context otherwise requires, for purposes of the Quarterly Report on Form 10-Q, the words “we,” “us,” “our,” the “Company” and “SPS” refer to SPS Commerce, Inc.</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55245</wp:posOffset>
            </wp:positionV>
            <wp:extent cx="731520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5200" cy="38735"/>
                    </a:xfrm>
                    <a:prstGeom prst="rect">
                      <a:avLst/>
                    </a:prstGeom>
                    <a:noFill/>
                  </pic:spPr>
                </pic:pic>
              </a:graphicData>
            </a:graphic>
          </wp:anchor>
        </w:drawing>
      </w:r>
    </w:p>
    <w:p>
      <w:pPr>
        <w:sectPr>
          <w:pgSz w:w="11900" w:h="16838" w:orient="portrait"/>
          <w:cols w:equalWidth="0" w:num="1">
            <w:col w:w="11460"/>
          </w:cols>
          <w:pgMar w:left="220" w:top="302" w:right="21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INFORMATION</w:t>
      </w:r>
    </w:p>
    <w:p>
      <w:pPr>
        <w:spacing w:after="0" w:line="179" w:lineRule="exact"/>
        <w:rPr>
          <w:sz w:val="20"/>
          <w:szCs w:val="20"/>
          <w:color w:val="auto"/>
        </w:rPr>
      </w:pPr>
    </w:p>
    <w:p>
      <w:pPr>
        <w:ind w:firstLine="520"/>
        <w:spacing w:after="0" w:line="257" w:lineRule="auto"/>
        <w:rPr>
          <w:sz w:val="20"/>
          <w:szCs w:val="20"/>
          <w:color w:val="auto"/>
        </w:rPr>
      </w:pPr>
      <w:r>
        <w:rPr>
          <w:rFonts w:ascii="Times New Roman" w:cs="Times New Roman" w:eastAsia="Times New Roman" w:hAnsi="Times New Roman"/>
          <w:sz w:val="14"/>
          <w:szCs w:val="14"/>
          <w:color w:val="auto"/>
        </w:rPr>
        <w:t xml:space="preserve">This Quarterly Report on Form 10-Q contains forward-looking statements within the meaning of the U.S. Private Securities Litigation Reform Act of 1995. Forward looking statements regarding us, our business prospects and our results of operations are subject to certain risks and uncertainties posed by many factors and events that could cause our actual business, prospects and results of operations to differ materially from those that may be anticipated by such forward-looking statements. Factors that could cause or contribute to such differences include, but are not limited to, those described under the heading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xml:space="preserve"> included in our Annual Report on Form 10-K/A for the year ended December 31, 2018 as filed with the Securities and Exchange Commission</w:t>
      </w:r>
    </w:p>
    <w:p>
      <w:pPr>
        <w:spacing w:after="0" w:line="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4"/>
          <w:szCs w:val="14"/>
          <w:color w:val="auto"/>
        </w:rPr>
        <w:t>(“SEC”). Readers are cautioned not to place undue reliance on these forward-looking statements, which speak only as of the date of this report. In some cases, you can identify forward-looking statements by the following words: “anticipate,” “assumes,” “believe,” “continue,” “could,” “estimate,” “expect,” “intend,” “may,” “ongoing,” “plan,” “potential,” “predict,” “project,” “should,” “will,” “would,” or the negative of these terms or other comparable terminology, although not all forward-looking statements contain these words. We expressly disclaim any intent or obligation to update or revise any forward-looking statements, whether as a result of new information, future events or otherwise. Readers are urged to carefully review and consider the various disclosures made by us in this report and in our other reports filed with the SEC that advise interested parties of the risks and factors that may affect our business.</w:t>
      </w: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55245</wp:posOffset>
            </wp:positionV>
            <wp:extent cx="731520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15200" cy="38735"/>
                    </a:xfrm>
                    <a:prstGeom prst="rect">
                      <a:avLst/>
                    </a:prstGeom>
                    <a:noFill/>
                  </pic:spPr>
                </pic:pic>
              </a:graphicData>
            </a:graphic>
          </wp:anchor>
        </w:drawing>
      </w:r>
    </w:p>
    <w:p>
      <w:pPr>
        <w:sectPr>
          <w:pgSz w:w="11900" w:h="16838" w:orient="portrait"/>
          <w:cols w:equalWidth="0" w:num="1">
            <w:col w:w="11400"/>
          </w:cols>
          <w:pgMar w:left="220" w:top="302" w:right="2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5"/>
        </w:trPr>
        <w:tc>
          <w:tcPr>
            <w:tcW w:w="940" w:type="dxa"/>
            <w:vAlign w:val="bottom"/>
          </w:tcPr>
          <w:p>
            <w:pPr>
              <w:spacing w:after="0"/>
              <w:rPr>
                <w:sz w:val="16"/>
                <w:szCs w:val="16"/>
                <w:color w:val="auto"/>
              </w:rPr>
            </w:pPr>
          </w:p>
        </w:tc>
        <w:tc>
          <w:tcPr>
            <w:tcW w:w="6960" w:type="dxa"/>
            <w:vAlign w:val="bottom"/>
          </w:tcPr>
          <w:p>
            <w:pPr>
              <w:jc w:val="center"/>
              <w:ind w:left="2552"/>
              <w:spacing w:after="0"/>
              <w:rPr>
                <w:sz w:val="20"/>
                <w:szCs w:val="20"/>
                <w:color w:val="auto"/>
              </w:rPr>
            </w:pPr>
            <w:r>
              <w:rPr>
                <w:rFonts w:ascii="Times New Roman" w:cs="Times New Roman" w:eastAsia="Times New Roman" w:hAnsi="Times New Roman"/>
                <w:sz w:val="14"/>
                <w:szCs w:val="14"/>
                <w:b w:val="1"/>
                <w:bCs w:val="1"/>
                <w:color w:val="auto"/>
                <w:w w:val="99"/>
              </w:rPr>
              <w:t>PART I. – FINANCIAL INFORMATION</w:t>
            </w:r>
          </w:p>
        </w:tc>
        <w:tc>
          <w:tcPr>
            <w:tcW w:w="1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1.</w:t>
            </w:r>
          </w:p>
        </w:tc>
        <w:tc>
          <w:tcPr>
            <w:tcW w:w="6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Financial Statements</w:t>
            </w: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940" w:type="dxa"/>
            <w:vAlign w:val="bottom"/>
          </w:tcPr>
          <w:p>
            <w:pPr>
              <w:spacing w:after="0"/>
              <w:rPr>
                <w:sz w:val="24"/>
                <w:szCs w:val="24"/>
                <w:color w:val="auto"/>
              </w:rPr>
            </w:pPr>
          </w:p>
        </w:tc>
        <w:tc>
          <w:tcPr>
            <w:tcW w:w="6960" w:type="dxa"/>
            <w:vAlign w:val="bottom"/>
          </w:tcPr>
          <w:p>
            <w:pPr>
              <w:jc w:val="center"/>
              <w:ind w:left="2572"/>
              <w:spacing w:after="0"/>
              <w:rPr>
                <w:sz w:val="20"/>
                <w:szCs w:val="20"/>
                <w:color w:val="auto"/>
              </w:rPr>
            </w:pPr>
            <w:r>
              <w:rPr>
                <w:rFonts w:ascii="Times New Roman" w:cs="Times New Roman" w:eastAsia="Times New Roman" w:hAnsi="Times New Roman"/>
                <w:sz w:val="14"/>
                <w:szCs w:val="14"/>
                <w:b w:val="1"/>
                <w:bCs w:val="1"/>
                <w:color w:val="auto"/>
              </w:rPr>
              <w:t>SPS COMMERCE, INC. AND SUBSIDIARIES</w:t>
            </w: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940" w:type="dxa"/>
            <w:vAlign w:val="bottom"/>
          </w:tcPr>
          <w:p>
            <w:pPr>
              <w:spacing w:after="0"/>
              <w:rPr>
                <w:sz w:val="14"/>
                <w:szCs w:val="14"/>
                <w:color w:val="auto"/>
              </w:rPr>
            </w:pPr>
          </w:p>
        </w:tc>
        <w:tc>
          <w:tcPr>
            <w:tcW w:w="6960" w:type="dxa"/>
            <w:vAlign w:val="bottom"/>
          </w:tcPr>
          <w:p>
            <w:pPr>
              <w:jc w:val="center"/>
              <w:ind w:left="2572"/>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6960" w:type="dxa"/>
            <w:vAlign w:val="bottom"/>
          </w:tcPr>
          <w:p>
            <w:pPr>
              <w:jc w:val="center"/>
              <w:ind w:left="2552"/>
              <w:spacing w:after="0"/>
              <w:rPr>
                <w:sz w:val="20"/>
                <w:szCs w:val="20"/>
                <w:color w:val="auto"/>
              </w:rPr>
            </w:pPr>
            <w:r>
              <w:rPr>
                <w:rFonts w:ascii="Times New Roman" w:cs="Times New Roman" w:eastAsia="Times New Roman" w:hAnsi="Times New Roman"/>
                <w:sz w:val="14"/>
                <w:szCs w:val="14"/>
                <w:color w:val="auto"/>
              </w:rPr>
              <w:t>(Unaudited; in thousands, except share amounts)</w:t>
            </w:r>
          </w:p>
        </w:tc>
        <w:tc>
          <w:tcPr>
            <w:tcW w:w="1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1"/>
        </w:trPr>
        <w:tc>
          <w:tcPr>
            <w:tcW w:w="94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10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jc w:val="right"/>
              <w:ind w:right="58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35"/>
        </w:trPr>
        <w:tc>
          <w:tcPr>
            <w:tcW w:w="940" w:type="dxa"/>
            <w:vAlign w:val="bottom"/>
            <w:tcBorders>
              <w:bottom w:val="single" w:sz="8" w:color="CFF0FC"/>
            </w:tcBorders>
          </w:tcPr>
          <w:p>
            <w:pPr>
              <w:spacing w:after="0"/>
              <w:rPr>
                <w:sz w:val="11"/>
                <w:szCs w:val="11"/>
                <w:color w:val="auto"/>
              </w:rPr>
            </w:pPr>
          </w:p>
        </w:tc>
        <w:tc>
          <w:tcPr>
            <w:tcW w:w="6960" w:type="dxa"/>
            <w:vAlign w:val="bottom"/>
            <w:tcBorders>
              <w:bottom w:val="single" w:sz="8" w:color="CFF0FC"/>
            </w:tcBorders>
          </w:tcPr>
          <w:p>
            <w:pPr>
              <w:spacing w:after="0"/>
              <w:rPr>
                <w:sz w:val="11"/>
                <w:szCs w:val="11"/>
                <w:color w:val="auto"/>
              </w:rPr>
            </w:pPr>
          </w:p>
        </w:tc>
        <w:tc>
          <w:tcPr>
            <w:tcW w:w="110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2019</w:t>
            </w:r>
          </w:p>
        </w:tc>
        <w:tc>
          <w:tcPr>
            <w:tcW w:w="480" w:type="dxa"/>
            <w:vAlign w:val="bottom"/>
            <w:tcBorders>
              <w:bottom w:val="single" w:sz="8" w:color="auto"/>
            </w:tcBorders>
          </w:tcPr>
          <w:p>
            <w:pPr>
              <w:spacing w:after="0"/>
              <w:rPr>
                <w:sz w:val="11"/>
                <w:szCs w:val="11"/>
                <w:color w:val="auto"/>
              </w:rPr>
            </w:pPr>
          </w:p>
        </w:tc>
        <w:tc>
          <w:tcPr>
            <w:tcW w:w="280" w:type="dxa"/>
            <w:vAlign w:val="bottom"/>
            <w:tcBorders>
              <w:bottom w:val="single" w:sz="8" w:color="CFF0FC"/>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1"/>
                <w:szCs w:val="11"/>
                <w:b w:val="1"/>
                <w:bCs w:val="1"/>
                <w:color w:val="auto"/>
              </w:rPr>
              <w:t>2018</w:t>
            </w:r>
          </w:p>
        </w:tc>
        <w:tc>
          <w:tcPr>
            <w:tcW w:w="12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940" w:type="dxa"/>
            <w:vAlign w:val="bottom"/>
            <w:shd w:val="clear" w:color="auto" w:fill="CFF0FC"/>
          </w:tcPr>
          <w:p>
            <w:pPr>
              <w:spacing w:after="0"/>
              <w:rPr>
                <w:sz w:val="13"/>
                <w:szCs w:val="13"/>
                <w:color w:val="auto"/>
              </w:rPr>
            </w:pPr>
          </w:p>
        </w:tc>
        <w:tc>
          <w:tcPr>
            <w:tcW w:w="6960" w:type="dxa"/>
            <w:vAlign w:val="bottom"/>
            <w:shd w:val="clear" w:color="auto" w:fill="CFF0FC"/>
          </w:tcPr>
          <w:p>
            <w:pPr>
              <w:jc w:val="center"/>
              <w:ind w:right="1052"/>
              <w:spacing w:after="0"/>
              <w:rPr>
                <w:sz w:val="20"/>
                <w:szCs w:val="20"/>
                <w:color w:val="auto"/>
              </w:rPr>
            </w:pPr>
            <w:r>
              <w:rPr>
                <w:rFonts w:ascii="Times New Roman" w:cs="Times New Roman" w:eastAsia="Times New Roman" w:hAnsi="Times New Roman"/>
                <w:sz w:val="13"/>
                <w:szCs w:val="13"/>
                <w:b w:val="1"/>
                <w:bCs w:val="1"/>
                <w:color w:val="auto"/>
                <w:w w:val="99"/>
              </w:rPr>
              <w:t>ASSETS</w:t>
            </w:r>
          </w:p>
        </w:tc>
        <w:tc>
          <w:tcPr>
            <w:tcW w:w="110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79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CURRENT ASSETS</w:t>
            </w: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9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100" w:type="dxa"/>
            <w:vAlign w:val="bottom"/>
            <w:shd w:val="clear" w:color="auto" w:fill="CFF0FC"/>
          </w:tcPr>
          <w:p>
            <w:pPr>
              <w:jc w:val="right"/>
              <w:ind w:right="98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143,715</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133,859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90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Short-term investments</w:t>
            </w:r>
          </w:p>
        </w:tc>
        <w:tc>
          <w:tcPr>
            <w:tcW w:w="1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41,683</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44,537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9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Accounts receivable, less allowance for doubtful accounts of $1,478 and $1,392, respectively</w:t>
            </w:r>
          </w:p>
        </w:tc>
        <w:tc>
          <w:tcPr>
            <w:tcW w:w="110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28,301</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27,488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940" w:type="dxa"/>
            <w:vAlign w:val="bottom"/>
          </w:tcPr>
          <w:p>
            <w:pPr>
              <w:ind w:left="200"/>
              <w:spacing w:after="0"/>
              <w:rPr>
                <w:sz w:val="20"/>
                <w:szCs w:val="20"/>
                <w:color w:val="auto"/>
              </w:rPr>
            </w:pPr>
            <w:r>
              <w:rPr>
                <w:rFonts w:ascii="Times New Roman" w:cs="Times New Roman" w:eastAsia="Times New Roman" w:hAnsi="Times New Roman"/>
                <w:sz w:val="13"/>
                <w:szCs w:val="13"/>
                <w:color w:val="auto"/>
                <w:w w:val="95"/>
              </w:rPr>
              <w:t>Deferred costs</w:t>
            </w:r>
          </w:p>
        </w:tc>
        <w:tc>
          <w:tcPr>
            <w:tcW w:w="6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34,692</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34,502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9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Other current assets</w:t>
            </w:r>
          </w:p>
        </w:tc>
        <w:tc>
          <w:tcPr>
            <w:tcW w:w="1100" w:type="dxa"/>
            <w:vAlign w:val="bottom"/>
            <w:tcBorders>
              <w:bottom w:val="single" w:sz="8" w:color="auto"/>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8,858</w:t>
            </w:r>
          </w:p>
        </w:tc>
        <w:tc>
          <w:tcPr>
            <w:tcW w:w="280" w:type="dxa"/>
            <w:vAlign w:val="bottom"/>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9,229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90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Total current assets</w:t>
            </w:r>
          </w:p>
        </w:tc>
        <w:tc>
          <w:tcPr>
            <w:tcW w:w="1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257,249</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249,615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PROPERTY AND EQUIPMENT, less accumulated depreciation of $43,702 and $41,175, respectively</w:t>
            </w:r>
          </w:p>
        </w:tc>
        <w:tc>
          <w:tcPr>
            <w:tcW w:w="110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20,710</w:t>
            </w: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20,957</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79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1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15,234</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3"/>
        </w:trPr>
        <w:tc>
          <w:tcPr>
            <w:tcW w:w="9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GOODWILL</w:t>
            </w:r>
          </w:p>
        </w:tc>
        <w:tc>
          <w:tcPr>
            <w:tcW w:w="696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70,075</w:t>
            </w: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69,658</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79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INTANGIBLE ASSETS, net</w:t>
            </w:r>
          </w:p>
        </w:tc>
        <w:tc>
          <w:tcPr>
            <w:tcW w:w="1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21,572</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22,741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9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w w:val="98"/>
              </w:rPr>
              <w:t>OTHER ASSETS</w:t>
            </w:r>
          </w:p>
        </w:tc>
        <w:tc>
          <w:tcPr>
            <w:tcW w:w="696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940" w:type="dxa"/>
            <w:vAlign w:val="bottom"/>
          </w:tcPr>
          <w:p>
            <w:pPr>
              <w:ind w:left="200"/>
              <w:spacing w:after="0"/>
              <w:rPr>
                <w:sz w:val="20"/>
                <w:szCs w:val="20"/>
                <w:color w:val="auto"/>
              </w:rPr>
            </w:pPr>
            <w:r>
              <w:rPr>
                <w:rFonts w:ascii="Times New Roman" w:cs="Times New Roman" w:eastAsia="Times New Roman" w:hAnsi="Times New Roman"/>
                <w:sz w:val="13"/>
                <w:szCs w:val="13"/>
                <w:color w:val="auto"/>
                <w:w w:val="95"/>
              </w:rPr>
              <w:t>Deferred costs</w:t>
            </w:r>
          </w:p>
        </w:tc>
        <w:tc>
          <w:tcPr>
            <w:tcW w:w="6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11,199</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10,973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9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Deferred income tax asset</w:t>
            </w:r>
          </w:p>
        </w:tc>
        <w:tc>
          <w:tcPr>
            <w:tcW w:w="110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9,528</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10,456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94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3"/>
                <w:szCs w:val="13"/>
                <w:color w:val="auto"/>
              </w:rPr>
              <w:t>Other assets</w:t>
            </w:r>
          </w:p>
        </w:tc>
        <w:tc>
          <w:tcPr>
            <w:tcW w:w="6960" w:type="dxa"/>
            <w:vAlign w:val="bottom"/>
            <w:tcBorders>
              <w:bottom w:val="single" w:sz="8" w:color="CFF0FC"/>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1,630</w:t>
            </w:r>
          </w:p>
        </w:tc>
        <w:tc>
          <w:tcPr>
            <w:tcW w:w="2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1,723</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7900" w:type="dxa"/>
            <w:vAlign w:val="bottom"/>
            <w:tcBorders>
              <w:bottom w:val="single" w:sz="8" w:color="CFF0FC"/>
            </w:tcBorders>
            <w:gridSpan w:val="2"/>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Total assets</w:t>
            </w:r>
          </w:p>
        </w:tc>
        <w:tc>
          <w:tcPr>
            <w:tcW w:w="1100" w:type="dxa"/>
            <w:vAlign w:val="bottom"/>
            <w:tcBorders>
              <w:bottom w:val="single" w:sz="8" w:color="auto"/>
            </w:tcBorders>
            <w:shd w:val="clear" w:color="auto" w:fill="CFF0FC"/>
          </w:tcPr>
          <w:p>
            <w:pPr>
              <w:jc w:val="right"/>
              <w:ind w:right="98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407,197</w:t>
            </w:r>
          </w:p>
        </w:tc>
        <w:tc>
          <w:tcPr>
            <w:tcW w:w="28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386,123</w:t>
            </w: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960" w:type="dxa"/>
            <w:vAlign w:val="bottom"/>
            <w:vMerge w:val="restart"/>
          </w:tcPr>
          <w:p>
            <w:pPr>
              <w:jc w:val="center"/>
              <w:ind w:right="1052"/>
              <w:spacing w:after="0"/>
              <w:rPr>
                <w:sz w:val="20"/>
                <w:szCs w:val="20"/>
                <w:color w:val="auto"/>
              </w:rPr>
            </w:pPr>
            <w:r>
              <w:rPr>
                <w:rFonts w:ascii="Times New Roman" w:cs="Times New Roman" w:eastAsia="Times New Roman" w:hAnsi="Times New Roman"/>
                <w:sz w:val="13"/>
                <w:szCs w:val="13"/>
                <w:b w:val="1"/>
                <w:bCs w:val="1"/>
                <w:color w:val="auto"/>
                <w:w w:val="97"/>
              </w:rPr>
              <w:t>LIABILITIES AND STOCKHOLDERS’ EQUITY</w:t>
            </w: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940" w:type="dxa"/>
            <w:vAlign w:val="bottom"/>
          </w:tcPr>
          <w:p>
            <w:pPr>
              <w:spacing w:after="0"/>
              <w:rPr>
                <w:sz w:val="12"/>
                <w:szCs w:val="12"/>
                <w:color w:val="auto"/>
              </w:rPr>
            </w:pPr>
          </w:p>
        </w:tc>
        <w:tc>
          <w:tcPr>
            <w:tcW w:w="696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CURRENT LIABILITIES</w:t>
            </w:r>
          </w:p>
        </w:tc>
        <w:tc>
          <w:tcPr>
            <w:tcW w:w="11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790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Accounts payable</w:t>
            </w:r>
          </w:p>
        </w:tc>
        <w:tc>
          <w:tcPr>
            <w:tcW w:w="1100" w:type="dxa"/>
            <w:vAlign w:val="bottom"/>
          </w:tcPr>
          <w:p>
            <w:pPr>
              <w:jc w:val="right"/>
              <w:ind w:right="98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4,391</w:t>
            </w:r>
          </w:p>
        </w:tc>
        <w:tc>
          <w:tcPr>
            <w:tcW w:w="280" w:type="dxa"/>
            <w:vAlign w:val="bottom"/>
          </w:tcPr>
          <w:p>
            <w:pPr>
              <w:spacing w:after="0"/>
              <w:rPr>
                <w:sz w:val="14"/>
                <w:szCs w:val="14"/>
                <w:color w:val="auto"/>
              </w:rPr>
            </w:pPr>
          </w:p>
        </w:tc>
        <w:tc>
          <w:tcPr>
            <w:tcW w:w="26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4,440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9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Accrued compensation</w:t>
            </w:r>
          </w:p>
        </w:tc>
        <w:tc>
          <w:tcPr>
            <w:tcW w:w="110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11,974</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20,415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90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Accrued expenses</w:t>
            </w:r>
          </w:p>
        </w:tc>
        <w:tc>
          <w:tcPr>
            <w:tcW w:w="1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4,619</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9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Deferred revenue</w:t>
            </w:r>
          </w:p>
        </w:tc>
        <w:tc>
          <w:tcPr>
            <w:tcW w:w="110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28,889</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25,328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9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Deferred rent</w:t>
            </w:r>
          </w:p>
        </w:tc>
        <w:tc>
          <w:tcPr>
            <w:tcW w:w="6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9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110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3,509</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790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1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53,382</w:t>
            </w:r>
          </w:p>
        </w:tc>
        <w:tc>
          <w:tcPr>
            <w:tcW w:w="2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56,522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OTHER LIABILITIES</w:t>
            </w:r>
          </w:p>
        </w:tc>
        <w:tc>
          <w:tcPr>
            <w:tcW w:w="11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790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Deferred revenue</w:t>
            </w:r>
          </w:p>
        </w:tc>
        <w:tc>
          <w:tcPr>
            <w:tcW w:w="1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2,649</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Deferred rent</w:t>
            </w:r>
          </w:p>
        </w:tc>
        <w:tc>
          <w:tcPr>
            <w:tcW w:w="696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5,371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90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1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17,723</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1"/>
        </w:trPr>
        <w:tc>
          <w:tcPr>
            <w:tcW w:w="79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Deferred income tax liability</w:t>
            </w:r>
          </w:p>
        </w:tc>
        <w:tc>
          <w:tcPr>
            <w:tcW w:w="110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1,315</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1,376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900" w:type="dxa"/>
            <w:vAlign w:val="bottom"/>
            <w:tcBorders>
              <w:bottom w:val="single" w:sz="8" w:color="CFF0FC"/>
            </w:tcBorders>
            <w:gridSpan w:val="2"/>
          </w:tcPr>
          <w:p>
            <w:pPr>
              <w:ind w:left="20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1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1,424</w:t>
            </w:r>
          </w:p>
        </w:tc>
        <w:tc>
          <w:tcPr>
            <w:tcW w:w="2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1,368</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90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Total liabilities</w:t>
            </w:r>
          </w:p>
        </w:tc>
        <w:tc>
          <w:tcPr>
            <w:tcW w:w="1100" w:type="dxa"/>
            <w:vAlign w:val="bottom"/>
            <w:tcBorders>
              <w:bottom w:val="single" w:sz="8" w:color="auto"/>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76,493</w:t>
            </w:r>
          </w:p>
        </w:tc>
        <w:tc>
          <w:tcPr>
            <w:tcW w:w="280" w:type="dxa"/>
            <w:vAlign w:val="bottom"/>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67,149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9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COMMITMENTS and CONTINGENCIES</w:t>
            </w:r>
          </w:p>
        </w:tc>
        <w:tc>
          <w:tcPr>
            <w:tcW w:w="1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STOCKHOLDERS’ EQUITY</w:t>
            </w:r>
          </w:p>
        </w:tc>
        <w:tc>
          <w:tcPr>
            <w:tcW w:w="11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790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Preferred stock, $0.001 par value; 5,000,000 shares authorized; 0 shares issued and outstanding</w:t>
            </w:r>
          </w:p>
        </w:tc>
        <w:tc>
          <w:tcPr>
            <w:tcW w:w="110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0"/>
        </w:trPr>
        <w:tc>
          <w:tcPr>
            <w:tcW w:w="79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Common stock, $0.001 par value; 55,000,000 shares authorized; 17,913,306 and 17,757,628 shares issued; and 17,467,682 and 17,345,736</w:t>
            </w:r>
          </w:p>
        </w:tc>
        <w:tc>
          <w:tcPr>
            <w:tcW w:w="110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9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outstanding, respectively</w:t>
            </w:r>
          </w:p>
        </w:tc>
        <w:tc>
          <w:tcPr>
            <w:tcW w:w="110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90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Treasury stock, at cost; 445,624 and 411,892 shares, respectively</w:t>
            </w:r>
          </w:p>
        </w:tc>
        <w:tc>
          <w:tcPr>
            <w:tcW w:w="110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(28,645)</w:t>
            </w:r>
          </w:p>
        </w:tc>
        <w:tc>
          <w:tcPr>
            <w:tcW w:w="260" w:type="dxa"/>
            <w:vAlign w:val="bottom"/>
          </w:tcPr>
          <w:p>
            <w:pPr>
              <w:spacing w:after="0"/>
              <w:rPr>
                <w:sz w:val="14"/>
                <w:szCs w:val="14"/>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(25,679)</w:t>
            </w:r>
          </w:p>
        </w:tc>
        <w:tc>
          <w:tcPr>
            <w:tcW w:w="0" w:type="dxa"/>
            <w:vAlign w:val="bottom"/>
          </w:tcPr>
          <w:p>
            <w:pPr>
              <w:spacing w:after="0"/>
              <w:rPr>
                <w:sz w:val="1"/>
                <w:szCs w:val="1"/>
                <w:color w:val="auto"/>
              </w:rPr>
            </w:pPr>
          </w:p>
        </w:tc>
      </w:tr>
      <w:tr>
        <w:trPr>
          <w:trHeight w:val="171"/>
        </w:trPr>
        <w:tc>
          <w:tcPr>
            <w:tcW w:w="79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10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339,730</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332,592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90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Retained earnings</w:t>
            </w:r>
          </w:p>
        </w:tc>
        <w:tc>
          <w:tcPr>
            <w:tcW w:w="1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22,074</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15,261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9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1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(2,473)</w:t>
            </w:r>
          </w:p>
        </w:tc>
        <w:tc>
          <w:tcPr>
            <w:tcW w:w="2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(3,218)</w:t>
            </w:r>
          </w:p>
        </w:tc>
        <w:tc>
          <w:tcPr>
            <w:tcW w:w="0" w:type="dxa"/>
            <w:vAlign w:val="bottom"/>
          </w:tcPr>
          <w:p>
            <w:pPr>
              <w:spacing w:after="0"/>
              <w:rPr>
                <w:sz w:val="1"/>
                <w:szCs w:val="1"/>
                <w:color w:val="auto"/>
              </w:rPr>
            </w:pPr>
          </w:p>
        </w:tc>
      </w:tr>
      <w:tr>
        <w:trPr>
          <w:trHeight w:val="158"/>
        </w:trPr>
        <w:tc>
          <w:tcPr>
            <w:tcW w:w="7900" w:type="dxa"/>
            <w:vAlign w:val="bottom"/>
            <w:tcBorders>
              <w:bottom w:val="single" w:sz="8" w:color="CFF0FC"/>
            </w:tcBorders>
            <w:gridSpan w:val="2"/>
          </w:tcPr>
          <w:p>
            <w:pPr>
              <w:ind w:left="380"/>
              <w:spacing w:after="0"/>
              <w:rPr>
                <w:sz w:val="20"/>
                <w:szCs w:val="20"/>
                <w:color w:val="auto"/>
              </w:rPr>
            </w:pPr>
            <w:r>
              <w:rPr>
                <w:rFonts w:ascii="Times New Roman" w:cs="Times New Roman" w:eastAsia="Times New Roman" w:hAnsi="Times New Roman"/>
                <w:sz w:val="13"/>
                <w:szCs w:val="13"/>
                <w:color w:val="auto"/>
              </w:rPr>
              <w:t>Total stockholders’ equity</w:t>
            </w:r>
          </w:p>
        </w:tc>
        <w:tc>
          <w:tcPr>
            <w:tcW w:w="110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330,704</w:t>
            </w:r>
          </w:p>
        </w:tc>
        <w:tc>
          <w:tcPr>
            <w:tcW w:w="28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318,974</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900" w:type="dxa"/>
            <w:vAlign w:val="bottom"/>
            <w:tcBorders>
              <w:bottom w:val="single" w:sz="8" w:color="CFF0FC"/>
            </w:tcBorders>
            <w:gridSpan w:val="2"/>
            <w:shd w:val="clear" w:color="auto" w:fill="CFF0FC"/>
          </w:tcPr>
          <w:p>
            <w:pPr>
              <w:ind w:left="580"/>
              <w:spacing w:after="0"/>
              <w:rPr>
                <w:sz w:val="20"/>
                <w:szCs w:val="20"/>
                <w:color w:val="auto"/>
              </w:rPr>
            </w:pPr>
            <w:r>
              <w:rPr>
                <w:rFonts w:ascii="Times New Roman" w:cs="Times New Roman" w:eastAsia="Times New Roman" w:hAnsi="Times New Roman"/>
                <w:sz w:val="13"/>
                <w:szCs w:val="13"/>
                <w:color w:val="auto"/>
              </w:rPr>
              <w:t>Total liabilities and stockholders’ equity</w:t>
            </w:r>
          </w:p>
        </w:tc>
        <w:tc>
          <w:tcPr>
            <w:tcW w:w="1100" w:type="dxa"/>
            <w:vAlign w:val="bottom"/>
            <w:tcBorders>
              <w:bottom w:val="single" w:sz="8" w:color="auto"/>
            </w:tcBorders>
            <w:shd w:val="clear" w:color="auto" w:fill="CFF0FC"/>
          </w:tcPr>
          <w:p>
            <w:pPr>
              <w:jc w:val="right"/>
              <w:ind w:right="98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407,197</w:t>
            </w:r>
          </w:p>
        </w:tc>
        <w:tc>
          <w:tcPr>
            <w:tcW w:w="28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386,123</w:t>
            </w: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these condensed consolidated financial statements.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55245</wp:posOffset>
            </wp:positionV>
            <wp:extent cx="731520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15200" cy="38735"/>
                    </a:xfrm>
                    <a:prstGeom prst="rect">
                      <a:avLst/>
                    </a:prstGeom>
                    <a:noFill/>
                  </pic:spPr>
                </pic:pic>
              </a:graphicData>
            </a:graphic>
          </wp:anchor>
        </w:drawing>
      </w:r>
    </w:p>
    <w:p>
      <w:pPr>
        <w:sectPr>
          <w:pgSz w:w="11900" w:h="16838" w:orient="portrait"/>
          <w:cols w:equalWidth="0" w:num="1">
            <w:col w:w="11460"/>
          </w:cols>
          <w:pgMar w:left="220" w:top="302" w:right="21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SPS COMMERCE, INC. AND SUBSIDIARIES</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COMPREHENSIVE INCOME</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(Unaudited; in thousands, except per share amounts)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340" w:type="dxa"/>
            <w:vAlign w:val="bottom"/>
            <w:gridSpan w:val="3"/>
          </w:tcPr>
          <w:p>
            <w:pPr>
              <w:jc w:val="right"/>
              <w:ind w:right="9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10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520" w:type="dxa"/>
            <w:vAlign w:val="bottom"/>
            <w:tcBorders>
              <w:bottom w:val="single" w:sz="8" w:color="CFF0FC"/>
            </w:tcBorders>
          </w:tcPr>
          <w:p>
            <w:pPr>
              <w:spacing w:after="0"/>
              <w:rPr>
                <w:sz w:val="10"/>
                <w:szCs w:val="10"/>
                <w:color w:val="auto"/>
              </w:rPr>
            </w:pPr>
          </w:p>
        </w:tc>
        <w:tc>
          <w:tcPr>
            <w:tcW w:w="2360" w:type="dxa"/>
            <w:vAlign w:val="bottom"/>
            <w:tcBorders>
              <w:bottom w:val="single" w:sz="8" w:color="CFF0FC"/>
            </w:tcBorders>
          </w:tcPr>
          <w:p>
            <w:pPr>
              <w:spacing w:after="0"/>
              <w:rPr>
                <w:sz w:val="10"/>
                <w:szCs w:val="10"/>
                <w:color w:val="auto"/>
              </w:rPr>
            </w:pPr>
          </w:p>
        </w:tc>
        <w:tc>
          <w:tcPr>
            <w:tcW w:w="1040" w:type="dxa"/>
            <w:vAlign w:val="bottom"/>
            <w:tcBorders>
              <w:bottom w:val="single" w:sz="8" w:color="auto"/>
            </w:tcBorders>
          </w:tcPr>
          <w:p>
            <w:pPr>
              <w:jc w:val="right"/>
              <w:ind w:right="84"/>
              <w:spacing w:after="0" w:line="118" w:lineRule="exact"/>
              <w:rPr>
                <w:sz w:val="20"/>
                <w:szCs w:val="20"/>
                <w:color w:val="auto"/>
              </w:rPr>
            </w:pPr>
            <w:r>
              <w:rPr>
                <w:rFonts w:ascii="Times New Roman" w:cs="Times New Roman" w:eastAsia="Times New Roman" w:hAnsi="Times New Roman"/>
                <w:sz w:val="11"/>
                <w:szCs w:val="11"/>
                <w:b w:val="1"/>
                <w:bCs w:val="1"/>
                <w:color w:val="auto"/>
              </w:rPr>
              <w:t>2019</w:t>
            </w:r>
          </w:p>
        </w:tc>
        <w:tc>
          <w:tcPr>
            <w:tcW w:w="540" w:type="dxa"/>
            <w:vAlign w:val="bottom"/>
            <w:tcBorders>
              <w:bottom w:val="single" w:sz="8" w:color="auto"/>
            </w:tcBorders>
          </w:tcPr>
          <w:p>
            <w:pPr>
              <w:spacing w:after="0"/>
              <w:rPr>
                <w:sz w:val="10"/>
                <w:szCs w:val="10"/>
                <w:color w:val="auto"/>
              </w:rPr>
            </w:pPr>
          </w:p>
        </w:tc>
        <w:tc>
          <w:tcPr>
            <w:tcW w:w="280" w:type="dxa"/>
            <w:vAlign w:val="bottom"/>
            <w:tcBorders>
              <w:bottom w:val="single" w:sz="8" w:color="CFF0FC"/>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610"/>
              <w:spacing w:after="0" w:line="118" w:lineRule="exact"/>
              <w:rPr>
                <w:sz w:val="20"/>
                <w:szCs w:val="20"/>
                <w:color w:val="auto"/>
              </w:rPr>
            </w:pPr>
            <w:r>
              <w:rPr>
                <w:rFonts w:ascii="Times New Roman" w:cs="Times New Roman" w:eastAsia="Times New Roman" w:hAnsi="Times New Roman"/>
                <w:sz w:val="11"/>
                <w:szCs w:val="11"/>
                <w:b w:val="1"/>
                <w:bCs w:val="1"/>
                <w:color w:val="auto"/>
              </w:rPr>
              <w:t>2018</w:t>
            </w:r>
          </w:p>
        </w:tc>
        <w:tc>
          <w:tcPr>
            <w:tcW w:w="120" w:type="dxa"/>
            <w:vAlign w:val="bottom"/>
            <w:tcBorders>
              <w:bottom w:val="single" w:sz="8" w:color="CFF0FC"/>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Revenues</w:t>
            </w:r>
          </w:p>
        </w:tc>
        <w:tc>
          <w:tcPr>
            <w:tcW w:w="3400" w:type="dxa"/>
            <w:vAlign w:val="bottom"/>
            <w:gridSpan w:val="2"/>
            <w:shd w:val="clear" w:color="auto" w:fill="CFF0FC"/>
          </w:tcPr>
          <w:p>
            <w:pPr>
              <w:jc w:val="right"/>
              <w:ind w:right="924"/>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66,934</w:t>
            </w:r>
          </w:p>
        </w:tc>
        <w:tc>
          <w:tcPr>
            <w:tcW w:w="280" w:type="dxa"/>
            <w:vAlign w:val="bottom"/>
            <w:shd w:val="clear" w:color="auto" w:fill="CFF0FC"/>
          </w:tcPr>
          <w:p>
            <w:pPr>
              <w:spacing w:after="0"/>
              <w:rPr>
                <w:sz w:val="15"/>
                <w:szCs w:val="15"/>
                <w:color w:val="auto"/>
              </w:rPr>
            </w:pPr>
          </w:p>
        </w:tc>
        <w:tc>
          <w:tcPr>
            <w:tcW w:w="52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59,092</w:t>
            </w:r>
          </w:p>
        </w:tc>
        <w:tc>
          <w:tcPr>
            <w:tcW w:w="12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5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color w:val="auto"/>
              </w:rPr>
              <w:t>Cost of revenues</w:t>
            </w:r>
          </w:p>
        </w:tc>
        <w:tc>
          <w:tcPr>
            <w:tcW w:w="236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21,367</w:t>
            </w:r>
          </w:p>
        </w:tc>
        <w:tc>
          <w:tcPr>
            <w:tcW w:w="280" w:type="dxa"/>
            <w:vAlign w:val="bottom"/>
            <w:tcBorders>
              <w:bottom w:val="single" w:sz="8" w:color="CFF0FC"/>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19,758</w:t>
            </w:r>
          </w:p>
        </w:tc>
        <w:tc>
          <w:tcPr>
            <w:tcW w:w="120" w:type="dxa"/>
            <w:vAlign w:val="bottom"/>
            <w:tcBorders>
              <w:bottom w:val="single" w:sz="8" w:color="CFF0F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5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Gross profit</w:t>
            </w:r>
          </w:p>
        </w:tc>
        <w:tc>
          <w:tcPr>
            <w:tcW w:w="2360" w:type="dxa"/>
            <w:vAlign w:val="bottom"/>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45,567</w:t>
            </w:r>
          </w:p>
        </w:tc>
        <w:tc>
          <w:tcPr>
            <w:tcW w:w="280" w:type="dxa"/>
            <w:vAlign w:val="bottom"/>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39,334</w:t>
            </w: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2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5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Sales and marketing</w:t>
            </w:r>
          </w:p>
        </w:tc>
        <w:tc>
          <w:tcPr>
            <w:tcW w:w="23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17,922</w:t>
            </w:r>
          </w:p>
        </w:tc>
        <w:tc>
          <w:tcPr>
            <w:tcW w:w="2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18,647</w:t>
            </w:r>
          </w:p>
        </w:tc>
        <w:tc>
          <w:tcPr>
            <w:tcW w:w="12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6,192</w:t>
            </w: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5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3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12,770</w:t>
            </w:r>
          </w:p>
        </w:tc>
        <w:tc>
          <w:tcPr>
            <w:tcW w:w="2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10,130</w:t>
            </w:r>
          </w:p>
        </w:tc>
        <w:tc>
          <w:tcPr>
            <w:tcW w:w="12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520" w:type="dxa"/>
            <w:vAlign w:val="bottom"/>
            <w:tcBorders>
              <w:bottom w:val="single" w:sz="8" w:color="CFF0FC"/>
            </w:tcBorders>
          </w:tcPr>
          <w:p>
            <w:pPr>
              <w:ind w:left="18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236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1,304</w:t>
            </w:r>
          </w:p>
        </w:tc>
        <w:tc>
          <w:tcPr>
            <w:tcW w:w="280" w:type="dxa"/>
            <w:vAlign w:val="bottom"/>
            <w:tcBorders>
              <w:bottom w:val="single" w:sz="8" w:color="CFF0FC"/>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1,125</w:t>
            </w:r>
          </w:p>
        </w:tc>
        <w:tc>
          <w:tcPr>
            <w:tcW w:w="120" w:type="dxa"/>
            <w:vAlign w:val="bottom"/>
            <w:tcBorders>
              <w:bottom w:val="single" w:sz="8" w:color="CFF0F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5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360" w:type="dxa"/>
            <w:vAlign w:val="bottom"/>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38,188</w:t>
            </w:r>
          </w:p>
        </w:tc>
        <w:tc>
          <w:tcPr>
            <w:tcW w:w="280" w:type="dxa"/>
            <w:vAlign w:val="bottom"/>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35,034</w:t>
            </w: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Income from operations</w:t>
            </w:r>
          </w:p>
        </w:tc>
        <w:tc>
          <w:tcPr>
            <w:tcW w:w="2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7,379</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4,300</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income (expense)</w:t>
            </w:r>
          </w:p>
        </w:tc>
        <w:tc>
          <w:tcPr>
            <w:tcW w:w="23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income, net</w:t>
            </w:r>
          </w:p>
        </w:tc>
        <w:tc>
          <w:tcPr>
            <w:tcW w:w="2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w:t>
            </w: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5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Other expense, net</w:t>
            </w:r>
          </w:p>
        </w:tc>
        <w:tc>
          <w:tcPr>
            <w:tcW w:w="23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(47)</w:t>
            </w:r>
          </w:p>
        </w:tc>
        <w:tc>
          <w:tcPr>
            <w:tcW w:w="5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 in earn-out liability</w:t>
            </w:r>
          </w:p>
        </w:tc>
        <w:tc>
          <w:tcPr>
            <w:tcW w:w="2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(56)</w:t>
            </w:r>
          </w:p>
        </w:tc>
        <w:tc>
          <w:tcPr>
            <w:tcW w:w="52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520" w:type="dxa"/>
            <w:vAlign w:val="bottom"/>
            <w:tcBorders>
              <w:top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Total other income, net</w:t>
            </w:r>
          </w:p>
        </w:tc>
        <w:tc>
          <w:tcPr>
            <w:tcW w:w="2360" w:type="dxa"/>
            <w:vAlign w:val="bottom"/>
            <w:tcBorders>
              <w:top w:val="single" w:sz="8" w:color="CFF0FC"/>
            </w:tcBorders>
            <w:shd w:val="clear" w:color="auto" w:fill="CFF0FC"/>
          </w:tcPr>
          <w:p>
            <w:pPr>
              <w:spacing w:after="0"/>
              <w:rPr>
                <w:sz w:val="14"/>
                <w:szCs w:val="14"/>
                <w:color w:val="auto"/>
              </w:rPr>
            </w:pPr>
          </w:p>
        </w:tc>
        <w:tc>
          <w:tcPr>
            <w:tcW w:w="1040" w:type="dxa"/>
            <w:vAlign w:val="bottom"/>
            <w:tcBorders>
              <w:top w:val="single" w:sz="8" w:color="auto"/>
              <w:bottom w:val="single" w:sz="8" w:color="auto"/>
            </w:tcBorders>
            <w:shd w:val="clear" w:color="auto" w:fill="CFF0FC"/>
          </w:tcPr>
          <w:p>
            <w:pPr>
              <w:spacing w:after="0"/>
              <w:rPr>
                <w:sz w:val="14"/>
                <w:szCs w:val="14"/>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280" w:type="dxa"/>
            <w:vAlign w:val="bottom"/>
            <w:tcBorders>
              <w:top w:val="single" w:sz="8" w:color="CFF0FC"/>
            </w:tcBorders>
            <w:shd w:val="clear" w:color="auto" w:fill="CFF0FC"/>
          </w:tcPr>
          <w:p>
            <w:pPr>
              <w:spacing w:after="0"/>
              <w:rPr>
                <w:sz w:val="14"/>
                <w:szCs w:val="14"/>
                <w:color w:val="auto"/>
              </w:rPr>
            </w:pPr>
          </w:p>
        </w:tc>
        <w:tc>
          <w:tcPr>
            <w:tcW w:w="520" w:type="dxa"/>
            <w:vAlign w:val="bottom"/>
            <w:tcBorders>
              <w:top w:val="single" w:sz="8" w:color="auto"/>
              <w:bottom w:val="single" w:sz="8" w:color="auto"/>
            </w:tcBorders>
            <w:shd w:val="clear" w:color="auto" w:fill="CFF0FC"/>
          </w:tcPr>
          <w:p>
            <w:pPr>
              <w:spacing w:after="0"/>
              <w:rPr>
                <w:sz w:val="14"/>
                <w:szCs w:val="14"/>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20" w:type="dxa"/>
            <w:vAlign w:val="bottom"/>
            <w:tcBorders>
              <w:top w:val="single" w:sz="8" w:color="CFF0FC"/>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2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7,853</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4,560</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5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Income tax expense</w:t>
            </w:r>
          </w:p>
        </w:tc>
        <w:tc>
          <w:tcPr>
            <w:tcW w:w="2360" w:type="dxa"/>
            <w:vAlign w:val="bottom"/>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280" w:type="dxa"/>
            <w:vAlign w:val="bottom"/>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1,306</w:t>
            </w:r>
          </w:p>
        </w:tc>
        <w:tc>
          <w:tcPr>
            <w:tcW w:w="12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w:t>
            </w:r>
          </w:p>
        </w:tc>
        <w:tc>
          <w:tcPr>
            <w:tcW w:w="2360" w:type="dxa"/>
            <w:vAlign w:val="bottom"/>
          </w:tcPr>
          <w:p>
            <w:pPr>
              <w:spacing w:after="0"/>
              <w:rPr>
                <w:sz w:val="14"/>
                <w:szCs w:val="14"/>
                <w:color w:val="auto"/>
              </w:rPr>
            </w:pPr>
          </w:p>
        </w:tc>
        <w:tc>
          <w:tcPr>
            <w:tcW w:w="1040" w:type="dxa"/>
            <w:vAlign w:val="bottom"/>
          </w:tcPr>
          <w:p>
            <w:pPr>
              <w:jc w:val="right"/>
              <w:ind w:right="924"/>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6,813</w:t>
            </w:r>
          </w:p>
        </w:tc>
        <w:tc>
          <w:tcPr>
            <w:tcW w:w="280" w:type="dxa"/>
            <w:vAlign w:val="bottom"/>
          </w:tcPr>
          <w:p>
            <w:pPr>
              <w:spacing w:after="0"/>
              <w:rPr>
                <w:sz w:val="14"/>
                <w:szCs w:val="14"/>
                <w:color w:val="auto"/>
              </w:rPr>
            </w:pPr>
          </w:p>
        </w:tc>
        <w:tc>
          <w:tcPr>
            <w:tcW w:w="520" w:type="dxa"/>
            <w:vAlign w:val="bottom"/>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3,254</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5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comprehensive income (expense)</w:t>
            </w:r>
          </w:p>
        </w:tc>
        <w:tc>
          <w:tcPr>
            <w:tcW w:w="2360" w:type="dxa"/>
            <w:vAlign w:val="bottom"/>
            <w:tcBorders>
              <w:top w:val="single" w:sz="8" w:color="CFF0FC"/>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520" w:type="dxa"/>
            <w:vAlign w:val="bottom"/>
            <w:tcBorders>
              <w:top w:val="single" w:sz="8" w:color="auto"/>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2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(1,055)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5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Unrealized gain on investments, net of tax of $30 and $13</w:t>
            </w:r>
          </w:p>
        </w:tc>
        <w:tc>
          <w:tcPr>
            <w:tcW w:w="23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2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Reclassification of unrealized gain on investments into earnings, net of tax of ($31) and ($8)</w:t>
            </w:r>
          </w:p>
        </w:tc>
        <w:tc>
          <w:tcPr>
            <w:tcW w:w="2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(93)</w:t>
            </w:r>
          </w:p>
        </w:tc>
        <w:tc>
          <w:tcPr>
            <w:tcW w:w="520" w:type="dxa"/>
            <w:vAlign w:val="bottom"/>
          </w:tcPr>
          <w:p>
            <w:pPr>
              <w:spacing w:after="0"/>
              <w:rPr>
                <w:sz w:val="15"/>
                <w:szCs w:val="15"/>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520" w:type="dxa"/>
            <w:vAlign w:val="bottom"/>
            <w:tcBorders>
              <w:top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Total other comprehensive income (expense)</w:t>
            </w:r>
          </w:p>
        </w:tc>
        <w:tc>
          <w:tcPr>
            <w:tcW w:w="2360" w:type="dxa"/>
            <w:vAlign w:val="bottom"/>
            <w:tcBorders>
              <w:top w:val="single" w:sz="8" w:color="CFF0FC"/>
            </w:tcBorders>
            <w:shd w:val="clear" w:color="auto" w:fill="CFF0FC"/>
          </w:tcPr>
          <w:p>
            <w:pPr>
              <w:spacing w:after="0"/>
              <w:rPr>
                <w:sz w:val="14"/>
                <w:szCs w:val="14"/>
                <w:color w:val="auto"/>
              </w:rPr>
            </w:pPr>
          </w:p>
        </w:tc>
        <w:tc>
          <w:tcPr>
            <w:tcW w:w="1040" w:type="dxa"/>
            <w:vAlign w:val="bottom"/>
            <w:tcBorders>
              <w:top w:val="single" w:sz="8" w:color="auto"/>
              <w:bottom w:val="single" w:sz="8" w:color="auto"/>
            </w:tcBorders>
            <w:shd w:val="clear" w:color="auto" w:fill="CFF0FC"/>
          </w:tcPr>
          <w:p>
            <w:pPr>
              <w:spacing w:after="0"/>
              <w:rPr>
                <w:sz w:val="14"/>
                <w:szCs w:val="14"/>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280" w:type="dxa"/>
            <w:vAlign w:val="bottom"/>
            <w:tcBorders>
              <w:top w:val="single" w:sz="8" w:color="CFF0FC"/>
            </w:tcBorders>
            <w:shd w:val="clear" w:color="auto" w:fill="CFF0FC"/>
          </w:tcPr>
          <w:p>
            <w:pPr>
              <w:spacing w:after="0"/>
              <w:rPr>
                <w:sz w:val="14"/>
                <w:szCs w:val="14"/>
                <w:color w:val="auto"/>
              </w:rPr>
            </w:pPr>
          </w:p>
        </w:tc>
        <w:tc>
          <w:tcPr>
            <w:tcW w:w="520" w:type="dxa"/>
            <w:vAlign w:val="bottom"/>
            <w:tcBorders>
              <w:top w:val="single" w:sz="8" w:color="auto"/>
              <w:bottom w:val="single" w:sz="8" w:color="auto"/>
            </w:tcBorders>
            <w:shd w:val="clear" w:color="auto" w:fill="CFF0FC"/>
          </w:tcPr>
          <w:p>
            <w:pPr>
              <w:spacing w:after="0"/>
              <w:rPr>
                <w:sz w:val="14"/>
                <w:szCs w:val="14"/>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120" w:type="dxa"/>
            <w:vAlign w:val="bottom"/>
            <w:tcBorders>
              <w:top w:val="single" w:sz="8" w:color="CFF0FC"/>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Comprehensive income</w:t>
            </w:r>
          </w:p>
        </w:tc>
        <w:tc>
          <w:tcPr>
            <w:tcW w:w="2360" w:type="dxa"/>
            <w:vAlign w:val="bottom"/>
          </w:tcPr>
          <w:p>
            <w:pPr>
              <w:spacing w:after="0"/>
              <w:rPr>
                <w:sz w:val="18"/>
                <w:szCs w:val="18"/>
                <w:color w:val="auto"/>
              </w:rPr>
            </w:pPr>
          </w:p>
        </w:tc>
        <w:tc>
          <w:tcPr>
            <w:tcW w:w="1040" w:type="dxa"/>
            <w:vAlign w:val="bottom"/>
            <w:tcBorders>
              <w:bottom w:val="single" w:sz="8" w:color="auto"/>
            </w:tcBorders>
          </w:tcPr>
          <w:p>
            <w:pPr>
              <w:jc w:val="right"/>
              <w:ind w:right="924"/>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7,550</w:t>
            </w:r>
          </w:p>
        </w:tc>
        <w:tc>
          <w:tcPr>
            <w:tcW w:w="280" w:type="dxa"/>
            <w:vAlign w:val="bottom"/>
          </w:tcPr>
          <w:p>
            <w:pPr>
              <w:spacing w:after="0"/>
              <w:rPr>
                <w:sz w:val="18"/>
                <w:szCs w:val="18"/>
                <w:color w:val="auto"/>
              </w:rPr>
            </w:pPr>
          </w:p>
        </w:tc>
        <w:tc>
          <w:tcPr>
            <w:tcW w:w="5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5520" w:type="dxa"/>
            <w:vAlign w:val="bottom"/>
            <w:tcBorders>
              <w:top w:val="single" w:sz="8" w:color="CFF0FC"/>
            </w:tcBorders>
            <w:shd w:val="clear" w:color="auto" w:fill="CFF0FC"/>
          </w:tcPr>
          <w:p>
            <w:pPr>
              <w:spacing w:after="0"/>
              <w:rPr>
                <w:sz w:val="13"/>
                <w:szCs w:val="13"/>
                <w:color w:val="auto"/>
              </w:rPr>
            </w:pPr>
          </w:p>
        </w:tc>
        <w:tc>
          <w:tcPr>
            <w:tcW w:w="2360" w:type="dxa"/>
            <w:vAlign w:val="bottom"/>
            <w:tcBorders>
              <w:top w:val="single" w:sz="8" w:color="CFF0FC"/>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520" w:type="dxa"/>
            <w:vAlign w:val="bottom"/>
            <w:tcBorders>
              <w:top w:val="single" w:sz="8" w:color="auto"/>
            </w:tcBorders>
            <w:shd w:val="clear" w:color="auto" w:fill="CFF0FC"/>
          </w:tcPr>
          <w:p>
            <w:pPr>
              <w:spacing w:after="0"/>
              <w:rPr>
                <w:sz w:val="13"/>
                <w:szCs w:val="13"/>
                <w:color w:val="auto"/>
              </w:rPr>
            </w:pPr>
          </w:p>
        </w:tc>
        <w:tc>
          <w:tcPr>
            <w:tcW w:w="106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4"/>
                <w:szCs w:val="14"/>
                <w:color w:val="auto"/>
              </w:rPr>
              <w:t>Net income per share</w:t>
            </w:r>
          </w:p>
        </w:tc>
        <w:tc>
          <w:tcPr>
            <w:tcW w:w="2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5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Basic</w:t>
            </w:r>
          </w:p>
        </w:tc>
        <w:tc>
          <w:tcPr>
            <w:tcW w:w="3400" w:type="dxa"/>
            <w:vAlign w:val="bottom"/>
            <w:gridSpan w:val="2"/>
            <w:shd w:val="clear" w:color="auto" w:fill="CFF0FC"/>
          </w:tcPr>
          <w:p>
            <w:pPr>
              <w:jc w:val="right"/>
              <w:ind w:right="924"/>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0.39</w:t>
            </w:r>
          </w:p>
        </w:tc>
        <w:tc>
          <w:tcPr>
            <w:tcW w:w="280" w:type="dxa"/>
            <w:vAlign w:val="bottom"/>
            <w:shd w:val="clear" w:color="auto" w:fill="CFF0FC"/>
          </w:tcPr>
          <w:p>
            <w:pPr>
              <w:spacing w:after="0"/>
              <w:rPr>
                <w:sz w:val="15"/>
                <w:szCs w:val="15"/>
                <w:color w:val="auto"/>
              </w:rPr>
            </w:pPr>
          </w:p>
        </w:tc>
        <w:tc>
          <w:tcPr>
            <w:tcW w:w="52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0.19</w:t>
            </w:r>
          </w:p>
        </w:tc>
        <w:tc>
          <w:tcPr>
            <w:tcW w:w="12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Diluted</w:t>
            </w:r>
          </w:p>
        </w:tc>
        <w:tc>
          <w:tcPr>
            <w:tcW w:w="3400" w:type="dxa"/>
            <w:vAlign w:val="bottom"/>
            <w:gridSpan w:val="2"/>
          </w:tcPr>
          <w:p>
            <w:pPr>
              <w:jc w:val="right"/>
              <w:ind w:right="924"/>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0.38</w:t>
            </w:r>
          </w:p>
        </w:tc>
        <w:tc>
          <w:tcPr>
            <w:tcW w:w="280" w:type="dxa"/>
            <w:vAlign w:val="bottom"/>
          </w:tcPr>
          <w:p>
            <w:pPr>
              <w:spacing w:after="0"/>
              <w:rPr>
                <w:sz w:val="15"/>
                <w:szCs w:val="15"/>
                <w:color w:val="auto"/>
              </w:rPr>
            </w:pPr>
          </w:p>
        </w:tc>
        <w:tc>
          <w:tcPr>
            <w:tcW w:w="520" w:type="dxa"/>
            <w:vAlign w:val="bottom"/>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0.19</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5520" w:type="dxa"/>
            <w:vAlign w:val="bottom"/>
            <w:shd w:val="clear" w:color="auto" w:fill="CFF0FC"/>
          </w:tcPr>
          <w:p>
            <w:pPr>
              <w:spacing w:after="0"/>
              <w:rPr>
                <w:sz w:val="15"/>
                <w:szCs w:val="15"/>
                <w:color w:val="auto"/>
              </w:rPr>
            </w:pPr>
          </w:p>
        </w:tc>
        <w:tc>
          <w:tcPr>
            <w:tcW w:w="23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4"/>
                <w:szCs w:val="14"/>
                <w:color w:val="auto"/>
              </w:rPr>
              <w:t>Weighted average common shares used to compute net income per share</w:t>
            </w:r>
          </w:p>
        </w:tc>
        <w:tc>
          <w:tcPr>
            <w:tcW w:w="2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5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Basic</w:t>
            </w:r>
          </w:p>
        </w:tc>
        <w:tc>
          <w:tcPr>
            <w:tcW w:w="23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17,471</w:t>
            </w:r>
          </w:p>
        </w:tc>
        <w:tc>
          <w:tcPr>
            <w:tcW w:w="2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17,093</w:t>
            </w:r>
          </w:p>
        </w:tc>
        <w:tc>
          <w:tcPr>
            <w:tcW w:w="12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Diluted</w:t>
            </w:r>
          </w:p>
        </w:tc>
        <w:tc>
          <w:tcPr>
            <w:tcW w:w="2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17,992</w:t>
            </w: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17,307</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4"/>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2360" w:type="dxa"/>
            <w:vAlign w:val="bottom"/>
          </w:tcPr>
          <w:p>
            <w:pPr>
              <w:jc w:val="right"/>
              <w:ind w:right="2070"/>
              <w:spacing w:after="0"/>
              <w:rPr>
                <w:sz w:val="20"/>
                <w:szCs w:val="20"/>
                <w:color w:val="auto"/>
              </w:rPr>
            </w:pPr>
            <w:r>
              <w:rPr>
                <w:rFonts w:ascii="Times New Roman" w:cs="Times New Roman" w:eastAsia="Times New Roman" w:hAnsi="Times New Roman"/>
                <w:sz w:val="14"/>
                <w:szCs w:val="14"/>
                <w:color w:val="auto"/>
              </w:rPr>
              <w:t>5</w:t>
            </w: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5520" w:type="dxa"/>
            <w:vAlign w:val="bottom"/>
            <w:tcBorders>
              <w:bottom w:val="single" w:sz="8" w:color="9A9A9A"/>
            </w:tcBorders>
          </w:tcPr>
          <w:p>
            <w:pPr>
              <w:spacing w:after="0"/>
              <w:rPr>
                <w:sz w:val="7"/>
                <w:szCs w:val="7"/>
                <w:color w:val="auto"/>
              </w:rPr>
            </w:pPr>
          </w:p>
        </w:tc>
        <w:tc>
          <w:tcPr>
            <w:tcW w:w="23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480"/>
          </w:cols>
          <w:pgMar w:left="220" w:top="302" w:right="19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4"/>
          <w:szCs w:val="14"/>
          <w:color w:val="auto"/>
        </w:rPr>
        <w:t>See accompanying notes to these condensed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SPS COMMERCE, INC. AND SUBSIDIARIES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STOCKHOLDERS’ EQUITY</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 in thousands, except per share amounts)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3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Retained</w:t>
            </w:r>
          </w:p>
        </w:tc>
        <w:tc>
          <w:tcPr>
            <w:tcW w:w="96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00" w:type="dxa"/>
            <w:vAlign w:val="bottom"/>
          </w:tcPr>
          <w:p>
            <w:pPr>
              <w:spacing w:after="0"/>
              <w:rPr>
                <w:sz w:val="11"/>
                <w:szCs w:val="11"/>
                <w:color w:val="auto"/>
              </w:rPr>
            </w:pPr>
          </w:p>
        </w:tc>
        <w:tc>
          <w:tcPr>
            <w:tcW w:w="84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140" w:type="dxa"/>
            <w:vAlign w:val="bottom"/>
          </w:tcPr>
          <w:p>
            <w:pPr>
              <w:spacing w:after="0"/>
              <w:rPr>
                <w:sz w:val="11"/>
                <w:szCs w:val="11"/>
                <w:color w:val="auto"/>
              </w:rPr>
            </w:pPr>
          </w:p>
        </w:tc>
        <w:tc>
          <w:tcPr>
            <w:tcW w:w="82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Other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5"/>
        </w:trPr>
        <w:tc>
          <w:tcPr>
            <w:tcW w:w="3980" w:type="dxa"/>
            <w:vAlign w:val="bottom"/>
          </w:tcPr>
          <w:p>
            <w:pPr>
              <w:spacing w:after="0"/>
              <w:rPr>
                <w:sz w:val="11"/>
                <w:szCs w:val="11"/>
                <w:color w:val="auto"/>
              </w:rPr>
            </w:pPr>
          </w:p>
        </w:tc>
        <w:tc>
          <w:tcPr>
            <w:tcW w:w="1960" w:type="dxa"/>
            <w:vAlign w:val="bottom"/>
            <w:gridSpan w:val="5"/>
          </w:tcPr>
          <w:p>
            <w:pPr>
              <w:ind w:left="48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860" w:type="dxa"/>
            <w:vAlign w:val="bottom"/>
            <w:gridSpan w:val="5"/>
          </w:tcPr>
          <w:p>
            <w:pPr>
              <w:jc w:val="right"/>
              <w:ind w:right="64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94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96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Comprehensive</w:t>
            </w:r>
          </w:p>
        </w:tc>
        <w:tc>
          <w:tcPr>
            <w:tcW w:w="20" w:type="dxa"/>
            <w:vAlign w:val="bottom"/>
          </w:tcPr>
          <w:p>
            <w:pPr>
              <w:spacing w:after="0"/>
              <w:rPr>
                <w:sz w:val="11"/>
                <w:szCs w:val="11"/>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17"/>
        </w:trPr>
        <w:tc>
          <w:tcPr>
            <w:tcW w:w="3980" w:type="dxa"/>
            <w:vAlign w:val="bottom"/>
          </w:tcPr>
          <w:p>
            <w:pPr>
              <w:spacing w:after="0"/>
              <w:rPr>
                <w:sz w:val="10"/>
                <w:szCs w:val="10"/>
                <w:color w:val="auto"/>
              </w:rPr>
            </w:pPr>
          </w:p>
        </w:tc>
        <w:tc>
          <w:tcPr>
            <w:tcW w:w="980" w:type="dxa"/>
            <w:vAlign w:val="bottom"/>
            <w:tcBorders>
              <w:top w:val="single" w:sz="8" w:color="auto"/>
            </w:tcBorders>
            <w:gridSpan w:val="2"/>
          </w:tcPr>
          <w:p>
            <w:pPr>
              <w:jc w:val="right"/>
              <w:ind w:right="460"/>
              <w:spacing w:after="0" w:line="118" w:lineRule="exact"/>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124"/>
              <w:spacing w:after="0" w:line="118" w:lineRule="exact"/>
              <w:rPr>
                <w:sz w:val="20"/>
                <w:szCs w:val="20"/>
                <w:color w:val="auto"/>
              </w:rPr>
            </w:pPr>
            <w:r>
              <w:rPr>
                <w:rFonts w:ascii="Times New Roman" w:cs="Times New Roman" w:eastAsia="Times New Roman" w:hAnsi="Times New Roman"/>
                <w:sz w:val="11"/>
                <w:szCs w:val="11"/>
                <w:b w:val="1"/>
                <w:bCs w:val="1"/>
                <w:color w:val="auto"/>
              </w:rPr>
              <w:t>Amount</w:t>
            </w:r>
          </w:p>
        </w:tc>
        <w:tc>
          <w:tcPr>
            <w:tcW w:w="240" w:type="dxa"/>
            <w:vAlign w:val="bottom"/>
          </w:tcPr>
          <w:p>
            <w:pPr>
              <w:spacing w:after="0"/>
              <w:rPr>
                <w:sz w:val="10"/>
                <w:szCs w:val="10"/>
                <w:color w:val="auto"/>
              </w:rPr>
            </w:pPr>
          </w:p>
        </w:tc>
        <w:tc>
          <w:tcPr>
            <w:tcW w:w="980" w:type="dxa"/>
            <w:vAlign w:val="bottom"/>
            <w:tcBorders>
              <w:top w:val="single" w:sz="8" w:color="auto"/>
            </w:tcBorders>
            <w:gridSpan w:val="2"/>
          </w:tcPr>
          <w:p>
            <w:pPr>
              <w:ind w:left="200"/>
              <w:spacing w:after="0" w:line="118" w:lineRule="exact"/>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ind w:right="144"/>
              <w:spacing w:after="0" w:line="118" w:lineRule="exact"/>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right"/>
              <w:ind w:right="400"/>
              <w:spacing w:after="0" w:line="118" w:lineRule="exact"/>
              <w:rPr>
                <w:sz w:val="20"/>
                <w:szCs w:val="20"/>
                <w:color w:val="auto"/>
              </w:rPr>
            </w:pPr>
            <w:r>
              <w:rPr>
                <w:rFonts w:ascii="Times New Roman" w:cs="Times New Roman" w:eastAsia="Times New Roman" w:hAnsi="Times New Roman"/>
                <w:sz w:val="11"/>
                <w:szCs w:val="11"/>
                <w:b w:val="1"/>
                <w:bCs w:val="1"/>
                <w:color w:val="auto"/>
              </w:rPr>
              <w:t>Capital</w:t>
            </w:r>
          </w:p>
        </w:tc>
        <w:tc>
          <w:tcPr>
            <w:tcW w:w="100" w:type="dxa"/>
            <w:vAlign w:val="bottom"/>
          </w:tcPr>
          <w:p>
            <w:pPr>
              <w:spacing w:after="0"/>
              <w:rPr>
                <w:sz w:val="10"/>
                <w:szCs w:val="10"/>
                <w:color w:val="auto"/>
              </w:rPr>
            </w:pPr>
          </w:p>
        </w:tc>
        <w:tc>
          <w:tcPr>
            <w:tcW w:w="84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1"/>
                <w:szCs w:val="11"/>
                <w:b w:val="1"/>
                <w:bCs w:val="1"/>
                <w:color w:val="auto"/>
              </w:rPr>
              <w:t>Deficit)</w:t>
            </w:r>
          </w:p>
        </w:tc>
        <w:tc>
          <w:tcPr>
            <w:tcW w:w="960" w:type="dxa"/>
            <w:vAlign w:val="bottom"/>
            <w:gridSpan w:val="3"/>
          </w:tcPr>
          <w:p>
            <w:pPr>
              <w:jc w:val="center"/>
              <w:ind w:right="200"/>
              <w:spacing w:after="0" w:line="118" w:lineRule="exact"/>
              <w:rPr>
                <w:sz w:val="20"/>
                <w:szCs w:val="20"/>
                <w:color w:val="auto"/>
              </w:rPr>
            </w:pPr>
            <w:r>
              <w:rPr>
                <w:rFonts w:ascii="Times New Roman" w:cs="Times New Roman" w:eastAsia="Times New Roman" w:hAnsi="Times New Roman"/>
                <w:sz w:val="11"/>
                <w:szCs w:val="11"/>
                <w:b w:val="1"/>
                <w:bCs w:val="1"/>
                <w:color w:val="auto"/>
              </w:rPr>
              <w:t>Income (Loss)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tcPr>
          <w:p>
            <w:pPr>
              <w:jc w:val="right"/>
              <w:ind w:right="240"/>
              <w:spacing w:after="0" w:line="118" w:lineRule="exact"/>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17"/>
        </w:trPr>
        <w:tc>
          <w:tcPr>
            <w:tcW w:w="3980" w:type="dxa"/>
            <w:vAlign w:val="bottom"/>
            <w:tcBorders>
              <w:top w:val="single" w:sz="8" w:color="CCF0FC"/>
              <w:bottom w:val="single" w:sz="8" w:color="CCF0FC"/>
            </w:tcBorders>
            <w:shd w:val="clear" w:color="auto" w:fill="CCF0FC"/>
          </w:tcPr>
          <w:p>
            <w:pPr>
              <w:spacing w:after="0" w:line="118" w:lineRule="exact"/>
              <w:rPr>
                <w:sz w:val="20"/>
                <w:szCs w:val="20"/>
                <w:color w:val="auto"/>
              </w:rPr>
            </w:pPr>
            <w:r>
              <w:rPr>
                <w:rFonts w:ascii="Times New Roman" w:cs="Times New Roman" w:eastAsia="Times New Roman" w:hAnsi="Times New Roman"/>
                <w:sz w:val="11"/>
                <w:szCs w:val="11"/>
                <w:color w:val="auto"/>
              </w:rPr>
              <w:t>Balances, December 31, 2017</w:t>
            </w:r>
          </w:p>
        </w:tc>
        <w:tc>
          <w:tcPr>
            <w:tcW w:w="740" w:type="dxa"/>
            <w:vAlign w:val="bottom"/>
            <w:tcBorders>
              <w:top w:val="single" w:sz="8" w:color="auto"/>
              <w:bottom w:val="single" w:sz="8" w:color="auto"/>
            </w:tcBorders>
            <w:shd w:val="clear" w:color="auto" w:fill="CCF0FC"/>
          </w:tcPr>
          <w:p>
            <w:pPr>
              <w:jc w:val="right"/>
              <w:spacing w:after="0" w:line="118" w:lineRule="exact"/>
              <w:rPr>
                <w:sz w:val="20"/>
                <w:szCs w:val="20"/>
                <w:color w:val="auto"/>
              </w:rPr>
            </w:pPr>
            <w:r>
              <w:rPr>
                <w:rFonts w:ascii="Times New Roman" w:cs="Times New Roman" w:eastAsia="Times New Roman" w:hAnsi="Times New Roman"/>
                <w:sz w:val="11"/>
                <w:szCs w:val="11"/>
                <w:color w:val="auto"/>
              </w:rPr>
              <w:t>17,127,006</w:t>
            </w:r>
          </w:p>
        </w:tc>
        <w:tc>
          <w:tcPr>
            <w:tcW w:w="240" w:type="dxa"/>
            <w:vAlign w:val="bottom"/>
            <w:tcBorders>
              <w:top w:val="single" w:sz="8" w:color="CCF0FC"/>
              <w:bottom w:val="single" w:sz="8" w:color="CCF0FC"/>
            </w:tcBorders>
            <w:shd w:val="clear" w:color="auto" w:fill="CCF0FC"/>
          </w:tcPr>
          <w:p>
            <w:pPr>
              <w:spacing w:after="0"/>
              <w:rPr>
                <w:sz w:val="10"/>
                <w:szCs w:val="10"/>
                <w:color w:val="auto"/>
              </w:rPr>
            </w:pPr>
          </w:p>
        </w:tc>
        <w:tc>
          <w:tcPr>
            <w:tcW w:w="120" w:type="dxa"/>
            <w:vAlign w:val="bottom"/>
            <w:tcBorders>
              <w:top w:val="single" w:sz="8" w:color="auto"/>
              <w:bottom w:val="single" w:sz="8" w:color="auto"/>
            </w:tcBorders>
            <w:shd w:val="clear" w:color="auto" w:fill="CCF0FC"/>
          </w:tcPr>
          <w:p>
            <w:pPr>
              <w:jc w:val="right"/>
              <w:ind w:right="4"/>
              <w:spacing w:after="0" w:line="118"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F0FC"/>
          </w:tcPr>
          <w:p>
            <w:pPr>
              <w:jc w:val="right"/>
              <w:spacing w:after="0" w:line="118" w:lineRule="exact"/>
              <w:rPr>
                <w:sz w:val="20"/>
                <w:szCs w:val="20"/>
                <w:color w:val="auto"/>
              </w:rPr>
            </w:pPr>
            <w:r>
              <w:rPr>
                <w:rFonts w:ascii="Times New Roman" w:cs="Times New Roman" w:eastAsia="Times New Roman" w:hAnsi="Times New Roman"/>
                <w:sz w:val="11"/>
                <w:szCs w:val="11"/>
                <w:color w:val="auto"/>
              </w:rPr>
              <w:t>17</w:t>
            </w:r>
          </w:p>
        </w:tc>
        <w:tc>
          <w:tcPr>
            <w:tcW w:w="240" w:type="dxa"/>
            <w:vAlign w:val="bottom"/>
            <w:tcBorders>
              <w:top w:val="single" w:sz="8" w:color="CCF0FC"/>
              <w:bottom w:val="single" w:sz="8" w:color="CCF0FC"/>
            </w:tcBorders>
            <w:shd w:val="clear" w:color="auto" w:fill="CCF0FC"/>
          </w:tcPr>
          <w:p>
            <w:pPr>
              <w:spacing w:after="0"/>
              <w:rPr>
                <w:sz w:val="10"/>
                <w:szCs w:val="10"/>
                <w:color w:val="auto"/>
              </w:rPr>
            </w:pPr>
          </w:p>
        </w:tc>
        <w:tc>
          <w:tcPr>
            <w:tcW w:w="740" w:type="dxa"/>
            <w:vAlign w:val="bottom"/>
            <w:tcBorders>
              <w:top w:val="single" w:sz="8" w:color="auto"/>
              <w:bottom w:val="single" w:sz="8" w:color="auto"/>
            </w:tcBorders>
            <w:shd w:val="clear" w:color="auto" w:fill="CCF0FC"/>
          </w:tcPr>
          <w:p>
            <w:pPr>
              <w:jc w:val="right"/>
              <w:spacing w:after="0" w:line="118" w:lineRule="exact"/>
              <w:rPr>
                <w:sz w:val="20"/>
                <w:szCs w:val="20"/>
                <w:color w:val="auto"/>
              </w:rPr>
            </w:pPr>
            <w:r>
              <w:rPr>
                <w:rFonts w:ascii="Times New Roman" w:cs="Times New Roman" w:eastAsia="Times New Roman" w:hAnsi="Times New Roman"/>
                <w:sz w:val="11"/>
                <w:szCs w:val="11"/>
                <w:color w:val="auto"/>
              </w:rPr>
              <w:t>122,147</w:t>
            </w:r>
          </w:p>
        </w:tc>
        <w:tc>
          <w:tcPr>
            <w:tcW w:w="240" w:type="dxa"/>
            <w:vAlign w:val="bottom"/>
            <w:tcBorders>
              <w:top w:val="single" w:sz="8" w:color="CCF0FC"/>
              <w:bottom w:val="single" w:sz="8" w:color="CCF0FC"/>
            </w:tcBorders>
            <w:shd w:val="clear" w:color="auto" w:fill="CCF0FC"/>
          </w:tcPr>
          <w:p>
            <w:pPr>
              <w:spacing w:after="0"/>
              <w:rPr>
                <w:sz w:val="10"/>
                <w:szCs w:val="10"/>
                <w:color w:val="auto"/>
              </w:rPr>
            </w:pPr>
          </w:p>
        </w:tc>
        <w:tc>
          <w:tcPr>
            <w:tcW w:w="120" w:type="dxa"/>
            <w:vAlign w:val="bottom"/>
            <w:tcBorders>
              <w:top w:val="single" w:sz="8" w:color="auto"/>
              <w:bottom w:val="single" w:sz="8" w:color="auto"/>
            </w:tcBorders>
            <w:shd w:val="clear" w:color="auto" w:fill="CCF0FC"/>
          </w:tcPr>
          <w:p>
            <w:pPr>
              <w:jc w:val="right"/>
              <w:ind w:right="4"/>
              <w:spacing w:after="0" w:line="118"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F0FC"/>
          </w:tcPr>
          <w:p>
            <w:pPr>
              <w:jc w:val="right"/>
              <w:spacing w:after="0" w:line="118" w:lineRule="exact"/>
              <w:rPr>
                <w:sz w:val="20"/>
                <w:szCs w:val="20"/>
                <w:color w:val="auto"/>
              </w:rPr>
            </w:pPr>
            <w:r>
              <w:rPr>
                <w:rFonts w:ascii="Times New Roman" w:cs="Times New Roman" w:eastAsia="Times New Roman" w:hAnsi="Times New Roman"/>
                <w:sz w:val="11"/>
                <w:szCs w:val="11"/>
                <w:color w:val="auto"/>
              </w:rPr>
              <w:t>(5,815)</w:t>
            </w:r>
          </w:p>
        </w:tc>
        <w:tc>
          <w:tcPr>
            <w:tcW w:w="120" w:type="dxa"/>
            <w:vAlign w:val="bottom"/>
            <w:tcBorders>
              <w:top w:val="single" w:sz="8" w:color="CCF0FC"/>
              <w:bottom w:val="single" w:sz="8" w:color="CCF0FC"/>
            </w:tcBorders>
            <w:shd w:val="clear" w:color="auto" w:fill="CCF0FC"/>
          </w:tcPr>
          <w:p>
            <w:pPr>
              <w:spacing w:after="0"/>
              <w:rPr>
                <w:sz w:val="10"/>
                <w:szCs w:val="10"/>
                <w:color w:val="auto"/>
              </w:rPr>
            </w:pPr>
          </w:p>
        </w:tc>
        <w:tc>
          <w:tcPr>
            <w:tcW w:w="80" w:type="dxa"/>
            <w:vAlign w:val="bottom"/>
            <w:tcBorders>
              <w:top w:val="single" w:sz="8" w:color="CCF0FC"/>
              <w:bottom w:val="single" w:sz="8" w:color="CCF0FC"/>
            </w:tcBorders>
            <w:shd w:val="clear" w:color="auto" w:fill="CCF0FC"/>
          </w:tcPr>
          <w:p>
            <w:pPr>
              <w:spacing w:after="0"/>
              <w:rPr>
                <w:sz w:val="10"/>
                <w:szCs w:val="10"/>
                <w:color w:val="auto"/>
              </w:rPr>
            </w:pPr>
          </w:p>
        </w:tc>
        <w:tc>
          <w:tcPr>
            <w:tcW w:w="80" w:type="dxa"/>
            <w:vAlign w:val="bottom"/>
            <w:tcBorders>
              <w:top w:val="single" w:sz="8" w:color="auto"/>
              <w:bottom w:val="single" w:sz="8" w:color="auto"/>
            </w:tcBorders>
            <w:shd w:val="clear" w:color="auto" w:fill="CCF0FC"/>
          </w:tcPr>
          <w:p>
            <w:pPr>
              <w:jc w:val="right"/>
              <w:spacing w:after="0" w:line="118"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F0FC"/>
          </w:tcPr>
          <w:p>
            <w:pPr>
              <w:jc w:val="right"/>
              <w:spacing w:after="0" w:line="118" w:lineRule="exact"/>
              <w:rPr>
                <w:sz w:val="20"/>
                <w:szCs w:val="20"/>
                <w:color w:val="auto"/>
              </w:rPr>
            </w:pPr>
            <w:r>
              <w:rPr>
                <w:rFonts w:ascii="Times New Roman" w:cs="Times New Roman" w:eastAsia="Times New Roman" w:hAnsi="Times New Roman"/>
                <w:sz w:val="11"/>
                <w:szCs w:val="11"/>
                <w:color w:val="auto"/>
              </w:rPr>
              <w:t>301,863</w:t>
            </w:r>
          </w:p>
        </w:tc>
        <w:tc>
          <w:tcPr>
            <w:tcW w:w="200" w:type="dxa"/>
            <w:vAlign w:val="bottom"/>
            <w:tcBorders>
              <w:top w:val="single" w:sz="8" w:color="CCF0FC"/>
              <w:bottom w:val="single" w:sz="8" w:color="CCF0FC"/>
            </w:tcBorders>
            <w:shd w:val="clear" w:color="auto" w:fill="CCF0FC"/>
          </w:tcPr>
          <w:p>
            <w:pPr>
              <w:spacing w:after="0"/>
              <w:rPr>
                <w:sz w:val="10"/>
                <w:szCs w:val="10"/>
                <w:color w:val="auto"/>
              </w:rPr>
            </w:pPr>
          </w:p>
        </w:tc>
        <w:tc>
          <w:tcPr>
            <w:tcW w:w="100" w:type="dxa"/>
            <w:vAlign w:val="bottom"/>
            <w:tcBorders>
              <w:top w:val="single" w:sz="8" w:color="auto"/>
              <w:bottom w:val="single" w:sz="8" w:color="auto"/>
            </w:tcBorders>
            <w:shd w:val="clear" w:color="auto" w:fill="CCF0FC"/>
          </w:tcPr>
          <w:p>
            <w:pPr>
              <w:jc w:val="right"/>
              <w:spacing w:after="0" w:line="118"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F0FC"/>
          </w:tcPr>
          <w:p>
            <w:pPr>
              <w:jc w:val="right"/>
              <w:spacing w:after="0" w:line="118" w:lineRule="exact"/>
              <w:rPr>
                <w:sz w:val="20"/>
                <w:szCs w:val="20"/>
                <w:color w:val="auto"/>
              </w:rPr>
            </w:pPr>
            <w:r>
              <w:rPr>
                <w:rFonts w:ascii="Times New Roman" w:cs="Times New Roman" w:eastAsia="Times New Roman" w:hAnsi="Times New Roman"/>
                <w:sz w:val="11"/>
                <w:szCs w:val="11"/>
                <w:color w:val="auto"/>
              </w:rPr>
              <w:t>(8,611)</w:t>
            </w:r>
          </w:p>
        </w:tc>
        <w:tc>
          <w:tcPr>
            <w:tcW w:w="200" w:type="dxa"/>
            <w:vAlign w:val="bottom"/>
            <w:tcBorders>
              <w:top w:val="single" w:sz="8" w:color="CCF0FC"/>
              <w:bottom w:val="single" w:sz="8" w:color="CCF0FC"/>
            </w:tcBorders>
            <w:shd w:val="clear" w:color="auto" w:fill="CCF0FC"/>
          </w:tcPr>
          <w:p>
            <w:pPr>
              <w:spacing w:after="0"/>
              <w:rPr>
                <w:sz w:val="10"/>
                <w:szCs w:val="10"/>
                <w:color w:val="auto"/>
              </w:rPr>
            </w:pPr>
          </w:p>
        </w:tc>
        <w:tc>
          <w:tcPr>
            <w:tcW w:w="140" w:type="dxa"/>
            <w:vAlign w:val="bottom"/>
            <w:tcBorders>
              <w:top w:val="single" w:sz="8" w:color="auto"/>
              <w:bottom w:val="single" w:sz="8" w:color="auto"/>
            </w:tcBorders>
            <w:shd w:val="clear" w:color="auto" w:fill="CCF0FC"/>
          </w:tcPr>
          <w:p>
            <w:pPr>
              <w:spacing w:after="0" w:line="118"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top w:val="single" w:sz="8" w:color="auto"/>
              <w:bottom w:val="single" w:sz="8" w:color="auto"/>
            </w:tcBorders>
            <w:shd w:val="clear" w:color="auto" w:fill="CCF0FC"/>
          </w:tcPr>
          <w:p>
            <w:pPr>
              <w:jc w:val="right"/>
              <w:spacing w:after="0" w:line="118" w:lineRule="exact"/>
              <w:rPr>
                <w:sz w:val="20"/>
                <w:szCs w:val="20"/>
                <w:color w:val="auto"/>
              </w:rPr>
            </w:pPr>
            <w:r>
              <w:rPr>
                <w:rFonts w:ascii="Times New Roman" w:cs="Times New Roman" w:eastAsia="Times New Roman" w:hAnsi="Times New Roman"/>
                <w:sz w:val="11"/>
                <w:szCs w:val="11"/>
                <w:color w:val="auto"/>
              </w:rPr>
              <w:t>657</w:t>
            </w:r>
          </w:p>
        </w:tc>
        <w:tc>
          <w:tcPr>
            <w:tcW w:w="200" w:type="dxa"/>
            <w:vAlign w:val="bottom"/>
            <w:tcBorders>
              <w:top w:val="single" w:sz="8" w:color="CCF0FC"/>
              <w:bottom w:val="single" w:sz="8" w:color="CCF0FC"/>
            </w:tcBorders>
            <w:shd w:val="clear" w:color="auto" w:fill="CCF0FC"/>
          </w:tcPr>
          <w:p>
            <w:pPr>
              <w:spacing w:after="0"/>
              <w:rPr>
                <w:sz w:val="10"/>
                <w:szCs w:val="10"/>
                <w:color w:val="auto"/>
              </w:rPr>
            </w:pPr>
          </w:p>
        </w:tc>
        <w:tc>
          <w:tcPr>
            <w:tcW w:w="20" w:type="dxa"/>
            <w:vAlign w:val="bottom"/>
            <w:tcBorders>
              <w:top w:val="single" w:sz="8" w:color="CCF0FC"/>
              <w:bottom w:val="single" w:sz="8" w:color="CCF0FC"/>
            </w:tcBorders>
            <w:shd w:val="clear" w:color="auto" w:fill="CCF0FC"/>
          </w:tcPr>
          <w:p>
            <w:pPr>
              <w:spacing w:after="0"/>
              <w:rPr>
                <w:sz w:val="10"/>
                <w:szCs w:val="10"/>
                <w:color w:val="auto"/>
              </w:rPr>
            </w:pPr>
          </w:p>
        </w:tc>
        <w:tc>
          <w:tcPr>
            <w:tcW w:w="100" w:type="dxa"/>
            <w:vAlign w:val="bottom"/>
            <w:tcBorders>
              <w:top w:val="single" w:sz="8" w:color="auto"/>
              <w:bottom w:val="single" w:sz="8" w:color="auto"/>
            </w:tcBorders>
            <w:shd w:val="clear" w:color="auto" w:fill="CCF0FC"/>
          </w:tcPr>
          <w:p>
            <w:pPr>
              <w:spacing w:after="0" w:line="118"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bottom w:val="single" w:sz="8" w:color="auto"/>
            </w:tcBorders>
            <w:shd w:val="clear" w:color="auto" w:fill="CCF0FC"/>
          </w:tcPr>
          <w:p>
            <w:pPr>
              <w:jc w:val="right"/>
              <w:spacing w:after="0" w:line="118" w:lineRule="exact"/>
              <w:rPr>
                <w:sz w:val="20"/>
                <w:szCs w:val="20"/>
                <w:color w:val="auto"/>
              </w:rPr>
            </w:pPr>
            <w:r>
              <w:rPr>
                <w:rFonts w:ascii="Times New Roman" w:cs="Times New Roman" w:eastAsia="Times New Roman" w:hAnsi="Times New Roman"/>
                <w:sz w:val="11"/>
                <w:szCs w:val="11"/>
                <w:color w:val="auto"/>
              </w:rPr>
              <w:t>288,111</w:t>
            </w:r>
          </w:p>
        </w:tc>
        <w:tc>
          <w:tcPr>
            <w:tcW w:w="40" w:type="dxa"/>
            <w:vAlign w:val="bottom"/>
            <w:tcBorders>
              <w:top w:val="single" w:sz="8" w:color="CCF0FC"/>
              <w:bottom w:val="single" w:sz="8" w:color="CCF0FC"/>
            </w:tcBorders>
            <w:shd w:val="clear" w:color="auto" w:fill="CCF0FC"/>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980" w:type="dxa"/>
            <w:vAlign w:val="bottom"/>
            <w:vMerge w:val="restart"/>
          </w:tcPr>
          <w:p>
            <w:pPr>
              <w:ind w:left="100"/>
              <w:spacing w:after="0"/>
              <w:rPr>
                <w:sz w:val="20"/>
                <w:szCs w:val="20"/>
                <w:color w:val="auto"/>
              </w:rPr>
            </w:pPr>
            <w:r>
              <w:rPr>
                <w:rFonts w:ascii="Times New Roman" w:cs="Times New Roman" w:eastAsia="Times New Roman" w:hAnsi="Times New Roman"/>
                <w:sz w:val="11"/>
                <w:szCs w:val="11"/>
                <w:color w:val="auto"/>
              </w:rPr>
              <w:t>Stock-based compensation</w:t>
            </w:r>
          </w:p>
        </w:tc>
        <w:tc>
          <w:tcPr>
            <w:tcW w:w="9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3980" w:type="dxa"/>
            <w:vAlign w:val="bottom"/>
            <w:vMerge w:val="continue"/>
          </w:tcPr>
          <w:p>
            <w:pPr>
              <w:spacing w:after="0"/>
              <w:rPr>
                <w:sz w:val="8"/>
                <w:szCs w:val="8"/>
                <w:color w:val="auto"/>
              </w:rPr>
            </w:pPr>
          </w:p>
        </w:tc>
        <w:tc>
          <w:tcPr>
            <w:tcW w:w="740" w:type="dxa"/>
            <w:vAlign w:val="bottom"/>
            <w:tcBorders>
              <w:top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8"/>
                <w:szCs w:val="8"/>
                <w:color w:val="auto"/>
              </w:rPr>
            </w:pPr>
          </w:p>
        </w:tc>
        <w:tc>
          <w:tcPr>
            <w:tcW w:w="740" w:type="dxa"/>
            <w:vAlign w:val="bottom"/>
            <w:tcBorders>
              <w:top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3,181</w:t>
            </w:r>
          </w:p>
        </w:tc>
        <w:tc>
          <w:tcPr>
            <w:tcW w:w="2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3,181</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3980" w:type="dxa"/>
            <w:vAlign w:val="bottom"/>
            <w:shd w:val="clear" w:color="auto" w:fill="CCF0FC"/>
          </w:tcPr>
          <w:p>
            <w:pPr>
              <w:ind w:left="100"/>
              <w:spacing w:after="0"/>
              <w:rPr>
                <w:sz w:val="20"/>
                <w:szCs w:val="20"/>
                <w:color w:val="auto"/>
              </w:rPr>
            </w:pPr>
            <w:r>
              <w:rPr>
                <w:rFonts w:ascii="Times New Roman" w:cs="Times New Roman" w:eastAsia="Times New Roman" w:hAnsi="Times New Roman"/>
                <w:sz w:val="11"/>
                <w:szCs w:val="11"/>
                <w:color w:val="auto"/>
              </w:rPr>
              <w:t>Exercise of stock options and issuance of restricted stock</w:t>
            </w:r>
          </w:p>
        </w:tc>
        <w:tc>
          <w:tcPr>
            <w:tcW w:w="74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1"/>
                <w:szCs w:val="11"/>
                <w:color w:val="auto"/>
              </w:rPr>
              <w:t>96,927</w:t>
            </w:r>
          </w:p>
        </w:tc>
        <w:tc>
          <w:tcPr>
            <w:tcW w:w="240" w:type="dxa"/>
            <w:vAlign w:val="bottom"/>
            <w:shd w:val="clear" w:color="auto" w:fill="CCF0FC"/>
          </w:tcPr>
          <w:p>
            <w:pPr>
              <w:spacing w:after="0"/>
              <w:rPr>
                <w:sz w:val="11"/>
                <w:szCs w:val="11"/>
                <w:color w:val="auto"/>
              </w:rPr>
            </w:pPr>
          </w:p>
        </w:tc>
        <w:tc>
          <w:tcPr>
            <w:tcW w:w="120" w:type="dxa"/>
            <w:vAlign w:val="bottom"/>
            <w:shd w:val="clear" w:color="auto" w:fill="CCF0FC"/>
          </w:tcPr>
          <w:p>
            <w:pPr>
              <w:spacing w:after="0"/>
              <w:rPr>
                <w:sz w:val="11"/>
                <w:szCs w:val="11"/>
                <w:color w:val="auto"/>
              </w:rPr>
            </w:pPr>
          </w:p>
        </w:tc>
        <w:tc>
          <w:tcPr>
            <w:tcW w:w="860" w:type="dxa"/>
            <w:vAlign w:val="bottom"/>
            <w:gridSpan w:val="2"/>
            <w:shd w:val="clear" w:color="auto" w:fill="CC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shd w:val="clear" w:color="auto" w:fill="CC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F0FC"/>
          </w:tcPr>
          <w:p>
            <w:pPr>
              <w:spacing w:after="0"/>
              <w:rPr>
                <w:sz w:val="11"/>
                <w:szCs w:val="11"/>
                <w:color w:val="auto"/>
              </w:rPr>
            </w:pPr>
          </w:p>
        </w:tc>
        <w:tc>
          <w:tcPr>
            <w:tcW w:w="760" w:type="dxa"/>
            <w:vAlign w:val="bottom"/>
            <w:gridSpan w:val="2"/>
            <w:shd w:val="clear" w:color="auto" w:fill="CC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F0FC"/>
          </w:tcPr>
          <w:p>
            <w:pPr>
              <w:spacing w:after="0"/>
              <w:rPr>
                <w:sz w:val="11"/>
                <w:szCs w:val="11"/>
                <w:color w:val="auto"/>
              </w:rPr>
            </w:pPr>
          </w:p>
        </w:tc>
        <w:tc>
          <w:tcPr>
            <w:tcW w:w="80" w:type="dxa"/>
            <w:vAlign w:val="bottom"/>
            <w:shd w:val="clear" w:color="auto" w:fill="CCF0FC"/>
          </w:tcPr>
          <w:p>
            <w:pPr>
              <w:spacing w:after="0"/>
              <w:rPr>
                <w:sz w:val="11"/>
                <w:szCs w:val="11"/>
                <w:color w:val="auto"/>
              </w:rPr>
            </w:pPr>
          </w:p>
        </w:tc>
        <w:tc>
          <w:tcPr>
            <w:tcW w:w="66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1"/>
                <w:szCs w:val="11"/>
                <w:color w:val="auto"/>
              </w:rPr>
              <w:t>715</w:t>
            </w:r>
          </w:p>
        </w:tc>
        <w:tc>
          <w:tcPr>
            <w:tcW w:w="200" w:type="dxa"/>
            <w:vAlign w:val="bottom"/>
            <w:shd w:val="clear" w:color="auto" w:fill="CCF0FC"/>
          </w:tcPr>
          <w:p>
            <w:pPr>
              <w:spacing w:after="0"/>
              <w:rPr>
                <w:sz w:val="11"/>
                <w:szCs w:val="11"/>
                <w:color w:val="auto"/>
              </w:rPr>
            </w:pPr>
          </w:p>
        </w:tc>
        <w:tc>
          <w:tcPr>
            <w:tcW w:w="100" w:type="dxa"/>
            <w:vAlign w:val="bottom"/>
            <w:shd w:val="clear" w:color="auto" w:fill="CCF0FC"/>
          </w:tcPr>
          <w:p>
            <w:pPr>
              <w:spacing w:after="0"/>
              <w:rPr>
                <w:sz w:val="11"/>
                <w:szCs w:val="11"/>
                <w:color w:val="auto"/>
              </w:rPr>
            </w:pPr>
          </w:p>
        </w:tc>
        <w:tc>
          <w:tcPr>
            <w:tcW w:w="840" w:type="dxa"/>
            <w:vAlign w:val="bottom"/>
            <w:gridSpan w:val="2"/>
            <w:shd w:val="clear" w:color="auto" w:fill="CC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F0FC"/>
          </w:tcPr>
          <w:p>
            <w:pPr>
              <w:spacing w:after="0"/>
              <w:rPr>
                <w:sz w:val="11"/>
                <w:szCs w:val="11"/>
                <w:color w:val="auto"/>
              </w:rPr>
            </w:pPr>
          </w:p>
        </w:tc>
        <w:tc>
          <w:tcPr>
            <w:tcW w:w="820" w:type="dxa"/>
            <w:vAlign w:val="bottom"/>
            <w:gridSpan w:val="2"/>
            <w:shd w:val="clear" w:color="auto" w:fill="CC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F0FC"/>
          </w:tcPr>
          <w:p>
            <w:pPr>
              <w:spacing w:after="0"/>
              <w:rPr>
                <w:sz w:val="11"/>
                <w:szCs w:val="11"/>
                <w:color w:val="auto"/>
              </w:rPr>
            </w:pPr>
          </w:p>
        </w:tc>
        <w:tc>
          <w:tcPr>
            <w:tcW w:w="100" w:type="dxa"/>
            <w:vAlign w:val="bottom"/>
            <w:shd w:val="clear" w:color="auto" w:fill="CCF0FC"/>
          </w:tcPr>
          <w:p>
            <w:pPr>
              <w:spacing w:after="0"/>
              <w:rPr>
                <w:sz w:val="11"/>
                <w:szCs w:val="11"/>
                <w:color w:val="auto"/>
              </w:rPr>
            </w:pPr>
          </w:p>
        </w:tc>
        <w:tc>
          <w:tcPr>
            <w:tcW w:w="58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1"/>
                <w:szCs w:val="11"/>
                <w:color w:val="auto"/>
              </w:rPr>
              <w:t>715</w:t>
            </w:r>
          </w:p>
        </w:tc>
        <w:tc>
          <w:tcPr>
            <w:tcW w:w="40" w:type="dxa"/>
            <w:vAlign w:val="bottom"/>
            <w:shd w:val="clear" w:color="auto" w:fill="CCF0F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9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Repurchases of common stock</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(113,984)</w:t>
            </w:r>
          </w:p>
        </w:tc>
        <w:tc>
          <w:tcPr>
            <w:tcW w:w="120" w:type="dxa"/>
            <w:vAlign w:val="bottom"/>
          </w:tcPr>
          <w:p>
            <w:pPr>
              <w:spacing w:after="0"/>
              <w:rPr>
                <w:sz w:val="11"/>
                <w:szCs w:val="11"/>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113,984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(5,871)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(5,871)</w:t>
            </w:r>
          </w:p>
        </w:tc>
        <w:tc>
          <w:tcPr>
            <w:tcW w:w="0" w:type="dxa"/>
            <w:vAlign w:val="bottom"/>
          </w:tcPr>
          <w:p>
            <w:pPr>
              <w:spacing w:after="0"/>
              <w:rPr>
                <w:sz w:val="1"/>
                <w:szCs w:val="1"/>
                <w:color w:val="auto"/>
              </w:rPr>
            </w:pPr>
          </w:p>
        </w:tc>
      </w:tr>
      <w:tr>
        <w:trPr>
          <w:trHeight w:val="127"/>
        </w:trPr>
        <w:tc>
          <w:tcPr>
            <w:tcW w:w="3980" w:type="dxa"/>
            <w:vAlign w:val="bottom"/>
            <w:shd w:val="clear" w:color="auto" w:fill="CCF0FC"/>
          </w:tcPr>
          <w:p>
            <w:pPr>
              <w:ind w:left="100"/>
              <w:spacing w:after="0"/>
              <w:rPr>
                <w:sz w:val="20"/>
                <w:szCs w:val="20"/>
                <w:color w:val="auto"/>
              </w:rPr>
            </w:pPr>
            <w:r>
              <w:rPr>
                <w:rFonts w:ascii="Times New Roman" w:cs="Times New Roman" w:eastAsia="Times New Roman" w:hAnsi="Times New Roman"/>
                <w:sz w:val="11"/>
                <w:szCs w:val="11"/>
                <w:color w:val="auto"/>
              </w:rPr>
              <w:t>Net income</w:t>
            </w:r>
          </w:p>
        </w:tc>
        <w:tc>
          <w:tcPr>
            <w:tcW w:w="980" w:type="dxa"/>
            <w:vAlign w:val="bottom"/>
            <w:gridSpan w:val="2"/>
            <w:shd w:val="clear" w:color="auto" w:fill="CC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F0FC"/>
          </w:tcPr>
          <w:p>
            <w:pPr>
              <w:spacing w:after="0"/>
              <w:rPr>
                <w:sz w:val="11"/>
                <w:szCs w:val="11"/>
                <w:color w:val="auto"/>
              </w:rPr>
            </w:pPr>
          </w:p>
        </w:tc>
        <w:tc>
          <w:tcPr>
            <w:tcW w:w="860" w:type="dxa"/>
            <w:vAlign w:val="bottom"/>
            <w:gridSpan w:val="2"/>
            <w:shd w:val="clear" w:color="auto" w:fill="CC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shd w:val="clear" w:color="auto" w:fill="CC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F0FC"/>
          </w:tcPr>
          <w:p>
            <w:pPr>
              <w:spacing w:after="0"/>
              <w:rPr>
                <w:sz w:val="11"/>
                <w:szCs w:val="11"/>
                <w:color w:val="auto"/>
              </w:rPr>
            </w:pPr>
          </w:p>
        </w:tc>
        <w:tc>
          <w:tcPr>
            <w:tcW w:w="760" w:type="dxa"/>
            <w:vAlign w:val="bottom"/>
            <w:gridSpan w:val="2"/>
            <w:shd w:val="clear" w:color="auto" w:fill="CC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F0FC"/>
          </w:tcPr>
          <w:p>
            <w:pPr>
              <w:spacing w:after="0"/>
              <w:rPr>
                <w:sz w:val="11"/>
                <w:szCs w:val="11"/>
                <w:color w:val="auto"/>
              </w:rPr>
            </w:pPr>
          </w:p>
        </w:tc>
        <w:tc>
          <w:tcPr>
            <w:tcW w:w="80" w:type="dxa"/>
            <w:vAlign w:val="bottom"/>
            <w:shd w:val="clear" w:color="auto" w:fill="CCF0FC"/>
          </w:tcPr>
          <w:p>
            <w:pPr>
              <w:spacing w:after="0"/>
              <w:rPr>
                <w:sz w:val="11"/>
                <w:szCs w:val="11"/>
                <w:color w:val="auto"/>
              </w:rPr>
            </w:pPr>
          </w:p>
        </w:tc>
        <w:tc>
          <w:tcPr>
            <w:tcW w:w="860" w:type="dxa"/>
            <w:vAlign w:val="bottom"/>
            <w:gridSpan w:val="2"/>
            <w:shd w:val="clear" w:color="auto" w:fill="CC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F0FC"/>
          </w:tcPr>
          <w:p>
            <w:pPr>
              <w:spacing w:after="0"/>
              <w:rPr>
                <w:sz w:val="11"/>
                <w:szCs w:val="11"/>
                <w:color w:val="auto"/>
              </w:rPr>
            </w:pPr>
          </w:p>
        </w:tc>
        <w:tc>
          <w:tcPr>
            <w:tcW w:w="64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1"/>
                <w:szCs w:val="11"/>
                <w:color w:val="auto"/>
              </w:rPr>
              <w:t>3,254</w:t>
            </w:r>
          </w:p>
        </w:tc>
        <w:tc>
          <w:tcPr>
            <w:tcW w:w="200" w:type="dxa"/>
            <w:vAlign w:val="bottom"/>
            <w:shd w:val="clear" w:color="auto" w:fill="CCF0FC"/>
          </w:tcPr>
          <w:p>
            <w:pPr>
              <w:spacing w:after="0"/>
              <w:rPr>
                <w:sz w:val="11"/>
                <w:szCs w:val="11"/>
                <w:color w:val="auto"/>
              </w:rPr>
            </w:pPr>
          </w:p>
        </w:tc>
        <w:tc>
          <w:tcPr>
            <w:tcW w:w="140" w:type="dxa"/>
            <w:vAlign w:val="bottom"/>
            <w:shd w:val="clear" w:color="auto" w:fill="CCF0FC"/>
          </w:tcPr>
          <w:p>
            <w:pPr>
              <w:spacing w:after="0"/>
              <w:rPr>
                <w:sz w:val="11"/>
                <w:szCs w:val="11"/>
                <w:color w:val="auto"/>
              </w:rPr>
            </w:pPr>
          </w:p>
        </w:tc>
        <w:tc>
          <w:tcPr>
            <w:tcW w:w="820" w:type="dxa"/>
            <w:vAlign w:val="bottom"/>
            <w:gridSpan w:val="2"/>
            <w:shd w:val="clear" w:color="auto" w:fill="CC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F0FC"/>
          </w:tcPr>
          <w:p>
            <w:pPr>
              <w:spacing w:after="0"/>
              <w:rPr>
                <w:sz w:val="11"/>
                <w:szCs w:val="11"/>
                <w:color w:val="auto"/>
              </w:rPr>
            </w:pPr>
          </w:p>
        </w:tc>
        <w:tc>
          <w:tcPr>
            <w:tcW w:w="100" w:type="dxa"/>
            <w:vAlign w:val="bottom"/>
            <w:shd w:val="clear" w:color="auto" w:fill="CCF0FC"/>
          </w:tcPr>
          <w:p>
            <w:pPr>
              <w:spacing w:after="0"/>
              <w:rPr>
                <w:sz w:val="11"/>
                <w:szCs w:val="11"/>
                <w:color w:val="auto"/>
              </w:rPr>
            </w:pPr>
          </w:p>
        </w:tc>
        <w:tc>
          <w:tcPr>
            <w:tcW w:w="58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1"/>
                <w:szCs w:val="11"/>
                <w:color w:val="auto"/>
              </w:rPr>
              <w:t>3,254</w:t>
            </w:r>
          </w:p>
        </w:tc>
        <w:tc>
          <w:tcPr>
            <w:tcW w:w="40" w:type="dxa"/>
            <w:vAlign w:val="bottom"/>
            <w:shd w:val="clear" w:color="auto" w:fill="CCF0F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9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Foreign currency translation adjustments</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(1,055)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(1,055)</w:t>
            </w:r>
          </w:p>
        </w:tc>
        <w:tc>
          <w:tcPr>
            <w:tcW w:w="0" w:type="dxa"/>
            <w:vAlign w:val="bottom"/>
          </w:tcPr>
          <w:p>
            <w:pPr>
              <w:spacing w:after="0"/>
              <w:rPr>
                <w:sz w:val="1"/>
                <w:szCs w:val="1"/>
                <w:color w:val="auto"/>
              </w:rPr>
            </w:pPr>
          </w:p>
        </w:tc>
      </w:tr>
      <w:tr>
        <w:trPr>
          <w:trHeight w:val="127"/>
        </w:trPr>
        <w:tc>
          <w:tcPr>
            <w:tcW w:w="3980" w:type="dxa"/>
            <w:vAlign w:val="bottom"/>
            <w:shd w:val="clear" w:color="auto" w:fill="CCF0FC"/>
          </w:tcPr>
          <w:p>
            <w:pPr>
              <w:ind w:left="100"/>
              <w:spacing w:after="0"/>
              <w:rPr>
                <w:sz w:val="20"/>
                <w:szCs w:val="20"/>
                <w:color w:val="auto"/>
              </w:rPr>
            </w:pPr>
            <w:r>
              <w:rPr>
                <w:rFonts w:ascii="Times New Roman" w:cs="Times New Roman" w:eastAsia="Times New Roman" w:hAnsi="Times New Roman"/>
                <w:sz w:val="11"/>
                <w:szCs w:val="11"/>
                <w:color w:val="auto"/>
              </w:rPr>
              <w:t>Reclassification of gain on investments into earnings</w:t>
            </w:r>
          </w:p>
        </w:tc>
        <w:tc>
          <w:tcPr>
            <w:tcW w:w="980" w:type="dxa"/>
            <w:vAlign w:val="bottom"/>
            <w:gridSpan w:val="2"/>
            <w:shd w:val="clear" w:color="auto" w:fill="CC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F0FC"/>
          </w:tcPr>
          <w:p>
            <w:pPr>
              <w:spacing w:after="0"/>
              <w:rPr>
                <w:sz w:val="11"/>
                <w:szCs w:val="11"/>
                <w:color w:val="auto"/>
              </w:rPr>
            </w:pPr>
          </w:p>
        </w:tc>
        <w:tc>
          <w:tcPr>
            <w:tcW w:w="860" w:type="dxa"/>
            <w:vAlign w:val="bottom"/>
            <w:gridSpan w:val="2"/>
            <w:shd w:val="clear" w:color="auto" w:fill="CC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shd w:val="clear" w:color="auto" w:fill="CC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F0FC"/>
          </w:tcPr>
          <w:p>
            <w:pPr>
              <w:spacing w:after="0"/>
              <w:rPr>
                <w:sz w:val="11"/>
                <w:szCs w:val="11"/>
                <w:color w:val="auto"/>
              </w:rPr>
            </w:pPr>
          </w:p>
        </w:tc>
        <w:tc>
          <w:tcPr>
            <w:tcW w:w="760" w:type="dxa"/>
            <w:vAlign w:val="bottom"/>
            <w:gridSpan w:val="2"/>
            <w:shd w:val="clear" w:color="auto" w:fill="CC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F0FC"/>
          </w:tcPr>
          <w:p>
            <w:pPr>
              <w:spacing w:after="0"/>
              <w:rPr>
                <w:sz w:val="11"/>
                <w:szCs w:val="11"/>
                <w:color w:val="auto"/>
              </w:rPr>
            </w:pPr>
          </w:p>
        </w:tc>
        <w:tc>
          <w:tcPr>
            <w:tcW w:w="80" w:type="dxa"/>
            <w:vAlign w:val="bottom"/>
            <w:shd w:val="clear" w:color="auto" w:fill="CCF0FC"/>
          </w:tcPr>
          <w:p>
            <w:pPr>
              <w:spacing w:after="0"/>
              <w:rPr>
                <w:sz w:val="11"/>
                <w:szCs w:val="11"/>
                <w:color w:val="auto"/>
              </w:rPr>
            </w:pPr>
          </w:p>
        </w:tc>
        <w:tc>
          <w:tcPr>
            <w:tcW w:w="860" w:type="dxa"/>
            <w:vAlign w:val="bottom"/>
            <w:gridSpan w:val="2"/>
            <w:shd w:val="clear" w:color="auto" w:fill="CC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F0FC"/>
          </w:tcPr>
          <w:p>
            <w:pPr>
              <w:spacing w:after="0"/>
              <w:rPr>
                <w:sz w:val="11"/>
                <w:szCs w:val="11"/>
                <w:color w:val="auto"/>
              </w:rPr>
            </w:pPr>
          </w:p>
        </w:tc>
        <w:tc>
          <w:tcPr>
            <w:tcW w:w="840" w:type="dxa"/>
            <w:vAlign w:val="bottom"/>
            <w:gridSpan w:val="2"/>
            <w:shd w:val="clear" w:color="auto" w:fill="CC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F0FC"/>
          </w:tcPr>
          <w:p>
            <w:pPr>
              <w:spacing w:after="0"/>
              <w:rPr>
                <w:sz w:val="11"/>
                <w:szCs w:val="11"/>
                <w:color w:val="auto"/>
              </w:rPr>
            </w:pPr>
          </w:p>
        </w:tc>
        <w:tc>
          <w:tcPr>
            <w:tcW w:w="62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1"/>
                <w:szCs w:val="11"/>
                <w:color w:val="auto"/>
              </w:rPr>
              <w:t>39</w:t>
            </w:r>
          </w:p>
        </w:tc>
        <w:tc>
          <w:tcPr>
            <w:tcW w:w="200" w:type="dxa"/>
            <w:vAlign w:val="bottom"/>
            <w:shd w:val="clear" w:color="auto" w:fill="CCF0FC"/>
          </w:tcPr>
          <w:p>
            <w:pPr>
              <w:spacing w:after="0"/>
              <w:rPr>
                <w:sz w:val="11"/>
                <w:szCs w:val="11"/>
                <w:color w:val="auto"/>
              </w:rPr>
            </w:pPr>
          </w:p>
        </w:tc>
        <w:tc>
          <w:tcPr>
            <w:tcW w:w="20" w:type="dxa"/>
            <w:vAlign w:val="bottom"/>
            <w:shd w:val="clear" w:color="auto" w:fill="CCF0FC"/>
          </w:tcPr>
          <w:p>
            <w:pPr>
              <w:spacing w:after="0"/>
              <w:rPr>
                <w:sz w:val="11"/>
                <w:szCs w:val="11"/>
                <w:color w:val="auto"/>
              </w:rPr>
            </w:pPr>
          </w:p>
        </w:tc>
        <w:tc>
          <w:tcPr>
            <w:tcW w:w="100" w:type="dxa"/>
            <w:vAlign w:val="bottom"/>
            <w:shd w:val="clear" w:color="auto" w:fill="CCF0FC"/>
          </w:tcPr>
          <w:p>
            <w:pPr>
              <w:spacing w:after="0"/>
              <w:rPr>
                <w:sz w:val="11"/>
                <w:szCs w:val="11"/>
                <w:color w:val="auto"/>
              </w:rPr>
            </w:pPr>
          </w:p>
        </w:tc>
        <w:tc>
          <w:tcPr>
            <w:tcW w:w="58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1"/>
                <w:szCs w:val="11"/>
                <w:color w:val="auto"/>
              </w:rPr>
              <w:t>39</w:t>
            </w:r>
          </w:p>
        </w:tc>
        <w:tc>
          <w:tcPr>
            <w:tcW w:w="40" w:type="dxa"/>
            <w:vAlign w:val="bottom"/>
            <w:shd w:val="clear" w:color="auto" w:fill="CCF0F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9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Unrealized gain on investments, net of tax</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(23)</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(23)</w:t>
            </w:r>
          </w:p>
        </w:tc>
        <w:tc>
          <w:tcPr>
            <w:tcW w:w="0" w:type="dxa"/>
            <w:vAlign w:val="bottom"/>
          </w:tcPr>
          <w:p>
            <w:pPr>
              <w:spacing w:after="0"/>
              <w:rPr>
                <w:sz w:val="1"/>
                <w:szCs w:val="1"/>
                <w:color w:val="auto"/>
              </w:rPr>
            </w:pPr>
          </w:p>
        </w:tc>
      </w:tr>
      <w:tr>
        <w:trPr>
          <w:trHeight w:val="117"/>
        </w:trPr>
        <w:tc>
          <w:tcPr>
            <w:tcW w:w="3980" w:type="dxa"/>
            <w:vAlign w:val="bottom"/>
            <w:tcBorders>
              <w:top w:val="single" w:sz="8" w:color="CCF0FC"/>
              <w:bottom w:val="single" w:sz="8" w:color="CCF0FC"/>
            </w:tcBorders>
            <w:shd w:val="clear" w:color="auto" w:fill="CCF0FC"/>
          </w:tcPr>
          <w:p>
            <w:pPr>
              <w:spacing w:after="0" w:line="118" w:lineRule="exact"/>
              <w:rPr>
                <w:sz w:val="20"/>
                <w:szCs w:val="20"/>
                <w:color w:val="auto"/>
              </w:rPr>
            </w:pPr>
            <w:r>
              <w:rPr>
                <w:rFonts w:ascii="Times New Roman" w:cs="Times New Roman" w:eastAsia="Times New Roman" w:hAnsi="Times New Roman"/>
                <w:sz w:val="11"/>
                <w:szCs w:val="11"/>
                <w:color w:val="auto"/>
              </w:rPr>
              <w:t>Balances, March 31, 2018</w:t>
            </w:r>
          </w:p>
        </w:tc>
        <w:tc>
          <w:tcPr>
            <w:tcW w:w="740" w:type="dxa"/>
            <w:vAlign w:val="bottom"/>
            <w:tcBorders>
              <w:top w:val="single" w:sz="8" w:color="auto"/>
              <w:bottom w:val="single" w:sz="8" w:color="auto"/>
            </w:tcBorders>
            <w:shd w:val="clear" w:color="auto" w:fill="CCF0FC"/>
          </w:tcPr>
          <w:p>
            <w:pPr>
              <w:jc w:val="right"/>
              <w:spacing w:after="0" w:line="118" w:lineRule="exact"/>
              <w:rPr>
                <w:sz w:val="20"/>
                <w:szCs w:val="20"/>
                <w:color w:val="auto"/>
              </w:rPr>
            </w:pPr>
            <w:r>
              <w:rPr>
                <w:rFonts w:ascii="Times New Roman" w:cs="Times New Roman" w:eastAsia="Times New Roman" w:hAnsi="Times New Roman"/>
                <w:sz w:val="11"/>
                <w:szCs w:val="11"/>
                <w:color w:val="auto"/>
              </w:rPr>
              <w:t>17,109,949</w:t>
            </w:r>
          </w:p>
        </w:tc>
        <w:tc>
          <w:tcPr>
            <w:tcW w:w="240" w:type="dxa"/>
            <w:vAlign w:val="bottom"/>
            <w:tcBorders>
              <w:top w:val="single" w:sz="8" w:color="CCF0FC"/>
              <w:bottom w:val="single" w:sz="8" w:color="CCF0FC"/>
            </w:tcBorders>
            <w:shd w:val="clear" w:color="auto" w:fill="CCF0FC"/>
          </w:tcPr>
          <w:p>
            <w:pPr>
              <w:spacing w:after="0"/>
              <w:rPr>
                <w:sz w:val="10"/>
                <w:szCs w:val="10"/>
                <w:color w:val="auto"/>
              </w:rPr>
            </w:pPr>
          </w:p>
        </w:tc>
        <w:tc>
          <w:tcPr>
            <w:tcW w:w="120" w:type="dxa"/>
            <w:vAlign w:val="bottom"/>
            <w:tcBorders>
              <w:top w:val="single" w:sz="8" w:color="auto"/>
              <w:bottom w:val="single" w:sz="8" w:color="auto"/>
            </w:tcBorders>
            <w:shd w:val="clear" w:color="auto" w:fill="CCF0FC"/>
          </w:tcPr>
          <w:p>
            <w:pPr>
              <w:spacing w:after="0"/>
              <w:rPr>
                <w:sz w:val="10"/>
                <w:szCs w:val="10"/>
                <w:color w:val="auto"/>
              </w:rPr>
            </w:pPr>
          </w:p>
        </w:tc>
        <w:tc>
          <w:tcPr>
            <w:tcW w:w="620" w:type="dxa"/>
            <w:vAlign w:val="bottom"/>
            <w:tcBorders>
              <w:top w:val="single" w:sz="8" w:color="auto"/>
              <w:bottom w:val="single" w:sz="8" w:color="auto"/>
            </w:tcBorders>
            <w:shd w:val="clear" w:color="auto" w:fill="CCF0FC"/>
          </w:tcPr>
          <w:p>
            <w:pPr>
              <w:jc w:val="right"/>
              <w:spacing w:after="0" w:line="118" w:lineRule="exact"/>
              <w:rPr>
                <w:sz w:val="20"/>
                <w:szCs w:val="20"/>
                <w:color w:val="auto"/>
              </w:rPr>
            </w:pPr>
            <w:r>
              <w:rPr>
                <w:rFonts w:ascii="Times New Roman" w:cs="Times New Roman" w:eastAsia="Times New Roman" w:hAnsi="Times New Roman"/>
                <w:sz w:val="11"/>
                <w:szCs w:val="11"/>
                <w:color w:val="auto"/>
              </w:rPr>
              <w:t>17</w:t>
            </w:r>
          </w:p>
        </w:tc>
        <w:tc>
          <w:tcPr>
            <w:tcW w:w="240" w:type="dxa"/>
            <w:vAlign w:val="bottom"/>
            <w:tcBorders>
              <w:top w:val="single" w:sz="8" w:color="CCF0FC"/>
              <w:bottom w:val="single" w:sz="8" w:color="CCF0FC"/>
            </w:tcBorders>
            <w:shd w:val="clear" w:color="auto" w:fill="CCF0FC"/>
          </w:tcPr>
          <w:p>
            <w:pPr>
              <w:spacing w:after="0"/>
              <w:rPr>
                <w:sz w:val="10"/>
                <w:szCs w:val="10"/>
                <w:color w:val="auto"/>
              </w:rPr>
            </w:pPr>
          </w:p>
        </w:tc>
        <w:tc>
          <w:tcPr>
            <w:tcW w:w="740" w:type="dxa"/>
            <w:vAlign w:val="bottom"/>
            <w:tcBorders>
              <w:top w:val="single" w:sz="8" w:color="auto"/>
              <w:bottom w:val="single" w:sz="8" w:color="auto"/>
            </w:tcBorders>
            <w:shd w:val="clear" w:color="auto" w:fill="CCF0FC"/>
          </w:tcPr>
          <w:p>
            <w:pPr>
              <w:jc w:val="right"/>
              <w:spacing w:after="0" w:line="118" w:lineRule="exact"/>
              <w:rPr>
                <w:sz w:val="20"/>
                <w:szCs w:val="20"/>
                <w:color w:val="auto"/>
              </w:rPr>
            </w:pPr>
            <w:r>
              <w:rPr>
                <w:rFonts w:ascii="Times New Roman" w:cs="Times New Roman" w:eastAsia="Times New Roman" w:hAnsi="Times New Roman"/>
                <w:sz w:val="11"/>
                <w:szCs w:val="11"/>
                <w:color w:val="auto"/>
              </w:rPr>
              <w:t>236,131</w:t>
            </w:r>
          </w:p>
        </w:tc>
        <w:tc>
          <w:tcPr>
            <w:tcW w:w="240" w:type="dxa"/>
            <w:vAlign w:val="bottom"/>
            <w:tcBorders>
              <w:top w:val="single" w:sz="8" w:color="CCF0FC"/>
              <w:bottom w:val="single" w:sz="8" w:color="CCF0FC"/>
            </w:tcBorders>
            <w:shd w:val="clear" w:color="auto" w:fill="CCF0FC"/>
          </w:tcPr>
          <w:p>
            <w:pPr>
              <w:spacing w:after="0"/>
              <w:rPr>
                <w:sz w:val="10"/>
                <w:szCs w:val="10"/>
                <w:color w:val="auto"/>
              </w:rPr>
            </w:pPr>
          </w:p>
        </w:tc>
        <w:tc>
          <w:tcPr>
            <w:tcW w:w="120" w:type="dxa"/>
            <w:vAlign w:val="bottom"/>
            <w:tcBorders>
              <w:top w:val="single" w:sz="8" w:color="auto"/>
              <w:bottom w:val="single" w:sz="8" w:color="auto"/>
            </w:tcBorders>
            <w:shd w:val="clear" w:color="auto" w:fill="CCF0FC"/>
          </w:tcPr>
          <w:p>
            <w:pPr>
              <w:jc w:val="right"/>
              <w:ind w:right="4"/>
              <w:spacing w:after="0" w:line="118"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F0FC"/>
          </w:tcPr>
          <w:p>
            <w:pPr>
              <w:jc w:val="right"/>
              <w:spacing w:after="0" w:line="118" w:lineRule="exact"/>
              <w:rPr>
                <w:sz w:val="20"/>
                <w:szCs w:val="20"/>
                <w:color w:val="auto"/>
              </w:rPr>
            </w:pPr>
            <w:r>
              <w:rPr>
                <w:rFonts w:ascii="Times New Roman" w:cs="Times New Roman" w:eastAsia="Times New Roman" w:hAnsi="Times New Roman"/>
                <w:sz w:val="11"/>
                <w:szCs w:val="11"/>
                <w:color w:val="auto"/>
              </w:rPr>
              <w:t>(11,686)</w:t>
            </w:r>
          </w:p>
        </w:tc>
        <w:tc>
          <w:tcPr>
            <w:tcW w:w="120" w:type="dxa"/>
            <w:vAlign w:val="bottom"/>
            <w:tcBorders>
              <w:top w:val="single" w:sz="8" w:color="CCF0FC"/>
              <w:bottom w:val="single" w:sz="8" w:color="CCF0FC"/>
            </w:tcBorders>
            <w:shd w:val="clear" w:color="auto" w:fill="CCF0FC"/>
          </w:tcPr>
          <w:p>
            <w:pPr>
              <w:spacing w:after="0"/>
              <w:rPr>
                <w:sz w:val="10"/>
                <w:szCs w:val="10"/>
                <w:color w:val="auto"/>
              </w:rPr>
            </w:pPr>
          </w:p>
        </w:tc>
        <w:tc>
          <w:tcPr>
            <w:tcW w:w="80" w:type="dxa"/>
            <w:vAlign w:val="bottom"/>
            <w:tcBorders>
              <w:top w:val="single" w:sz="8" w:color="CCF0FC"/>
              <w:bottom w:val="single" w:sz="8" w:color="CCF0FC"/>
            </w:tcBorders>
            <w:shd w:val="clear" w:color="auto" w:fill="CCF0FC"/>
          </w:tcPr>
          <w:p>
            <w:pPr>
              <w:spacing w:after="0"/>
              <w:rPr>
                <w:sz w:val="10"/>
                <w:szCs w:val="10"/>
                <w:color w:val="auto"/>
              </w:rPr>
            </w:pPr>
          </w:p>
        </w:tc>
        <w:tc>
          <w:tcPr>
            <w:tcW w:w="80" w:type="dxa"/>
            <w:vAlign w:val="bottom"/>
            <w:tcBorders>
              <w:top w:val="single" w:sz="8" w:color="auto"/>
              <w:bottom w:val="single" w:sz="8" w:color="auto"/>
            </w:tcBorders>
            <w:shd w:val="clear" w:color="auto" w:fill="CCF0FC"/>
          </w:tcPr>
          <w:p>
            <w:pPr>
              <w:jc w:val="right"/>
              <w:spacing w:after="0" w:line="118"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F0FC"/>
          </w:tcPr>
          <w:p>
            <w:pPr>
              <w:jc w:val="right"/>
              <w:spacing w:after="0" w:line="118" w:lineRule="exact"/>
              <w:rPr>
                <w:sz w:val="20"/>
                <w:szCs w:val="20"/>
                <w:color w:val="auto"/>
              </w:rPr>
            </w:pPr>
            <w:r>
              <w:rPr>
                <w:rFonts w:ascii="Times New Roman" w:cs="Times New Roman" w:eastAsia="Times New Roman" w:hAnsi="Times New Roman"/>
                <w:sz w:val="11"/>
                <w:szCs w:val="11"/>
                <w:color w:val="auto"/>
              </w:rPr>
              <w:t>305,759</w:t>
            </w:r>
          </w:p>
        </w:tc>
        <w:tc>
          <w:tcPr>
            <w:tcW w:w="200" w:type="dxa"/>
            <w:vAlign w:val="bottom"/>
            <w:tcBorders>
              <w:top w:val="single" w:sz="8" w:color="CCF0FC"/>
              <w:bottom w:val="single" w:sz="8" w:color="CCF0FC"/>
            </w:tcBorders>
            <w:shd w:val="clear" w:color="auto" w:fill="CCF0FC"/>
          </w:tcPr>
          <w:p>
            <w:pPr>
              <w:spacing w:after="0"/>
              <w:rPr>
                <w:sz w:val="10"/>
                <w:szCs w:val="10"/>
                <w:color w:val="auto"/>
              </w:rPr>
            </w:pPr>
          </w:p>
        </w:tc>
        <w:tc>
          <w:tcPr>
            <w:tcW w:w="100" w:type="dxa"/>
            <w:vAlign w:val="bottom"/>
            <w:tcBorders>
              <w:top w:val="single" w:sz="8" w:color="auto"/>
              <w:bottom w:val="single" w:sz="8" w:color="auto"/>
            </w:tcBorders>
            <w:shd w:val="clear" w:color="auto" w:fill="CCF0FC"/>
          </w:tcPr>
          <w:p>
            <w:pPr>
              <w:jc w:val="right"/>
              <w:spacing w:after="0" w:line="118"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F0FC"/>
          </w:tcPr>
          <w:p>
            <w:pPr>
              <w:jc w:val="right"/>
              <w:spacing w:after="0" w:line="118" w:lineRule="exact"/>
              <w:rPr>
                <w:sz w:val="20"/>
                <w:szCs w:val="20"/>
                <w:color w:val="auto"/>
              </w:rPr>
            </w:pPr>
            <w:r>
              <w:rPr>
                <w:rFonts w:ascii="Times New Roman" w:cs="Times New Roman" w:eastAsia="Times New Roman" w:hAnsi="Times New Roman"/>
                <w:sz w:val="11"/>
                <w:szCs w:val="11"/>
                <w:color w:val="auto"/>
              </w:rPr>
              <w:t>(5,357)</w:t>
            </w:r>
          </w:p>
        </w:tc>
        <w:tc>
          <w:tcPr>
            <w:tcW w:w="200" w:type="dxa"/>
            <w:vAlign w:val="bottom"/>
            <w:tcBorders>
              <w:top w:val="single" w:sz="8" w:color="CCF0FC"/>
              <w:bottom w:val="single" w:sz="8" w:color="CCF0FC"/>
            </w:tcBorders>
            <w:shd w:val="clear" w:color="auto" w:fill="CCF0FC"/>
          </w:tcPr>
          <w:p>
            <w:pPr>
              <w:spacing w:after="0"/>
              <w:rPr>
                <w:sz w:val="10"/>
                <w:szCs w:val="10"/>
                <w:color w:val="auto"/>
              </w:rPr>
            </w:pPr>
          </w:p>
        </w:tc>
        <w:tc>
          <w:tcPr>
            <w:tcW w:w="140" w:type="dxa"/>
            <w:vAlign w:val="bottom"/>
            <w:tcBorders>
              <w:top w:val="single" w:sz="8" w:color="auto"/>
              <w:bottom w:val="single" w:sz="8" w:color="auto"/>
            </w:tcBorders>
            <w:shd w:val="clear" w:color="auto" w:fill="CCF0FC"/>
          </w:tcPr>
          <w:p>
            <w:pPr>
              <w:spacing w:after="0" w:line="118"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top w:val="single" w:sz="8" w:color="auto"/>
              <w:bottom w:val="single" w:sz="8" w:color="auto"/>
            </w:tcBorders>
            <w:shd w:val="clear" w:color="auto" w:fill="CCF0FC"/>
          </w:tcPr>
          <w:p>
            <w:pPr>
              <w:jc w:val="right"/>
              <w:spacing w:after="0" w:line="118" w:lineRule="exact"/>
              <w:rPr>
                <w:sz w:val="20"/>
                <w:szCs w:val="20"/>
                <w:color w:val="auto"/>
              </w:rPr>
            </w:pPr>
            <w:r>
              <w:rPr>
                <w:rFonts w:ascii="Times New Roman" w:cs="Times New Roman" w:eastAsia="Times New Roman" w:hAnsi="Times New Roman"/>
                <w:sz w:val="11"/>
                <w:szCs w:val="11"/>
                <w:color w:val="auto"/>
              </w:rPr>
              <w:t>(382)</w:t>
            </w:r>
          </w:p>
        </w:tc>
        <w:tc>
          <w:tcPr>
            <w:tcW w:w="200" w:type="dxa"/>
            <w:vAlign w:val="bottom"/>
            <w:tcBorders>
              <w:top w:val="single" w:sz="8" w:color="CCF0FC"/>
              <w:bottom w:val="single" w:sz="8" w:color="CCF0FC"/>
            </w:tcBorders>
            <w:shd w:val="clear" w:color="auto" w:fill="CCF0FC"/>
          </w:tcPr>
          <w:p>
            <w:pPr>
              <w:spacing w:after="0"/>
              <w:rPr>
                <w:sz w:val="10"/>
                <w:szCs w:val="10"/>
                <w:color w:val="auto"/>
              </w:rPr>
            </w:pPr>
          </w:p>
        </w:tc>
        <w:tc>
          <w:tcPr>
            <w:tcW w:w="20" w:type="dxa"/>
            <w:vAlign w:val="bottom"/>
            <w:tcBorders>
              <w:top w:val="single" w:sz="8" w:color="CCF0FC"/>
              <w:bottom w:val="single" w:sz="8" w:color="CCF0FC"/>
            </w:tcBorders>
            <w:shd w:val="clear" w:color="auto" w:fill="CCF0FC"/>
          </w:tcPr>
          <w:p>
            <w:pPr>
              <w:spacing w:after="0"/>
              <w:rPr>
                <w:sz w:val="10"/>
                <w:szCs w:val="10"/>
                <w:color w:val="auto"/>
              </w:rPr>
            </w:pPr>
          </w:p>
        </w:tc>
        <w:tc>
          <w:tcPr>
            <w:tcW w:w="100" w:type="dxa"/>
            <w:vAlign w:val="bottom"/>
            <w:tcBorders>
              <w:top w:val="single" w:sz="8" w:color="auto"/>
              <w:bottom w:val="single" w:sz="8" w:color="auto"/>
            </w:tcBorders>
            <w:shd w:val="clear" w:color="auto" w:fill="CCF0FC"/>
          </w:tcPr>
          <w:p>
            <w:pPr>
              <w:spacing w:after="0" w:line="118"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bottom w:val="single" w:sz="8" w:color="auto"/>
            </w:tcBorders>
            <w:shd w:val="clear" w:color="auto" w:fill="CCF0FC"/>
          </w:tcPr>
          <w:p>
            <w:pPr>
              <w:jc w:val="right"/>
              <w:spacing w:after="0" w:line="118" w:lineRule="exact"/>
              <w:rPr>
                <w:sz w:val="20"/>
                <w:szCs w:val="20"/>
                <w:color w:val="auto"/>
              </w:rPr>
            </w:pPr>
            <w:r>
              <w:rPr>
                <w:rFonts w:ascii="Times New Roman" w:cs="Times New Roman" w:eastAsia="Times New Roman" w:hAnsi="Times New Roman"/>
                <w:sz w:val="11"/>
                <w:szCs w:val="11"/>
                <w:color w:val="auto"/>
              </w:rPr>
              <w:t>288,351</w:t>
            </w:r>
          </w:p>
        </w:tc>
        <w:tc>
          <w:tcPr>
            <w:tcW w:w="40" w:type="dxa"/>
            <w:vAlign w:val="bottom"/>
            <w:tcBorders>
              <w:top w:val="single" w:sz="8" w:color="CCF0FC"/>
              <w:bottom w:val="single" w:sz="8" w:color="CCF0FC"/>
            </w:tcBorders>
            <w:shd w:val="clear" w:color="auto" w:fill="CCF0FC"/>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Balances, December 31, 2018</w:t>
            </w: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3980" w:type="dxa"/>
            <w:vAlign w:val="bottom"/>
            <w:vMerge w:val="continue"/>
          </w:tcPr>
          <w:p>
            <w:pPr>
              <w:spacing w:after="0"/>
              <w:rPr>
                <w:sz w:val="8"/>
                <w:szCs w:val="8"/>
                <w:color w:val="auto"/>
              </w:rPr>
            </w:pPr>
          </w:p>
        </w:tc>
        <w:tc>
          <w:tcPr>
            <w:tcW w:w="740" w:type="dxa"/>
            <w:vAlign w:val="bottom"/>
            <w:tcBorders>
              <w:top w:val="single" w:sz="8" w:color="auto"/>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620" w:type="dxa"/>
            <w:vAlign w:val="bottom"/>
            <w:tcBorders>
              <w:top w:val="single" w:sz="8" w:color="auto"/>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Borders>
              <w:top w:val="single" w:sz="8" w:color="auto"/>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640" w:type="dxa"/>
            <w:vAlign w:val="bottom"/>
            <w:tcBorders>
              <w:top w:val="single" w:sz="8" w:color="auto"/>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660" w:type="dxa"/>
            <w:vAlign w:val="bottom"/>
            <w:tcBorders>
              <w:top w:val="single" w:sz="8" w:color="auto"/>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640" w:type="dxa"/>
            <w:vAlign w:val="bottom"/>
            <w:tcBorders>
              <w:top w:val="single" w:sz="8" w:color="auto"/>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620" w:type="dxa"/>
            <w:vAlign w:val="bottom"/>
            <w:tcBorders>
              <w:top w:val="single" w:sz="8" w:color="auto"/>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580" w:type="dxa"/>
            <w:vAlign w:val="bottom"/>
            <w:tcBorders>
              <w:top w:val="single" w:sz="8" w:color="auto"/>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98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3980" w:type="dxa"/>
            <w:vAlign w:val="bottom"/>
            <w:tcBorders>
              <w:bottom w:val="single" w:sz="8" w:color="CCF0FC"/>
            </w:tcBorders>
            <w:vMerge w:val="continue"/>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17,345,736</w:t>
            </w:r>
          </w:p>
        </w:tc>
        <w:tc>
          <w:tcPr>
            <w:tcW w:w="240" w:type="dxa"/>
            <w:vAlign w:val="bottom"/>
            <w:tcBorders>
              <w:bottom w:val="single" w:sz="8" w:color="CCF0FC"/>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4"/>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18</w:t>
            </w:r>
          </w:p>
        </w:tc>
        <w:tc>
          <w:tcPr>
            <w:tcW w:w="240" w:type="dxa"/>
            <w:vAlign w:val="bottom"/>
            <w:tcBorders>
              <w:bottom w:val="single" w:sz="8" w:color="CCF0FC"/>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411,892</w:t>
            </w:r>
          </w:p>
        </w:tc>
        <w:tc>
          <w:tcPr>
            <w:tcW w:w="240" w:type="dxa"/>
            <w:vAlign w:val="bottom"/>
            <w:tcBorders>
              <w:bottom w:val="single" w:sz="8" w:color="CCF0FC"/>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4"/>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(25,679)</w:t>
            </w:r>
          </w:p>
        </w:tc>
        <w:tc>
          <w:tcPr>
            <w:tcW w:w="120" w:type="dxa"/>
            <w:vAlign w:val="bottom"/>
            <w:tcBorders>
              <w:bottom w:val="single" w:sz="8" w:color="CCF0FC"/>
            </w:tcBorders>
          </w:tcPr>
          <w:p>
            <w:pPr>
              <w:spacing w:after="0"/>
              <w:rPr>
                <w:sz w:val="12"/>
                <w:szCs w:val="12"/>
                <w:color w:val="auto"/>
              </w:rPr>
            </w:pPr>
          </w:p>
        </w:tc>
        <w:tc>
          <w:tcPr>
            <w:tcW w:w="80" w:type="dxa"/>
            <w:vAlign w:val="bottom"/>
            <w:tcBorders>
              <w:bottom w:val="single" w:sz="8" w:color="CCF0FC"/>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332,592</w:t>
            </w:r>
          </w:p>
        </w:tc>
        <w:tc>
          <w:tcPr>
            <w:tcW w:w="200" w:type="dxa"/>
            <w:vAlign w:val="bottom"/>
            <w:tcBorders>
              <w:bottom w:val="single" w:sz="8" w:color="CCF0FC"/>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15,261</w:t>
            </w:r>
          </w:p>
        </w:tc>
        <w:tc>
          <w:tcPr>
            <w:tcW w:w="200" w:type="dxa"/>
            <w:vAlign w:val="bottom"/>
            <w:tcBorders>
              <w:bottom w:val="single" w:sz="8" w:color="CCF0FC"/>
            </w:tcBorders>
          </w:tcPr>
          <w:p>
            <w:pPr>
              <w:spacing w:after="0"/>
              <w:rPr>
                <w:sz w:val="12"/>
                <w:szCs w:val="12"/>
                <w:color w:val="auto"/>
              </w:rPr>
            </w:pPr>
          </w:p>
        </w:tc>
        <w:tc>
          <w:tcPr>
            <w:tcW w:w="140" w:type="dxa"/>
            <w:vAlign w:val="bottom"/>
            <w:tcBorders>
              <w:top w:val="single" w:sz="8" w:color="auto"/>
              <w:bottom w:val="single" w:sz="8" w:color="auto"/>
            </w:tcBorders>
          </w:tcPr>
          <w:p>
            <w:pPr>
              <w:spacing w:after="0" w:line="99"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(3,218)</w:t>
            </w:r>
          </w:p>
        </w:tc>
        <w:tc>
          <w:tcPr>
            <w:tcW w:w="200" w:type="dxa"/>
            <w:vAlign w:val="bottom"/>
            <w:tcBorders>
              <w:bottom w:val="single" w:sz="8" w:color="CCF0FC"/>
            </w:tcBorders>
          </w:tcPr>
          <w:p>
            <w:pPr>
              <w:spacing w:after="0"/>
              <w:rPr>
                <w:sz w:val="12"/>
                <w:szCs w:val="12"/>
                <w:color w:val="auto"/>
              </w:rPr>
            </w:pPr>
          </w:p>
        </w:tc>
        <w:tc>
          <w:tcPr>
            <w:tcW w:w="20" w:type="dxa"/>
            <w:vAlign w:val="bottom"/>
            <w:tcBorders>
              <w:bottom w:val="single" w:sz="8" w:color="CCF0FC"/>
            </w:tcBorders>
          </w:tcPr>
          <w:p>
            <w:pPr>
              <w:spacing w:after="0"/>
              <w:rPr>
                <w:sz w:val="12"/>
                <w:szCs w:val="12"/>
                <w:color w:val="auto"/>
              </w:rPr>
            </w:pPr>
          </w:p>
        </w:tc>
        <w:tc>
          <w:tcPr>
            <w:tcW w:w="100" w:type="dxa"/>
            <w:vAlign w:val="bottom"/>
            <w:tcBorders>
              <w:top w:val="single" w:sz="8" w:color="auto"/>
              <w:bottom w:val="single" w:sz="8" w:color="auto"/>
            </w:tcBorders>
          </w:tcPr>
          <w:p>
            <w:pPr>
              <w:spacing w:after="0" w:line="99"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318,974</w:t>
            </w:r>
          </w:p>
        </w:tc>
        <w:tc>
          <w:tcPr>
            <w:tcW w:w="40" w:type="dxa"/>
            <w:vAlign w:val="bottom"/>
            <w:tcBorders>
              <w:bottom w:val="single" w:sz="8" w:color="CCF0FC"/>
            </w:tcBorders>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3980" w:type="dxa"/>
            <w:vAlign w:val="bottom"/>
            <w:shd w:val="clear" w:color="auto" w:fill="CCF0FC"/>
          </w:tcPr>
          <w:p>
            <w:pPr>
              <w:ind w:left="100"/>
              <w:spacing w:after="0" w:line="99" w:lineRule="exact"/>
              <w:rPr>
                <w:sz w:val="20"/>
                <w:szCs w:val="20"/>
                <w:color w:val="auto"/>
              </w:rPr>
            </w:pPr>
            <w:r>
              <w:rPr>
                <w:rFonts w:ascii="Times New Roman" w:cs="Times New Roman" w:eastAsia="Times New Roman" w:hAnsi="Times New Roman"/>
                <w:sz w:val="11"/>
                <w:szCs w:val="11"/>
                <w:color w:val="auto"/>
              </w:rPr>
              <w:t>Stock-based compensation</w:t>
            </w:r>
          </w:p>
        </w:tc>
        <w:tc>
          <w:tcPr>
            <w:tcW w:w="740" w:type="dxa"/>
            <w:vAlign w:val="bottom"/>
            <w:shd w:val="clear" w:color="auto" w:fill="CCF0FC"/>
          </w:tcPr>
          <w:p>
            <w:pPr>
              <w:jc w:val="right"/>
              <w:spacing w:after="0" w:line="99"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F0FC"/>
          </w:tcPr>
          <w:p>
            <w:pPr>
              <w:spacing w:after="0"/>
              <w:rPr>
                <w:sz w:val="8"/>
                <w:szCs w:val="8"/>
                <w:color w:val="auto"/>
              </w:rPr>
            </w:pPr>
          </w:p>
        </w:tc>
        <w:tc>
          <w:tcPr>
            <w:tcW w:w="120" w:type="dxa"/>
            <w:vAlign w:val="bottom"/>
            <w:shd w:val="clear" w:color="auto" w:fill="CCF0FC"/>
          </w:tcPr>
          <w:p>
            <w:pPr>
              <w:spacing w:after="0"/>
              <w:rPr>
                <w:sz w:val="8"/>
                <w:szCs w:val="8"/>
                <w:color w:val="auto"/>
              </w:rPr>
            </w:pPr>
          </w:p>
        </w:tc>
        <w:tc>
          <w:tcPr>
            <w:tcW w:w="620" w:type="dxa"/>
            <w:vAlign w:val="bottom"/>
            <w:shd w:val="clear" w:color="auto" w:fill="CCF0FC"/>
          </w:tcPr>
          <w:p>
            <w:pPr>
              <w:jc w:val="right"/>
              <w:spacing w:after="0" w:line="99"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F0FC"/>
          </w:tcPr>
          <w:p>
            <w:pPr>
              <w:spacing w:after="0"/>
              <w:rPr>
                <w:sz w:val="8"/>
                <w:szCs w:val="8"/>
                <w:color w:val="auto"/>
              </w:rPr>
            </w:pPr>
          </w:p>
        </w:tc>
        <w:tc>
          <w:tcPr>
            <w:tcW w:w="740" w:type="dxa"/>
            <w:vAlign w:val="bottom"/>
            <w:shd w:val="clear" w:color="auto" w:fill="CCF0FC"/>
          </w:tcPr>
          <w:p>
            <w:pPr>
              <w:jc w:val="right"/>
              <w:spacing w:after="0" w:line="99"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F0FC"/>
          </w:tcPr>
          <w:p>
            <w:pPr>
              <w:spacing w:after="0"/>
              <w:rPr>
                <w:sz w:val="8"/>
                <w:szCs w:val="8"/>
                <w:color w:val="auto"/>
              </w:rPr>
            </w:pPr>
          </w:p>
        </w:tc>
        <w:tc>
          <w:tcPr>
            <w:tcW w:w="120" w:type="dxa"/>
            <w:vAlign w:val="bottom"/>
            <w:shd w:val="clear" w:color="auto" w:fill="CCF0FC"/>
          </w:tcPr>
          <w:p>
            <w:pPr>
              <w:spacing w:after="0"/>
              <w:rPr>
                <w:sz w:val="8"/>
                <w:szCs w:val="8"/>
                <w:color w:val="auto"/>
              </w:rPr>
            </w:pPr>
          </w:p>
        </w:tc>
        <w:tc>
          <w:tcPr>
            <w:tcW w:w="640" w:type="dxa"/>
            <w:vAlign w:val="bottom"/>
            <w:shd w:val="clear" w:color="auto" w:fill="CCF0FC"/>
          </w:tcPr>
          <w:p>
            <w:pPr>
              <w:jc w:val="right"/>
              <w:spacing w:after="0" w:line="9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F0FC"/>
          </w:tcPr>
          <w:p>
            <w:pPr>
              <w:spacing w:after="0"/>
              <w:rPr>
                <w:sz w:val="8"/>
                <w:szCs w:val="8"/>
                <w:color w:val="auto"/>
              </w:rPr>
            </w:pPr>
          </w:p>
        </w:tc>
        <w:tc>
          <w:tcPr>
            <w:tcW w:w="80" w:type="dxa"/>
            <w:vAlign w:val="bottom"/>
            <w:shd w:val="clear" w:color="auto" w:fill="CCF0FC"/>
          </w:tcPr>
          <w:p>
            <w:pPr>
              <w:spacing w:after="0"/>
              <w:rPr>
                <w:sz w:val="8"/>
                <w:szCs w:val="8"/>
                <w:color w:val="auto"/>
              </w:rPr>
            </w:pPr>
          </w:p>
        </w:tc>
        <w:tc>
          <w:tcPr>
            <w:tcW w:w="80" w:type="dxa"/>
            <w:vAlign w:val="bottom"/>
            <w:shd w:val="clear" w:color="auto" w:fill="CCF0FC"/>
          </w:tcPr>
          <w:p>
            <w:pPr>
              <w:spacing w:after="0"/>
              <w:rPr>
                <w:sz w:val="8"/>
                <w:szCs w:val="8"/>
                <w:color w:val="auto"/>
              </w:rPr>
            </w:pPr>
          </w:p>
        </w:tc>
        <w:tc>
          <w:tcPr>
            <w:tcW w:w="660" w:type="dxa"/>
            <w:vAlign w:val="bottom"/>
            <w:shd w:val="clear" w:color="auto" w:fill="CCF0FC"/>
          </w:tcPr>
          <w:p>
            <w:pPr>
              <w:jc w:val="right"/>
              <w:spacing w:after="0" w:line="99" w:lineRule="exact"/>
              <w:rPr>
                <w:sz w:val="20"/>
                <w:szCs w:val="20"/>
                <w:color w:val="auto"/>
              </w:rPr>
            </w:pPr>
            <w:r>
              <w:rPr>
                <w:rFonts w:ascii="Times New Roman" w:cs="Times New Roman" w:eastAsia="Times New Roman" w:hAnsi="Times New Roman"/>
                <w:sz w:val="11"/>
                <w:szCs w:val="11"/>
                <w:color w:val="auto"/>
              </w:rPr>
              <w:t>4,966</w:t>
            </w:r>
          </w:p>
        </w:tc>
        <w:tc>
          <w:tcPr>
            <w:tcW w:w="200" w:type="dxa"/>
            <w:vAlign w:val="bottom"/>
            <w:shd w:val="clear" w:color="auto" w:fill="CCF0FC"/>
          </w:tcPr>
          <w:p>
            <w:pPr>
              <w:spacing w:after="0"/>
              <w:rPr>
                <w:sz w:val="8"/>
                <w:szCs w:val="8"/>
                <w:color w:val="auto"/>
              </w:rPr>
            </w:pPr>
          </w:p>
        </w:tc>
        <w:tc>
          <w:tcPr>
            <w:tcW w:w="100" w:type="dxa"/>
            <w:vAlign w:val="bottom"/>
            <w:shd w:val="clear" w:color="auto" w:fill="CCF0FC"/>
          </w:tcPr>
          <w:p>
            <w:pPr>
              <w:spacing w:after="0"/>
              <w:rPr>
                <w:sz w:val="8"/>
                <w:szCs w:val="8"/>
                <w:color w:val="auto"/>
              </w:rPr>
            </w:pPr>
          </w:p>
        </w:tc>
        <w:tc>
          <w:tcPr>
            <w:tcW w:w="640" w:type="dxa"/>
            <w:vAlign w:val="bottom"/>
            <w:shd w:val="clear" w:color="auto" w:fill="CCF0FC"/>
          </w:tcPr>
          <w:p>
            <w:pPr>
              <w:jc w:val="right"/>
              <w:spacing w:after="0" w:line="9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F0FC"/>
          </w:tcPr>
          <w:p>
            <w:pPr>
              <w:spacing w:after="0"/>
              <w:rPr>
                <w:sz w:val="8"/>
                <w:szCs w:val="8"/>
                <w:color w:val="auto"/>
              </w:rPr>
            </w:pPr>
          </w:p>
        </w:tc>
        <w:tc>
          <w:tcPr>
            <w:tcW w:w="140" w:type="dxa"/>
            <w:vAlign w:val="bottom"/>
            <w:shd w:val="clear" w:color="auto" w:fill="CCF0FC"/>
          </w:tcPr>
          <w:p>
            <w:pPr>
              <w:spacing w:after="0"/>
              <w:rPr>
                <w:sz w:val="8"/>
                <w:szCs w:val="8"/>
                <w:color w:val="auto"/>
              </w:rPr>
            </w:pPr>
          </w:p>
        </w:tc>
        <w:tc>
          <w:tcPr>
            <w:tcW w:w="620" w:type="dxa"/>
            <w:vAlign w:val="bottom"/>
            <w:shd w:val="clear" w:color="auto" w:fill="CCF0FC"/>
          </w:tcPr>
          <w:p>
            <w:pPr>
              <w:jc w:val="right"/>
              <w:spacing w:after="0" w:line="9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F0FC"/>
          </w:tcPr>
          <w:p>
            <w:pPr>
              <w:spacing w:after="0"/>
              <w:rPr>
                <w:sz w:val="8"/>
                <w:szCs w:val="8"/>
                <w:color w:val="auto"/>
              </w:rPr>
            </w:pPr>
          </w:p>
        </w:tc>
        <w:tc>
          <w:tcPr>
            <w:tcW w:w="20" w:type="dxa"/>
            <w:vAlign w:val="bottom"/>
            <w:shd w:val="clear" w:color="auto" w:fill="CCF0FC"/>
          </w:tcPr>
          <w:p>
            <w:pPr>
              <w:spacing w:after="0"/>
              <w:rPr>
                <w:sz w:val="8"/>
                <w:szCs w:val="8"/>
                <w:color w:val="auto"/>
              </w:rPr>
            </w:pPr>
          </w:p>
        </w:tc>
        <w:tc>
          <w:tcPr>
            <w:tcW w:w="100" w:type="dxa"/>
            <w:vAlign w:val="bottom"/>
            <w:shd w:val="clear" w:color="auto" w:fill="CCF0FC"/>
          </w:tcPr>
          <w:p>
            <w:pPr>
              <w:spacing w:after="0"/>
              <w:rPr>
                <w:sz w:val="8"/>
                <w:szCs w:val="8"/>
                <w:color w:val="auto"/>
              </w:rPr>
            </w:pPr>
          </w:p>
        </w:tc>
        <w:tc>
          <w:tcPr>
            <w:tcW w:w="580" w:type="dxa"/>
            <w:vAlign w:val="bottom"/>
            <w:shd w:val="clear" w:color="auto" w:fill="CCF0FC"/>
          </w:tcPr>
          <w:p>
            <w:pPr>
              <w:jc w:val="right"/>
              <w:spacing w:after="0" w:line="99" w:lineRule="exact"/>
              <w:rPr>
                <w:sz w:val="20"/>
                <w:szCs w:val="20"/>
                <w:color w:val="auto"/>
              </w:rPr>
            </w:pPr>
            <w:r>
              <w:rPr>
                <w:rFonts w:ascii="Times New Roman" w:cs="Times New Roman" w:eastAsia="Times New Roman" w:hAnsi="Times New Roman"/>
                <w:sz w:val="11"/>
                <w:szCs w:val="11"/>
                <w:color w:val="auto"/>
              </w:rPr>
              <w:t>4,966</w:t>
            </w:r>
          </w:p>
        </w:tc>
        <w:tc>
          <w:tcPr>
            <w:tcW w:w="40" w:type="dxa"/>
            <w:vAlign w:val="bottom"/>
            <w:shd w:val="clear" w:color="auto" w:fill="CCF0FC"/>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39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Exercise of stock options and issuance of restricted stock</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158,439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2,472</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2,472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980" w:type="dxa"/>
            <w:vAlign w:val="bottom"/>
            <w:shd w:val="clear" w:color="auto" w:fill="CCF0FC"/>
          </w:tcPr>
          <w:p>
            <w:pPr>
              <w:ind w:left="100"/>
              <w:spacing w:after="0"/>
              <w:rPr>
                <w:sz w:val="20"/>
                <w:szCs w:val="20"/>
                <w:color w:val="auto"/>
              </w:rPr>
            </w:pPr>
            <w:r>
              <w:rPr>
                <w:rFonts w:ascii="Times New Roman" w:cs="Times New Roman" w:eastAsia="Times New Roman" w:hAnsi="Times New Roman"/>
                <w:sz w:val="11"/>
                <w:szCs w:val="11"/>
                <w:color w:val="auto"/>
              </w:rPr>
              <w:t>Repurchases of common stock</w:t>
            </w:r>
          </w:p>
        </w:tc>
        <w:tc>
          <w:tcPr>
            <w:tcW w:w="980" w:type="dxa"/>
            <w:vAlign w:val="bottom"/>
            <w:gridSpan w:val="2"/>
            <w:shd w:val="clear" w:color="auto" w:fill="CCF0FC"/>
          </w:tcPr>
          <w:p>
            <w:pPr>
              <w:jc w:val="right"/>
              <w:ind w:right="200"/>
              <w:spacing w:after="0"/>
              <w:rPr>
                <w:sz w:val="20"/>
                <w:szCs w:val="20"/>
                <w:color w:val="auto"/>
              </w:rPr>
            </w:pPr>
            <w:r>
              <w:rPr>
                <w:rFonts w:ascii="Times New Roman" w:cs="Times New Roman" w:eastAsia="Times New Roman" w:hAnsi="Times New Roman"/>
                <w:sz w:val="11"/>
                <w:szCs w:val="11"/>
                <w:color w:val="auto"/>
              </w:rPr>
              <w:t>(33,732)</w:t>
            </w:r>
          </w:p>
        </w:tc>
        <w:tc>
          <w:tcPr>
            <w:tcW w:w="120" w:type="dxa"/>
            <w:vAlign w:val="bottom"/>
            <w:shd w:val="clear" w:color="auto" w:fill="CCF0FC"/>
          </w:tcPr>
          <w:p>
            <w:pPr>
              <w:spacing w:after="0"/>
              <w:rPr>
                <w:sz w:val="11"/>
                <w:szCs w:val="11"/>
                <w:color w:val="auto"/>
              </w:rPr>
            </w:pPr>
          </w:p>
        </w:tc>
        <w:tc>
          <w:tcPr>
            <w:tcW w:w="860" w:type="dxa"/>
            <w:vAlign w:val="bottom"/>
            <w:gridSpan w:val="2"/>
            <w:shd w:val="clear" w:color="auto" w:fill="CC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1"/>
                <w:szCs w:val="11"/>
                <w:color w:val="auto"/>
              </w:rPr>
              <w:t>33,732</w:t>
            </w:r>
          </w:p>
        </w:tc>
        <w:tc>
          <w:tcPr>
            <w:tcW w:w="240" w:type="dxa"/>
            <w:vAlign w:val="bottom"/>
            <w:shd w:val="clear" w:color="auto" w:fill="CCF0FC"/>
          </w:tcPr>
          <w:p>
            <w:pPr>
              <w:spacing w:after="0"/>
              <w:rPr>
                <w:sz w:val="11"/>
                <w:szCs w:val="11"/>
                <w:color w:val="auto"/>
              </w:rPr>
            </w:pPr>
          </w:p>
        </w:tc>
        <w:tc>
          <w:tcPr>
            <w:tcW w:w="120" w:type="dxa"/>
            <w:vAlign w:val="bottom"/>
            <w:shd w:val="clear" w:color="auto" w:fill="CCF0FC"/>
          </w:tcPr>
          <w:p>
            <w:pPr>
              <w:spacing w:after="0"/>
              <w:rPr>
                <w:sz w:val="11"/>
                <w:szCs w:val="11"/>
                <w:color w:val="auto"/>
              </w:rPr>
            </w:pPr>
          </w:p>
        </w:tc>
        <w:tc>
          <w:tcPr>
            <w:tcW w:w="760" w:type="dxa"/>
            <w:vAlign w:val="bottom"/>
            <w:gridSpan w:val="2"/>
            <w:shd w:val="clear" w:color="auto" w:fill="CCF0FC"/>
          </w:tcPr>
          <w:p>
            <w:pPr>
              <w:jc w:val="right"/>
              <w:ind w:right="100"/>
              <w:spacing w:after="0"/>
              <w:rPr>
                <w:sz w:val="20"/>
                <w:szCs w:val="20"/>
                <w:color w:val="auto"/>
              </w:rPr>
            </w:pPr>
            <w:r>
              <w:rPr>
                <w:rFonts w:ascii="Times New Roman" w:cs="Times New Roman" w:eastAsia="Times New Roman" w:hAnsi="Times New Roman"/>
                <w:sz w:val="11"/>
                <w:szCs w:val="11"/>
                <w:color w:val="auto"/>
              </w:rPr>
              <w:t>(2,966)</w:t>
            </w:r>
          </w:p>
        </w:tc>
        <w:tc>
          <w:tcPr>
            <w:tcW w:w="80" w:type="dxa"/>
            <w:vAlign w:val="bottom"/>
            <w:shd w:val="clear" w:color="auto" w:fill="CCF0FC"/>
          </w:tcPr>
          <w:p>
            <w:pPr>
              <w:spacing w:after="0"/>
              <w:rPr>
                <w:sz w:val="11"/>
                <w:szCs w:val="11"/>
                <w:color w:val="auto"/>
              </w:rPr>
            </w:pPr>
          </w:p>
        </w:tc>
        <w:tc>
          <w:tcPr>
            <w:tcW w:w="80" w:type="dxa"/>
            <w:vAlign w:val="bottom"/>
            <w:shd w:val="clear" w:color="auto" w:fill="CCF0FC"/>
          </w:tcPr>
          <w:p>
            <w:pPr>
              <w:spacing w:after="0"/>
              <w:rPr>
                <w:sz w:val="11"/>
                <w:szCs w:val="11"/>
                <w:color w:val="auto"/>
              </w:rPr>
            </w:pPr>
          </w:p>
        </w:tc>
        <w:tc>
          <w:tcPr>
            <w:tcW w:w="860" w:type="dxa"/>
            <w:vAlign w:val="bottom"/>
            <w:gridSpan w:val="2"/>
            <w:shd w:val="clear" w:color="auto" w:fill="CC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F0FC"/>
          </w:tcPr>
          <w:p>
            <w:pPr>
              <w:spacing w:after="0"/>
              <w:rPr>
                <w:sz w:val="11"/>
                <w:szCs w:val="11"/>
                <w:color w:val="auto"/>
              </w:rPr>
            </w:pPr>
          </w:p>
        </w:tc>
        <w:tc>
          <w:tcPr>
            <w:tcW w:w="840" w:type="dxa"/>
            <w:vAlign w:val="bottom"/>
            <w:gridSpan w:val="2"/>
            <w:shd w:val="clear" w:color="auto" w:fill="CC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F0FC"/>
          </w:tcPr>
          <w:p>
            <w:pPr>
              <w:spacing w:after="0"/>
              <w:rPr>
                <w:sz w:val="11"/>
                <w:szCs w:val="11"/>
                <w:color w:val="auto"/>
              </w:rPr>
            </w:pPr>
          </w:p>
        </w:tc>
        <w:tc>
          <w:tcPr>
            <w:tcW w:w="820" w:type="dxa"/>
            <w:vAlign w:val="bottom"/>
            <w:gridSpan w:val="2"/>
            <w:shd w:val="clear" w:color="auto" w:fill="CC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F0FC"/>
          </w:tcPr>
          <w:p>
            <w:pPr>
              <w:spacing w:after="0"/>
              <w:rPr>
                <w:sz w:val="11"/>
                <w:szCs w:val="11"/>
                <w:color w:val="auto"/>
              </w:rPr>
            </w:pPr>
          </w:p>
        </w:tc>
        <w:tc>
          <w:tcPr>
            <w:tcW w:w="100" w:type="dxa"/>
            <w:vAlign w:val="bottom"/>
            <w:shd w:val="clear" w:color="auto" w:fill="CCF0FC"/>
          </w:tcPr>
          <w:p>
            <w:pPr>
              <w:spacing w:after="0"/>
              <w:rPr>
                <w:sz w:val="11"/>
                <w:szCs w:val="11"/>
                <w:color w:val="auto"/>
              </w:rPr>
            </w:pPr>
          </w:p>
        </w:tc>
        <w:tc>
          <w:tcPr>
            <w:tcW w:w="620" w:type="dxa"/>
            <w:vAlign w:val="bottom"/>
            <w:gridSpan w:val="2"/>
            <w:shd w:val="clear" w:color="auto" w:fill="CCF0FC"/>
          </w:tcPr>
          <w:p>
            <w:pPr>
              <w:jc w:val="right"/>
              <w:ind w:right="20"/>
              <w:spacing w:after="0"/>
              <w:rPr>
                <w:sz w:val="20"/>
                <w:szCs w:val="20"/>
                <w:color w:val="auto"/>
              </w:rPr>
            </w:pPr>
            <w:r>
              <w:rPr>
                <w:rFonts w:ascii="Times New Roman" w:cs="Times New Roman" w:eastAsia="Times New Roman" w:hAnsi="Times New Roman"/>
                <w:sz w:val="11"/>
                <w:szCs w:val="11"/>
                <w:color w:val="auto"/>
              </w:rPr>
              <w:t>(2,966)</w:t>
            </w:r>
          </w:p>
        </w:tc>
        <w:tc>
          <w:tcPr>
            <w:tcW w:w="0" w:type="dxa"/>
            <w:vAlign w:val="bottom"/>
          </w:tcPr>
          <w:p>
            <w:pPr>
              <w:spacing w:after="0"/>
              <w:rPr>
                <w:sz w:val="1"/>
                <w:szCs w:val="1"/>
                <w:color w:val="auto"/>
              </w:rPr>
            </w:pPr>
          </w:p>
        </w:tc>
      </w:tr>
      <w:tr>
        <w:trPr>
          <w:trHeight w:val="127"/>
        </w:trPr>
        <w:tc>
          <w:tcPr>
            <w:tcW w:w="39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Settlement and subsequent return of shares</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(2,761)</w:t>
            </w:r>
          </w:p>
        </w:tc>
        <w:tc>
          <w:tcPr>
            <w:tcW w:w="120" w:type="dxa"/>
            <w:vAlign w:val="bottom"/>
          </w:tcPr>
          <w:p>
            <w:pPr>
              <w:spacing w:after="0"/>
              <w:rPr>
                <w:sz w:val="11"/>
                <w:szCs w:val="11"/>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(300)</w:t>
            </w:r>
          </w:p>
        </w:tc>
        <w:tc>
          <w:tcPr>
            <w:tcW w:w="100" w:type="dxa"/>
            <w:vAlign w:val="bottom"/>
          </w:tcPr>
          <w:p>
            <w:pPr>
              <w:spacing w:after="0"/>
              <w:rPr>
                <w:sz w:val="11"/>
                <w:szCs w:val="11"/>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(300)</w:t>
            </w:r>
          </w:p>
        </w:tc>
        <w:tc>
          <w:tcPr>
            <w:tcW w:w="0" w:type="dxa"/>
            <w:vAlign w:val="bottom"/>
          </w:tcPr>
          <w:p>
            <w:pPr>
              <w:spacing w:after="0"/>
              <w:rPr>
                <w:sz w:val="1"/>
                <w:szCs w:val="1"/>
                <w:color w:val="auto"/>
              </w:rPr>
            </w:pPr>
          </w:p>
        </w:tc>
      </w:tr>
      <w:tr>
        <w:trPr>
          <w:trHeight w:val="127"/>
        </w:trPr>
        <w:tc>
          <w:tcPr>
            <w:tcW w:w="3980" w:type="dxa"/>
            <w:vAlign w:val="bottom"/>
            <w:shd w:val="clear" w:color="auto" w:fill="CCF0FC"/>
          </w:tcPr>
          <w:p>
            <w:pPr>
              <w:ind w:left="100"/>
              <w:spacing w:after="0"/>
              <w:rPr>
                <w:sz w:val="20"/>
                <w:szCs w:val="20"/>
                <w:color w:val="auto"/>
              </w:rPr>
            </w:pPr>
            <w:r>
              <w:rPr>
                <w:rFonts w:ascii="Times New Roman" w:cs="Times New Roman" w:eastAsia="Times New Roman" w:hAnsi="Times New Roman"/>
                <w:sz w:val="11"/>
                <w:szCs w:val="11"/>
                <w:color w:val="auto"/>
              </w:rPr>
              <w:t>Net income</w:t>
            </w:r>
          </w:p>
        </w:tc>
        <w:tc>
          <w:tcPr>
            <w:tcW w:w="980" w:type="dxa"/>
            <w:vAlign w:val="bottom"/>
            <w:gridSpan w:val="2"/>
            <w:shd w:val="clear" w:color="auto" w:fill="CC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F0FC"/>
          </w:tcPr>
          <w:p>
            <w:pPr>
              <w:spacing w:after="0"/>
              <w:rPr>
                <w:sz w:val="11"/>
                <w:szCs w:val="11"/>
                <w:color w:val="auto"/>
              </w:rPr>
            </w:pPr>
          </w:p>
        </w:tc>
        <w:tc>
          <w:tcPr>
            <w:tcW w:w="860" w:type="dxa"/>
            <w:vAlign w:val="bottom"/>
            <w:gridSpan w:val="2"/>
            <w:shd w:val="clear" w:color="auto" w:fill="CC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shd w:val="clear" w:color="auto" w:fill="CC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F0FC"/>
          </w:tcPr>
          <w:p>
            <w:pPr>
              <w:spacing w:after="0"/>
              <w:rPr>
                <w:sz w:val="11"/>
                <w:szCs w:val="11"/>
                <w:color w:val="auto"/>
              </w:rPr>
            </w:pPr>
          </w:p>
        </w:tc>
        <w:tc>
          <w:tcPr>
            <w:tcW w:w="760" w:type="dxa"/>
            <w:vAlign w:val="bottom"/>
            <w:gridSpan w:val="2"/>
            <w:shd w:val="clear" w:color="auto" w:fill="CC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F0FC"/>
          </w:tcPr>
          <w:p>
            <w:pPr>
              <w:spacing w:after="0"/>
              <w:rPr>
                <w:sz w:val="11"/>
                <w:szCs w:val="11"/>
                <w:color w:val="auto"/>
              </w:rPr>
            </w:pPr>
          </w:p>
        </w:tc>
        <w:tc>
          <w:tcPr>
            <w:tcW w:w="80" w:type="dxa"/>
            <w:vAlign w:val="bottom"/>
            <w:shd w:val="clear" w:color="auto" w:fill="CCF0FC"/>
          </w:tcPr>
          <w:p>
            <w:pPr>
              <w:spacing w:after="0"/>
              <w:rPr>
                <w:sz w:val="11"/>
                <w:szCs w:val="11"/>
                <w:color w:val="auto"/>
              </w:rPr>
            </w:pPr>
          </w:p>
        </w:tc>
        <w:tc>
          <w:tcPr>
            <w:tcW w:w="860" w:type="dxa"/>
            <w:vAlign w:val="bottom"/>
            <w:gridSpan w:val="2"/>
            <w:shd w:val="clear" w:color="auto" w:fill="CC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F0FC"/>
          </w:tcPr>
          <w:p>
            <w:pPr>
              <w:spacing w:after="0"/>
              <w:rPr>
                <w:sz w:val="11"/>
                <w:szCs w:val="11"/>
                <w:color w:val="auto"/>
              </w:rPr>
            </w:pPr>
          </w:p>
        </w:tc>
        <w:tc>
          <w:tcPr>
            <w:tcW w:w="64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1"/>
                <w:szCs w:val="11"/>
                <w:color w:val="auto"/>
              </w:rPr>
              <w:t>6,813</w:t>
            </w:r>
          </w:p>
        </w:tc>
        <w:tc>
          <w:tcPr>
            <w:tcW w:w="200" w:type="dxa"/>
            <w:vAlign w:val="bottom"/>
            <w:shd w:val="clear" w:color="auto" w:fill="CCF0FC"/>
          </w:tcPr>
          <w:p>
            <w:pPr>
              <w:spacing w:after="0"/>
              <w:rPr>
                <w:sz w:val="11"/>
                <w:szCs w:val="11"/>
                <w:color w:val="auto"/>
              </w:rPr>
            </w:pPr>
          </w:p>
        </w:tc>
        <w:tc>
          <w:tcPr>
            <w:tcW w:w="140" w:type="dxa"/>
            <w:vAlign w:val="bottom"/>
            <w:shd w:val="clear" w:color="auto" w:fill="CCF0FC"/>
          </w:tcPr>
          <w:p>
            <w:pPr>
              <w:spacing w:after="0"/>
              <w:rPr>
                <w:sz w:val="11"/>
                <w:szCs w:val="11"/>
                <w:color w:val="auto"/>
              </w:rPr>
            </w:pPr>
          </w:p>
        </w:tc>
        <w:tc>
          <w:tcPr>
            <w:tcW w:w="820" w:type="dxa"/>
            <w:vAlign w:val="bottom"/>
            <w:gridSpan w:val="2"/>
            <w:shd w:val="clear" w:color="auto" w:fill="CC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F0FC"/>
          </w:tcPr>
          <w:p>
            <w:pPr>
              <w:spacing w:after="0"/>
              <w:rPr>
                <w:sz w:val="11"/>
                <w:szCs w:val="11"/>
                <w:color w:val="auto"/>
              </w:rPr>
            </w:pPr>
          </w:p>
        </w:tc>
        <w:tc>
          <w:tcPr>
            <w:tcW w:w="100" w:type="dxa"/>
            <w:vAlign w:val="bottom"/>
            <w:shd w:val="clear" w:color="auto" w:fill="CCF0FC"/>
          </w:tcPr>
          <w:p>
            <w:pPr>
              <w:spacing w:after="0"/>
              <w:rPr>
                <w:sz w:val="11"/>
                <w:szCs w:val="11"/>
                <w:color w:val="auto"/>
              </w:rPr>
            </w:pPr>
          </w:p>
        </w:tc>
        <w:tc>
          <w:tcPr>
            <w:tcW w:w="58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1"/>
                <w:szCs w:val="11"/>
                <w:color w:val="auto"/>
              </w:rPr>
              <w:t>6,813</w:t>
            </w:r>
          </w:p>
        </w:tc>
        <w:tc>
          <w:tcPr>
            <w:tcW w:w="40" w:type="dxa"/>
            <w:vAlign w:val="bottom"/>
            <w:shd w:val="clear" w:color="auto" w:fill="CCF0F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9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Foreign currency translation adjustments</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740</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980" w:type="dxa"/>
            <w:vAlign w:val="bottom"/>
            <w:shd w:val="clear" w:color="auto" w:fill="CCF0FC"/>
          </w:tcPr>
          <w:p>
            <w:pPr>
              <w:ind w:left="100"/>
              <w:spacing w:after="0"/>
              <w:rPr>
                <w:sz w:val="20"/>
                <w:szCs w:val="20"/>
                <w:color w:val="auto"/>
              </w:rPr>
            </w:pPr>
            <w:r>
              <w:rPr>
                <w:rFonts w:ascii="Times New Roman" w:cs="Times New Roman" w:eastAsia="Times New Roman" w:hAnsi="Times New Roman"/>
                <w:sz w:val="11"/>
                <w:szCs w:val="11"/>
                <w:color w:val="auto"/>
              </w:rPr>
              <w:t>Reclassification of gain on investments into earnings</w:t>
            </w:r>
          </w:p>
        </w:tc>
        <w:tc>
          <w:tcPr>
            <w:tcW w:w="980" w:type="dxa"/>
            <w:vAlign w:val="bottom"/>
            <w:gridSpan w:val="2"/>
            <w:shd w:val="clear" w:color="auto" w:fill="CC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F0FC"/>
          </w:tcPr>
          <w:p>
            <w:pPr>
              <w:spacing w:after="0"/>
              <w:rPr>
                <w:sz w:val="11"/>
                <w:szCs w:val="11"/>
                <w:color w:val="auto"/>
              </w:rPr>
            </w:pPr>
          </w:p>
        </w:tc>
        <w:tc>
          <w:tcPr>
            <w:tcW w:w="860" w:type="dxa"/>
            <w:vAlign w:val="bottom"/>
            <w:gridSpan w:val="2"/>
            <w:shd w:val="clear" w:color="auto" w:fill="CC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shd w:val="clear" w:color="auto" w:fill="CC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F0FC"/>
          </w:tcPr>
          <w:p>
            <w:pPr>
              <w:spacing w:after="0"/>
              <w:rPr>
                <w:sz w:val="11"/>
                <w:szCs w:val="11"/>
                <w:color w:val="auto"/>
              </w:rPr>
            </w:pPr>
          </w:p>
        </w:tc>
        <w:tc>
          <w:tcPr>
            <w:tcW w:w="760" w:type="dxa"/>
            <w:vAlign w:val="bottom"/>
            <w:gridSpan w:val="2"/>
            <w:shd w:val="clear" w:color="auto" w:fill="CC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F0FC"/>
          </w:tcPr>
          <w:p>
            <w:pPr>
              <w:spacing w:after="0"/>
              <w:rPr>
                <w:sz w:val="11"/>
                <w:szCs w:val="11"/>
                <w:color w:val="auto"/>
              </w:rPr>
            </w:pPr>
          </w:p>
        </w:tc>
        <w:tc>
          <w:tcPr>
            <w:tcW w:w="80" w:type="dxa"/>
            <w:vAlign w:val="bottom"/>
            <w:shd w:val="clear" w:color="auto" w:fill="CCF0FC"/>
          </w:tcPr>
          <w:p>
            <w:pPr>
              <w:spacing w:after="0"/>
              <w:rPr>
                <w:sz w:val="11"/>
                <w:szCs w:val="11"/>
                <w:color w:val="auto"/>
              </w:rPr>
            </w:pPr>
          </w:p>
        </w:tc>
        <w:tc>
          <w:tcPr>
            <w:tcW w:w="860" w:type="dxa"/>
            <w:vAlign w:val="bottom"/>
            <w:gridSpan w:val="2"/>
            <w:shd w:val="clear" w:color="auto" w:fill="CC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F0FC"/>
          </w:tcPr>
          <w:p>
            <w:pPr>
              <w:spacing w:after="0"/>
              <w:rPr>
                <w:sz w:val="11"/>
                <w:szCs w:val="11"/>
                <w:color w:val="auto"/>
              </w:rPr>
            </w:pPr>
          </w:p>
        </w:tc>
        <w:tc>
          <w:tcPr>
            <w:tcW w:w="840" w:type="dxa"/>
            <w:vAlign w:val="bottom"/>
            <w:gridSpan w:val="2"/>
            <w:shd w:val="clear" w:color="auto" w:fill="CC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F0FC"/>
          </w:tcPr>
          <w:p>
            <w:pPr>
              <w:spacing w:after="0"/>
              <w:rPr>
                <w:sz w:val="11"/>
                <w:szCs w:val="11"/>
                <w:color w:val="auto"/>
              </w:rPr>
            </w:pPr>
          </w:p>
        </w:tc>
        <w:tc>
          <w:tcPr>
            <w:tcW w:w="62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1"/>
                <w:szCs w:val="11"/>
                <w:color w:val="auto"/>
              </w:rPr>
              <w:t>90</w:t>
            </w:r>
          </w:p>
        </w:tc>
        <w:tc>
          <w:tcPr>
            <w:tcW w:w="200" w:type="dxa"/>
            <w:vAlign w:val="bottom"/>
            <w:shd w:val="clear" w:color="auto" w:fill="CCF0FC"/>
          </w:tcPr>
          <w:p>
            <w:pPr>
              <w:spacing w:after="0"/>
              <w:rPr>
                <w:sz w:val="11"/>
                <w:szCs w:val="11"/>
                <w:color w:val="auto"/>
              </w:rPr>
            </w:pPr>
          </w:p>
        </w:tc>
        <w:tc>
          <w:tcPr>
            <w:tcW w:w="20" w:type="dxa"/>
            <w:vAlign w:val="bottom"/>
            <w:shd w:val="clear" w:color="auto" w:fill="CCF0FC"/>
          </w:tcPr>
          <w:p>
            <w:pPr>
              <w:spacing w:after="0"/>
              <w:rPr>
                <w:sz w:val="11"/>
                <w:szCs w:val="11"/>
                <w:color w:val="auto"/>
              </w:rPr>
            </w:pPr>
          </w:p>
        </w:tc>
        <w:tc>
          <w:tcPr>
            <w:tcW w:w="100" w:type="dxa"/>
            <w:vAlign w:val="bottom"/>
            <w:shd w:val="clear" w:color="auto" w:fill="CCF0FC"/>
          </w:tcPr>
          <w:p>
            <w:pPr>
              <w:spacing w:after="0"/>
              <w:rPr>
                <w:sz w:val="11"/>
                <w:szCs w:val="11"/>
                <w:color w:val="auto"/>
              </w:rPr>
            </w:pPr>
          </w:p>
        </w:tc>
        <w:tc>
          <w:tcPr>
            <w:tcW w:w="58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1"/>
                <w:szCs w:val="11"/>
                <w:color w:val="auto"/>
              </w:rPr>
              <w:t>90</w:t>
            </w:r>
          </w:p>
        </w:tc>
        <w:tc>
          <w:tcPr>
            <w:tcW w:w="40" w:type="dxa"/>
            <w:vAlign w:val="bottom"/>
            <w:shd w:val="clear" w:color="auto" w:fill="CCF0F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9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Unrealized gain on investments, net of tax</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(93)</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(93)</w:t>
            </w:r>
          </w:p>
        </w:tc>
        <w:tc>
          <w:tcPr>
            <w:tcW w:w="0" w:type="dxa"/>
            <w:vAlign w:val="bottom"/>
          </w:tcPr>
          <w:p>
            <w:pPr>
              <w:spacing w:after="0"/>
              <w:rPr>
                <w:sz w:val="1"/>
                <w:szCs w:val="1"/>
                <w:color w:val="auto"/>
              </w:rPr>
            </w:pPr>
          </w:p>
        </w:tc>
      </w:tr>
      <w:tr>
        <w:trPr>
          <w:trHeight w:val="127"/>
        </w:trPr>
        <w:tc>
          <w:tcPr>
            <w:tcW w:w="3980" w:type="dxa"/>
            <w:vAlign w:val="bottom"/>
            <w:shd w:val="clear" w:color="auto" w:fill="CCF0FC"/>
          </w:tcPr>
          <w:p>
            <w:pPr>
              <w:ind w:left="100"/>
              <w:spacing w:after="0"/>
              <w:rPr>
                <w:sz w:val="20"/>
                <w:szCs w:val="20"/>
                <w:color w:val="auto"/>
              </w:rPr>
            </w:pPr>
            <w:r>
              <w:rPr>
                <w:rFonts w:ascii="Times New Roman" w:cs="Times New Roman" w:eastAsia="Times New Roman" w:hAnsi="Times New Roman"/>
                <w:sz w:val="11"/>
                <w:szCs w:val="11"/>
                <w:color w:val="auto"/>
              </w:rPr>
              <w:t>Adoption of ASU 2018-02</w:t>
            </w:r>
          </w:p>
        </w:tc>
        <w:tc>
          <w:tcPr>
            <w:tcW w:w="980" w:type="dxa"/>
            <w:vAlign w:val="bottom"/>
            <w:gridSpan w:val="2"/>
            <w:shd w:val="clear" w:color="auto" w:fill="CC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F0FC"/>
          </w:tcPr>
          <w:p>
            <w:pPr>
              <w:spacing w:after="0"/>
              <w:rPr>
                <w:sz w:val="11"/>
                <w:szCs w:val="11"/>
                <w:color w:val="auto"/>
              </w:rPr>
            </w:pPr>
          </w:p>
        </w:tc>
        <w:tc>
          <w:tcPr>
            <w:tcW w:w="860" w:type="dxa"/>
            <w:vAlign w:val="bottom"/>
            <w:gridSpan w:val="2"/>
            <w:shd w:val="clear" w:color="auto" w:fill="CC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shd w:val="clear" w:color="auto" w:fill="CC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F0FC"/>
          </w:tcPr>
          <w:p>
            <w:pPr>
              <w:spacing w:after="0"/>
              <w:rPr>
                <w:sz w:val="11"/>
                <w:szCs w:val="11"/>
                <w:color w:val="auto"/>
              </w:rPr>
            </w:pPr>
          </w:p>
        </w:tc>
        <w:tc>
          <w:tcPr>
            <w:tcW w:w="760" w:type="dxa"/>
            <w:vAlign w:val="bottom"/>
            <w:gridSpan w:val="2"/>
            <w:shd w:val="clear" w:color="auto" w:fill="CC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F0FC"/>
          </w:tcPr>
          <w:p>
            <w:pPr>
              <w:spacing w:after="0"/>
              <w:rPr>
                <w:sz w:val="11"/>
                <w:szCs w:val="11"/>
                <w:color w:val="auto"/>
              </w:rPr>
            </w:pPr>
          </w:p>
        </w:tc>
        <w:tc>
          <w:tcPr>
            <w:tcW w:w="80" w:type="dxa"/>
            <w:vAlign w:val="bottom"/>
            <w:shd w:val="clear" w:color="auto" w:fill="CCF0FC"/>
          </w:tcPr>
          <w:p>
            <w:pPr>
              <w:spacing w:after="0"/>
              <w:rPr>
                <w:sz w:val="11"/>
                <w:szCs w:val="11"/>
                <w:color w:val="auto"/>
              </w:rPr>
            </w:pPr>
          </w:p>
        </w:tc>
        <w:tc>
          <w:tcPr>
            <w:tcW w:w="860" w:type="dxa"/>
            <w:vAlign w:val="bottom"/>
            <w:gridSpan w:val="2"/>
            <w:shd w:val="clear" w:color="auto" w:fill="CC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F0FC"/>
          </w:tcPr>
          <w:p>
            <w:pPr>
              <w:spacing w:after="0"/>
              <w:rPr>
                <w:sz w:val="11"/>
                <w:szCs w:val="11"/>
                <w:color w:val="auto"/>
              </w:rPr>
            </w:pPr>
          </w:p>
        </w:tc>
        <w:tc>
          <w:tcPr>
            <w:tcW w:w="840" w:type="dxa"/>
            <w:vAlign w:val="bottom"/>
            <w:gridSpan w:val="2"/>
            <w:shd w:val="clear" w:color="auto" w:fill="CC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F0FC"/>
          </w:tcPr>
          <w:p>
            <w:pPr>
              <w:spacing w:after="0"/>
              <w:rPr>
                <w:sz w:val="11"/>
                <w:szCs w:val="11"/>
                <w:color w:val="auto"/>
              </w:rPr>
            </w:pPr>
          </w:p>
        </w:tc>
        <w:tc>
          <w:tcPr>
            <w:tcW w:w="62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200" w:type="dxa"/>
            <w:vAlign w:val="bottom"/>
            <w:shd w:val="clear" w:color="auto" w:fill="CCF0FC"/>
          </w:tcPr>
          <w:p>
            <w:pPr>
              <w:spacing w:after="0"/>
              <w:rPr>
                <w:sz w:val="11"/>
                <w:szCs w:val="11"/>
                <w:color w:val="auto"/>
              </w:rPr>
            </w:pPr>
          </w:p>
        </w:tc>
        <w:tc>
          <w:tcPr>
            <w:tcW w:w="20" w:type="dxa"/>
            <w:vAlign w:val="bottom"/>
            <w:shd w:val="clear" w:color="auto" w:fill="CCF0FC"/>
          </w:tcPr>
          <w:p>
            <w:pPr>
              <w:spacing w:after="0"/>
              <w:rPr>
                <w:sz w:val="11"/>
                <w:szCs w:val="11"/>
                <w:color w:val="auto"/>
              </w:rPr>
            </w:pPr>
          </w:p>
        </w:tc>
        <w:tc>
          <w:tcPr>
            <w:tcW w:w="100" w:type="dxa"/>
            <w:vAlign w:val="bottom"/>
            <w:shd w:val="clear" w:color="auto" w:fill="CCF0FC"/>
          </w:tcPr>
          <w:p>
            <w:pPr>
              <w:spacing w:after="0"/>
              <w:rPr>
                <w:sz w:val="11"/>
                <w:szCs w:val="11"/>
                <w:color w:val="auto"/>
              </w:rPr>
            </w:pPr>
          </w:p>
        </w:tc>
        <w:tc>
          <w:tcPr>
            <w:tcW w:w="58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40" w:type="dxa"/>
            <w:vAlign w:val="bottom"/>
            <w:shd w:val="clear" w:color="auto" w:fill="CC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980" w:type="dxa"/>
            <w:vAlign w:val="bottom"/>
          </w:tcPr>
          <w:p>
            <w:pPr>
              <w:spacing w:after="0" w:line="118" w:lineRule="exact"/>
              <w:rPr>
                <w:sz w:val="20"/>
                <w:szCs w:val="20"/>
                <w:color w:val="auto"/>
              </w:rPr>
            </w:pPr>
            <w:r>
              <w:rPr>
                <w:rFonts w:ascii="Times New Roman" w:cs="Times New Roman" w:eastAsia="Times New Roman" w:hAnsi="Times New Roman"/>
                <w:sz w:val="11"/>
                <w:szCs w:val="11"/>
                <w:color w:val="auto"/>
              </w:rPr>
              <w:t>Balances, March 31, 2019</w:t>
            </w:r>
          </w:p>
        </w:tc>
        <w:tc>
          <w:tcPr>
            <w:tcW w:w="74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color w:val="auto"/>
              </w:rPr>
              <w:t>17,467,682</w:t>
            </w:r>
          </w:p>
        </w:tc>
        <w:tc>
          <w:tcPr>
            <w:tcW w:w="24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4"/>
              <w:spacing w:after="0" w:line="118"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color w:val="auto"/>
              </w:rPr>
              <w:t>18</w:t>
            </w:r>
          </w:p>
        </w:tc>
        <w:tc>
          <w:tcPr>
            <w:tcW w:w="240" w:type="dxa"/>
            <w:vAlign w:val="bottom"/>
          </w:tcPr>
          <w:p>
            <w:pPr>
              <w:spacing w:after="0"/>
              <w:rPr>
                <w:sz w:val="10"/>
                <w:szCs w:val="10"/>
                <w:color w:val="auto"/>
              </w:rPr>
            </w:pPr>
          </w:p>
        </w:tc>
        <w:tc>
          <w:tcPr>
            <w:tcW w:w="74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color w:val="auto"/>
              </w:rPr>
              <w:t>445,624</w:t>
            </w:r>
          </w:p>
        </w:tc>
        <w:tc>
          <w:tcPr>
            <w:tcW w:w="24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4"/>
              <w:spacing w:after="0" w:line="118"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color w:val="auto"/>
              </w:rPr>
              <w:t>(28,645)</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color w:val="auto"/>
              </w:rPr>
              <w:t>339,730</w:t>
            </w:r>
          </w:p>
        </w:tc>
        <w:tc>
          <w:tcPr>
            <w:tcW w:w="2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color w:val="auto"/>
              </w:rPr>
              <w:t>22,074</w:t>
            </w:r>
          </w:p>
        </w:tc>
        <w:tc>
          <w:tcPr>
            <w:tcW w:w="200" w:type="dxa"/>
            <w:vAlign w:val="bottom"/>
          </w:tcPr>
          <w:p>
            <w:pPr>
              <w:spacing w:after="0"/>
              <w:rPr>
                <w:sz w:val="10"/>
                <w:szCs w:val="10"/>
                <w:color w:val="auto"/>
              </w:rPr>
            </w:pPr>
          </w:p>
        </w:tc>
        <w:tc>
          <w:tcPr>
            <w:tcW w:w="140" w:type="dxa"/>
            <w:vAlign w:val="bottom"/>
            <w:tcBorders>
              <w:top w:val="single" w:sz="8" w:color="auto"/>
              <w:bottom w:val="single" w:sz="8" w:color="auto"/>
            </w:tcBorders>
          </w:tcPr>
          <w:p>
            <w:pPr>
              <w:spacing w:after="0" w:line="118"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color w:val="auto"/>
              </w:rPr>
              <w:t>(2,473)</w:t>
            </w:r>
          </w:p>
        </w:tc>
        <w:tc>
          <w:tcPr>
            <w:tcW w:w="20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line="118"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color w:val="auto"/>
              </w:rPr>
              <w:t>330,704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these condensed consolidated financial statements.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55245</wp:posOffset>
            </wp:positionV>
            <wp:extent cx="731520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15200" cy="38735"/>
                    </a:xfrm>
                    <a:prstGeom prst="rect">
                      <a:avLst/>
                    </a:prstGeom>
                    <a:noFill/>
                  </pic:spPr>
                </pic:pic>
              </a:graphicData>
            </a:graphic>
          </wp:anchor>
        </w:drawing>
      </w:r>
    </w:p>
    <w:p>
      <w:pPr>
        <w:sectPr>
          <w:pgSz w:w="11900" w:h="16838" w:orient="portrait"/>
          <w:cols w:equalWidth="0" w:num="1">
            <w:col w:w="11460"/>
          </w:cols>
          <w:pgMar w:left="220" w:top="473" w:right="21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4"/>
          <w:szCs w:val="14"/>
          <w:b w:val="1"/>
          <w:bCs w:val="1"/>
          <w:color w:val="auto"/>
        </w:rPr>
        <w:t>SPS COMMERCE, INC. AND SUBSIDIARIES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7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380" w:type="dxa"/>
            <w:vAlign w:val="bottom"/>
            <w:gridSpan w:val="3"/>
          </w:tcPr>
          <w:p>
            <w:pPr>
              <w:jc w:val="right"/>
              <w:ind w:right="9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790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10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17"/>
        </w:trPr>
        <w:tc>
          <w:tcPr>
            <w:tcW w:w="7900" w:type="dxa"/>
            <w:vAlign w:val="bottom"/>
            <w:tcBorders>
              <w:bottom w:val="single" w:sz="8" w:color="CFF0FC"/>
            </w:tcBorders>
          </w:tcPr>
          <w:p>
            <w:pPr>
              <w:spacing w:after="0"/>
              <w:rPr>
                <w:sz w:val="10"/>
                <w:szCs w:val="10"/>
                <w:color w:val="auto"/>
              </w:rPr>
            </w:pPr>
          </w:p>
        </w:tc>
        <w:tc>
          <w:tcPr>
            <w:tcW w:w="1000" w:type="dxa"/>
            <w:vAlign w:val="bottom"/>
            <w:tcBorders>
              <w:bottom w:val="single" w:sz="8" w:color="auto"/>
            </w:tcBorders>
          </w:tcPr>
          <w:p>
            <w:pPr>
              <w:jc w:val="right"/>
              <w:ind w:right="44"/>
              <w:spacing w:after="0" w:line="118" w:lineRule="exact"/>
              <w:rPr>
                <w:sz w:val="20"/>
                <w:szCs w:val="20"/>
                <w:color w:val="auto"/>
              </w:rPr>
            </w:pPr>
            <w:r>
              <w:rPr>
                <w:rFonts w:ascii="Times New Roman" w:cs="Times New Roman" w:eastAsia="Times New Roman" w:hAnsi="Times New Roman"/>
                <w:sz w:val="11"/>
                <w:szCs w:val="11"/>
                <w:b w:val="1"/>
                <w:bCs w:val="1"/>
                <w:color w:val="auto"/>
              </w:rPr>
              <w:t>2019</w:t>
            </w:r>
          </w:p>
        </w:tc>
        <w:tc>
          <w:tcPr>
            <w:tcW w:w="580" w:type="dxa"/>
            <w:vAlign w:val="bottom"/>
            <w:tcBorders>
              <w:bottom w:val="single" w:sz="8" w:color="auto"/>
            </w:tcBorders>
          </w:tcPr>
          <w:p>
            <w:pPr>
              <w:spacing w:after="0"/>
              <w:rPr>
                <w:sz w:val="10"/>
                <w:szCs w:val="10"/>
                <w:color w:val="auto"/>
              </w:rPr>
            </w:pPr>
          </w:p>
        </w:tc>
        <w:tc>
          <w:tcPr>
            <w:tcW w:w="280" w:type="dxa"/>
            <w:vAlign w:val="bottom"/>
            <w:tcBorders>
              <w:bottom w:val="single" w:sz="8" w:color="CFF0FC"/>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610"/>
              <w:spacing w:after="0" w:line="118" w:lineRule="exact"/>
              <w:rPr>
                <w:sz w:val="20"/>
                <w:szCs w:val="20"/>
                <w:color w:val="auto"/>
              </w:rPr>
            </w:pPr>
            <w:r>
              <w:rPr>
                <w:rFonts w:ascii="Times New Roman" w:cs="Times New Roman" w:eastAsia="Times New Roman" w:hAnsi="Times New Roman"/>
                <w:sz w:val="11"/>
                <w:szCs w:val="11"/>
                <w:b w:val="1"/>
                <w:bCs w:val="1"/>
                <w:color w:val="auto"/>
              </w:rPr>
              <w:t>2018</w:t>
            </w:r>
          </w:p>
        </w:tc>
        <w:tc>
          <w:tcPr>
            <w:tcW w:w="120" w:type="dxa"/>
            <w:vAlign w:val="bottom"/>
            <w:tcBorders>
              <w:bottom w:val="single" w:sz="8" w:color="CFF0FC"/>
            </w:tcBorders>
          </w:tcPr>
          <w:p>
            <w:pPr>
              <w:spacing w:after="0"/>
              <w:rPr>
                <w:sz w:val="10"/>
                <w:szCs w:val="10"/>
                <w:color w:val="auto"/>
              </w:rPr>
            </w:pPr>
          </w:p>
        </w:tc>
      </w:tr>
      <w:tr>
        <w:trPr>
          <w:trHeight w:val="170"/>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10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80"/>
        </w:trPr>
        <w:tc>
          <w:tcPr>
            <w:tcW w:w="79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tcPr>
          <w:p>
            <w:pPr>
              <w:jc w:val="right"/>
              <w:ind w:right="88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6,813</w:t>
            </w:r>
          </w:p>
        </w:tc>
        <w:tc>
          <w:tcPr>
            <w:tcW w:w="280" w:type="dxa"/>
            <w:vAlign w:val="bottom"/>
          </w:tcPr>
          <w:p>
            <w:pPr>
              <w:spacing w:after="0"/>
              <w:rPr>
                <w:sz w:val="15"/>
                <w:szCs w:val="15"/>
                <w:color w:val="auto"/>
              </w:rPr>
            </w:pPr>
          </w:p>
        </w:tc>
        <w:tc>
          <w:tcPr>
            <w:tcW w:w="520" w:type="dxa"/>
            <w:vAlign w:val="bottom"/>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3,254</w:t>
            </w:r>
          </w:p>
        </w:tc>
        <w:tc>
          <w:tcPr>
            <w:tcW w:w="120" w:type="dxa"/>
            <w:vAlign w:val="bottom"/>
          </w:tcPr>
          <w:p>
            <w:pPr>
              <w:spacing w:after="0"/>
              <w:rPr>
                <w:sz w:val="15"/>
                <w:szCs w:val="15"/>
                <w:color w:val="auto"/>
              </w:rPr>
            </w:pPr>
          </w:p>
        </w:tc>
      </w:tr>
      <w:tr>
        <w:trPr>
          <w:trHeight w:val="180"/>
        </w:trPr>
        <w:tc>
          <w:tcPr>
            <w:tcW w:w="7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Reconciliation of net income to net cash provided by operating activities</w:t>
            </w: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80"/>
        </w:trPr>
        <w:tc>
          <w:tcPr>
            <w:tcW w:w="79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Deferred income taxes</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w:t>
            </w: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1,020</w:t>
            </w:r>
          </w:p>
        </w:tc>
        <w:tc>
          <w:tcPr>
            <w:tcW w:w="120" w:type="dxa"/>
            <w:vAlign w:val="bottom"/>
          </w:tcPr>
          <w:p>
            <w:pPr>
              <w:spacing w:after="0"/>
              <w:rPr>
                <w:sz w:val="15"/>
                <w:szCs w:val="15"/>
                <w:color w:val="auto"/>
              </w:rPr>
            </w:pPr>
          </w:p>
        </w:tc>
      </w:tr>
      <w:tr>
        <w:trPr>
          <w:trHeight w:val="180"/>
        </w:trPr>
        <w:tc>
          <w:tcPr>
            <w:tcW w:w="79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Change in earn-out liability</w:t>
            </w: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2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9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Depreciation and amortization of property and equipment</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2,637</w:t>
            </w: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2,083</w:t>
            </w:r>
          </w:p>
        </w:tc>
        <w:tc>
          <w:tcPr>
            <w:tcW w:w="120" w:type="dxa"/>
            <w:vAlign w:val="bottom"/>
          </w:tcPr>
          <w:p>
            <w:pPr>
              <w:spacing w:after="0"/>
              <w:rPr>
                <w:sz w:val="15"/>
                <w:szCs w:val="15"/>
                <w:color w:val="auto"/>
              </w:rPr>
            </w:pPr>
          </w:p>
        </w:tc>
      </w:tr>
      <w:tr>
        <w:trPr>
          <w:trHeight w:val="180"/>
        </w:trPr>
        <w:tc>
          <w:tcPr>
            <w:tcW w:w="79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1,304</w:t>
            </w:r>
          </w:p>
        </w:tc>
        <w:tc>
          <w:tcPr>
            <w:tcW w:w="2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1,125</w:t>
            </w:r>
          </w:p>
        </w:tc>
        <w:tc>
          <w:tcPr>
            <w:tcW w:w="120" w:type="dxa"/>
            <w:vAlign w:val="bottom"/>
            <w:shd w:val="clear" w:color="auto" w:fill="CFF0FC"/>
          </w:tcPr>
          <w:p>
            <w:pPr>
              <w:spacing w:after="0"/>
              <w:rPr>
                <w:sz w:val="15"/>
                <w:szCs w:val="15"/>
                <w:color w:val="auto"/>
              </w:rPr>
            </w:pPr>
          </w:p>
        </w:tc>
      </w:tr>
      <w:tr>
        <w:trPr>
          <w:trHeight w:val="180"/>
        </w:trPr>
        <w:tc>
          <w:tcPr>
            <w:tcW w:w="79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Provision for doubtful accounts</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w:t>
            </w: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20" w:type="dxa"/>
            <w:vAlign w:val="bottom"/>
          </w:tcPr>
          <w:p>
            <w:pPr>
              <w:spacing w:after="0"/>
              <w:rPr>
                <w:sz w:val="15"/>
                <w:szCs w:val="15"/>
                <w:color w:val="auto"/>
              </w:rPr>
            </w:pPr>
          </w:p>
        </w:tc>
      </w:tr>
      <w:tr>
        <w:trPr>
          <w:trHeight w:val="180"/>
        </w:trPr>
        <w:tc>
          <w:tcPr>
            <w:tcW w:w="79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5,294</w:t>
            </w:r>
          </w:p>
        </w:tc>
        <w:tc>
          <w:tcPr>
            <w:tcW w:w="2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3,533</w:t>
            </w:r>
          </w:p>
        </w:tc>
        <w:tc>
          <w:tcPr>
            <w:tcW w:w="120" w:type="dxa"/>
            <w:vAlign w:val="bottom"/>
            <w:shd w:val="clear" w:color="auto" w:fill="CFF0FC"/>
          </w:tcPr>
          <w:p>
            <w:pPr>
              <w:spacing w:after="0"/>
              <w:rPr>
                <w:sz w:val="15"/>
                <w:szCs w:val="15"/>
                <w:color w:val="auto"/>
              </w:rPr>
            </w:pPr>
          </w:p>
        </w:tc>
      </w:tr>
      <w:tr>
        <w:trPr>
          <w:trHeight w:val="180"/>
        </w:trPr>
        <w:tc>
          <w:tcPr>
            <w:tcW w:w="79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Other, net</w:t>
            </w:r>
          </w:p>
        </w:tc>
        <w:tc>
          <w:tcPr>
            <w:tcW w:w="100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(240)</w:t>
            </w:r>
          </w:p>
        </w:tc>
        <w:tc>
          <w:tcPr>
            <w:tcW w:w="520" w:type="dxa"/>
            <w:vAlign w:val="bottom"/>
          </w:tcPr>
          <w:p>
            <w:pPr>
              <w:spacing w:after="0"/>
              <w:rPr>
                <w:sz w:val="15"/>
                <w:szCs w:val="15"/>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(32)</w:t>
            </w:r>
          </w:p>
        </w:tc>
      </w:tr>
      <w:tr>
        <w:trPr>
          <w:trHeight w:val="180"/>
        </w:trPr>
        <w:tc>
          <w:tcPr>
            <w:tcW w:w="79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80"/>
        </w:trPr>
        <w:tc>
          <w:tcPr>
            <w:tcW w:w="790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Accounts receivable</w:t>
            </w:r>
          </w:p>
        </w:tc>
        <w:tc>
          <w:tcPr>
            <w:tcW w:w="100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(1,328)</w:t>
            </w:r>
          </w:p>
        </w:tc>
        <w:tc>
          <w:tcPr>
            <w:tcW w:w="520" w:type="dxa"/>
            <w:vAlign w:val="bottom"/>
          </w:tcPr>
          <w:p>
            <w:pPr>
              <w:spacing w:after="0"/>
              <w:rPr>
                <w:sz w:val="15"/>
                <w:szCs w:val="15"/>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(1,520)</w:t>
            </w:r>
          </w:p>
        </w:tc>
      </w:tr>
      <w:tr>
        <w:trPr>
          <w:trHeight w:val="180"/>
        </w:trPr>
        <w:tc>
          <w:tcPr>
            <w:tcW w:w="790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4"/>
                <w:szCs w:val="14"/>
                <w:color w:val="auto"/>
              </w:rPr>
              <w:t>Deferred costs</w:t>
            </w:r>
          </w:p>
        </w:tc>
        <w:tc>
          <w:tcPr>
            <w:tcW w:w="10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(414)</w:t>
            </w:r>
          </w:p>
        </w:tc>
        <w:tc>
          <w:tcPr>
            <w:tcW w:w="5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(1,628)</w:t>
            </w:r>
          </w:p>
        </w:tc>
      </w:tr>
      <w:tr>
        <w:trPr>
          <w:trHeight w:val="180"/>
        </w:trPr>
        <w:tc>
          <w:tcPr>
            <w:tcW w:w="790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Other current and non-current assets</w:t>
            </w:r>
          </w:p>
        </w:tc>
        <w:tc>
          <w:tcPr>
            <w:tcW w:w="100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(337)</w:t>
            </w:r>
          </w:p>
        </w:tc>
        <w:tc>
          <w:tcPr>
            <w:tcW w:w="5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120" w:type="dxa"/>
            <w:vAlign w:val="bottom"/>
          </w:tcPr>
          <w:p>
            <w:pPr>
              <w:spacing w:after="0"/>
              <w:rPr>
                <w:sz w:val="15"/>
                <w:szCs w:val="15"/>
                <w:color w:val="auto"/>
              </w:rPr>
            </w:pPr>
          </w:p>
        </w:tc>
      </w:tr>
      <w:tr>
        <w:trPr>
          <w:trHeight w:val="180"/>
        </w:trPr>
        <w:tc>
          <w:tcPr>
            <w:tcW w:w="790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4"/>
                <w:szCs w:val="14"/>
                <w:color w:val="auto"/>
              </w:rPr>
              <w:t>Accounts payable</w:t>
            </w: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2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20" w:type="dxa"/>
            <w:vAlign w:val="bottom"/>
            <w:shd w:val="clear" w:color="auto" w:fill="CFF0FC"/>
          </w:tcPr>
          <w:p>
            <w:pPr>
              <w:spacing w:after="0"/>
              <w:rPr>
                <w:sz w:val="15"/>
                <w:szCs w:val="15"/>
                <w:color w:val="auto"/>
              </w:rPr>
            </w:pPr>
          </w:p>
        </w:tc>
      </w:tr>
      <w:tr>
        <w:trPr>
          <w:trHeight w:val="180"/>
        </w:trPr>
        <w:tc>
          <w:tcPr>
            <w:tcW w:w="790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Accrued compensation</w:t>
            </w:r>
          </w:p>
        </w:tc>
        <w:tc>
          <w:tcPr>
            <w:tcW w:w="100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(8,843)</w:t>
            </w:r>
          </w:p>
        </w:tc>
        <w:tc>
          <w:tcPr>
            <w:tcW w:w="520" w:type="dxa"/>
            <w:vAlign w:val="bottom"/>
          </w:tcPr>
          <w:p>
            <w:pPr>
              <w:spacing w:after="0"/>
              <w:rPr>
                <w:sz w:val="15"/>
                <w:szCs w:val="15"/>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(3,939)</w:t>
            </w:r>
          </w:p>
        </w:tc>
      </w:tr>
      <w:tr>
        <w:trPr>
          <w:trHeight w:val="180"/>
        </w:trPr>
        <w:tc>
          <w:tcPr>
            <w:tcW w:w="790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4"/>
                <w:szCs w:val="14"/>
                <w:color w:val="auto"/>
              </w:rPr>
              <w:t>Accrued expenses</w:t>
            </w: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2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(592)</w:t>
            </w:r>
          </w:p>
        </w:tc>
      </w:tr>
      <w:tr>
        <w:trPr>
          <w:trHeight w:val="180"/>
        </w:trPr>
        <w:tc>
          <w:tcPr>
            <w:tcW w:w="790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Deferred revenue</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3,698</w:t>
            </w: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3,680</w:t>
            </w:r>
          </w:p>
        </w:tc>
        <w:tc>
          <w:tcPr>
            <w:tcW w:w="120" w:type="dxa"/>
            <w:vAlign w:val="bottom"/>
          </w:tcPr>
          <w:p>
            <w:pPr>
              <w:spacing w:after="0"/>
              <w:rPr>
                <w:sz w:val="15"/>
                <w:szCs w:val="15"/>
                <w:color w:val="auto"/>
              </w:rPr>
            </w:pPr>
          </w:p>
        </w:tc>
      </w:tr>
      <w:tr>
        <w:trPr>
          <w:trHeight w:val="180"/>
        </w:trPr>
        <w:tc>
          <w:tcPr>
            <w:tcW w:w="790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4"/>
                <w:szCs w:val="14"/>
                <w:color w:val="auto"/>
              </w:rPr>
              <w:t>Deferred rent</w:t>
            </w:r>
          </w:p>
        </w:tc>
        <w:tc>
          <w:tcPr>
            <w:tcW w:w="10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1,271</w:t>
            </w:r>
          </w:p>
        </w:tc>
        <w:tc>
          <w:tcPr>
            <w:tcW w:w="120" w:type="dxa"/>
            <w:vAlign w:val="bottom"/>
            <w:shd w:val="clear" w:color="auto" w:fill="CFF0FC"/>
          </w:tcPr>
          <w:p>
            <w:pPr>
              <w:spacing w:after="0"/>
              <w:rPr>
                <w:sz w:val="15"/>
                <w:szCs w:val="15"/>
                <w:color w:val="auto"/>
              </w:rPr>
            </w:pPr>
          </w:p>
        </w:tc>
      </w:tr>
      <w:tr>
        <w:trPr>
          <w:trHeight w:val="180"/>
        </w:trPr>
        <w:tc>
          <w:tcPr>
            <w:tcW w:w="790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Operating leases</w:t>
            </w:r>
          </w:p>
        </w:tc>
        <w:tc>
          <w:tcPr>
            <w:tcW w:w="100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(345)</w:t>
            </w:r>
          </w:p>
        </w:tc>
        <w:tc>
          <w:tcPr>
            <w:tcW w:w="52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7900" w:type="dxa"/>
            <w:vAlign w:val="bottom"/>
            <w:tcBorders>
              <w:top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000" w:type="dxa"/>
            <w:vAlign w:val="bottom"/>
            <w:tcBorders>
              <w:top w:val="single" w:sz="8" w:color="auto"/>
              <w:bottom w:val="single" w:sz="8" w:color="auto"/>
            </w:tcBorders>
            <w:shd w:val="clear" w:color="auto" w:fill="CFF0FC"/>
          </w:tcPr>
          <w:p>
            <w:pPr>
              <w:spacing w:after="0"/>
              <w:rPr>
                <w:sz w:val="14"/>
                <w:szCs w:val="14"/>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10,201</w:t>
            </w:r>
          </w:p>
        </w:tc>
        <w:tc>
          <w:tcPr>
            <w:tcW w:w="280" w:type="dxa"/>
            <w:vAlign w:val="bottom"/>
            <w:tcBorders>
              <w:top w:val="single" w:sz="8" w:color="CFF0FC"/>
            </w:tcBorders>
            <w:shd w:val="clear" w:color="auto" w:fill="CFF0FC"/>
          </w:tcPr>
          <w:p>
            <w:pPr>
              <w:spacing w:after="0"/>
              <w:rPr>
                <w:sz w:val="14"/>
                <w:szCs w:val="14"/>
                <w:color w:val="auto"/>
              </w:rPr>
            </w:pPr>
          </w:p>
        </w:tc>
        <w:tc>
          <w:tcPr>
            <w:tcW w:w="520" w:type="dxa"/>
            <w:vAlign w:val="bottom"/>
            <w:tcBorders>
              <w:top w:val="single" w:sz="8" w:color="auto"/>
              <w:bottom w:val="single" w:sz="8" w:color="auto"/>
            </w:tcBorders>
            <w:shd w:val="clear" w:color="auto" w:fill="CFF0FC"/>
          </w:tcPr>
          <w:p>
            <w:pPr>
              <w:spacing w:after="0"/>
              <w:rPr>
                <w:sz w:val="14"/>
                <w:szCs w:val="14"/>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9,349</w:t>
            </w:r>
          </w:p>
        </w:tc>
        <w:tc>
          <w:tcPr>
            <w:tcW w:w="120" w:type="dxa"/>
            <w:vAlign w:val="bottom"/>
            <w:tcBorders>
              <w:top w:val="single" w:sz="8" w:color="CFF0FC"/>
            </w:tcBorders>
            <w:shd w:val="clear" w:color="auto" w:fill="CFF0FC"/>
          </w:tcPr>
          <w:p>
            <w:pPr>
              <w:spacing w:after="0"/>
              <w:rPr>
                <w:sz w:val="14"/>
                <w:szCs w:val="14"/>
                <w:color w:val="auto"/>
              </w:rPr>
            </w:pPr>
          </w:p>
        </w:tc>
      </w:tr>
      <w:tr>
        <w:trPr>
          <w:trHeight w:val="170"/>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0"/>
        </w:trPr>
        <w:tc>
          <w:tcPr>
            <w:tcW w:w="7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10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(2,899)</w:t>
            </w:r>
          </w:p>
        </w:tc>
        <w:tc>
          <w:tcPr>
            <w:tcW w:w="5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(3,884)</w:t>
            </w:r>
          </w:p>
        </w:tc>
      </w:tr>
      <w:tr>
        <w:trPr>
          <w:trHeight w:val="180"/>
        </w:trPr>
        <w:tc>
          <w:tcPr>
            <w:tcW w:w="79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Purchases of investments</w:t>
            </w:r>
          </w:p>
        </w:tc>
        <w:tc>
          <w:tcPr>
            <w:tcW w:w="100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(12,447)</w:t>
            </w:r>
          </w:p>
        </w:tc>
        <w:tc>
          <w:tcPr>
            <w:tcW w:w="520" w:type="dxa"/>
            <w:vAlign w:val="bottom"/>
          </w:tcPr>
          <w:p>
            <w:pPr>
              <w:spacing w:after="0"/>
              <w:rPr>
                <w:sz w:val="15"/>
                <w:szCs w:val="15"/>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(19,927)</w:t>
            </w:r>
          </w:p>
        </w:tc>
      </w:tr>
      <w:tr>
        <w:trPr>
          <w:trHeight w:val="180"/>
        </w:trPr>
        <w:tc>
          <w:tcPr>
            <w:tcW w:w="7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Maturities of investments</w:t>
            </w: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15,225</w:t>
            </w:r>
          </w:p>
        </w:tc>
        <w:tc>
          <w:tcPr>
            <w:tcW w:w="2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17,500</w:t>
            </w:r>
          </w:p>
        </w:tc>
        <w:tc>
          <w:tcPr>
            <w:tcW w:w="120" w:type="dxa"/>
            <w:vAlign w:val="bottom"/>
            <w:shd w:val="clear" w:color="auto" w:fill="CFF0FC"/>
          </w:tcPr>
          <w:p>
            <w:pPr>
              <w:spacing w:after="0"/>
              <w:rPr>
                <w:sz w:val="15"/>
                <w:szCs w:val="15"/>
                <w:color w:val="auto"/>
              </w:rPr>
            </w:pPr>
          </w:p>
        </w:tc>
      </w:tr>
      <w:tr>
        <w:trPr>
          <w:trHeight w:val="180"/>
        </w:trPr>
        <w:tc>
          <w:tcPr>
            <w:tcW w:w="79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Acquisitions of businesses and intangible assets, net of cash acquired</w:t>
            </w:r>
          </w:p>
        </w:tc>
        <w:tc>
          <w:tcPr>
            <w:tcW w:w="1000" w:type="dxa"/>
            <w:vAlign w:val="bottom"/>
          </w:tcPr>
          <w:p>
            <w:pPr>
              <w:spacing w:after="0"/>
              <w:rPr>
                <w:sz w:val="15"/>
                <w:szCs w:val="15"/>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5"/>
                <w:szCs w:val="15"/>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(381)</w:t>
            </w:r>
          </w:p>
        </w:tc>
      </w:tr>
      <w:tr>
        <w:trPr>
          <w:trHeight w:val="170"/>
        </w:trPr>
        <w:tc>
          <w:tcPr>
            <w:tcW w:w="7900" w:type="dxa"/>
            <w:vAlign w:val="bottom"/>
            <w:tcBorders>
              <w:top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000" w:type="dxa"/>
            <w:vAlign w:val="bottom"/>
            <w:tcBorders>
              <w:top w:val="single" w:sz="8" w:color="auto"/>
              <w:bottom w:val="single" w:sz="8" w:color="auto"/>
            </w:tcBorders>
            <w:shd w:val="clear" w:color="auto" w:fill="CFF0FC"/>
          </w:tcPr>
          <w:p>
            <w:pPr>
              <w:spacing w:after="0"/>
              <w:rPr>
                <w:sz w:val="14"/>
                <w:szCs w:val="14"/>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280" w:type="dxa"/>
            <w:vAlign w:val="bottom"/>
            <w:tcBorders>
              <w:top w:val="single" w:sz="8" w:color="CFF0FC"/>
            </w:tcBorders>
            <w:shd w:val="clear" w:color="auto" w:fill="CFF0FC"/>
          </w:tcPr>
          <w:p>
            <w:pPr>
              <w:spacing w:after="0"/>
              <w:rPr>
                <w:sz w:val="14"/>
                <w:szCs w:val="14"/>
                <w:color w:val="auto"/>
              </w:rPr>
            </w:pPr>
          </w:p>
        </w:tc>
        <w:tc>
          <w:tcPr>
            <w:tcW w:w="520" w:type="dxa"/>
            <w:vAlign w:val="bottom"/>
            <w:tcBorders>
              <w:top w:val="single" w:sz="8" w:color="auto"/>
              <w:bottom w:val="single" w:sz="8" w:color="auto"/>
            </w:tcBorders>
            <w:shd w:val="clear" w:color="auto" w:fill="CFF0FC"/>
          </w:tcPr>
          <w:p>
            <w:pPr>
              <w:spacing w:after="0"/>
              <w:rPr>
                <w:sz w:val="14"/>
                <w:szCs w:val="14"/>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(6,692)</w:t>
            </w:r>
          </w:p>
        </w:tc>
        <w:tc>
          <w:tcPr>
            <w:tcW w:w="120" w:type="dxa"/>
            <w:vAlign w:val="bottom"/>
            <w:tcBorders>
              <w:top w:val="single" w:sz="8" w:color="CFF0FC"/>
            </w:tcBorders>
            <w:shd w:val="clear" w:color="auto" w:fill="CFF0FC"/>
          </w:tcPr>
          <w:p>
            <w:pPr>
              <w:spacing w:after="0"/>
              <w:rPr>
                <w:sz w:val="14"/>
                <w:szCs w:val="14"/>
                <w:color w:val="auto"/>
              </w:rPr>
            </w:pPr>
          </w:p>
        </w:tc>
      </w:tr>
      <w:tr>
        <w:trPr>
          <w:trHeight w:val="170"/>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0"/>
        </w:trPr>
        <w:tc>
          <w:tcPr>
            <w:tcW w:w="7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0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(2,966)</w:t>
            </w:r>
          </w:p>
        </w:tc>
        <w:tc>
          <w:tcPr>
            <w:tcW w:w="5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(5,871)</w:t>
            </w:r>
          </w:p>
        </w:tc>
      </w:tr>
      <w:tr>
        <w:trPr>
          <w:trHeight w:val="180"/>
        </w:trPr>
        <w:tc>
          <w:tcPr>
            <w:tcW w:w="790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4"/>
                <w:szCs w:val="14"/>
                <w:color w:val="auto"/>
              </w:rPr>
              <w:t>Net proceeds from exercise of options to purchase common stock</w:t>
            </w:r>
          </w:p>
        </w:tc>
        <w:tc>
          <w:tcPr>
            <w:tcW w:w="10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2,472</w:t>
            </w:r>
          </w:p>
        </w:tc>
        <w:tc>
          <w:tcPr>
            <w:tcW w:w="280" w:type="dxa"/>
            <w:vAlign w:val="bottom"/>
            <w:tcBorders>
              <w:bottom w:val="single" w:sz="8" w:color="CFF0FC"/>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715</w:t>
            </w:r>
          </w:p>
        </w:tc>
        <w:tc>
          <w:tcPr>
            <w:tcW w:w="120" w:type="dxa"/>
            <w:vAlign w:val="bottom"/>
            <w:tcBorders>
              <w:bottom w:val="single" w:sz="8" w:color="CFF0FC"/>
            </w:tcBorders>
          </w:tcPr>
          <w:p>
            <w:pPr>
              <w:spacing w:after="0"/>
              <w:rPr>
                <w:sz w:val="15"/>
                <w:szCs w:val="15"/>
                <w:color w:val="auto"/>
              </w:rPr>
            </w:pPr>
          </w:p>
        </w:tc>
      </w:tr>
      <w:tr>
        <w:trPr>
          <w:trHeight w:val="170"/>
        </w:trPr>
        <w:tc>
          <w:tcPr>
            <w:tcW w:w="79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100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280" w:type="dxa"/>
            <w:vAlign w:val="bottom"/>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(5,156)</w:t>
            </w:r>
          </w:p>
        </w:tc>
        <w:tc>
          <w:tcPr>
            <w:tcW w:w="120" w:type="dxa"/>
            <w:vAlign w:val="bottom"/>
            <w:shd w:val="clear" w:color="auto" w:fill="CFF0FC"/>
          </w:tcPr>
          <w:p>
            <w:pPr>
              <w:spacing w:after="0"/>
              <w:rPr>
                <w:sz w:val="14"/>
                <w:szCs w:val="14"/>
                <w:color w:val="auto"/>
              </w:rPr>
            </w:pPr>
          </w:p>
        </w:tc>
      </w:tr>
      <w:tr>
        <w:trPr>
          <w:trHeight w:val="170"/>
        </w:trPr>
        <w:tc>
          <w:tcPr>
            <w:tcW w:w="7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color w:val="auto"/>
              </w:rPr>
              <w:t>Effect of foreign currency exchange rate changes</w:t>
            </w:r>
          </w:p>
        </w:tc>
        <w:tc>
          <w:tcPr>
            <w:tcW w:w="10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280" w:type="dxa"/>
            <w:vAlign w:val="bottom"/>
            <w:tcBorders>
              <w:bottom w:val="single" w:sz="8" w:color="CFF0FC"/>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tcBorders>
              <w:bottom w:val="single" w:sz="8" w:color="CFF0FC"/>
            </w:tcBorders>
          </w:tcPr>
          <w:p>
            <w:pPr>
              <w:spacing w:after="0"/>
              <w:rPr>
                <w:sz w:val="14"/>
                <w:szCs w:val="14"/>
                <w:color w:val="auto"/>
              </w:rPr>
            </w:pPr>
          </w:p>
        </w:tc>
      </w:tr>
      <w:tr>
        <w:trPr>
          <w:trHeight w:val="170"/>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10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9,856</w:t>
            </w: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(2,580)</w:t>
            </w:r>
          </w:p>
        </w:tc>
        <w:tc>
          <w:tcPr>
            <w:tcW w:w="120" w:type="dxa"/>
            <w:vAlign w:val="bottom"/>
            <w:shd w:val="clear" w:color="auto" w:fill="CFF0FC"/>
          </w:tcPr>
          <w:p>
            <w:pPr>
              <w:spacing w:after="0"/>
              <w:rPr>
                <w:sz w:val="14"/>
                <w:szCs w:val="14"/>
                <w:color w:val="auto"/>
              </w:rPr>
            </w:pPr>
          </w:p>
        </w:tc>
      </w:tr>
      <w:tr>
        <w:trPr>
          <w:trHeight w:val="180"/>
        </w:trPr>
        <w:tc>
          <w:tcPr>
            <w:tcW w:w="7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10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133,859</w:t>
            </w:r>
          </w:p>
        </w:tc>
        <w:tc>
          <w:tcPr>
            <w:tcW w:w="280" w:type="dxa"/>
            <w:vAlign w:val="bottom"/>
            <w:tcBorders>
              <w:bottom w:val="single" w:sz="8" w:color="CFF0FC"/>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123,127</w:t>
            </w:r>
          </w:p>
        </w:tc>
        <w:tc>
          <w:tcPr>
            <w:tcW w:w="120" w:type="dxa"/>
            <w:vAlign w:val="bottom"/>
            <w:tcBorders>
              <w:bottom w:val="single" w:sz="8" w:color="CFF0FC"/>
            </w:tcBorders>
          </w:tcPr>
          <w:p>
            <w:pPr>
              <w:spacing w:after="0"/>
              <w:rPr>
                <w:sz w:val="15"/>
                <w:szCs w:val="15"/>
                <w:color w:val="auto"/>
              </w:rPr>
            </w:pPr>
          </w:p>
        </w:tc>
      </w:tr>
      <w:tr>
        <w:trPr>
          <w:trHeight w:val="170"/>
        </w:trPr>
        <w:tc>
          <w:tcPr>
            <w:tcW w:w="7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1000" w:type="dxa"/>
            <w:vAlign w:val="bottom"/>
            <w:tcBorders>
              <w:bottom w:val="single" w:sz="8" w:color="auto"/>
            </w:tcBorders>
            <w:shd w:val="clear" w:color="auto" w:fill="CFF0FC"/>
          </w:tcPr>
          <w:p>
            <w:pPr>
              <w:jc w:val="right"/>
              <w:ind w:right="88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143,715</w:t>
            </w:r>
          </w:p>
        </w:tc>
        <w:tc>
          <w:tcPr>
            <w:tcW w:w="280" w:type="dxa"/>
            <w:vAlign w:val="bottom"/>
            <w:tcBorders>
              <w:bottom w:val="single" w:sz="8" w:color="CFF0FC"/>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120,547</w:t>
            </w:r>
          </w:p>
        </w:tc>
        <w:tc>
          <w:tcPr>
            <w:tcW w:w="120" w:type="dxa"/>
            <w:vAlign w:val="bottom"/>
            <w:tcBorders>
              <w:bottom w:val="single" w:sz="8" w:color="CFF0FC"/>
            </w:tcBorders>
            <w:shd w:val="clear" w:color="auto" w:fill="CFF0FC"/>
          </w:tcPr>
          <w:p>
            <w:pPr>
              <w:spacing w:after="0"/>
              <w:rPr>
                <w:sz w:val="14"/>
                <w:szCs w:val="14"/>
                <w:color w:val="auto"/>
              </w:rPr>
            </w:pPr>
          </w:p>
        </w:tc>
      </w:tr>
      <w:tr>
        <w:trPr>
          <w:trHeight w:val="20"/>
        </w:trPr>
        <w:tc>
          <w:tcPr>
            <w:tcW w:w="79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these condensed consolidated financial statements.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55245</wp:posOffset>
            </wp:positionV>
            <wp:extent cx="731520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15200" cy="38735"/>
                    </a:xfrm>
                    <a:prstGeom prst="rect">
                      <a:avLst/>
                    </a:prstGeom>
                    <a:noFill/>
                  </pic:spPr>
                </pic:pic>
              </a:graphicData>
            </a:graphic>
          </wp:anchor>
        </w:drawing>
      </w:r>
    </w:p>
    <w:p>
      <w:pPr>
        <w:sectPr>
          <w:pgSz w:w="11900" w:h="16838" w:orient="portrait"/>
          <w:cols w:equalWidth="0" w:num="1">
            <w:col w:w="11460"/>
          </w:cols>
          <w:pgMar w:left="220" w:top="302" w:right="2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color w:val="auto"/>
        </w:rPr>
        <w:t>SPS COMMERCE, INC. AND SUBSIDIARIES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A – General</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Business Description</w:t>
      </w:r>
    </w:p>
    <w:p>
      <w:pPr>
        <w:spacing w:after="0" w:line="94" w:lineRule="exact"/>
        <w:rPr>
          <w:sz w:val="20"/>
          <w:szCs w:val="20"/>
          <w:color w:val="auto"/>
        </w:rPr>
      </w:pPr>
    </w:p>
    <w:p>
      <w:pPr>
        <w:ind w:firstLine="520"/>
        <w:spacing w:after="0" w:line="263" w:lineRule="auto"/>
        <w:rPr>
          <w:sz w:val="20"/>
          <w:szCs w:val="20"/>
          <w:color w:val="auto"/>
        </w:rPr>
      </w:pPr>
      <w:r>
        <w:rPr>
          <w:rFonts w:ascii="Times New Roman" w:cs="Times New Roman" w:eastAsia="Times New Roman" w:hAnsi="Times New Roman"/>
          <w:sz w:val="14"/>
          <w:szCs w:val="14"/>
          <w:color w:val="auto"/>
        </w:rPr>
        <w:t>SPS Commerce is a leading provider of cloud-based supply chain management solutions that make it easier for retailers, suppliers, grocers, distributors and logistics firms to orchestrate the management of item data, order fulfillment, inventory control and sales analytics across all channels. The solutions offered by SPS Commerce eliminate the need for on-premise software and support staff by taking on that capability on the customer’s behalf. The solutions SPS Commerce provides allow our customers to increase their supply cycle agility, optimize their inventory levels and sell-through, reduce operational costs and gain increased visibility into customer orders, ensuring that suppliers, grocers, distributors, and logistics firms can satisfy exacting retailer requirements.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Basis of Presentation</w:t>
      </w:r>
    </w:p>
    <w:p>
      <w:pPr>
        <w:spacing w:after="0" w:line="94" w:lineRule="exact"/>
        <w:rPr>
          <w:sz w:val="20"/>
          <w:szCs w:val="20"/>
          <w:color w:val="auto"/>
        </w:rPr>
      </w:pPr>
    </w:p>
    <w:p>
      <w:pPr>
        <w:ind w:right="220" w:firstLine="520"/>
        <w:spacing w:after="0" w:line="258" w:lineRule="auto"/>
        <w:rPr>
          <w:sz w:val="20"/>
          <w:szCs w:val="20"/>
          <w:color w:val="auto"/>
        </w:rPr>
      </w:pPr>
      <w:r>
        <w:rPr>
          <w:rFonts w:ascii="Times New Roman" w:cs="Times New Roman" w:eastAsia="Times New Roman" w:hAnsi="Times New Roman"/>
          <w:sz w:val="14"/>
          <w:szCs w:val="14"/>
          <w:color w:val="auto"/>
        </w:rPr>
        <w:t>The accompanying unaudited condensed consolidated financial statements include the accounts of SPS Commerce, Inc. and its subsidiaries. All intercompany accounts and transactions have been eliminated in the condensed consolidated financial statements, which have been prepared in conformity with U.S. generally accepted accounting principles (“GAAP”) for interim financial information and with the instructions to Form 10-Q and Rule 10-01 of Regulation S-X. Accordingly, these condensed consolidated financial statements do not include all of the information and notes required by GAAP. We have included all normal recurring adjustments considered necessary to provide a fair presentation of our financial position, results of operations and cash flows for the interim periods shown. Operating results for these interim periods are not necessarily indicative of the results to be expected for the full year. For further information, refer to the consolidated financial statements and accompanying notes for the year ended December 31, 2018 included in our Annual Report on Form 10-K/A filed with the SEC.</w:t>
      </w:r>
    </w:p>
    <w:p>
      <w:pPr>
        <w:spacing w:after="0" w:line="143" w:lineRule="exact"/>
        <w:rPr>
          <w:sz w:val="20"/>
          <w:szCs w:val="20"/>
          <w:color w:val="auto"/>
        </w:rPr>
      </w:pPr>
    </w:p>
    <w:p>
      <w:pPr>
        <w:ind w:right="80" w:firstLine="520"/>
        <w:spacing w:after="0" w:line="257" w:lineRule="auto"/>
        <w:rPr>
          <w:sz w:val="20"/>
          <w:szCs w:val="20"/>
          <w:color w:val="auto"/>
        </w:rPr>
      </w:pPr>
      <w:r>
        <w:rPr>
          <w:rFonts w:ascii="Times New Roman" w:cs="Times New Roman" w:eastAsia="Times New Roman" w:hAnsi="Times New Roman"/>
          <w:sz w:val="14"/>
          <w:szCs w:val="14"/>
          <w:color w:val="auto"/>
        </w:rPr>
        <w:t xml:space="preserve">Effective January 1, 2019, we adopted the requirements of Accounting Standards Update (“ASU”) No. 2016-02, </w:t>
      </w:r>
      <w:r>
        <w:rPr>
          <w:rFonts w:ascii="Times New Roman" w:cs="Times New Roman" w:eastAsia="Times New Roman" w:hAnsi="Times New Roman"/>
          <w:sz w:val="14"/>
          <w:szCs w:val="14"/>
          <w:i w:val="1"/>
          <w:iCs w:val="1"/>
          <w:color w:val="auto"/>
        </w:rPr>
        <w:t>Leases (Topic 842)</w:t>
      </w:r>
      <w:r>
        <w:rPr>
          <w:rFonts w:ascii="Times New Roman" w:cs="Times New Roman" w:eastAsia="Times New Roman" w:hAnsi="Times New Roman"/>
          <w:sz w:val="14"/>
          <w:szCs w:val="14"/>
          <w:color w:val="auto"/>
        </w:rPr>
        <w:t>, and used the effective date as our date of initial application. Consequently, financial information was not updated and the disclosures required under the new standard were not provided for dates and periods before January 1, 2019. The new standard provides several optional practical expedients in transition. We elected the “package of practical expedients,” which permits us not to reassess under the new standard our prior conclusions about lease identification, lease classification and initial direct costs. We did not elect the use-of hindsight or the practical expedient pertaining to land easements, the latter not being applicable to us. The new standard also provides practical expedients for an entity’s ongoing accounting. We elected the short-term lease recognition exemption for all leases that qualify which means we will not recognize right-of-use (“ROU”) assets or lease liabilities for these leases. This includes not recognizing ROU assets or lease liabilities for existing short-term leases of those assets in transition. We also elected the practical expedient to not separate lease and non-lease components for all leases.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Use of Estimates</w:t>
      </w:r>
    </w:p>
    <w:p>
      <w:pPr>
        <w:spacing w:after="0" w:line="94" w:lineRule="exact"/>
        <w:rPr>
          <w:sz w:val="20"/>
          <w:szCs w:val="20"/>
          <w:color w:val="auto"/>
        </w:rPr>
      </w:pPr>
    </w:p>
    <w:p>
      <w:pPr>
        <w:ind w:right="180" w:firstLine="520"/>
        <w:spacing w:after="0" w:line="285" w:lineRule="auto"/>
        <w:rPr>
          <w:sz w:val="20"/>
          <w:szCs w:val="20"/>
          <w:color w:val="auto"/>
        </w:rPr>
      </w:pPr>
      <w:r>
        <w:rPr>
          <w:rFonts w:ascii="Times New Roman" w:cs="Times New Roman" w:eastAsia="Times New Roman" w:hAnsi="Times New Roman"/>
          <w:sz w:val="14"/>
          <w:szCs w:val="14"/>
          <w:color w:val="auto"/>
        </w:rPr>
        <w:t>Preparing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periods. Actual results could differ from those estimates.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Lease Policy</w:t>
      </w:r>
    </w:p>
    <w:p>
      <w:pPr>
        <w:spacing w:after="0" w:line="94" w:lineRule="exact"/>
        <w:rPr>
          <w:sz w:val="20"/>
          <w:szCs w:val="20"/>
          <w:color w:val="auto"/>
        </w:rPr>
      </w:pPr>
    </w:p>
    <w:p>
      <w:pPr>
        <w:ind w:right="200" w:firstLine="520"/>
        <w:spacing w:after="0" w:line="285" w:lineRule="auto"/>
        <w:rPr>
          <w:sz w:val="20"/>
          <w:szCs w:val="20"/>
          <w:color w:val="auto"/>
        </w:rPr>
      </w:pPr>
      <w:r>
        <w:rPr>
          <w:rFonts w:ascii="Times New Roman" w:cs="Times New Roman" w:eastAsia="Times New Roman" w:hAnsi="Times New Roman"/>
          <w:sz w:val="14"/>
          <w:szCs w:val="14"/>
          <w:color w:val="auto"/>
        </w:rPr>
        <w:t>We determine if an arrangement is a lease at inception. Operating leases are included in operating lease ROU assets, current lease liabilities, and long-term lease liabilities in our consolidated balance sheets.</w:t>
      </w:r>
    </w:p>
    <w:p>
      <w:pPr>
        <w:spacing w:after="0" w:line="125" w:lineRule="exact"/>
        <w:rPr>
          <w:sz w:val="20"/>
          <w:szCs w:val="20"/>
          <w:color w:val="auto"/>
        </w:rPr>
      </w:pPr>
    </w:p>
    <w:p>
      <w:pPr>
        <w:ind w:firstLine="520"/>
        <w:spacing w:after="0" w:line="257" w:lineRule="auto"/>
        <w:rPr>
          <w:sz w:val="20"/>
          <w:szCs w:val="20"/>
          <w:color w:val="auto"/>
        </w:rPr>
      </w:pPr>
      <w:r>
        <w:rPr>
          <w:rFonts w:ascii="Times New Roman" w:cs="Times New Roman" w:eastAsia="Times New Roman" w:hAnsi="Times New Roman"/>
          <w:sz w:val="14"/>
          <w:szCs w:val="14"/>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We estimate the discount rate for a similar collateralized asset by reviewing quoted costs of borrowing. We use the implicit interest rate when readily determinable. The operating lease ROU asset also includes any lease payments made and lease incentives that have been incurred. The options to extend our leases are not recognized as part of our right-of-use assets and lease liabilities unless it is reasonably certain that we will exercise that option. Lease expense for lease payments is recognized on a straight-line basis over the lease term. For all leases we combine non-lease components with the related lease components and account for it as a single lease component. The ROU assets are subject to the same impairment process as our long-lived assets. Additionally, we review our lease liabilities for remeasurement whenever there is a triggering event or when relevant facts and circumstances change.</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55245</wp:posOffset>
            </wp:positionV>
            <wp:extent cx="731520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15200" cy="38735"/>
                    </a:xfrm>
                    <a:prstGeom prst="rect">
                      <a:avLst/>
                    </a:prstGeom>
                    <a:noFill/>
                  </pic:spPr>
                </pic:pic>
              </a:graphicData>
            </a:graphic>
          </wp:anchor>
        </w:drawing>
      </w:r>
    </w:p>
    <w:p>
      <w:pPr>
        <w:sectPr>
          <w:pgSz w:w="11900" w:h="16838" w:orient="portrait"/>
          <w:cols w:equalWidth="0" w:num="1">
            <w:col w:w="11460"/>
          </w:cols>
          <w:pgMar w:left="220" w:top="302" w:right="2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85"/>
        </w:trPr>
        <w:tc>
          <w:tcPr>
            <w:tcW w:w="30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Recently Adopted Accounting Pronouncements</w:t>
            </w:r>
          </w:p>
        </w:tc>
        <w:tc>
          <w:tcPr>
            <w:tcW w:w="37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460" w:type="dxa"/>
            <w:vAlign w:val="bottom"/>
          </w:tcPr>
          <w:p>
            <w:pPr>
              <w:spacing w:after="0"/>
              <w:rPr>
                <w:sz w:val="16"/>
                <w:szCs w:val="16"/>
                <w:color w:val="auto"/>
              </w:rPr>
            </w:pPr>
          </w:p>
        </w:tc>
      </w:tr>
      <w:tr>
        <w:trPr>
          <w:trHeight w:val="349"/>
        </w:trPr>
        <w:tc>
          <w:tcPr>
            <w:tcW w:w="1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Standard</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Date of Issuance</w:t>
            </w:r>
          </w:p>
        </w:tc>
        <w:tc>
          <w:tcPr>
            <w:tcW w:w="37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Description</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Date Adopted</w:t>
            </w:r>
          </w:p>
        </w:tc>
        <w:tc>
          <w:tcPr>
            <w:tcW w:w="34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Effect on the Financial Statements</w:t>
            </w:r>
          </w:p>
        </w:tc>
      </w:tr>
      <w:tr>
        <w:trPr>
          <w:trHeight w:val="156"/>
        </w:trPr>
        <w:tc>
          <w:tcPr>
            <w:tcW w:w="172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ASU 2016-02</w:t>
            </w:r>
            <w:r>
              <w:rPr>
                <w:rFonts w:ascii="Times New Roman" w:cs="Times New Roman" w:eastAsia="Times New Roman" w:hAnsi="Times New Roman"/>
                <w:sz w:val="14"/>
                <w:szCs w:val="14"/>
                <w:color w:val="auto"/>
              </w:rPr>
              <w:t>, Leases and</w:t>
            </w:r>
          </w:p>
        </w:tc>
        <w:tc>
          <w:tcPr>
            <w:tcW w:w="1280" w:type="dxa"/>
            <w:vAlign w:val="bottom"/>
            <w:shd w:val="clear" w:color="auto" w:fill="CFF0FC"/>
          </w:tcPr>
          <w:p>
            <w:pPr>
              <w:jc w:val="center"/>
              <w:spacing w:after="0" w:line="155" w:lineRule="exact"/>
              <w:rPr>
                <w:sz w:val="20"/>
                <w:szCs w:val="20"/>
                <w:color w:val="auto"/>
              </w:rPr>
            </w:pPr>
            <w:r>
              <w:rPr>
                <w:rFonts w:ascii="Times New Roman" w:cs="Times New Roman" w:eastAsia="Times New Roman" w:hAnsi="Times New Roman"/>
                <w:sz w:val="14"/>
                <w:szCs w:val="14"/>
                <w:color w:val="auto"/>
              </w:rPr>
              <w:t>February</w:t>
            </w:r>
          </w:p>
        </w:tc>
        <w:tc>
          <w:tcPr>
            <w:tcW w:w="3700" w:type="dxa"/>
            <w:vAlign w:val="bottom"/>
            <w:shd w:val="clear" w:color="auto" w:fill="CFF0FC"/>
          </w:tcPr>
          <w:p>
            <w:pPr>
              <w:ind w:left="160"/>
              <w:spacing w:after="0" w:line="155" w:lineRule="exact"/>
              <w:rPr>
                <w:sz w:val="20"/>
                <w:szCs w:val="20"/>
                <w:color w:val="auto"/>
              </w:rPr>
            </w:pPr>
            <w:r>
              <w:rPr>
                <w:rFonts w:ascii="Times New Roman" w:cs="Times New Roman" w:eastAsia="Times New Roman" w:hAnsi="Times New Roman"/>
                <w:sz w:val="14"/>
                <w:szCs w:val="14"/>
                <w:color w:val="auto"/>
              </w:rPr>
              <w:t>Requires all leases with a term greater than 12 months to be</w:t>
            </w:r>
          </w:p>
        </w:tc>
        <w:tc>
          <w:tcPr>
            <w:tcW w:w="1300" w:type="dxa"/>
            <w:vAlign w:val="bottom"/>
            <w:shd w:val="clear" w:color="auto" w:fill="CFF0FC"/>
          </w:tcPr>
          <w:p>
            <w:pPr>
              <w:jc w:val="center"/>
              <w:spacing w:after="0" w:line="155" w:lineRule="exact"/>
              <w:rPr>
                <w:sz w:val="20"/>
                <w:szCs w:val="20"/>
                <w:color w:val="auto"/>
              </w:rPr>
            </w:pPr>
            <w:r>
              <w:rPr>
                <w:rFonts w:ascii="Times New Roman" w:cs="Times New Roman" w:eastAsia="Times New Roman" w:hAnsi="Times New Roman"/>
                <w:sz w:val="14"/>
                <w:szCs w:val="14"/>
                <w:color w:val="auto"/>
              </w:rPr>
              <w:t>January</w:t>
            </w:r>
          </w:p>
        </w:tc>
        <w:tc>
          <w:tcPr>
            <w:tcW w:w="3460" w:type="dxa"/>
            <w:vAlign w:val="bottom"/>
            <w:shd w:val="clear" w:color="auto" w:fill="CFF0FC"/>
          </w:tcPr>
          <w:p>
            <w:pPr>
              <w:ind w:left="140"/>
              <w:spacing w:after="0" w:line="155" w:lineRule="exact"/>
              <w:rPr>
                <w:sz w:val="20"/>
                <w:szCs w:val="20"/>
                <w:color w:val="auto"/>
              </w:rPr>
            </w:pPr>
            <w:r>
              <w:rPr>
                <w:rFonts w:ascii="Times New Roman" w:cs="Times New Roman" w:eastAsia="Times New Roman" w:hAnsi="Times New Roman"/>
                <w:sz w:val="14"/>
                <w:szCs w:val="14"/>
                <w:color w:val="auto"/>
              </w:rPr>
              <w:t>The adoption of this standard and related amendments</w:t>
            </w:r>
          </w:p>
        </w:tc>
      </w:tr>
      <w:tr>
        <w:trPr>
          <w:trHeight w:val="169"/>
        </w:trPr>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all related amendments</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2016</w:t>
            </w:r>
          </w:p>
        </w:tc>
        <w:tc>
          <w:tcPr>
            <w:tcW w:w="3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recognized in the statements of financial position and</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2019</w:t>
            </w:r>
          </w:p>
        </w:tc>
        <w:tc>
          <w:tcPr>
            <w:tcW w:w="3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resulted in the recognition of approximately $15.7 million</w:t>
            </w:r>
          </w:p>
        </w:tc>
      </w:tr>
      <w:tr>
        <w:trPr>
          <w:trHeight w:val="169"/>
        </w:trPr>
        <w:tc>
          <w:tcPr>
            <w:tcW w:w="172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3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eliminates current real estate-specific lease guidance, while</w:t>
            </w:r>
          </w:p>
        </w:tc>
        <w:tc>
          <w:tcPr>
            <w:tcW w:w="1300" w:type="dxa"/>
            <w:vAlign w:val="bottom"/>
            <w:shd w:val="clear" w:color="auto" w:fill="CFF0FC"/>
          </w:tcPr>
          <w:p>
            <w:pPr>
              <w:spacing w:after="0"/>
              <w:rPr>
                <w:sz w:val="14"/>
                <w:szCs w:val="14"/>
                <w:color w:val="auto"/>
              </w:rPr>
            </w:pPr>
          </w:p>
        </w:tc>
        <w:tc>
          <w:tcPr>
            <w:tcW w:w="3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in right-of-use assets and lease liabilities on our balance</w:t>
            </w:r>
          </w:p>
        </w:tc>
      </w:tr>
      <w:tr>
        <w:trPr>
          <w:trHeight w:val="169"/>
        </w:trPr>
        <w:tc>
          <w:tcPr>
            <w:tcW w:w="172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3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maintaining substantially similar classification criteria for</w:t>
            </w:r>
          </w:p>
        </w:tc>
        <w:tc>
          <w:tcPr>
            <w:tcW w:w="1300" w:type="dxa"/>
            <w:vAlign w:val="bottom"/>
            <w:shd w:val="clear" w:color="auto" w:fill="CFF0FC"/>
          </w:tcPr>
          <w:p>
            <w:pPr>
              <w:spacing w:after="0"/>
              <w:rPr>
                <w:sz w:val="14"/>
                <w:szCs w:val="14"/>
                <w:color w:val="auto"/>
              </w:rPr>
            </w:pPr>
          </w:p>
        </w:tc>
        <w:tc>
          <w:tcPr>
            <w:tcW w:w="3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sheet as of January 1, 2019. Comparative periods will</w:t>
            </w:r>
          </w:p>
        </w:tc>
      </w:tr>
      <w:tr>
        <w:trPr>
          <w:trHeight w:val="169"/>
        </w:trPr>
        <w:tc>
          <w:tcPr>
            <w:tcW w:w="172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3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distinguishing between finance leases and operating leases.</w:t>
            </w:r>
          </w:p>
        </w:tc>
        <w:tc>
          <w:tcPr>
            <w:tcW w:w="1300" w:type="dxa"/>
            <w:vAlign w:val="bottom"/>
            <w:shd w:val="clear" w:color="auto" w:fill="CFF0FC"/>
          </w:tcPr>
          <w:p>
            <w:pPr>
              <w:spacing w:after="0"/>
              <w:rPr>
                <w:sz w:val="14"/>
                <w:szCs w:val="14"/>
                <w:color w:val="auto"/>
              </w:rPr>
            </w:pPr>
          </w:p>
        </w:tc>
        <w:tc>
          <w:tcPr>
            <w:tcW w:w="3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continue to be measured and presented under historical</w:t>
            </w:r>
          </w:p>
        </w:tc>
      </w:tr>
      <w:tr>
        <w:trPr>
          <w:trHeight w:val="169"/>
        </w:trPr>
        <w:tc>
          <w:tcPr>
            <w:tcW w:w="172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370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3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guidance, and only the period of adoption and future</w:t>
            </w:r>
          </w:p>
        </w:tc>
      </w:tr>
      <w:tr>
        <w:trPr>
          <w:trHeight w:val="169"/>
        </w:trPr>
        <w:tc>
          <w:tcPr>
            <w:tcW w:w="172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370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3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periods will be subject to this ASU. There was no</w:t>
            </w:r>
          </w:p>
        </w:tc>
      </w:tr>
      <w:tr>
        <w:trPr>
          <w:trHeight w:val="169"/>
        </w:trPr>
        <w:tc>
          <w:tcPr>
            <w:tcW w:w="172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370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3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cumulative effect on retained earnings or other</w:t>
            </w:r>
          </w:p>
        </w:tc>
      </w:tr>
      <w:tr>
        <w:trPr>
          <w:trHeight w:val="169"/>
        </w:trPr>
        <w:tc>
          <w:tcPr>
            <w:tcW w:w="172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370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3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components of equity at the adoption date. For more</w:t>
            </w:r>
          </w:p>
        </w:tc>
      </w:tr>
      <w:tr>
        <w:trPr>
          <w:trHeight w:val="184"/>
        </w:trPr>
        <w:tc>
          <w:tcPr>
            <w:tcW w:w="172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370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3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information see Note H.</w:t>
            </w:r>
          </w:p>
        </w:tc>
      </w:tr>
      <w:tr>
        <w:trPr>
          <w:trHeight w:val="165"/>
        </w:trPr>
        <w:tc>
          <w:tcPr>
            <w:tcW w:w="1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ASU 2018-02</w:t>
            </w:r>
            <w:r>
              <w:rPr>
                <w:rFonts w:ascii="Times New Roman" w:cs="Times New Roman" w:eastAsia="Times New Roman" w:hAnsi="Times New Roman"/>
                <w:sz w:val="14"/>
                <w:szCs w:val="14"/>
                <w:color w:val="auto"/>
              </w:rPr>
              <w:t>, Income</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w:t>
            </w:r>
          </w:p>
        </w:tc>
        <w:tc>
          <w:tcPr>
            <w:tcW w:w="37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Allows a reclassification from accumulated other</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January</w:t>
            </w:r>
          </w:p>
        </w:tc>
        <w:tc>
          <w:tcPr>
            <w:tcW w:w="3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The adoption of this standard did not have a material</w:t>
            </w:r>
          </w:p>
        </w:tc>
      </w:tr>
      <w:tr>
        <w:trPr>
          <w:trHeight w:val="169"/>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Statement - Reporting</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2018</w:t>
            </w:r>
          </w:p>
        </w:tc>
        <w:tc>
          <w:tcPr>
            <w:tcW w:w="37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comprehensive income to retained earnings for stranded tax</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2019</w:t>
            </w:r>
          </w:p>
        </w:tc>
        <w:tc>
          <w:tcPr>
            <w:tcW w:w="3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impact on our consolidated financial statements.</w:t>
            </w:r>
          </w:p>
        </w:tc>
      </w:tr>
      <w:tr>
        <w:trPr>
          <w:trHeight w:val="169"/>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Comprehensive Income</w:t>
            </w:r>
          </w:p>
        </w:tc>
        <w:tc>
          <w:tcPr>
            <w:tcW w:w="1280" w:type="dxa"/>
            <w:vAlign w:val="bottom"/>
          </w:tcPr>
          <w:p>
            <w:pPr>
              <w:spacing w:after="0"/>
              <w:rPr>
                <w:sz w:val="14"/>
                <w:szCs w:val="14"/>
                <w:color w:val="auto"/>
              </w:rPr>
            </w:pPr>
          </w:p>
        </w:tc>
        <w:tc>
          <w:tcPr>
            <w:tcW w:w="37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effects resulting from the Tax Act and requires certain</w:t>
            </w:r>
          </w:p>
        </w:tc>
        <w:tc>
          <w:tcPr>
            <w:tcW w:w="1300" w:type="dxa"/>
            <w:vAlign w:val="bottom"/>
          </w:tcPr>
          <w:p>
            <w:pPr>
              <w:spacing w:after="0"/>
              <w:rPr>
                <w:sz w:val="14"/>
                <w:szCs w:val="14"/>
                <w:color w:val="auto"/>
              </w:rPr>
            </w:pPr>
          </w:p>
        </w:tc>
        <w:tc>
          <w:tcPr>
            <w:tcW w:w="3460" w:type="dxa"/>
            <w:vAlign w:val="bottom"/>
          </w:tcPr>
          <w:p>
            <w:pPr>
              <w:spacing w:after="0"/>
              <w:rPr>
                <w:sz w:val="14"/>
                <w:szCs w:val="14"/>
                <w:color w:val="auto"/>
              </w:rPr>
            </w:pPr>
          </w:p>
        </w:tc>
      </w:tr>
      <w:tr>
        <w:trPr>
          <w:trHeight w:val="169"/>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(Topic 220)</w:t>
            </w:r>
          </w:p>
        </w:tc>
        <w:tc>
          <w:tcPr>
            <w:tcW w:w="1280" w:type="dxa"/>
            <w:vAlign w:val="bottom"/>
          </w:tcPr>
          <w:p>
            <w:pPr>
              <w:spacing w:after="0"/>
              <w:rPr>
                <w:sz w:val="14"/>
                <w:szCs w:val="14"/>
                <w:color w:val="auto"/>
              </w:rPr>
            </w:pPr>
          </w:p>
        </w:tc>
        <w:tc>
          <w:tcPr>
            <w:tcW w:w="37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disclosures regarding stranded tax effects in accumulated</w:t>
            </w:r>
          </w:p>
        </w:tc>
        <w:tc>
          <w:tcPr>
            <w:tcW w:w="1300" w:type="dxa"/>
            <w:vAlign w:val="bottom"/>
          </w:tcPr>
          <w:p>
            <w:pPr>
              <w:spacing w:after="0"/>
              <w:rPr>
                <w:sz w:val="14"/>
                <w:szCs w:val="14"/>
                <w:color w:val="auto"/>
              </w:rPr>
            </w:pPr>
          </w:p>
        </w:tc>
        <w:tc>
          <w:tcPr>
            <w:tcW w:w="3460" w:type="dxa"/>
            <w:vAlign w:val="bottom"/>
          </w:tcPr>
          <w:p>
            <w:pPr>
              <w:spacing w:after="0"/>
              <w:rPr>
                <w:sz w:val="14"/>
                <w:szCs w:val="14"/>
                <w:color w:val="auto"/>
              </w:rPr>
            </w:pPr>
          </w:p>
        </w:tc>
      </w:tr>
      <w:tr>
        <w:trPr>
          <w:trHeight w:val="183"/>
        </w:trPr>
        <w:tc>
          <w:tcPr>
            <w:tcW w:w="17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7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300" w:type="dxa"/>
            <w:vAlign w:val="bottom"/>
          </w:tcPr>
          <w:p>
            <w:pPr>
              <w:spacing w:after="0"/>
              <w:rPr>
                <w:sz w:val="15"/>
                <w:szCs w:val="15"/>
                <w:color w:val="auto"/>
              </w:rPr>
            </w:pPr>
          </w:p>
        </w:tc>
        <w:tc>
          <w:tcPr>
            <w:tcW w:w="3460" w:type="dxa"/>
            <w:vAlign w:val="bottom"/>
          </w:tcPr>
          <w:p>
            <w:pPr>
              <w:spacing w:after="0"/>
              <w:rPr>
                <w:sz w:val="15"/>
                <w:szCs w:val="15"/>
                <w:color w:val="auto"/>
              </w:rPr>
            </w:pPr>
          </w:p>
        </w:tc>
      </w:tr>
      <w:tr>
        <w:trPr>
          <w:trHeight w:val="422"/>
        </w:trPr>
        <w:tc>
          <w:tcPr>
            <w:tcW w:w="30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Accounting Pronouncements Not Yet Adopted</w:t>
            </w:r>
          </w:p>
        </w:tc>
        <w:tc>
          <w:tcPr>
            <w:tcW w:w="3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334"/>
        </w:trPr>
        <w:tc>
          <w:tcPr>
            <w:tcW w:w="17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Date of Required</w:t>
            </w:r>
          </w:p>
        </w:tc>
        <w:tc>
          <w:tcPr>
            <w:tcW w:w="3460" w:type="dxa"/>
            <w:vAlign w:val="bottom"/>
          </w:tcPr>
          <w:p>
            <w:pPr>
              <w:spacing w:after="0"/>
              <w:rPr>
                <w:sz w:val="24"/>
                <w:szCs w:val="24"/>
                <w:color w:val="auto"/>
              </w:rPr>
            </w:pPr>
          </w:p>
        </w:tc>
      </w:tr>
      <w:tr>
        <w:trPr>
          <w:trHeight w:val="184"/>
        </w:trPr>
        <w:tc>
          <w:tcPr>
            <w:tcW w:w="1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Standard</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Date of Issuance</w:t>
            </w:r>
          </w:p>
        </w:tc>
        <w:tc>
          <w:tcPr>
            <w:tcW w:w="37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Description</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Adoption</w:t>
            </w:r>
          </w:p>
        </w:tc>
        <w:tc>
          <w:tcPr>
            <w:tcW w:w="34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Effect on the Financial Statements</w:t>
            </w:r>
          </w:p>
        </w:tc>
      </w:tr>
      <w:tr>
        <w:trPr>
          <w:trHeight w:val="156"/>
        </w:trPr>
        <w:tc>
          <w:tcPr>
            <w:tcW w:w="172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ASU 2016-13</w:t>
            </w:r>
            <w:r>
              <w:rPr>
                <w:rFonts w:ascii="Times New Roman" w:cs="Times New Roman" w:eastAsia="Times New Roman" w:hAnsi="Times New Roman"/>
                <w:sz w:val="14"/>
                <w:szCs w:val="14"/>
                <w:color w:val="auto"/>
              </w:rPr>
              <w:t>, Financial</w:t>
            </w:r>
          </w:p>
        </w:tc>
        <w:tc>
          <w:tcPr>
            <w:tcW w:w="1280" w:type="dxa"/>
            <w:vAlign w:val="bottom"/>
            <w:shd w:val="clear" w:color="auto" w:fill="CFF0FC"/>
          </w:tcPr>
          <w:p>
            <w:pPr>
              <w:jc w:val="center"/>
              <w:spacing w:after="0" w:line="155" w:lineRule="exact"/>
              <w:rPr>
                <w:sz w:val="20"/>
                <w:szCs w:val="20"/>
                <w:color w:val="auto"/>
              </w:rPr>
            </w:pPr>
            <w:r>
              <w:rPr>
                <w:rFonts w:ascii="Times New Roman" w:cs="Times New Roman" w:eastAsia="Times New Roman" w:hAnsi="Times New Roman"/>
                <w:sz w:val="14"/>
                <w:szCs w:val="14"/>
                <w:color w:val="auto"/>
                <w:w w:val="93"/>
              </w:rPr>
              <w:t>June</w:t>
            </w:r>
          </w:p>
        </w:tc>
        <w:tc>
          <w:tcPr>
            <w:tcW w:w="3700" w:type="dxa"/>
            <w:vAlign w:val="bottom"/>
            <w:shd w:val="clear" w:color="auto" w:fill="CFF0FC"/>
          </w:tcPr>
          <w:p>
            <w:pPr>
              <w:ind w:left="160"/>
              <w:spacing w:after="0" w:line="155" w:lineRule="exact"/>
              <w:rPr>
                <w:sz w:val="20"/>
                <w:szCs w:val="20"/>
                <w:color w:val="auto"/>
              </w:rPr>
            </w:pPr>
            <w:r>
              <w:rPr>
                <w:rFonts w:ascii="Times New Roman" w:cs="Times New Roman" w:eastAsia="Times New Roman" w:hAnsi="Times New Roman"/>
                <w:sz w:val="14"/>
                <w:szCs w:val="14"/>
                <w:color w:val="auto"/>
              </w:rPr>
              <w:t>The amendment in this update replaces the incurred loss</w:t>
            </w:r>
          </w:p>
        </w:tc>
        <w:tc>
          <w:tcPr>
            <w:tcW w:w="1300" w:type="dxa"/>
            <w:vAlign w:val="bottom"/>
            <w:shd w:val="clear" w:color="auto" w:fill="CFF0FC"/>
          </w:tcPr>
          <w:p>
            <w:pPr>
              <w:jc w:val="center"/>
              <w:spacing w:after="0" w:line="155" w:lineRule="exact"/>
              <w:rPr>
                <w:sz w:val="20"/>
                <w:szCs w:val="20"/>
                <w:color w:val="auto"/>
              </w:rPr>
            </w:pPr>
            <w:r>
              <w:rPr>
                <w:rFonts w:ascii="Times New Roman" w:cs="Times New Roman" w:eastAsia="Times New Roman" w:hAnsi="Times New Roman"/>
                <w:sz w:val="14"/>
                <w:szCs w:val="14"/>
                <w:color w:val="auto"/>
              </w:rPr>
              <w:t>January 2020</w:t>
            </w:r>
          </w:p>
        </w:tc>
        <w:tc>
          <w:tcPr>
            <w:tcW w:w="3460" w:type="dxa"/>
            <w:vAlign w:val="bottom"/>
            <w:shd w:val="clear" w:color="auto" w:fill="CFF0FC"/>
          </w:tcPr>
          <w:p>
            <w:pPr>
              <w:ind w:left="140"/>
              <w:spacing w:after="0" w:line="155" w:lineRule="exact"/>
              <w:rPr>
                <w:sz w:val="20"/>
                <w:szCs w:val="20"/>
                <w:color w:val="auto"/>
              </w:rPr>
            </w:pPr>
            <w:r>
              <w:rPr>
                <w:rFonts w:ascii="Times New Roman" w:cs="Times New Roman" w:eastAsia="Times New Roman" w:hAnsi="Times New Roman"/>
                <w:sz w:val="14"/>
                <w:szCs w:val="14"/>
                <w:color w:val="auto"/>
              </w:rPr>
              <w:t>We are currently evaluating the impact of the adoption on</w:t>
            </w:r>
          </w:p>
        </w:tc>
      </w:tr>
      <w:tr>
        <w:trPr>
          <w:trHeight w:val="169"/>
        </w:trPr>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Instruments - Credit Losses</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2016</w:t>
            </w:r>
          </w:p>
        </w:tc>
        <w:tc>
          <w:tcPr>
            <w:tcW w:w="3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impairment methodology in current GAAP with a</w:t>
            </w:r>
          </w:p>
        </w:tc>
        <w:tc>
          <w:tcPr>
            <w:tcW w:w="1300" w:type="dxa"/>
            <w:vAlign w:val="bottom"/>
            <w:shd w:val="clear" w:color="auto" w:fill="CFF0FC"/>
          </w:tcPr>
          <w:p>
            <w:pPr>
              <w:spacing w:after="0"/>
              <w:rPr>
                <w:sz w:val="14"/>
                <w:szCs w:val="14"/>
                <w:color w:val="auto"/>
              </w:rPr>
            </w:pPr>
          </w:p>
        </w:tc>
        <w:tc>
          <w:tcPr>
            <w:tcW w:w="3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our consolidated financial statements.</w:t>
            </w:r>
          </w:p>
        </w:tc>
      </w:tr>
      <w:tr>
        <w:trPr>
          <w:trHeight w:val="169"/>
        </w:trPr>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(Topic 326), Measurement</w:t>
            </w:r>
          </w:p>
        </w:tc>
        <w:tc>
          <w:tcPr>
            <w:tcW w:w="1280" w:type="dxa"/>
            <w:vAlign w:val="bottom"/>
            <w:shd w:val="clear" w:color="auto" w:fill="CFF0FC"/>
          </w:tcPr>
          <w:p>
            <w:pPr>
              <w:spacing w:after="0"/>
              <w:rPr>
                <w:sz w:val="14"/>
                <w:szCs w:val="14"/>
                <w:color w:val="auto"/>
              </w:rPr>
            </w:pPr>
          </w:p>
        </w:tc>
        <w:tc>
          <w:tcPr>
            <w:tcW w:w="3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methodology that reflects expected credit losses on</w:t>
            </w:r>
          </w:p>
        </w:tc>
        <w:tc>
          <w:tcPr>
            <w:tcW w:w="1300" w:type="dxa"/>
            <w:vAlign w:val="bottom"/>
            <w:shd w:val="clear" w:color="auto" w:fill="CFF0FC"/>
          </w:tcPr>
          <w:p>
            <w:pPr>
              <w:spacing w:after="0"/>
              <w:rPr>
                <w:sz w:val="14"/>
                <w:szCs w:val="14"/>
                <w:color w:val="auto"/>
              </w:rPr>
            </w:pPr>
          </w:p>
        </w:tc>
        <w:tc>
          <w:tcPr>
            <w:tcW w:w="3460" w:type="dxa"/>
            <w:vAlign w:val="bottom"/>
            <w:shd w:val="clear" w:color="auto" w:fill="CFF0FC"/>
          </w:tcPr>
          <w:p>
            <w:pPr>
              <w:spacing w:after="0"/>
              <w:rPr>
                <w:sz w:val="14"/>
                <w:szCs w:val="14"/>
                <w:color w:val="auto"/>
              </w:rPr>
            </w:pPr>
          </w:p>
        </w:tc>
      </w:tr>
      <w:tr>
        <w:trPr>
          <w:trHeight w:val="169"/>
        </w:trPr>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of Credit Losses on</w:t>
            </w:r>
          </w:p>
        </w:tc>
        <w:tc>
          <w:tcPr>
            <w:tcW w:w="1280" w:type="dxa"/>
            <w:vAlign w:val="bottom"/>
            <w:shd w:val="clear" w:color="auto" w:fill="CFF0FC"/>
          </w:tcPr>
          <w:p>
            <w:pPr>
              <w:spacing w:after="0"/>
              <w:rPr>
                <w:sz w:val="14"/>
                <w:szCs w:val="14"/>
                <w:color w:val="auto"/>
              </w:rPr>
            </w:pPr>
          </w:p>
        </w:tc>
        <w:tc>
          <w:tcPr>
            <w:tcW w:w="3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instruments within its scope, including trade receivables.</w:t>
            </w:r>
          </w:p>
        </w:tc>
        <w:tc>
          <w:tcPr>
            <w:tcW w:w="1300" w:type="dxa"/>
            <w:vAlign w:val="bottom"/>
            <w:shd w:val="clear" w:color="auto" w:fill="CFF0FC"/>
          </w:tcPr>
          <w:p>
            <w:pPr>
              <w:spacing w:after="0"/>
              <w:rPr>
                <w:sz w:val="14"/>
                <w:szCs w:val="14"/>
                <w:color w:val="auto"/>
              </w:rPr>
            </w:pPr>
          </w:p>
        </w:tc>
        <w:tc>
          <w:tcPr>
            <w:tcW w:w="3460" w:type="dxa"/>
            <w:vAlign w:val="bottom"/>
            <w:shd w:val="clear" w:color="auto" w:fill="CFF0FC"/>
          </w:tcPr>
          <w:p>
            <w:pPr>
              <w:spacing w:after="0"/>
              <w:rPr>
                <w:sz w:val="14"/>
                <w:szCs w:val="14"/>
                <w:color w:val="auto"/>
              </w:rPr>
            </w:pPr>
          </w:p>
        </w:tc>
      </w:tr>
      <w:tr>
        <w:trPr>
          <w:trHeight w:val="169"/>
        </w:trPr>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Financial Statements</w:t>
            </w:r>
          </w:p>
        </w:tc>
        <w:tc>
          <w:tcPr>
            <w:tcW w:w="1280" w:type="dxa"/>
            <w:vAlign w:val="bottom"/>
            <w:shd w:val="clear" w:color="auto" w:fill="CFF0FC"/>
          </w:tcPr>
          <w:p>
            <w:pPr>
              <w:spacing w:after="0"/>
              <w:rPr>
                <w:sz w:val="14"/>
                <w:szCs w:val="14"/>
                <w:color w:val="auto"/>
              </w:rPr>
            </w:pPr>
          </w:p>
        </w:tc>
        <w:tc>
          <w:tcPr>
            <w:tcW w:w="3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This update is intended to provide financial statement users</w:t>
            </w:r>
          </w:p>
        </w:tc>
        <w:tc>
          <w:tcPr>
            <w:tcW w:w="1300" w:type="dxa"/>
            <w:vAlign w:val="bottom"/>
            <w:shd w:val="clear" w:color="auto" w:fill="CFF0FC"/>
          </w:tcPr>
          <w:p>
            <w:pPr>
              <w:spacing w:after="0"/>
              <w:rPr>
                <w:sz w:val="14"/>
                <w:szCs w:val="14"/>
                <w:color w:val="auto"/>
              </w:rPr>
            </w:pPr>
          </w:p>
        </w:tc>
        <w:tc>
          <w:tcPr>
            <w:tcW w:w="3460" w:type="dxa"/>
            <w:vAlign w:val="bottom"/>
            <w:shd w:val="clear" w:color="auto" w:fill="CFF0FC"/>
          </w:tcPr>
          <w:p>
            <w:pPr>
              <w:spacing w:after="0"/>
              <w:rPr>
                <w:sz w:val="14"/>
                <w:szCs w:val="14"/>
                <w:color w:val="auto"/>
              </w:rPr>
            </w:pPr>
          </w:p>
        </w:tc>
      </w:tr>
      <w:tr>
        <w:trPr>
          <w:trHeight w:val="169"/>
        </w:trPr>
        <w:tc>
          <w:tcPr>
            <w:tcW w:w="172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3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with more decision-useful information about the expected</w:t>
            </w:r>
          </w:p>
        </w:tc>
        <w:tc>
          <w:tcPr>
            <w:tcW w:w="1300" w:type="dxa"/>
            <w:vAlign w:val="bottom"/>
            <w:shd w:val="clear" w:color="auto" w:fill="CFF0FC"/>
          </w:tcPr>
          <w:p>
            <w:pPr>
              <w:spacing w:after="0"/>
              <w:rPr>
                <w:sz w:val="14"/>
                <w:szCs w:val="14"/>
                <w:color w:val="auto"/>
              </w:rPr>
            </w:pPr>
          </w:p>
        </w:tc>
        <w:tc>
          <w:tcPr>
            <w:tcW w:w="3460" w:type="dxa"/>
            <w:vAlign w:val="bottom"/>
            <w:shd w:val="clear" w:color="auto" w:fill="CFF0FC"/>
          </w:tcPr>
          <w:p>
            <w:pPr>
              <w:spacing w:after="0"/>
              <w:rPr>
                <w:sz w:val="14"/>
                <w:szCs w:val="14"/>
                <w:color w:val="auto"/>
              </w:rPr>
            </w:pPr>
          </w:p>
        </w:tc>
      </w:tr>
      <w:tr>
        <w:trPr>
          <w:trHeight w:val="184"/>
        </w:trPr>
        <w:tc>
          <w:tcPr>
            <w:tcW w:w="172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3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credit losses.</w:t>
            </w:r>
          </w:p>
        </w:tc>
        <w:tc>
          <w:tcPr>
            <w:tcW w:w="1300" w:type="dxa"/>
            <w:vAlign w:val="bottom"/>
            <w:shd w:val="clear" w:color="auto" w:fill="CFF0FC"/>
          </w:tcPr>
          <w:p>
            <w:pPr>
              <w:spacing w:after="0"/>
              <w:rPr>
                <w:sz w:val="15"/>
                <w:szCs w:val="15"/>
                <w:color w:val="auto"/>
              </w:rPr>
            </w:pPr>
          </w:p>
        </w:tc>
        <w:tc>
          <w:tcPr>
            <w:tcW w:w="3460" w:type="dxa"/>
            <w:vAlign w:val="bottom"/>
            <w:shd w:val="clear" w:color="auto" w:fill="CFF0FC"/>
          </w:tcPr>
          <w:p>
            <w:pPr>
              <w:spacing w:after="0"/>
              <w:rPr>
                <w:sz w:val="15"/>
                <w:szCs w:val="15"/>
                <w:color w:val="auto"/>
              </w:rPr>
            </w:pPr>
          </w:p>
        </w:tc>
      </w:tr>
    </w:tbl>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Significant Accounting Policies</w:t>
      </w:r>
    </w:p>
    <w:p>
      <w:pPr>
        <w:spacing w:after="0" w:line="94" w:lineRule="exact"/>
        <w:rPr>
          <w:sz w:val="20"/>
          <w:szCs w:val="20"/>
          <w:color w:val="auto"/>
        </w:rPr>
      </w:pPr>
    </w:p>
    <w:p>
      <w:pPr>
        <w:jc w:val="both"/>
        <w:ind w:right="120" w:firstLine="520"/>
        <w:spacing w:after="0" w:line="268" w:lineRule="auto"/>
        <w:rPr>
          <w:sz w:val="20"/>
          <w:szCs w:val="20"/>
          <w:color w:val="auto"/>
        </w:rPr>
      </w:pPr>
      <w:r>
        <w:rPr>
          <w:rFonts w:ascii="Times New Roman" w:cs="Times New Roman" w:eastAsia="Times New Roman" w:hAnsi="Times New Roman"/>
          <w:sz w:val="14"/>
          <w:szCs w:val="14"/>
          <w:color w:val="auto"/>
        </w:rPr>
        <w:t>Except for the accounting policy for leases that was updated as a result of adopting ASU 2016-02, there were no material changes in our significant accounting policies during the three months ended March 31, 2019. See Note A to the consolidated financial statements included in our Annual Report on Form 10-K/A for the year ended December 31, 2018, as filed with the SEC, for additional information regarding our significant accounting policies.</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55245</wp:posOffset>
            </wp:positionV>
            <wp:extent cx="731520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15200" cy="38735"/>
                    </a:xfrm>
                    <a:prstGeom prst="rect">
                      <a:avLst/>
                    </a:prstGeom>
                    <a:noFill/>
                  </pic:spPr>
                </pic:pic>
              </a:graphicData>
            </a:graphic>
          </wp:anchor>
        </w:drawing>
      </w:r>
    </w:p>
    <w:p>
      <w:pPr>
        <w:sectPr>
          <w:pgSz w:w="11900" w:h="16838" w:orient="portrait"/>
          <w:cols w:equalWidth="0" w:num="1">
            <w:col w:w="11460"/>
          </w:cols>
          <w:pgMar w:left="220" w:top="419" w:right="2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color w:val="auto"/>
        </w:rPr>
        <w:t>NOTE B – Business Acquisitions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EDIAdmin</w:t>
      </w:r>
    </w:p>
    <w:p>
      <w:pPr>
        <w:spacing w:after="0" w:line="94" w:lineRule="exact"/>
        <w:rPr>
          <w:sz w:val="20"/>
          <w:szCs w:val="20"/>
          <w:color w:val="auto"/>
        </w:rPr>
      </w:pPr>
    </w:p>
    <w:p>
      <w:pPr>
        <w:ind w:right="20" w:firstLine="520"/>
        <w:spacing w:after="0" w:line="258" w:lineRule="auto"/>
        <w:rPr>
          <w:sz w:val="20"/>
          <w:szCs w:val="20"/>
          <w:color w:val="auto"/>
        </w:rPr>
      </w:pPr>
      <w:r>
        <w:rPr>
          <w:rFonts w:ascii="Times New Roman" w:cs="Times New Roman" w:eastAsia="Times New Roman" w:hAnsi="Times New Roman"/>
          <w:sz w:val="14"/>
          <w:szCs w:val="14"/>
          <w:color w:val="auto"/>
        </w:rPr>
        <w:t>On October 3, 2018, we completed our asset acquisition of EDIAdmin, a privately held company providing end-to-end integration solutions, featuring a dedicated Integration Platform as a Service (“iPaaS”) called Cloud Hybrid Integration Platform (“CHIP”) and collaborative managed services for leading systems and applications, both cloud and on-premise. Pursuant to the asset purchase agreement, we paid $7.5 million in cash to the owner of EDIAdmin. The purchase agreement also allowed the seller to receive up to $1.7 million in cash, which becomes payable in first quarter 2020 and 2021 contingent upon the completion of certain revenue milestones at December 31, 2019 and December 31, 2020. The fair value of this contingent consideration was $1.3 million at the date of acquisition and $1.4 million at March 31, 2019. During the quarter ended March 31, 2019, we recognized expense of $0.1 million in our consolidated statements of comprehensive income due to the remeasurement of the contingent liability. See Note E for further disclosures on the remeasurement of the contingent liability.</w:t>
      </w:r>
    </w:p>
    <w:p>
      <w:pPr>
        <w:spacing w:after="0" w:line="145" w:lineRule="exact"/>
        <w:rPr>
          <w:sz w:val="20"/>
          <w:szCs w:val="20"/>
          <w:color w:val="auto"/>
        </w:rPr>
      </w:pPr>
    </w:p>
    <w:p>
      <w:pPr>
        <w:ind w:right="60" w:firstLine="520"/>
        <w:spacing w:after="0" w:line="260" w:lineRule="auto"/>
        <w:rPr>
          <w:sz w:val="20"/>
          <w:szCs w:val="20"/>
          <w:color w:val="auto"/>
        </w:rPr>
      </w:pPr>
      <w:r>
        <w:rPr>
          <w:rFonts w:ascii="Times New Roman" w:cs="Times New Roman" w:eastAsia="Times New Roman" w:hAnsi="Times New Roman"/>
          <w:sz w:val="14"/>
          <w:szCs w:val="14"/>
          <w:color w:val="auto"/>
        </w:rPr>
        <w:t>We allocated the purchase price to the tangible and identifiable intangible assets acquired and liabilities assumed based on their estimated fair values as of the acquisition date. The excess of the purchase price over the fair value of net tangible and identifiable intangible assets acquired was recorded as goodwill. Goodwill is attributed to a trained workforce and other buyer-specific value resulting from expected synergies, including long-term cost savings, which are not included in the fair values of identifiable assets. The purchase accounting for the EDIAdmin acquisition was complete as of December 31, 2018. The consolidated balance sheet as of December 31, 2018 reflects the final allocation of the purchase price to the assets acquired and liabilities assumed based on their estimated fair values at the date of acquisition.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CovalentWorks</w:t>
      </w:r>
    </w:p>
    <w:p>
      <w:pPr>
        <w:spacing w:after="0" w:line="94" w:lineRule="exact"/>
        <w:rPr>
          <w:sz w:val="20"/>
          <w:szCs w:val="20"/>
          <w:color w:val="auto"/>
        </w:rPr>
      </w:pPr>
    </w:p>
    <w:p>
      <w:pPr>
        <w:ind w:right="120" w:firstLine="520"/>
        <w:spacing w:after="0" w:line="285" w:lineRule="auto"/>
        <w:rPr>
          <w:sz w:val="20"/>
          <w:szCs w:val="20"/>
          <w:color w:val="auto"/>
        </w:rPr>
      </w:pPr>
      <w:r>
        <w:rPr>
          <w:rFonts w:ascii="Times New Roman" w:cs="Times New Roman" w:eastAsia="Times New Roman" w:hAnsi="Times New Roman"/>
          <w:sz w:val="14"/>
          <w:szCs w:val="14"/>
          <w:color w:val="auto"/>
        </w:rPr>
        <w:t>On December 18, 2018, we completed our asset acquisition of CovalentWorks, a privately held company providing cloud-based EDI solutions to small- and medium-sized businesses. Pursuant to the asset purchase agreement, we paid $19.4 million in cash and issued $3.4 million in common stock, or 40,478 shares, to the owners of CovalentWorks.</w:t>
      </w:r>
    </w:p>
    <w:p>
      <w:pPr>
        <w:spacing w:after="0" w:line="125" w:lineRule="exact"/>
        <w:rPr>
          <w:sz w:val="20"/>
          <w:szCs w:val="20"/>
          <w:color w:val="auto"/>
        </w:rPr>
      </w:pPr>
    </w:p>
    <w:p>
      <w:pPr>
        <w:ind w:right="40" w:firstLine="520"/>
        <w:spacing w:after="0" w:line="260" w:lineRule="auto"/>
        <w:rPr>
          <w:sz w:val="20"/>
          <w:szCs w:val="20"/>
          <w:color w:val="auto"/>
        </w:rPr>
      </w:pPr>
      <w:r>
        <w:rPr>
          <w:rFonts w:ascii="Times New Roman" w:cs="Times New Roman" w:eastAsia="Times New Roman" w:hAnsi="Times New Roman"/>
          <w:sz w:val="14"/>
          <w:szCs w:val="14"/>
          <w:color w:val="auto"/>
        </w:rPr>
        <w:t>We allocated the purchase price to the tangible and identifiable intangible assets acquired and liabilities assumed based on their estimated fair values as of the acquisition date. The excess of the purchase price over the fair value of net tangible and identifiable intangible assets acquired was recorded as goodwill. Goodwill is attributed to a trained workforce and other buyer-specific value resulting from expected synergies, including long-term cost savings, which are not included in the fair values of identifiable assets. The purchase accounting for the CovalentWorks acquisition was finalized during the first quarter of 2019. The purchase price allocation and net working capital adjustment were finalized during the first quarter of 2019. During the quarter ended March 31, 2019, there were no adjustments to the purchase price allocation.</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C – Revenue</w:t>
      </w:r>
    </w:p>
    <w:p>
      <w:pPr>
        <w:spacing w:after="0" w:line="1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derive our revenues primarily from the following revenue streams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792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9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17"/>
        </w:trPr>
        <w:tc>
          <w:tcPr>
            <w:tcW w:w="7920" w:type="dxa"/>
            <w:vAlign w:val="bottom"/>
            <w:tcBorders>
              <w:bottom w:val="single" w:sz="8" w:color="CFF0FC"/>
            </w:tcBorders>
          </w:tcPr>
          <w:p>
            <w:pPr>
              <w:spacing w:after="0"/>
              <w:rPr>
                <w:sz w:val="10"/>
                <w:szCs w:val="10"/>
                <w:color w:val="auto"/>
              </w:rPr>
            </w:pPr>
          </w:p>
        </w:tc>
        <w:tc>
          <w:tcPr>
            <w:tcW w:w="92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b w:val="1"/>
                <w:bCs w:val="1"/>
                <w:color w:val="auto"/>
              </w:rPr>
              <w:t>2019</w:t>
            </w:r>
          </w:p>
        </w:tc>
        <w:tc>
          <w:tcPr>
            <w:tcW w:w="660" w:type="dxa"/>
            <w:vAlign w:val="bottom"/>
            <w:tcBorders>
              <w:bottom w:val="single" w:sz="8" w:color="auto"/>
            </w:tcBorders>
          </w:tcPr>
          <w:p>
            <w:pPr>
              <w:spacing w:after="0"/>
              <w:rPr>
                <w:sz w:val="10"/>
                <w:szCs w:val="10"/>
                <w:color w:val="auto"/>
              </w:rPr>
            </w:pPr>
          </w:p>
        </w:tc>
        <w:tc>
          <w:tcPr>
            <w:tcW w:w="280" w:type="dxa"/>
            <w:vAlign w:val="bottom"/>
            <w:tcBorders>
              <w:bottom w:val="single" w:sz="8" w:color="CFF0FC"/>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612"/>
              <w:spacing w:after="0" w:line="118" w:lineRule="exact"/>
              <w:rPr>
                <w:sz w:val="20"/>
                <w:szCs w:val="20"/>
                <w:color w:val="auto"/>
              </w:rPr>
            </w:pPr>
            <w:r>
              <w:rPr>
                <w:rFonts w:ascii="Times New Roman" w:cs="Times New Roman" w:eastAsia="Times New Roman" w:hAnsi="Times New Roman"/>
                <w:sz w:val="11"/>
                <w:szCs w:val="11"/>
                <w:b w:val="1"/>
                <w:bCs w:val="1"/>
                <w:color w:val="auto"/>
              </w:rPr>
              <w:t>2018</w:t>
            </w:r>
          </w:p>
        </w:tc>
        <w:tc>
          <w:tcPr>
            <w:tcW w:w="100" w:type="dxa"/>
            <w:vAlign w:val="bottom"/>
            <w:tcBorders>
              <w:bottom w:val="single" w:sz="8" w:color="CFF0FC"/>
            </w:tcBorders>
          </w:tcPr>
          <w:p>
            <w:pPr>
              <w:spacing w:after="0"/>
              <w:rPr>
                <w:sz w:val="10"/>
                <w:szCs w:val="10"/>
                <w:color w:val="auto"/>
              </w:rPr>
            </w:pPr>
          </w:p>
        </w:tc>
      </w:tr>
      <w:tr>
        <w:trPr>
          <w:trHeight w:val="170"/>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Recurring revenues:</w:t>
            </w:r>
          </w:p>
        </w:tc>
        <w:tc>
          <w:tcPr>
            <w:tcW w:w="9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0"/>
        </w:trPr>
        <w:tc>
          <w:tcPr>
            <w:tcW w:w="7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Fulfillment</w:t>
            </w:r>
          </w:p>
        </w:tc>
        <w:tc>
          <w:tcPr>
            <w:tcW w:w="920" w:type="dxa"/>
            <w:vAlign w:val="bottom"/>
          </w:tcPr>
          <w:p>
            <w:pPr>
              <w:jc w:val="right"/>
              <w:ind w:right="80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52,445</w:t>
            </w:r>
          </w:p>
        </w:tc>
        <w:tc>
          <w:tcPr>
            <w:tcW w:w="920" w:type="dxa"/>
            <w:vAlign w:val="bottom"/>
            <w:gridSpan w:val="2"/>
          </w:tcPr>
          <w:p>
            <w:pPr>
              <w:jc w:val="right"/>
              <w:ind w:right="525"/>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45,364</w:t>
            </w:r>
          </w:p>
        </w:tc>
        <w:tc>
          <w:tcPr>
            <w:tcW w:w="100" w:type="dxa"/>
            <w:vAlign w:val="bottom"/>
          </w:tcPr>
          <w:p>
            <w:pPr>
              <w:spacing w:after="0"/>
              <w:rPr>
                <w:sz w:val="15"/>
                <w:szCs w:val="15"/>
                <w:color w:val="auto"/>
              </w:rPr>
            </w:pPr>
          </w:p>
        </w:tc>
      </w:tr>
      <w:tr>
        <w:trPr>
          <w:trHeight w:val="180"/>
        </w:trPr>
        <w:tc>
          <w:tcPr>
            <w:tcW w:w="7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Analytics</w:t>
            </w:r>
          </w:p>
        </w:tc>
        <w:tc>
          <w:tcPr>
            <w:tcW w:w="9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8,873</w:t>
            </w:r>
          </w:p>
        </w:tc>
        <w:tc>
          <w:tcPr>
            <w:tcW w:w="2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8,259</w:t>
            </w:r>
          </w:p>
        </w:tc>
        <w:tc>
          <w:tcPr>
            <w:tcW w:w="100" w:type="dxa"/>
            <w:vAlign w:val="bottom"/>
            <w:shd w:val="clear" w:color="auto" w:fill="CFF0FC"/>
          </w:tcPr>
          <w:p>
            <w:pPr>
              <w:spacing w:after="0"/>
              <w:rPr>
                <w:sz w:val="15"/>
                <w:szCs w:val="15"/>
                <w:color w:val="auto"/>
              </w:rPr>
            </w:pPr>
          </w:p>
        </w:tc>
      </w:tr>
      <w:tr>
        <w:trPr>
          <w:trHeight w:val="180"/>
        </w:trPr>
        <w:tc>
          <w:tcPr>
            <w:tcW w:w="792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9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1,428</w:t>
            </w:r>
          </w:p>
        </w:tc>
        <w:tc>
          <w:tcPr>
            <w:tcW w:w="280" w:type="dxa"/>
            <w:vAlign w:val="bottom"/>
            <w:tcBorders>
              <w:bottom w:val="single" w:sz="8" w:color="CFF0FC"/>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1,237</w:t>
            </w:r>
          </w:p>
        </w:tc>
        <w:tc>
          <w:tcPr>
            <w:tcW w:w="100" w:type="dxa"/>
            <w:vAlign w:val="bottom"/>
            <w:tcBorders>
              <w:bottom w:val="single" w:sz="8" w:color="CFF0FC"/>
            </w:tcBorders>
          </w:tcPr>
          <w:p>
            <w:pPr>
              <w:spacing w:after="0"/>
              <w:rPr>
                <w:sz w:val="15"/>
                <w:szCs w:val="15"/>
                <w:color w:val="auto"/>
              </w:rPr>
            </w:pPr>
          </w:p>
        </w:tc>
      </w:tr>
      <w:tr>
        <w:trPr>
          <w:trHeight w:val="170"/>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Recurring Revenues</w:t>
            </w:r>
          </w:p>
        </w:tc>
        <w:tc>
          <w:tcPr>
            <w:tcW w:w="9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62,746</w:t>
            </w:r>
          </w:p>
        </w:tc>
        <w:tc>
          <w:tcPr>
            <w:tcW w:w="2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54,860</w:t>
            </w:r>
          </w:p>
        </w:tc>
        <w:tc>
          <w:tcPr>
            <w:tcW w:w="100" w:type="dxa"/>
            <w:vAlign w:val="bottom"/>
            <w:shd w:val="clear" w:color="auto" w:fill="CFF0FC"/>
          </w:tcPr>
          <w:p>
            <w:pPr>
              <w:spacing w:after="0"/>
              <w:rPr>
                <w:sz w:val="14"/>
                <w:szCs w:val="14"/>
                <w:color w:val="auto"/>
              </w:rPr>
            </w:pPr>
          </w:p>
        </w:tc>
      </w:tr>
      <w:tr>
        <w:trPr>
          <w:trHeight w:val="180"/>
        </w:trPr>
        <w:tc>
          <w:tcPr>
            <w:tcW w:w="79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color w:val="auto"/>
              </w:rPr>
              <w:t>One-time revenues</w:t>
            </w:r>
          </w:p>
        </w:tc>
        <w:tc>
          <w:tcPr>
            <w:tcW w:w="9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4,188</w:t>
            </w:r>
          </w:p>
        </w:tc>
        <w:tc>
          <w:tcPr>
            <w:tcW w:w="280" w:type="dxa"/>
            <w:vAlign w:val="bottom"/>
            <w:tcBorders>
              <w:bottom w:val="single" w:sz="8" w:color="CFF0FC"/>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4,232</w:t>
            </w:r>
          </w:p>
        </w:tc>
        <w:tc>
          <w:tcPr>
            <w:tcW w:w="100" w:type="dxa"/>
            <w:vAlign w:val="bottom"/>
            <w:tcBorders>
              <w:bottom w:val="single" w:sz="8" w:color="CFF0FC"/>
            </w:tcBorders>
          </w:tcPr>
          <w:p>
            <w:pPr>
              <w:spacing w:after="0"/>
              <w:rPr>
                <w:sz w:val="15"/>
                <w:szCs w:val="15"/>
                <w:color w:val="auto"/>
              </w:rPr>
            </w:pPr>
          </w:p>
        </w:tc>
      </w:tr>
      <w:tr>
        <w:trPr>
          <w:trHeight w:val="170"/>
        </w:trPr>
        <w:tc>
          <w:tcPr>
            <w:tcW w:w="792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ind w:right="80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66,934</w:t>
            </w:r>
          </w:p>
        </w:tc>
        <w:tc>
          <w:tcPr>
            <w:tcW w:w="28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ind w:right="52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59,092</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20"/>
        </w:trPr>
        <w:tc>
          <w:tcPr>
            <w:tcW w:w="79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Revenues are recognized when our services are made available to our customers, in an amount that reflects the consideration we are contractually and legally entitled to in exchange for those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services.</w:t>
      </w:r>
    </w:p>
    <w:p>
      <w:pPr>
        <w:spacing w:after="0" w:line="1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determine revenue recognition through the following steps:</w:t>
      </w:r>
    </w:p>
    <w:p>
      <w:pPr>
        <w:spacing w:after="0" w:line="92" w:lineRule="exact"/>
        <w:rPr>
          <w:sz w:val="20"/>
          <w:szCs w:val="20"/>
          <w:color w:val="auto"/>
        </w:rPr>
      </w:pPr>
    </w:p>
    <w:p>
      <w:pPr>
        <w:ind w:left="1040" w:hanging="518"/>
        <w:spacing w:after="0"/>
        <w:tabs>
          <w:tab w:leader="none" w:pos="10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Identification of the contract, or contracts, with a customer</w:t>
      </w:r>
    </w:p>
    <w:p>
      <w:pPr>
        <w:spacing w:after="0" w:line="92" w:lineRule="exact"/>
        <w:rPr>
          <w:rFonts w:ascii="Times New Roman" w:cs="Times New Roman" w:eastAsia="Times New Roman" w:hAnsi="Times New Roman"/>
          <w:sz w:val="14"/>
          <w:szCs w:val="14"/>
          <w:color w:val="auto"/>
        </w:rPr>
      </w:pPr>
    </w:p>
    <w:p>
      <w:pPr>
        <w:ind w:left="1040" w:hanging="518"/>
        <w:spacing w:after="0"/>
        <w:tabs>
          <w:tab w:leader="none" w:pos="10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Identification of the performance obligations in the contract</w:t>
      </w:r>
    </w:p>
    <w:p>
      <w:pPr>
        <w:spacing w:after="0" w:line="92" w:lineRule="exact"/>
        <w:rPr>
          <w:rFonts w:ascii="Times New Roman" w:cs="Times New Roman" w:eastAsia="Times New Roman" w:hAnsi="Times New Roman"/>
          <w:sz w:val="14"/>
          <w:szCs w:val="14"/>
          <w:color w:val="auto"/>
        </w:rPr>
      </w:pPr>
    </w:p>
    <w:p>
      <w:pPr>
        <w:ind w:left="1040" w:hanging="518"/>
        <w:spacing w:after="0"/>
        <w:tabs>
          <w:tab w:leader="none" w:pos="10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Determination of the transaction price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55245</wp:posOffset>
            </wp:positionV>
            <wp:extent cx="731520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15200" cy="38735"/>
                    </a:xfrm>
                    <a:prstGeom prst="rect">
                      <a:avLst/>
                    </a:prstGeom>
                    <a:noFill/>
                  </pic:spPr>
                </pic:pic>
              </a:graphicData>
            </a:graphic>
          </wp:anchor>
        </w:drawing>
      </w:r>
    </w:p>
    <w:p>
      <w:pPr>
        <w:sectPr>
          <w:pgSz w:w="11900" w:h="16838" w:orient="portrait"/>
          <w:cols w:equalWidth="0" w:num="1">
            <w:col w:w="11460"/>
          </w:cols>
          <w:pgMar w:left="220" w:top="419" w:right="219" w:bottom="1440" w:gutter="0" w:footer="0" w:header="0"/>
        </w:sectPr>
      </w:pPr>
    </w:p>
    <w:bookmarkStart w:id="10" w:name="page11"/>
    <w:bookmarkEnd w:id="10"/>
    <w:p>
      <w:pPr>
        <w:ind w:left="1040" w:hanging="518"/>
        <w:spacing w:after="0"/>
        <w:tabs>
          <w:tab w:leader="none" w:pos="10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Allocation of the transaction price to the performance obligations in the contract</w:t>
      </w:r>
    </w:p>
    <w:p>
      <w:pPr>
        <w:spacing w:after="0" w:line="92" w:lineRule="exact"/>
        <w:rPr>
          <w:rFonts w:ascii="Times New Roman" w:cs="Times New Roman" w:eastAsia="Times New Roman" w:hAnsi="Times New Roman"/>
          <w:sz w:val="14"/>
          <w:szCs w:val="14"/>
          <w:color w:val="auto"/>
        </w:rPr>
      </w:pPr>
    </w:p>
    <w:p>
      <w:pPr>
        <w:ind w:left="1040" w:hanging="518"/>
        <w:spacing w:after="0"/>
        <w:tabs>
          <w:tab w:leader="none" w:pos="10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Recognition of revenue when, or as, we satisfy a performance obligation</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Recurring Revenues</w:t>
      </w:r>
    </w:p>
    <w:p>
      <w:pPr>
        <w:spacing w:after="0" w:line="94" w:lineRule="exact"/>
        <w:rPr>
          <w:sz w:val="20"/>
          <w:szCs w:val="20"/>
          <w:color w:val="auto"/>
        </w:rPr>
      </w:pPr>
    </w:p>
    <w:p>
      <w:pPr>
        <w:ind w:right="40" w:firstLine="520"/>
        <w:spacing w:after="0" w:line="263" w:lineRule="auto"/>
        <w:rPr>
          <w:sz w:val="20"/>
          <w:szCs w:val="20"/>
          <w:color w:val="auto"/>
        </w:rPr>
      </w:pPr>
      <w:r>
        <w:rPr>
          <w:rFonts w:ascii="Times New Roman" w:cs="Times New Roman" w:eastAsia="Times New Roman" w:hAnsi="Times New Roman"/>
          <w:sz w:val="14"/>
          <w:szCs w:val="14"/>
          <w:color w:val="auto"/>
        </w:rPr>
        <w:t>Recurring revenues consists of recurring subscriptions from customers that utilize our Fulfillment, Analytics, and Other cloud-based supply chain management solutions. Revenue for these solutions is generally recognized on a ratable basis over the contract term beginning on the date that our service is made available to the customer. Our contracts with our recurring revenue customers are recurring in nature, ranging from monthly to annual, and generally allow the customer to cancel the contract for any reason with 30 to 90 days’ notice. Timing of billings varies by customer and by contract type and are either in advance or within 30 days of the service being performed.</w:t>
      </w:r>
    </w:p>
    <w:p>
      <w:pPr>
        <w:spacing w:after="0" w:line="139" w:lineRule="exact"/>
        <w:rPr>
          <w:sz w:val="20"/>
          <w:szCs w:val="20"/>
          <w:color w:val="auto"/>
        </w:rPr>
      </w:pPr>
    </w:p>
    <w:p>
      <w:pPr>
        <w:ind w:right="300" w:firstLine="520"/>
        <w:spacing w:after="0" w:line="285" w:lineRule="auto"/>
        <w:rPr>
          <w:sz w:val="20"/>
          <w:szCs w:val="20"/>
          <w:color w:val="auto"/>
        </w:rPr>
      </w:pPr>
      <w:r>
        <w:rPr>
          <w:rFonts w:ascii="Times New Roman" w:cs="Times New Roman" w:eastAsia="Times New Roman" w:hAnsi="Times New Roman"/>
          <w:sz w:val="14"/>
          <w:szCs w:val="14"/>
          <w:color w:val="auto"/>
        </w:rPr>
        <w:t>The deferred revenue liability for recurring revenue contracts are for one year or less and recognized on a ratable basis over the contract term. We have applied the optional exemption under ASC 606-10-50-14(a) and will not disclose information about the remaining performance obligations for contracts which have original durations of one year or less.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One-time Revenues</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One-time revenues consist of set-up fees from customers and miscellaneous one-time fees.</w:t>
      </w:r>
    </w:p>
    <w:p>
      <w:pPr>
        <w:spacing w:after="0" w:line="177" w:lineRule="exact"/>
        <w:rPr>
          <w:sz w:val="20"/>
          <w:szCs w:val="20"/>
          <w:color w:val="auto"/>
        </w:rPr>
      </w:pPr>
    </w:p>
    <w:p>
      <w:pPr>
        <w:ind w:firstLine="520"/>
        <w:spacing w:after="0" w:line="260" w:lineRule="auto"/>
        <w:rPr>
          <w:sz w:val="20"/>
          <w:szCs w:val="20"/>
          <w:color w:val="auto"/>
        </w:rPr>
      </w:pPr>
      <w:r>
        <w:rPr>
          <w:rFonts w:ascii="Times New Roman" w:cs="Times New Roman" w:eastAsia="Times New Roman" w:hAnsi="Times New Roman"/>
          <w:sz w:val="14"/>
          <w:szCs w:val="14"/>
          <w:color w:val="auto"/>
        </w:rPr>
        <w:t>Set-up fees are specific for each connection a customer has with a trading partner and many of our customers have connections with numerous trading partners. Set-up fees related to our cloud-based supply chain management solutions are nonrefundable upfront fees that are necessary for our customers to utilize our cloud-based services. These set-up fees do not provide any standalone value to our customers. Except for our Analytics platform, we have determined the set-up fees represent a material renewal option right to our customers as they will not be incurred again upon renewal. These set-up fees and related costs are deferred and recognized ratably over two years, which is the estimated connection life between the customer and the trading partner. For our Analytics platform, we have determined the set-up fees do not represent a material customer renewal right and, as such, are deferred and recognized ratably over the estimated initial contract term, which is one year.</w:t>
      </w:r>
    </w:p>
    <w:p>
      <w:pPr>
        <w:spacing w:after="0" w:line="1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table below presents the activity of the portion of the deferred revenue liability relating to set-up fees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792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9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81"/>
        </w:trPr>
        <w:tc>
          <w:tcPr>
            <w:tcW w:w="7920" w:type="dxa"/>
            <w:vAlign w:val="bottom"/>
            <w:tcBorders>
              <w:bottom w:val="single" w:sz="8" w:color="CFF0FC"/>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2019</w:t>
            </w:r>
          </w:p>
        </w:tc>
        <w:tc>
          <w:tcPr>
            <w:tcW w:w="660" w:type="dxa"/>
            <w:vAlign w:val="bottom"/>
            <w:tcBorders>
              <w:bottom w:val="single" w:sz="8" w:color="auto"/>
            </w:tcBorders>
          </w:tcPr>
          <w:p>
            <w:pPr>
              <w:spacing w:after="0"/>
              <w:rPr>
                <w:sz w:val="15"/>
                <w:szCs w:val="15"/>
                <w:color w:val="auto"/>
              </w:rPr>
            </w:pPr>
          </w:p>
        </w:tc>
        <w:tc>
          <w:tcPr>
            <w:tcW w:w="28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1"/>
                <w:szCs w:val="11"/>
                <w:b w:val="1"/>
                <w:bCs w:val="1"/>
                <w:color w:val="auto"/>
              </w:rPr>
              <w:t>2018</w:t>
            </w:r>
          </w:p>
        </w:tc>
        <w:tc>
          <w:tcPr>
            <w:tcW w:w="100" w:type="dxa"/>
            <w:vAlign w:val="bottom"/>
            <w:tcBorders>
              <w:bottom w:val="single" w:sz="8" w:color="CFF0FC"/>
            </w:tcBorders>
          </w:tcPr>
          <w:p>
            <w:pPr>
              <w:spacing w:after="0"/>
              <w:rPr>
                <w:sz w:val="15"/>
                <w:szCs w:val="15"/>
                <w:color w:val="auto"/>
              </w:rPr>
            </w:pPr>
          </w:p>
        </w:tc>
      </w:tr>
      <w:tr>
        <w:trPr>
          <w:trHeight w:val="170"/>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Balances, at beginning of period</w:t>
            </w:r>
          </w:p>
        </w:tc>
        <w:tc>
          <w:tcPr>
            <w:tcW w:w="920" w:type="dxa"/>
            <w:vAlign w:val="bottom"/>
            <w:shd w:val="clear" w:color="auto" w:fill="CFF0FC"/>
          </w:tcPr>
          <w:p>
            <w:pPr>
              <w:jc w:val="right"/>
              <w:ind w:right="80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9,857</w:t>
            </w: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555"/>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10,031</w:t>
            </w:r>
          </w:p>
        </w:tc>
        <w:tc>
          <w:tcPr>
            <w:tcW w:w="100" w:type="dxa"/>
            <w:vAlign w:val="bottom"/>
            <w:shd w:val="clear" w:color="auto" w:fill="CFF0FC"/>
          </w:tcPr>
          <w:p>
            <w:pPr>
              <w:spacing w:after="0"/>
              <w:rPr>
                <w:sz w:val="14"/>
                <w:szCs w:val="14"/>
                <w:color w:val="auto"/>
              </w:rPr>
            </w:pPr>
          </w:p>
        </w:tc>
      </w:tr>
      <w:tr>
        <w:trPr>
          <w:trHeight w:val="180"/>
        </w:trPr>
        <w:tc>
          <w:tcPr>
            <w:tcW w:w="79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Invoiced set-up fees</w:t>
            </w:r>
          </w:p>
        </w:tc>
        <w:tc>
          <w:tcPr>
            <w:tcW w:w="9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2,537</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2,581</w:t>
            </w:r>
          </w:p>
        </w:tc>
        <w:tc>
          <w:tcPr>
            <w:tcW w:w="100" w:type="dxa"/>
            <w:vAlign w:val="bottom"/>
          </w:tcPr>
          <w:p>
            <w:pPr>
              <w:spacing w:after="0"/>
              <w:rPr>
                <w:sz w:val="15"/>
                <w:szCs w:val="15"/>
                <w:color w:val="auto"/>
              </w:rPr>
            </w:pPr>
          </w:p>
        </w:tc>
      </w:tr>
      <w:tr>
        <w:trPr>
          <w:trHeight w:val="180"/>
        </w:trPr>
        <w:tc>
          <w:tcPr>
            <w:tcW w:w="7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Amortized set-up fees</w:t>
            </w:r>
          </w:p>
        </w:tc>
        <w:tc>
          <w:tcPr>
            <w:tcW w:w="9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(2,581)</w:t>
            </w:r>
          </w:p>
        </w:tc>
        <w:tc>
          <w:tcPr>
            <w:tcW w:w="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(2,660)</w:t>
            </w:r>
          </w:p>
        </w:tc>
      </w:tr>
      <w:tr>
        <w:trPr>
          <w:trHeight w:val="170"/>
        </w:trPr>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Balances, at end of period</w:t>
            </w:r>
          </w:p>
        </w:tc>
        <w:tc>
          <w:tcPr>
            <w:tcW w:w="920" w:type="dxa"/>
            <w:vAlign w:val="bottom"/>
            <w:tcBorders>
              <w:top w:val="single" w:sz="8" w:color="auto"/>
              <w:bottom w:val="single" w:sz="8" w:color="auto"/>
            </w:tcBorders>
          </w:tcPr>
          <w:p>
            <w:pPr>
              <w:jc w:val="right"/>
              <w:ind w:right="80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9,813</w:t>
            </w:r>
          </w:p>
        </w:tc>
        <w:tc>
          <w:tcPr>
            <w:tcW w:w="2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9,952</w:t>
            </w:r>
          </w:p>
        </w:tc>
        <w:tc>
          <w:tcPr>
            <w:tcW w:w="100" w:type="dxa"/>
            <w:vAlign w:val="bottom"/>
          </w:tcPr>
          <w:p>
            <w:pPr>
              <w:spacing w:after="0"/>
              <w:rPr>
                <w:sz w:val="14"/>
                <w:szCs w:val="14"/>
                <w:color w:val="auto"/>
              </w:rPr>
            </w:pPr>
          </w:p>
        </w:tc>
      </w:tr>
      <w:tr>
        <w:trPr>
          <w:trHeight w:val="20"/>
        </w:trPr>
        <w:tc>
          <w:tcPr>
            <w:tcW w:w="79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3" w:lineRule="exact"/>
        <w:rPr>
          <w:sz w:val="20"/>
          <w:szCs w:val="20"/>
          <w:color w:val="auto"/>
        </w:rPr>
      </w:pPr>
    </w:p>
    <w:p>
      <w:pPr>
        <w:ind w:right="140" w:firstLine="520"/>
        <w:spacing w:after="0" w:line="285" w:lineRule="auto"/>
        <w:rPr>
          <w:sz w:val="20"/>
          <w:szCs w:val="20"/>
          <w:color w:val="auto"/>
        </w:rPr>
      </w:pPr>
      <w:r>
        <w:rPr>
          <w:rFonts w:ascii="Times New Roman" w:cs="Times New Roman" w:eastAsia="Times New Roman" w:hAnsi="Times New Roman"/>
          <w:sz w:val="14"/>
          <w:szCs w:val="14"/>
          <w:color w:val="auto"/>
        </w:rPr>
        <w:t>The entire balance of set-up fees will be recognized within two years and, as such, current amounts will be recognized in the next 1-12 months and long-term amounts will be recognized in the next 13-24 months.</w:t>
      </w:r>
    </w:p>
    <w:p>
      <w:pPr>
        <w:spacing w:after="0" w:line="125" w:lineRule="exact"/>
        <w:rPr>
          <w:sz w:val="20"/>
          <w:szCs w:val="20"/>
          <w:color w:val="auto"/>
        </w:rPr>
      </w:pPr>
    </w:p>
    <w:p>
      <w:pPr>
        <w:ind w:right="20" w:firstLine="520"/>
        <w:spacing w:after="0" w:line="268" w:lineRule="auto"/>
        <w:rPr>
          <w:sz w:val="20"/>
          <w:szCs w:val="20"/>
          <w:color w:val="auto"/>
        </w:rPr>
      </w:pPr>
      <w:r>
        <w:rPr>
          <w:rFonts w:ascii="Times New Roman" w:cs="Times New Roman" w:eastAsia="Times New Roman" w:hAnsi="Times New Roman"/>
          <w:sz w:val="14"/>
          <w:szCs w:val="14"/>
          <w:color w:val="auto"/>
        </w:rPr>
        <w:t>Miscellaneous one-time fees consist of professional services and testing and certification. The deferred revenue liability for these one-time fees are for one year or less and recognized at the time service is provided. We have applied the optional exemption under Accounting Standards Codification (“ASC”) 606-10-50-14(a) and will not disclose information about the remaining performance obligations for contracts which have original durations of one year or less.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D – Deferred Costs</w:t>
      </w:r>
    </w:p>
    <w:p>
      <w:pPr>
        <w:spacing w:after="0" w:line="94" w:lineRule="exact"/>
        <w:rPr>
          <w:sz w:val="20"/>
          <w:szCs w:val="20"/>
          <w:color w:val="auto"/>
        </w:rPr>
      </w:pPr>
    </w:p>
    <w:p>
      <w:pPr>
        <w:ind w:right="40" w:firstLine="520"/>
        <w:spacing w:after="0" w:line="285" w:lineRule="auto"/>
        <w:rPr>
          <w:sz w:val="20"/>
          <w:szCs w:val="20"/>
          <w:color w:val="auto"/>
        </w:rPr>
      </w:pPr>
      <w:r>
        <w:rPr>
          <w:rFonts w:ascii="Times New Roman" w:cs="Times New Roman" w:eastAsia="Times New Roman" w:hAnsi="Times New Roman"/>
          <w:sz w:val="14"/>
          <w:szCs w:val="14"/>
          <w:color w:val="auto"/>
        </w:rPr>
        <w:t>Deferred costs consist of costs to obtain customer contracts, such as commissions paid to sales personnel and to third-party partners for customer referrals, and costs to fulfill customer contracts, such as customer implementation costs.</w:t>
      </w:r>
    </w:p>
    <w:p>
      <w:pPr>
        <w:spacing w:after="0" w:line="125" w:lineRule="exact"/>
        <w:rPr>
          <w:sz w:val="20"/>
          <w:szCs w:val="20"/>
          <w:color w:val="auto"/>
        </w:rPr>
      </w:pPr>
    </w:p>
    <w:p>
      <w:pPr>
        <w:ind w:right="140" w:firstLine="520"/>
        <w:spacing w:after="0" w:line="268" w:lineRule="auto"/>
        <w:rPr>
          <w:sz w:val="20"/>
          <w:szCs w:val="20"/>
          <w:color w:val="auto"/>
        </w:rPr>
      </w:pPr>
      <w:r>
        <w:rPr>
          <w:rFonts w:ascii="Times New Roman" w:cs="Times New Roman" w:eastAsia="Times New Roman" w:hAnsi="Times New Roman"/>
          <w:sz w:val="14"/>
          <w:szCs w:val="14"/>
          <w:color w:val="auto"/>
        </w:rPr>
        <w:t>Sales commissions relating to recurring revenues are considered incremental and recoverable costs of obtaining a contract with our customer. These commissions are calculated based on estimated annual recurring revenue to be generated over the customer’s initial contract year. These costs are deferred and amortized over the expected period of benefit which we have determined to be two years. Amortization expense is included in sales and marketing expenses in the accompanying condensed consolidated statements of operations.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55245</wp:posOffset>
            </wp:positionV>
            <wp:extent cx="731520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15200" cy="38735"/>
                    </a:xfrm>
                    <a:prstGeom prst="rect">
                      <a:avLst/>
                    </a:prstGeom>
                    <a:noFill/>
                  </pic:spPr>
                </pic:pic>
              </a:graphicData>
            </a:graphic>
          </wp:anchor>
        </w:drawing>
      </w:r>
    </w:p>
    <w:p>
      <w:pPr>
        <w:sectPr>
          <w:pgSz w:w="11900" w:h="16838" w:orient="portrait"/>
          <w:cols w:equalWidth="0" w:num="1">
            <w:col w:w="11460"/>
          </w:cols>
          <w:pgMar w:left="220" w:top="389" w:right="219" w:bottom="1440" w:gutter="0" w:footer="0" w:header="0"/>
        </w:sectPr>
      </w:pPr>
    </w:p>
    <w:bookmarkStart w:id="11" w:name="page12"/>
    <w:bookmarkEnd w:id="11"/>
    <w:p>
      <w:pPr>
        <w:ind w:left="520"/>
        <w:spacing w:after="0"/>
        <w:rPr>
          <w:sz w:val="20"/>
          <w:szCs w:val="20"/>
          <w:color w:val="auto"/>
        </w:rPr>
      </w:pPr>
      <w:r>
        <w:rPr>
          <w:rFonts w:ascii="Times New Roman" w:cs="Times New Roman" w:eastAsia="Times New Roman" w:hAnsi="Times New Roman"/>
          <w:sz w:val="14"/>
          <w:szCs w:val="14"/>
          <w:color w:val="auto"/>
        </w:rPr>
        <w:t>The table below presents the activity of deferred costs and amortization of deferred costs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790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9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17"/>
        </w:trPr>
        <w:tc>
          <w:tcPr>
            <w:tcW w:w="7900" w:type="dxa"/>
            <w:vAlign w:val="bottom"/>
            <w:tcBorders>
              <w:bottom w:val="single" w:sz="8" w:color="CFF0FC"/>
            </w:tcBorders>
          </w:tcPr>
          <w:p>
            <w:pPr>
              <w:spacing w:after="0"/>
              <w:rPr>
                <w:sz w:val="10"/>
                <w:szCs w:val="10"/>
                <w:color w:val="auto"/>
              </w:rPr>
            </w:pPr>
          </w:p>
        </w:tc>
        <w:tc>
          <w:tcPr>
            <w:tcW w:w="92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b w:val="1"/>
                <w:bCs w:val="1"/>
                <w:color w:val="auto"/>
              </w:rPr>
              <w:t>2019</w:t>
            </w:r>
          </w:p>
        </w:tc>
        <w:tc>
          <w:tcPr>
            <w:tcW w:w="660" w:type="dxa"/>
            <w:vAlign w:val="bottom"/>
            <w:tcBorders>
              <w:bottom w:val="single" w:sz="8" w:color="auto"/>
            </w:tcBorders>
          </w:tcPr>
          <w:p>
            <w:pPr>
              <w:spacing w:after="0"/>
              <w:rPr>
                <w:sz w:val="10"/>
                <w:szCs w:val="10"/>
                <w:color w:val="auto"/>
              </w:rPr>
            </w:pPr>
          </w:p>
        </w:tc>
        <w:tc>
          <w:tcPr>
            <w:tcW w:w="280" w:type="dxa"/>
            <w:vAlign w:val="bottom"/>
            <w:tcBorders>
              <w:bottom w:val="single" w:sz="8" w:color="CFF0FC"/>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612"/>
              <w:spacing w:after="0" w:line="118" w:lineRule="exact"/>
              <w:rPr>
                <w:sz w:val="20"/>
                <w:szCs w:val="20"/>
                <w:color w:val="auto"/>
              </w:rPr>
            </w:pPr>
            <w:r>
              <w:rPr>
                <w:rFonts w:ascii="Times New Roman" w:cs="Times New Roman" w:eastAsia="Times New Roman" w:hAnsi="Times New Roman"/>
                <w:sz w:val="11"/>
                <w:szCs w:val="11"/>
                <w:b w:val="1"/>
                <w:bCs w:val="1"/>
                <w:color w:val="auto"/>
                <w:w w:val="99"/>
              </w:rPr>
              <w:t>2018</w:t>
            </w:r>
          </w:p>
        </w:tc>
        <w:tc>
          <w:tcPr>
            <w:tcW w:w="120" w:type="dxa"/>
            <w:vAlign w:val="bottom"/>
            <w:tcBorders>
              <w:bottom w:val="single" w:sz="8" w:color="CFF0FC"/>
            </w:tcBorders>
          </w:tcPr>
          <w:p>
            <w:pPr>
              <w:spacing w:after="0"/>
              <w:rPr>
                <w:sz w:val="10"/>
                <w:szCs w:val="10"/>
                <w:color w:val="auto"/>
              </w:rPr>
            </w:pPr>
          </w:p>
        </w:tc>
      </w:tr>
      <w:tr>
        <w:trPr>
          <w:trHeight w:val="170"/>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Balances, at beginning of period</w:t>
            </w:r>
          </w:p>
        </w:tc>
        <w:tc>
          <w:tcPr>
            <w:tcW w:w="920" w:type="dxa"/>
            <w:vAlign w:val="bottom"/>
            <w:shd w:val="clear" w:color="auto" w:fill="CFF0FC"/>
          </w:tcPr>
          <w:p>
            <w:pPr>
              <w:jc w:val="right"/>
              <w:ind w:right="80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45,475</w:t>
            </w:r>
          </w:p>
        </w:tc>
        <w:tc>
          <w:tcPr>
            <w:tcW w:w="2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5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39,933</w:t>
            </w:r>
          </w:p>
        </w:tc>
        <w:tc>
          <w:tcPr>
            <w:tcW w:w="120" w:type="dxa"/>
            <w:vAlign w:val="bottom"/>
            <w:shd w:val="clear" w:color="auto" w:fill="CFF0FC"/>
          </w:tcPr>
          <w:p>
            <w:pPr>
              <w:spacing w:after="0"/>
              <w:rPr>
                <w:sz w:val="14"/>
                <w:szCs w:val="14"/>
                <w:color w:val="auto"/>
              </w:rPr>
            </w:pPr>
          </w:p>
        </w:tc>
      </w:tr>
      <w:tr>
        <w:trPr>
          <w:trHeight w:val="180"/>
        </w:trPr>
        <w:tc>
          <w:tcPr>
            <w:tcW w:w="79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Incurred deferred costs</w:t>
            </w:r>
          </w:p>
        </w:tc>
        <w:tc>
          <w:tcPr>
            <w:tcW w:w="9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12,332</w:t>
            </w: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12,506</w:t>
            </w:r>
          </w:p>
        </w:tc>
        <w:tc>
          <w:tcPr>
            <w:tcW w:w="120" w:type="dxa"/>
            <w:vAlign w:val="bottom"/>
          </w:tcPr>
          <w:p>
            <w:pPr>
              <w:spacing w:after="0"/>
              <w:rPr>
                <w:sz w:val="15"/>
                <w:szCs w:val="15"/>
                <w:color w:val="auto"/>
              </w:rPr>
            </w:pPr>
          </w:p>
        </w:tc>
      </w:tr>
      <w:tr>
        <w:trPr>
          <w:trHeight w:val="180"/>
        </w:trPr>
        <w:tc>
          <w:tcPr>
            <w:tcW w:w="7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Amortized deferred costs</w:t>
            </w:r>
          </w:p>
        </w:tc>
        <w:tc>
          <w:tcPr>
            <w:tcW w:w="9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(11,916)</w:t>
            </w:r>
          </w:p>
        </w:tc>
        <w:tc>
          <w:tcPr>
            <w:tcW w:w="66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(10,882)</w:t>
            </w:r>
          </w:p>
        </w:tc>
      </w:tr>
      <w:tr>
        <w:trPr>
          <w:trHeight w:val="170"/>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auto"/>
              </w:rPr>
              <w:t>Balances, at end of period</w:t>
            </w:r>
          </w:p>
        </w:tc>
        <w:tc>
          <w:tcPr>
            <w:tcW w:w="920" w:type="dxa"/>
            <w:vAlign w:val="bottom"/>
            <w:tcBorders>
              <w:top w:val="single" w:sz="8" w:color="auto"/>
              <w:bottom w:val="single" w:sz="8" w:color="auto"/>
            </w:tcBorders>
          </w:tcPr>
          <w:p>
            <w:pPr>
              <w:jc w:val="right"/>
              <w:ind w:right="80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45,891</w:t>
            </w:r>
          </w:p>
        </w:tc>
        <w:tc>
          <w:tcPr>
            <w:tcW w:w="28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41,557</w:t>
            </w:r>
          </w:p>
        </w:tc>
        <w:tc>
          <w:tcPr>
            <w:tcW w:w="120" w:type="dxa"/>
            <w:vAlign w:val="bottom"/>
          </w:tcPr>
          <w:p>
            <w:pPr>
              <w:spacing w:after="0"/>
              <w:rPr>
                <w:sz w:val="14"/>
                <w:szCs w:val="14"/>
                <w:color w:val="auto"/>
              </w:rPr>
            </w:pPr>
          </w:p>
        </w:tc>
      </w:tr>
      <w:tr>
        <w:trPr>
          <w:trHeight w:val="20"/>
        </w:trPr>
        <w:tc>
          <w:tcPr>
            <w:tcW w:w="79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E – Financial Instruments</w:t>
      </w:r>
    </w:p>
    <w:p>
      <w:pPr>
        <w:spacing w:after="0" w:line="94" w:lineRule="exact"/>
        <w:rPr>
          <w:sz w:val="20"/>
          <w:szCs w:val="20"/>
          <w:color w:val="auto"/>
        </w:rPr>
      </w:pPr>
    </w:p>
    <w:p>
      <w:pPr>
        <w:ind w:right="260" w:firstLine="520"/>
        <w:spacing w:after="0" w:line="268" w:lineRule="auto"/>
        <w:rPr>
          <w:sz w:val="20"/>
          <w:szCs w:val="20"/>
          <w:color w:val="auto"/>
        </w:rPr>
      </w:pPr>
      <w:r>
        <w:rPr>
          <w:rFonts w:ascii="Times New Roman" w:cs="Times New Roman" w:eastAsia="Times New Roman" w:hAnsi="Times New Roman"/>
          <w:sz w:val="14"/>
          <w:szCs w:val="14"/>
          <w:color w:val="auto"/>
        </w:rPr>
        <w:t>We invest primarily in money market funds, certificates of deposit, highly liquid debt instruments of the U.S. government and U.S. corporate debt securities. All investments with remaining maturities less than one year from the balance sheet date are classified as short-term investments. Investments with remaining maturities of more than one year from the balance sheet date are classified as long-term investments. As of March 31, 2019 and December 31, 2018, all of our investments held were classified as short-term.</w:t>
      </w:r>
    </w:p>
    <w:p>
      <w:pPr>
        <w:spacing w:after="0" w:line="137" w:lineRule="exact"/>
        <w:rPr>
          <w:sz w:val="20"/>
          <w:szCs w:val="20"/>
          <w:color w:val="auto"/>
        </w:rPr>
      </w:pPr>
    </w:p>
    <w:p>
      <w:pPr>
        <w:ind w:right="220" w:firstLine="520"/>
        <w:spacing w:after="0" w:line="285" w:lineRule="auto"/>
        <w:rPr>
          <w:sz w:val="20"/>
          <w:szCs w:val="20"/>
          <w:color w:val="auto"/>
        </w:rPr>
      </w:pPr>
      <w:r>
        <w:rPr>
          <w:rFonts w:ascii="Times New Roman" w:cs="Times New Roman" w:eastAsia="Times New Roman" w:hAnsi="Times New Roman"/>
          <w:sz w:val="14"/>
          <w:szCs w:val="14"/>
          <w:color w:val="auto"/>
        </w:rPr>
        <w:t>Our short-term marketable securities are classified as available-for-sale. We intend to hold marketable securities until maturity; however, we may sell these securities at any time for use in current operations or for other purposes.</w:t>
      </w:r>
    </w:p>
    <w:p>
      <w:pPr>
        <w:spacing w:after="0" w:line="125" w:lineRule="exact"/>
        <w:rPr>
          <w:sz w:val="20"/>
          <w:szCs w:val="20"/>
          <w:color w:val="auto"/>
        </w:rPr>
      </w:pPr>
    </w:p>
    <w:p>
      <w:pPr>
        <w:ind w:right="200" w:firstLine="520"/>
        <w:spacing w:after="0" w:line="263" w:lineRule="auto"/>
        <w:rPr>
          <w:sz w:val="20"/>
          <w:szCs w:val="20"/>
          <w:color w:val="auto"/>
        </w:rPr>
      </w:pPr>
      <w:r>
        <w:rPr>
          <w:rFonts w:ascii="Times New Roman" w:cs="Times New Roman" w:eastAsia="Times New Roman" w:hAnsi="Times New Roman"/>
          <w:sz w:val="14"/>
          <w:szCs w:val="14"/>
          <w:color w:val="auto"/>
        </w:rPr>
        <w:t>Our marketable securities are carried at fair value and unrealized gains and losses on these investments, net of taxes, are included in accumulated other comprehensive loss in the consolidated balance sheets. Realized gains or losses are included in other income (expense), net in the consolidated statements of comprehensive income. When a determination has been made that an other-than-temporary decline in fair value has occurred, the amount of the decline that is related to a credit loss is realized and is included in other income (expense), net in the consolidated statements of comprehensive income.</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Cash equivalents and short-term investments consisted of the following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8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1"/>
                <w:szCs w:val="11"/>
                <w:b w:val="1"/>
                <w:bCs w:val="1"/>
                <w:color w:val="auto"/>
              </w:rPr>
              <w:t>March 31, 2019</w:t>
            </w:r>
          </w:p>
        </w:tc>
        <w:tc>
          <w:tcPr>
            <w:tcW w:w="2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9"/>
        </w:trPr>
        <w:tc>
          <w:tcPr>
            <w:tcW w:w="6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gridSpan w:val="2"/>
          </w:tcPr>
          <w:p>
            <w:pPr>
              <w:jc w:val="center"/>
              <w:ind w:right="500"/>
              <w:spacing w:after="0" w:line="109" w:lineRule="exact"/>
              <w:rPr>
                <w:sz w:val="20"/>
                <w:szCs w:val="20"/>
                <w:color w:val="auto"/>
              </w:rPr>
            </w:pPr>
            <w:r>
              <w:rPr>
                <w:rFonts w:ascii="Times New Roman" w:cs="Times New Roman" w:eastAsia="Times New Roman" w:hAnsi="Times New Roman"/>
                <w:sz w:val="11"/>
                <w:szCs w:val="11"/>
                <w:b w:val="1"/>
                <w:bCs w:val="1"/>
                <w:color w:val="auto"/>
                <w:w w:val="99"/>
              </w:rPr>
              <w:t>Amortized</w:t>
            </w:r>
          </w:p>
        </w:tc>
        <w:tc>
          <w:tcPr>
            <w:tcW w:w="140" w:type="dxa"/>
            <w:vAlign w:val="bottom"/>
          </w:tcPr>
          <w:p>
            <w:pPr>
              <w:spacing w:after="0"/>
              <w:rPr>
                <w:sz w:val="9"/>
                <w:szCs w:val="9"/>
                <w:color w:val="auto"/>
              </w:rPr>
            </w:pPr>
          </w:p>
        </w:tc>
        <w:tc>
          <w:tcPr>
            <w:tcW w:w="1220" w:type="dxa"/>
            <w:vAlign w:val="bottom"/>
          </w:tcPr>
          <w:p>
            <w:pPr>
              <w:jc w:val="center"/>
              <w:ind w:right="94"/>
              <w:spacing w:after="0" w:line="109"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tcPr>
          <w:p>
            <w:pPr>
              <w:jc w:val="center"/>
              <w:ind w:right="233"/>
              <w:spacing w:after="0" w:line="109" w:lineRule="exact"/>
              <w:rPr>
                <w:sz w:val="20"/>
                <w:szCs w:val="20"/>
                <w:color w:val="auto"/>
              </w:rPr>
            </w:pPr>
            <w:r>
              <w:rPr>
                <w:rFonts w:ascii="Times New Roman" w:cs="Times New Roman" w:eastAsia="Times New Roman" w:hAnsi="Times New Roman"/>
                <w:sz w:val="11"/>
                <w:szCs w:val="11"/>
                <w:b w:val="1"/>
                <w:bCs w:val="1"/>
                <w:color w:val="auto"/>
                <w:w w:val="98"/>
              </w:rPr>
              <w:t>Fair</w:t>
            </w:r>
          </w:p>
        </w:tc>
        <w:tc>
          <w:tcPr>
            <w:tcW w:w="100" w:type="dxa"/>
            <w:vAlign w:val="bottom"/>
          </w:tcPr>
          <w:p>
            <w:pPr>
              <w:spacing w:after="0"/>
              <w:rPr>
                <w:sz w:val="9"/>
                <w:szCs w:val="9"/>
                <w:color w:val="auto"/>
              </w:rPr>
            </w:pPr>
          </w:p>
        </w:tc>
      </w:tr>
      <w:tr>
        <w:trPr>
          <w:trHeight w:val="135"/>
        </w:trPr>
        <w:tc>
          <w:tcPr>
            <w:tcW w:w="6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gridSpan w:val="2"/>
          </w:tcPr>
          <w:p>
            <w:pPr>
              <w:jc w:val="center"/>
              <w:ind w:right="500"/>
              <w:spacing w:after="0"/>
              <w:rPr>
                <w:sz w:val="20"/>
                <w:szCs w:val="20"/>
                <w:color w:val="auto"/>
              </w:rPr>
            </w:pPr>
            <w:r>
              <w:rPr>
                <w:rFonts w:ascii="Times New Roman" w:cs="Times New Roman" w:eastAsia="Times New Roman" w:hAnsi="Times New Roman"/>
                <w:sz w:val="11"/>
                <w:szCs w:val="11"/>
                <w:b w:val="1"/>
                <w:bCs w:val="1"/>
                <w:color w:val="auto"/>
              </w:rPr>
              <w:t>Cost</w:t>
            </w:r>
          </w:p>
        </w:tc>
        <w:tc>
          <w:tcPr>
            <w:tcW w:w="140" w:type="dxa"/>
            <w:vAlign w:val="bottom"/>
          </w:tcPr>
          <w:p>
            <w:pPr>
              <w:spacing w:after="0"/>
              <w:rPr>
                <w:sz w:val="11"/>
                <w:szCs w:val="11"/>
                <w:color w:val="auto"/>
              </w:rPr>
            </w:pPr>
          </w:p>
        </w:tc>
        <w:tc>
          <w:tcPr>
            <w:tcW w:w="1220" w:type="dxa"/>
            <w:vAlign w:val="bottom"/>
          </w:tcPr>
          <w:p>
            <w:pPr>
              <w:jc w:val="center"/>
              <w:ind w:right="94"/>
              <w:spacing w:after="0"/>
              <w:rPr>
                <w:sz w:val="20"/>
                <w:szCs w:val="20"/>
                <w:color w:val="auto"/>
              </w:rPr>
            </w:pPr>
            <w:r>
              <w:rPr>
                <w:rFonts w:ascii="Times New Roman" w:cs="Times New Roman" w:eastAsia="Times New Roman" w:hAnsi="Times New Roman"/>
                <w:sz w:val="11"/>
                <w:szCs w:val="11"/>
                <w:b w:val="1"/>
                <w:bCs w:val="1"/>
                <w:color w:val="auto"/>
              </w:rPr>
              <w:t>Gains (Losses)</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rPr>
              <w:t>Value</w:t>
            </w:r>
          </w:p>
        </w:tc>
      </w:tr>
      <w:tr>
        <w:trPr>
          <w:trHeight w:val="170"/>
        </w:trPr>
        <w:tc>
          <w:tcPr>
            <w:tcW w:w="68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Cash equivalents:</w:t>
            </w:r>
          </w:p>
        </w:tc>
        <w:tc>
          <w:tcPr>
            <w:tcW w:w="240" w:type="dxa"/>
            <w:vAlign w:val="bottom"/>
            <w:tcBorders>
              <w:top w:val="single" w:sz="8" w:color="auto"/>
            </w:tcBorders>
            <w:shd w:val="clear" w:color="auto" w:fill="CFF0FC"/>
          </w:tcPr>
          <w:p>
            <w:pPr>
              <w:spacing w:after="0"/>
              <w:rPr>
                <w:sz w:val="14"/>
                <w:szCs w:val="14"/>
                <w:color w:val="auto"/>
              </w:rPr>
            </w:pPr>
          </w:p>
        </w:tc>
        <w:tc>
          <w:tcPr>
            <w:tcW w:w="110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22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r>
      <w:tr>
        <w:trPr>
          <w:trHeight w:val="180"/>
        </w:trPr>
        <w:tc>
          <w:tcPr>
            <w:tcW w:w="6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Money market funds</w:t>
            </w: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113,516</w:t>
            </w:r>
          </w:p>
        </w:tc>
        <w:tc>
          <w:tcPr>
            <w:tcW w:w="2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3"/>
          </w:tcPr>
          <w:p>
            <w:pPr>
              <w:jc w:val="right"/>
              <w:ind w:right="165"/>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113,516</w:t>
            </w:r>
          </w:p>
        </w:tc>
        <w:tc>
          <w:tcPr>
            <w:tcW w:w="100" w:type="dxa"/>
            <w:vAlign w:val="bottom"/>
          </w:tcPr>
          <w:p>
            <w:pPr>
              <w:spacing w:after="0"/>
              <w:rPr>
                <w:sz w:val="15"/>
                <w:szCs w:val="15"/>
                <w:color w:val="auto"/>
              </w:rPr>
            </w:pPr>
          </w:p>
        </w:tc>
      </w:tr>
      <w:tr>
        <w:trPr>
          <w:trHeight w:val="180"/>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Certificate of deposit</w:t>
            </w:r>
          </w:p>
        </w:tc>
        <w:tc>
          <w:tcPr>
            <w:tcW w:w="2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6,804</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6,804</w:t>
            </w:r>
          </w:p>
        </w:tc>
        <w:tc>
          <w:tcPr>
            <w:tcW w:w="100" w:type="dxa"/>
            <w:vAlign w:val="bottom"/>
            <w:shd w:val="clear" w:color="auto" w:fill="CFF0FC"/>
          </w:tcPr>
          <w:p>
            <w:pPr>
              <w:spacing w:after="0"/>
              <w:rPr>
                <w:sz w:val="15"/>
                <w:szCs w:val="15"/>
                <w:color w:val="auto"/>
              </w:rPr>
            </w:pPr>
          </w:p>
        </w:tc>
      </w:tr>
      <w:tr>
        <w:trPr>
          <w:trHeight w:val="180"/>
        </w:trPr>
        <w:tc>
          <w:tcPr>
            <w:tcW w:w="6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Marketable securities:</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6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Corporate bonds</w:t>
            </w:r>
          </w:p>
        </w:tc>
        <w:tc>
          <w:tcPr>
            <w:tcW w:w="2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12,502</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12,509</w:t>
            </w:r>
          </w:p>
        </w:tc>
        <w:tc>
          <w:tcPr>
            <w:tcW w:w="100" w:type="dxa"/>
            <w:vAlign w:val="bottom"/>
            <w:shd w:val="clear" w:color="auto" w:fill="CFF0FC"/>
          </w:tcPr>
          <w:p>
            <w:pPr>
              <w:spacing w:after="0"/>
              <w:rPr>
                <w:sz w:val="15"/>
                <w:szCs w:val="15"/>
                <w:color w:val="auto"/>
              </w:rPr>
            </w:pPr>
          </w:p>
        </w:tc>
      </w:tr>
      <w:tr>
        <w:trPr>
          <w:trHeight w:val="180"/>
        </w:trPr>
        <w:tc>
          <w:tcPr>
            <w:tcW w:w="6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Commercial paper</w:t>
            </w: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7,440</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7,481</w:t>
            </w:r>
          </w:p>
        </w:tc>
        <w:tc>
          <w:tcPr>
            <w:tcW w:w="100" w:type="dxa"/>
            <w:vAlign w:val="bottom"/>
          </w:tcPr>
          <w:p>
            <w:pPr>
              <w:spacing w:after="0"/>
              <w:rPr>
                <w:sz w:val="15"/>
                <w:szCs w:val="15"/>
                <w:color w:val="auto"/>
              </w:rPr>
            </w:pPr>
          </w:p>
        </w:tc>
      </w:tr>
      <w:tr>
        <w:trPr>
          <w:trHeight w:val="180"/>
        </w:trPr>
        <w:tc>
          <w:tcPr>
            <w:tcW w:w="6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U.S. treasury securities</w:t>
            </w:r>
          </w:p>
        </w:tc>
        <w:tc>
          <w:tcPr>
            <w:tcW w:w="24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14,787</w:t>
            </w:r>
          </w:p>
        </w:tc>
        <w:tc>
          <w:tcPr>
            <w:tcW w:w="26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2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14,889</w:t>
            </w:r>
          </w:p>
        </w:tc>
        <w:tc>
          <w:tcPr>
            <w:tcW w:w="100" w:type="dxa"/>
            <w:vAlign w:val="bottom"/>
            <w:shd w:val="clear" w:color="auto" w:fill="CFF0FC"/>
          </w:tcPr>
          <w:p>
            <w:pPr>
              <w:spacing w:after="0"/>
              <w:rPr>
                <w:sz w:val="15"/>
                <w:szCs w:val="15"/>
                <w:color w:val="auto"/>
              </w:rPr>
            </w:pPr>
          </w:p>
        </w:tc>
      </w:tr>
      <w:tr>
        <w:trPr>
          <w:trHeight w:val="170"/>
        </w:trPr>
        <w:tc>
          <w:tcPr>
            <w:tcW w:w="680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155,049</w:t>
            </w:r>
          </w:p>
        </w:tc>
        <w:tc>
          <w:tcPr>
            <w:tcW w:w="26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155,199</w:t>
            </w:r>
          </w:p>
        </w:tc>
        <w:tc>
          <w:tcPr>
            <w:tcW w:w="100" w:type="dxa"/>
            <w:vAlign w:val="bottom"/>
          </w:tcPr>
          <w:p>
            <w:pPr>
              <w:spacing w:after="0"/>
              <w:rPr>
                <w:sz w:val="14"/>
                <w:szCs w:val="14"/>
                <w:color w:val="auto"/>
              </w:rPr>
            </w:pPr>
          </w:p>
        </w:tc>
      </w:tr>
      <w:tr>
        <w:trPr>
          <w:trHeight w:val="20"/>
        </w:trPr>
        <w:tc>
          <w:tcPr>
            <w:tcW w:w="6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1"/>
        </w:trPr>
        <w:tc>
          <w:tcPr>
            <w:tcW w:w="68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1"/>
                <w:szCs w:val="11"/>
                <w:b w:val="1"/>
                <w:bCs w:val="1"/>
                <w:color w:val="auto"/>
              </w:rPr>
              <w:t>December 31, 2018</w:t>
            </w: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09"/>
        </w:trPr>
        <w:tc>
          <w:tcPr>
            <w:tcW w:w="6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gridSpan w:val="2"/>
          </w:tcPr>
          <w:p>
            <w:pPr>
              <w:jc w:val="center"/>
              <w:ind w:right="500"/>
              <w:spacing w:after="0" w:line="109" w:lineRule="exact"/>
              <w:rPr>
                <w:sz w:val="20"/>
                <w:szCs w:val="20"/>
                <w:color w:val="auto"/>
              </w:rPr>
            </w:pPr>
            <w:r>
              <w:rPr>
                <w:rFonts w:ascii="Times New Roman" w:cs="Times New Roman" w:eastAsia="Times New Roman" w:hAnsi="Times New Roman"/>
                <w:sz w:val="11"/>
                <w:szCs w:val="11"/>
                <w:b w:val="1"/>
                <w:bCs w:val="1"/>
                <w:color w:val="auto"/>
                <w:w w:val="99"/>
              </w:rPr>
              <w:t>Amortized</w:t>
            </w:r>
          </w:p>
        </w:tc>
        <w:tc>
          <w:tcPr>
            <w:tcW w:w="140" w:type="dxa"/>
            <w:vAlign w:val="bottom"/>
          </w:tcPr>
          <w:p>
            <w:pPr>
              <w:spacing w:after="0"/>
              <w:rPr>
                <w:sz w:val="9"/>
                <w:szCs w:val="9"/>
                <w:color w:val="auto"/>
              </w:rPr>
            </w:pPr>
          </w:p>
        </w:tc>
        <w:tc>
          <w:tcPr>
            <w:tcW w:w="1220" w:type="dxa"/>
            <w:vAlign w:val="bottom"/>
          </w:tcPr>
          <w:p>
            <w:pPr>
              <w:jc w:val="center"/>
              <w:ind w:right="94"/>
              <w:spacing w:after="0" w:line="109"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tcPr>
          <w:p>
            <w:pPr>
              <w:jc w:val="center"/>
              <w:ind w:right="233"/>
              <w:spacing w:after="0" w:line="109" w:lineRule="exact"/>
              <w:rPr>
                <w:sz w:val="20"/>
                <w:szCs w:val="20"/>
                <w:color w:val="auto"/>
              </w:rPr>
            </w:pPr>
            <w:r>
              <w:rPr>
                <w:rFonts w:ascii="Times New Roman" w:cs="Times New Roman" w:eastAsia="Times New Roman" w:hAnsi="Times New Roman"/>
                <w:sz w:val="11"/>
                <w:szCs w:val="11"/>
                <w:b w:val="1"/>
                <w:bCs w:val="1"/>
                <w:color w:val="auto"/>
                <w:w w:val="98"/>
              </w:rPr>
              <w:t>Fair</w:t>
            </w:r>
          </w:p>
        </w:tc>
        <w:tc>
          <w:tcPr>
            <w:tcW w:w="100" w:type="dxa"/>
            <w:vAlign w:val="bottom"/>
          </w:tcPr>
          <w:p>
            <w:pPr>
              <w:spacing w:after="0"/>
              <w:rPr>
                <w:sz w:val="9"/>
                <w:szCs w:val="9"/>
                <w:color w:val="auto"/>
              </w:rPr>
            </w:pPr>
          </w:p>
        </w:tc>
      </w:tr>
      <w:tr>
        <w:trPr>
          <w:trHeight w:val="135"/>
        </w:trPr>
        <w:tc>
          <w:tcPr>
            <w:tcW w:w="6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gridSpan w:val="2"/>
          </w:tcPr>
          <w:p>
            <w:pPr>
              <w:jc w:val="center"/>
              <w:ind w:right="500"/>
              <w:spacing w:after="0"/>
              <w:rPr>
                <w:sz w:val="20"/>
                <w:szCs w:val="20"/>
                <w:color w:val="auto"/>
              </w:rPr>
            </w:pPr>
            <w:r>
              <w:rPr>
                <w:rFonts w:ascii="Times New Roman" w:cs="Times New Roman" w:eastAsia="Times New Roman" w:hAnsi="Times New Roman"/>
                <w:sz w:val="11"/>
                <w:szCs w:val="11"/>
                <w:b w:val="1"/>
                <w:bCs w:val="1"/>
                <w:color w:val="auto"/>
              </w:rPr>
              <w:t>Cost</w:t>
            </w:r>
          </w:p>
        </w:tc>
        <w:tc>
          <w:tcPr>
            <w:tcW w:w="140" w:type="dxa"/>
            <w:vAlign w:val="bottom"/>
          </w:tcPr>
          <w:p>
            <w:pPr>
              <w:spacing w:after="0"/>
              <w:rPr>
                <w:sz w:val="11"/>
                <w:szCs w:val="11"/>
                <w:color w:val="auto"/>
              </w:rPr>
            </w:pPr>
          </w:p>
        </w:tc>
        <w:tc>
          <w:tcPr>
            <w:tcW w:w="1220" w:type="dxa"/>
            <w:vAlign w:val="bottom"/>
          </w:tcPr>
          <w:p>
            <w:pPr>
              <w:jc w:val="center"/>
              <w:ind w:right="94"/>
              <w:spacing w:after="0"/>
              <w:rPr>
                <w:sz w:val="20"/>
                <w:szCs w:val="20"/>
                <w:color w:val="auto"/>
              </w:rPr>
            </w:pPr>
            <w:r>
              <w:rPr>
                <w:rFonts w:ascii="Times New Roman" w:cs="Times New Roman" w:eastAsia="Times New Roman" w:hAnsi="Times New Roman"/>
                <w:sz w:val="11"/>
                <w:szCs w:val="11"/>
                <w:b w:val="1"/>
                <w:bCs w:val="1"/>
                <w:color w:val="auto"/>
              </w:rPr>
              <w:t>Gains (Losses)</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rPr>
              <w:t>Value</w:t>
            </w:r>
          </w:p>
        </w:tc>
      </w:tr>
      <w:tr>
        <w:trPr>
          <w:trHeight w:val="170"/>
        </w:trPr>
        <w:tc>
          <w:tcPr>
            <w:tcW w:w="68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Cash equivalents:</w:t>
            </w:r>
          </w:p>
        </w:tc>
        <w:tc>
          <w:tcPr>
            <w:tcW w:w="240" w:type="dxa"/>
            <w:vAlign w:val="bottom"/>
            <w:tcBorders>
              <w:top w:val="single" w:sz="8" w:color="auto"/>
            </w:tcBorders>
            <w:shd w:val="clear" w:color="auto" w:fill="CFF0FC"/>
          </w:tcPr>
          <w:p>
            <w:pPr>
              <w:spacing w:after="0"/>
              <w:rPr>
                <w:sz w:val="14"/>
                <w:szCs w:val="14"/>
                <w:color w:val="auto"/>
              </w:rPr>
            </w:pPr>
          </w:p>
        </w:tc>
        <w:tc>
          <w:tcPr>
            <w:tcW w:w="110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22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r>
      <w:tr>
        <w:trPr>
          <w:trHeight w:val="180"/>
        </w:trPr>
        <w:tc>
          <w:tcPr>
            <w:tcW w:w="6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Money market funds</w:t>
            </w: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109,265</w:t>
            </w:r>
          </w:p>
        </w:tc>
        <w:tc>
          <w:tcPr>
            <w:tcW w:w="2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3"/>
          </w:tcPr>
          <w:p>
            <w:pPr>
              <w:jc w:val="right"/>
              <w:ind w:right="165"/>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109,265</w:t>
            </w:r>
          </w:p>
        </w:tc>
        <w:tc>
          <w:tcPr>
            <w:tcW w:w="100" w:type="dxa"/>
            <w:vAlign w:val="bottom"/>
          </w:tcPr>
          <w:p>
            <w:pPr>
              <w:spacing w:after="0"/>
              <w:rPr>
                <w:sz w:val="15"/>
                <w:szCs w:val="15"/>
                <w:color w:val="auto"/>
              </w:rPr>
            </w:pPr>
          </w:p>
        </w:tc>
      </w:tr>
      <w:tr>
        <w:trPr>
          <w:trHeight w:val="180"/>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Certificate of deposit</w:t>
            </w:r>
          </w:p>
        </w:tc>
        <w:tc>
          <w:tcPr>
            <w:tcW w:w="2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7,000</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7,000</w:t>
            </w:r>
          </w:p>
        </w:tc>
        <w:tc>
          <w:tcPr>
            <w:tcW w:w="100" w:type="dxa"/>
            <w:vAlign w:val="bottom"/>
            <w:shd w:val="clear" w:color="auto" w:fill="CFF0FC"/>
          </w:tcPr>
          <w:p>
            <w:pPr>
              <w:spacing w:after="0"/>
              <w:rPr>
                <w:sz w:val="15"/>
                <w:szCs w:val="15"/>
                <w:color w:val="auto"/>
              </w:rPr>
            </w:pPr>
          </w:p>
        </w:tc>
      </w:tr>
      <w:tr>
        <w:trPr>
          <w:trHeight w:val="180"/>
        </w:trPr>
        <w:tc>
          <w:tcPr>
            <w:tcW w:w="6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Marketable securities:</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6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Corporate bonds</w:t>
            </w:r>
          </w:p>
        </w:tc>
        <w:tc>
          <w:tcPr>
            <w:tcW w:w="2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15,194</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2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15,234</w:t>
            </w:r>
          </w:p>
        </w:tc>
        <w:tc>
          <w:tcPr>
            <w:tcW w:w="100" w:type="dxa"/>
            <w:vAlign w:val="bottom"/>
            <w:shd w:val="clear" w:color="auto" w:fill="CFF0FC"/>
          </w:tcPr>
          <w:p>
            <w:pPr>
              <w:spacing w:after="0"/>
              <w:rPr>
                <w:sz w:val="15"/>
                <w:szCs w:val="15"/>
                <w:color w:val="auto"/>
              </w:rPr>
            </w:pPr>
          </w:p>
        </w:tc>
      </w:tr>
      <w:tr>
        <w:trPr>
          <w:trHeight w:val="180"/>
        </w:trPr>
        <w:tc>
          <w:tcPr>
            <w:tcW w:w="6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Commercial paper</w:t>
            </w: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9,889</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9,965</w:t>
            </w:r>
          </w:p>
        </w:tc>
        <w:tc>
          <w:tcPr>
            <w:tcW w:w="100" w:type="dxa"/>
            <w:vAlign w:val="bottom"/>
          </w:tcPr>
          <w:p>
            <w:pPr>
              <w:spacing w:after="0"/>
              <w:rPr>
                <w:sz w:val="15"/>
                <w:szCs w:val="15"/>
                <w:color w:val="auto"/>
              </w:rPr>
            </w:pPr>
          </w:p>
        </w:tc>
      </w:tr>
      <w:tr>
        <w:trPr>
          <w:trHeight w:val="180"/>
        </w:trPr>
        <w:tc>
          <w:tcPr>
            <w:tcW w:w="6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U.S. treasury securities</w:t>
            </w:r>
          </w:p>
        </w:tc>
        <w:tc>
          <w:tcPr>
            <w:tcW w:w="24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12,300</w:t>
            </w:r>
          </w:p>
        </w:tc>
        <w:tc>
          <w:tcPr>
            <w:tcW w:w="26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12,338</w:t>
            </w:r>
          </w:p>
        </w:tc>
        <w:tc>
          <w:tcPr>
            <w:tcW w:w="100" w:type="dxa"/>
            <w:vAlign w:val="bottom"/>
            <w:shd w:val="clear" w:color="auto" w:fill="CFF0FC"/>
          </w:tcPr>
          <w:p>
            <w:pPr>
              <w:spacing w:after="0"/>
              <w:rPr>
                <w:sz w:val="15"/>
                <w:szCs w:val="15"/>
                <w:color w:val="auto"/>
              </w:rPr>
            </w:pPr>
          </w:p>
        </w:tc>
      </w:tr>
      <w:tr>
        <w:trPr>
          <w:trHeight w:val="170"/>
        </w:trPr>
        <w:tc>
          <w:tcPr>
            <w:tcW w:w="680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153,648</w:t>
            </w:r>
          </w:p>
        </w:tc>
        <w:tc>
          <w:tcPr>
            <w:tcW w:w="2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260" w:type="dxa"/>
            <w:vAlign w:val="bottom"/>
            <w:gridSpan w:val="2"/>
          </w:tcPr>
          <w:p>
            <w:pPr>
              <w:spacing w:after="0"/>
              <w:rPr>
                <w:sz w:val="14"/>
                <w:szCs w:val="14"/>
                <w:color w:val="auto"/>
              </w:rPr>
            </w:pPr>
          </w:p>
        </w:tc>
        <w:tc>
          <w:tcPr>
            <w:tcW w:w="280" w:type="dxa"/>
            <w:vAlign w:val="bottom"/>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153,802</w:t>
            </w:r>
          </w:p>
        </w:tc>
        <w:tc>
          <w:tcPr>
            <w:tcW w:w="100" w:type="dxa"/>
            <w:vAlign w:val="bottom"/>
          </w:tcPr>
          <w:p>
            <w:pPr>
              <w:spacing w:after="0"/>
              <w:rPr>
                <w:sz w:val="14"/>
                <w:szCs w:val="14"/>
                <w:color w:val="auto"/>
              </w:rPr>
            </w:pPr>
          </w:p>
        </w:tc>
      </w:tr>
      <w:tr>
        <w:trPr>
          <w:trHeight w:val="20"/>
        </w:trPr>
        <w:tc>
          <w:tcPr>
            <w:tcW w:w="6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00" w:firstLine="520"/>
        <w:spacing w:after="0" w:line="285" w:lineRule="auto"/>
        <w:rPr>
          <w:sz w:val="20"/>
          <w:szCs w:val="20"/>
          <w:color w:val="auto"/>
        </w:rPr>
      </w:pPr>
      <w:r>
        <w:rPr>
          <w:rFonts w:ascii="Times New Roman" w:cs="Times New Roman" w:eastAsia="Times New Roman" w:hAnsi="Times New Roman"/>
          <w:sz w:val="14"/>
          <w:szCs w:val="14"/>
          <w:color w:val="auto"/>
        </w:rPr>
        <w:t>We do not believe any of the unrealized losses represent an other-than-temporary impairment based on our valuation of available evidence as of March 31, 2019. We expect to receive the full principal and interest on all of these cash equivalents, certificate of deposit, and marketable securities.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55245</wp:posOffset>
            </wp:positionV>
            <wp:extent cx="731520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15200" cy="38735"/>
                    </a:xfrm>
                    <a:prstGeom prst="rect">
                      <a:avLst/>
                    </a:prstGeom>
                    <a:noFill/>
                  </pic:spPr>
                </pic:pic>
              </a:graphicData>
            </a:graphic>
          </wp:anchor>
        </w:drawing>
      </w:r>
    </w:p>
    <w:p>
      <w:pPr>
        <w:sectPr>
          <w:pgSz w:w="11900" w:h="16838" w:orient="portrait"/>
          <w:cols w:equalWidth="0" w:num="1">
            <w:col w:w="11460"/>
          </w:cols>
          <w:pgMar w:left="220" w:top="473" w:right="2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Measurements</w:t>
      </w:r>
    </w:p>
    <w:p>
      <w:pPr>
        <w:spacing w:after="0" w:line="94" w:lineRule="exact"/>
        <w:rPr>
          <w:sz w:val="20"/>
          <w:szCs w:val="20"/>
          <w:color w:val="auto"/>
        </w:rPr>
      </w:pPr>
    </w:p>
    <w:p>
      <w:pPr>
        <w:jc w:val="both"/>
        <w:ind w:right="660" w:firstLine="520"/>
        <w:spacing w:after="0" w:line="268" w:lineRule="auto"/>
        <w:rPr>
          <w:sz w:val="20"/>
          <w:szCs w:val="20"/>
          <w:color w:val="auto"/>
        </w:rPr>
      </w:pPr>
      <w:r>
        <w:rPr>
          <w:rFonts w:ascii="Times New Roman" w:cs="Times New Roman" w:eastAsia="Times New Roman" w:hAnsi="Times New Roman"/>
          <w:sz w:val="14"/>
          <w:szCs w:val="14"/>
          <w:color w:val="auto"/>
        </w:rPr>
        <w:t>We measure certain financial assets at fair value on a recurring basis based on a fair value hierarchy that requires us to maximize the use of observable inputs and minimize the use of unobservable inputs when measuring fair value. A financial instrument’s categorization within the fair value hierarchy is based upon the lowest level of input that is significant to the fair value measurement. The three levels of inputs that may be used to measure fair value are:</w:t>
      </w:r>
    </w:p>
    <w:p>
      <w:pPr>
        <w:spacing w:after="0" w:line="52" w:lineRule="exact"/>
        <w:rPr>
          <w:sz w:val="20"/>
          <w:szCs w:val="20"/>
          <w:color w:val="auto"/>
        </w:rPr>
      </w:pPr>
    </w:p>
    <w:p>
      <w:pPr>
        <w:ind w:left="1040" w:hanging="518"/>
        <w:spacing w:after="0"/>
        <w:tabs>
          <w:tab w:leader="none" w:pos="10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 – quoted prices in active markets for identical assets or liabilities</w:t>
      </w:r>
    </w:p>
    <w:p>
      <w:pPr>
        <w:spacing w:after="0" w:line="92" w:lineRule="exact"/>
        <w:rPr>
          <w:rFonts w:ascii="Times New Roman" w:cs="Times New Roman" w:eastAsia="Times New Roman" w:hAnsi="Times New Roman"/>
          <w:sz w:val="14"/>
          <w:szCs w:val="14"/>
          <w:color w:val="auto"/>
        </w:rPr>
      </w:pPr>
    </w:p>
    <w:p>
      <w:pPr>
        <w:ind w:left="1040" w:right="60" w:hanging="518"/>
        <w:spacing w:after="0" w:line="268" w:lineRule="auto"/>
        <w:tabs>
          <w:tab w:leader="none" w:pos="10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 – observable inputs other than Level 1 prices, such as: (a) quoted prices for similar assets or liabilities, (b) quoted prices in markets with insufficient volume or infrequent transactions (less active markets), or (c) model-derived valuations in which all significant inputs are observable or can be derived principally from or corroborated by observable market data for substantially the full term of the assets or liabilities. We obtain the fair values of our level 2 available-for-sale securities from a professional pricing service.</w:t>
      </w:r>
    </w:p>
    <w:p>
      <w:pPr>
        <w:spacing w:after="0" w:line="52" w:lineRule="exact"/>
        <w:rPr>
          <w:rFonts w:ascii="Times New Roman" w:cs="Times New Roman" w:eastAsia="Times New Roman" w:hAnsi="Times New Roman"/>
          <w:sz w:val="14"/>
          <w:szCs w:val="14"/>
          <w:color w:val="auto"/>
        </w:rPr>
      </w:pPr>
    </w:p>
    <w:p>
      <w:pPr>
        <w:ind w:left="1040" w:hanging="518"/>
        <w:spacing w:after="0"/>
        <w:tabs>
          <w:tab w:leader="none" w:pos="10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 – unobservable inputs to the valuation methodology that are significant to the measurement of fair value of assets or liabilities.</w:t>
      </w:r>
    </w:p>
    <w:p>
      <w:pPr>
        <w:spacing w:after="0" w:line="177" w:lineRule="exact"/>
        <w:rPr>
          <w:sz w:val="20"/>
          <w:szCs w:val="20"/>
          <w:color w:val="auto"/>
        </w:rPr>
      </w:pPr>
    </w:p>
    <w:p>
      <w:pPr>
        <w:ind w:right="60" w:firstLine="520"/>
        <w:spacing w:after="0" w:line="260" w:lineRule="auto"/>
        <w:rPr>
          <w:sz w:val="20"/>
          <w:szCs w:val="20"/>
          <w:color w:val="auto"/>
        </w:rPr>
      </w:pPr>
      <w:r>
        <w:rPr>
          <w:rFonts w:ascii="Times New Roman" w:cs="Times New Roman" w:eastAsia="Times New Roman" w:hAnsi="Times New Roman"/>
          <w:sz w:val="14"/>
          <w:szCs w:val="14"/>
          <w:color w:val="auto"/>
        </w:rPr>
        <w:t>For the earn-out liability related to the EDIAdmin acquisition, the Company utilized the Monte Carlo simulation method to estimate the fair value of this contingent liability as of the reporting date. Thousands of iterations of the simulation were performed using forecasted revenues to develop a distribution of future values of recurring revenue which, in turn, provide indicated earn-out payments. The total estimated fair value equals the sum of the average present values of the indicated earn-out payments. Changes in assumptions described above could have an impact on the payout of contingent consideration with a maximum payout being $1.7 million. The earn-out liability has been measured as Level 3 given the unobservable inputs that are significant to the measurement of the liability.</w:t>
      </w:r>
    </w:p>
    <w:p>
      <w:pPr>
        <w:spacing w:after="0" w:line="142" w:lineRule="exact"/>
        <w:rPr>
          <w:sz w:val="20"/>
          <w:szCs w:val="20"/>
          <w:color w:val="auto"/>
        </w:rPr>
      </w:pPr>
    </w:p>
    <w:p>
      <w:pPr>
        <w:ind w:right="40" w:firstLine="520"/>
        <w:spacing w:after="0" w:line="285" w:lineRule="auto"/>
        <w:rPr>
          <w:sz w:val="20"/>
          <w:szCs w:val="20"/>
          <w:color w:val="auto"/>
        </w:rPr>
      </w:pPr>
      <w:r>
        <w:rPr>
          <w:rFonts w:ascii="Times New Roman" w:cs="Times New Roman" w:eastAsia="Times New Roman" w:hAnsi="Times New Roman"/>
          <w:sz w:val="14"/>
          <w:szCs w:val="14"/>
          <w:color w:val="auto"/>
        </w:rPr>
        <w:t>The following table presents information about our financial assets that are measured at fair value on a recurring basis and indicates the fair value hierarchy of the valuation techniques utilized to determine such fair value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gridSpan w:val="3"/>
          </w:tcPr>
          <w:p>
            <w:pPr>
              <w:jc w:val="right"/>
              <w:ind w:right="472"/>
              <w:spacing w:after="0"/>
              <w:rPr>
                <w:sz w:val="20"/>
                <w:szCs w:val="20"/>
                <w:color w:val="auto"/>
              </w:rPr>
            </w:pPr>
            <w:r>
              <w:rPr>
                <w:rFonts w:ascii="Times New Roman" w:cs="Times New Roman" w:eastAsia="Times New Roman" w:hAnsi="Times New Roman"/>
                <w:sz w:val="11"/>
                <w:szCs w:val="11"/>
                <w:b w:val="1"/>
                <w:bCs w:val="1"/>
                <w:color w:val="auto"/>
              </w:rPr>
              <w:t>March 31, 2019</w:t>
            </w:r>
          </w:p>
        </w:tc>
        <w:tc>
          <w:tcPr>
            <w:tcW w:w="3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jc w:val="right"/>
              <w:ind w:right="351"/>
              <w:spacing w:after="0" w:line="118" w:lineRule="exact"/>
              <w:rPr>
                <w:sz w:val="20"/>
                <w:szCs w:val="20"/>
                <w:color w:val="auto"/>
              </w:rPr>
            </w:pPr>
            <w:r>
              <w:rPr>
                <w:rFonts w:ascii="Times New Roman" w:cs="Times New Roman" w:eastAsia="Times New Roman" w:hAnsi="Times New Roman"/>
                <w:sz w:val="11"/>
                <w:szCs w:val="11"/>
                <w:b w:val="1"/>
                <w:bCs w:val="1"/>
                <w:color w:val="auto"/>
              </w:rPr>
              <w:t>Level 1</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gridSpan w:val="2"/>
          </w:tcPr>
          <w:p>
            <w:pPr>
              <w:ind w:left="160"/>
              <w:spacing w:after="0" w:line="118" w:lineRule="exact"/>
              <w:rPr>
                <w:sz w:val="20"/>
                <w:szCs w:val="20"/>
                <w:color w:val="auto"/>
              </w:rPr>
            </w:pPr>
            <w:r>
              <w:rPr>
                <w:rFonts w:ascii="Times New Roman" w:cs="Times New Roman" w:eastAsia="Times New Roman" w:hAnsi="Times New Roman"/>
                <w:sz w:val="11"/>
                <w:szCs w:val="11"/>
                <w:b w:val="1"/>
                <w:bCs w:val="1"/>
                <w:color w:val="auto"/>
              </w:rPr>
              <w:t>Level 2</w:t>
            </w:r>
          </w:p>
        </w:tc>
        <w:tc>
          <w:tcPr>
            <w:tcW w:w="80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b w:val="1"/>
                <w:bCs w:val="1"/>
                <w:color w:val="auto"/>
              </w:rPr>
              <w:t>Level 3</w:t>
            </w: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jc w:val="right"/>
              <w:ind w:right="411"/>
              <w:spacing w:after="0" w:line="118" w:lineRule="exact"/>
              <w:rPr>
                <w:sz w:val="20"/>
                <w:szCs w:val="20"/>
                <w:color w:val="auto"/>
              </w:rPr>
            </w:pPr>
            <w:r>
              <w:rPr>
                <w:rFonts w:ascii="Times New Roman" w:cs="Times New Roman" w:eastAsia="Times New Roman" w:hAnsi="Times New Roman"/>
                <w:sz w:val="11"/>
                <w:szCs w:val="11"/>
                <w:b w:val="1"/>
                <w:bCs w:val="1"/>
                <w:color w:val="auto"/>
              </w:rPr>
              <w:t>Total</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300" w:type="dxa"/>
            <w:vAlign w:val="bottom"/>
            <w:tcBorders>
              <w:top w:val="single" w:sz="8" w:color="CFF0FC"/>
            </w:tcBorders>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94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equivalents:</w:t>
            </w:r>
          </w:p>
        </w:tc>
        <w:tc>
          <w:tcPr>
            <w:tcW w:w="2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Money market funds</w:t>
            </w:r>
          </w:p>
        </w:tc>
        <w:tc>
          <w:tcPr>
            <w:tcW w:w="2520" w:type="dxa"/>
            <w:vAlign w:val="bottom"/>
            <w:gridSpan w:val="2"/>
            <w:shd w:val="clear" w:color="auto" w:fill="CFF0FC"/>
          </w:tcPr>
          <w:p>
            <w:pPr>
              <w:jc w:val="right"/>
              <w:ind w:right="105"/>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113,516</w:t>
            </w:r>
          </w:p>
        </w:tc>
        <w:tc>
          <w:tcPr>
            <w:tcW w:w="480" w:type="dxa"/>
            <w:vAlign w:val="bottom"/>
            <w:gridSpan w:val="2"/>
            <w:shd w:val="clear" w:color="auto" w:fill="CFF0FC"/>
          </w:tcPr>
          <w:p>
            <w:pPr>
              <w:jc w:val="right"/>
              <w:ind w:right="125"/>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ind w:right="652"/>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113,516</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Certificate of deposit</w:t>
            </w:r>
          </w:p>
        </w:tc>
        <w:tc>
          <w:tcPr>
            <w:tcW w:w="2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6,804</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spacing w:after="0"/>
              <w:rPr>
                <w:sz w:val="15"/>
                <w:szCs w:val="15"/>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Marketable securities:</w:t>
            </w:r>
          </w:p>
        </w:tc>
        <w:tc>
          <w:tcPr>
            <w:tcW w:w="2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Corporate bonds</w:t>
            </w:r>
          </w:p>
        </w:tc>
        <w:tc>
          <w:tcPr>
            <w:tcW w:w="2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12,509</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Commercial paper</w:t>
            </w:r>
          </w:p>
        </w:tc>
        <w:tc>
          <w:tcPr>
            <w:tcW w:w="2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7,481</w:t>
            </w: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7,481</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U.S. treasury securities</w:t>
            </w:r>
          </w:p>
        </w:tc>
        <w:tc>
          <w:tcPr>
            <w:tcW w:w="2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14,889</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14,889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660" w:type="dxa"/>
            <w:vAlign w:val="bottom"/>
            <w:tcBorders>
              <w:top w:val="single" w:sz="8" w:color="CFF0FC"/>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Total</w:t>
            </w:r>
          </w:p>
        </w:tc>
        <w:tc>
          <w:tcPr>
            <w:tcW w:w="2300" w:type="dxa"/>
            <w:vAlign w:val="bottom"/>
            <w:tcBorders>
              <w:top w:val="single" w:sz="8" w:color="CFF0FC"/>
              <w:bottom w:val="single" w:sz="8" w:color="CFF0FC"/>
            </w:tcBorders>
            <w:shd w:val="clear" w:color="auto" w:fill="CFF0FC"/>
          </w:tcPr>
          <w:p>
            <w:pPr>
              <w:spacing w:after="0"/>
              <w:rPr>
                <w:sz w:val="14"/>
                <w:szCs w:val="14"/>
                <w:color w:val="auto"/>
              </w:rPr>
            </w:pPr>
          </w:p>
        </w:tc>
        <w:tc>
          <w:tcPr>
            <w:tcW w:w="22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120,320</w:t>
            </w:r>
          </w:p>
        </w:tc>
        <w:tc>
          <w:tcPr>
            <w:tcW w:w="240" w:type="dxa"/>
            <w:vAlign w:val="bottom"/>
            <w:tcBorders>
              <w:top w:val="single" w:sz="8" w:color="CFF0FC"/>
              <w:bottom w:val="single" w:sz="8" w:color="CFF0FC"/>
            </w:tcBorders>
            <w:shd w:val="clear" w:color="auto" w:fill="CFF0FC"/>
          </w:tcPr>
          <w:p>
            <w:pPr>
              <w:spacing w:after="0"/>
              <w:rPr>
                <w:sz w:val="14"/>
                <w:szCs w:val="14"/>
                <w:color w:val="auto"/>
              </w:rPr>
            </w:pPr>
          </w:p>
        </w:tc>
        <w:tc>
          <w:tcPr>
            <w:tcW w:w="24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34,879</w:t>
            </w:r>
          </w:p>
        </w:tc>
        <w:tc>
          <w:tcPr>
            <w:tcW w:w="240" w:type="dxa"/>
            <w:vAlign w:val="bottom"/>
            <w:tcBorders>
              <w:top w:val="single" w:sz="8" w:color="CFF0FC"/>
              <w:bottom w:val="single" w:sz="8" w:color="CFF0FC"/>
            </w:tcBorders>
            <w:shd w:val="clear" w:color="auto" w:fill="CFF0FC"/>
          </w:tcPr>
          <w:p>
            <w:pPr>
              <w:spacing w:after="0"/>
              <w:rPr>
                <w:sz w:val="14"/>
                <w:szCs w:val="14"/>
                <w:color w:val="auto"/>
              </w:rPr>
            </w:pPr>
          </w:p>
        </w:tc>
        <w:tc>
          <w:tcPr>
            <w:tcW w:w="800" w:type="dxa"/>
            <w:vAlign w:val="bottom"/>
            <w:tcBorders>
              <w:top w:val="single" w:sz="8" w:color="auto"/>
              <w:bottom w:val="single" w:sz="8" w:color="auto"/>
            </w:tcBorders>
            <w:shd w:val="clear" w:color="auto" w:fill="CFF0FC"/>
          </w:tcPr>
          <w:p>
            <w:pPr>
              <w:jc w:val="right"/>
              <w:ind w:right="652"/>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CFF0FC"/>
              <w:bottom w:val="single" w:sz="8" w:color="CFF0FC"/>
            </w:tcBorders>
            <w:shd w:val="clear" w:color="auto" w:fill="CFF0FC"/>
          </w:tcPr>
          <w:p>
            <w:pPr>
              <w:spacing w:after="0"/>
              <w:rPr>
                <w:sz w:val="14"/>
                <w:szCs w:val="14"/>
                <w:color w:val="auto"/>
              </w:rPr>
            </w:pPr>
          </w:p>
        </w:tc>
        <w:tc>
          <w:tcPr>
            <w:tcW w:w="26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155,199</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vMerge w:val="restart"/>
          </w:tcPr>
          <w:p>
            <w:pPr>
              <w:spacing w:after="0"/>
              <w:rPr>
                <w:sz w:val="13"/>
                <w:szCs w:val="13"/>
                <w:color w:val="auto"/>
              </w:rPr>
            </w:pPr>
          </w:p>
        </w:tc>
        <w:tc>
          <w:tcPr>
            <w:tcW w:w="36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Earn-out liability</w:t>
            </w:r>
          </w:p>
        </w:tc>
        <w:tc>
          <w:tcPr>
            <w:tcW w:w="2520" w:type="dxa"/>
            <w:vAlign w:val="bottom"/>
            <w:gridSpan w:val="2"/>
          </w:tcPr>
          <w:p>
            <w:pPr>
              <w:jc w:val="right"/>
              <w:ind w:right="105"/>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jc w:val="right"/>
              <w:ind w:right="125"/>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652"/>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1,424</w:t>
            </w:r>
          </w:p>
        </w:tc>
        <w:tc>
          <w:tcPr>
            <w:tcW w:w="240" w:type="dxa"/>
            <w:vAlign w:val="bottom"/>
          </w:tcPr>
          <w:p>
            <w:pPr>
              <w:spacing w:after="0"/>
              <w:rPr>
                <w:sz w:val="15"/>
                <w:szCs w:val="15"/>
                <w:color w:val="auto"/>
              </w:rPr>
            </w:pP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660" w:type="dxa"/>
            <w:vAlign w:val="bottom"/>
            <w:tcBorders>
              <w:top w:val="single" w:sz="8" w:color="CFF0FC"/>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Total</w:t>
            </w:r>
          </w:p>
        </w:tc>
        <w:tc>
          <w:tcPr>
            <w:tcW w:w="2300" w:type="dxa"/>
            <w:vAlign w:val="bottom"/>
            <w:tcBorders>
              <w:top w:val="single" w:sz="8" w:color="CFF0FC"/>
              <w:bottom w:val="single" w:sz="8" w:color="CFF0FC"/>
            </w:tcBorders>
            <w:shd w:val="clear" w:color="auto" w:fill="CFF0FC"/>
          </w:tcPr>
          <w:p>
            <w:pPr>
              <w:spacing w:after="0"/>
              <w:rPr>
                <w:sz w:val="14"/>
                <w:szCs w:val="14"/>
                <w:color w:val="auto"/>
              </w:rPr>
            </w:pPr>
          </w:p>
        </w:tc>
        <w:tc>
          <w:tcPr>
            <w:tcW w:w="22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CFF0FC"/>
              <w:bottom w:val="single" w:sz="8" w:color="CFF0FC"/>
            </w:tcBorders>
            <w:shd w:val="clear" w:color="auto" w:fill="CFF0FC"/>
          </w:tcPr>
          <w:p>
            <w:pPr>
              <w:spacing w:after="0"/>
              <w:rPr>
                <w:sz w:val="14"/>
                <w:szCs w:val="14"/>
                <w:color w:val="auto"/>
              </w:rPr>
            </w:pPr>
          </w:p>
        </w:tc>
        <w:tc>
          <w:tcPr>
            <w:tcW w:w="24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CFF0FC"/>
              <w:bottom w:val="single" w:sz="8" w:color="CFF0FC"/>
            </w:tcBorders>
            <w:shd w:val="clear" w:color="auto" w:fill="CFF0FC"/>
          </w:tcPr>
          <w:p>
            <w:pPr>
              <w:spacing w:after="0"/>
              <w:rPr>
                <w:sz w:val="14"/>
                <w:szCs w:val="14"/>
                <w:color w:val="auto"/>
              </w:rPr>
            </w:pPr>
          </w:p>
        </w:tc>
        <w:tc>
          <w:tcPr>
            <w:tcW w:w="800" w:type="dxa"/>
            <w:vAlign w:val="bottom"/>
            <w:tcBorders>
              <w:top w:val="single" w:sz="8" w:color="auto"/>
              <w:bottom w:val="single" w:sz="8" w:color="auto"/>
            </w:tcBorders>
            <w:shd w:val="clear" w:color="auto" w:fill="CFF0FC"/>
          </w:tcPr>
          <w:p>
            <w:pPr>
              <w:jc w:val="right"/>
              <w:ind w:right="652"/>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1,424</w:t>
            </w:r>
          </w:p>
        </w:tc>
        <w:tc>
          <w:tcPr>
            <w:tcW w:w="240" w:type="dxa"/>
            <w:vAlign w:val="bottom"/>
            <w:tcBorders>
              <w:top w:val="single" w:sz="8" w:color="CFF0FC"/>
              <w:bottom w:val="single" w:sz="8" w:color="CFF0FC"/>
            </w:tcBorders>
            <w:shd w:val="clear" w:color="auto" w:fill="CFF0FC"/>
          </w:tcPr>
          <w:p>
            <w:pPr>
              <w:spacing w:after="0"/>
              <w:rPr>
                <w:sz w:val="14"/>
                <w:szCs w:val="14"/>
                <w:color w:val="auto"/>
              </w:rPr>
            </w:pPr>
          </w:p>
        </w:tc>
        <w:tc>
          <w:tcPr>
            <w:tcW w:w="26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1,424</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13</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3660" w:type="dxa"/>
            <w:vAlign w:val="bottom"/>
            <w:tcBorders>
              <w:bottom w:val="single" w:sz="8" w:color="9A9A9A"/>
            </w:tcBorders>
          </w:tcPr>
          <w:p>
            <w:pPr>
              <w:spacing w:after="0"/>
              <w:rPr>
                <w:sz w:val="7"/>
                <w:szCs w:val="7"/>
                <w:color w:val="auto"/>
              </w:rPr>
            </w:pPr>
          </w:p>
        </w:tc>
        <w:tc>
          <w:tcPr>
            <w:tcW w:w="23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-25400</wp:posOffset>
            </wp:positionV>
            <wp:extent cx="3238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-25400</wp:posOffset>
            </wp:positionV>
            <wp:extent cx="3238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480"/>
          </w:cols>
          <w:pgMar w:left="220" w:top="419" w:right="19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2018</w:t>
            </w:r>
          </w:p>
        </w:tc>
        <w:tc>
          <w:tcPr>
            <w:tcW w:w="8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jc w:val="right"/>
              <w:ind w:right="351"/>
              <w:spacing w:after="0" w:line="118" w:lineRule="exact"/>
              <w:rPr>
                <w:sz w:val="20"/>
                <w:szCs w:val="20"/>
                <w:color w:val="auto"/>
              </w:rPr>
            </w:pPr>
            <w:r>
              <w:rPr>
                <w:rFonts w:ascii="Times New Roman" w:cs="Times New Roman" w:eastAsia="Times New Roman" w:hAnsi="Times New Roman"/>
                <w:sz w:val="11"/>
                <w:szCs w:val="11"/>
                <w:b w:val="1"/>
                <w:bCs w:val="1"/>
                <w:color w:val="auto"/>
              </w:rPr>
              <w:t>Level 1</w:t>
            </w: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1"/>
                <w:szCs w:val="11"/>
                <w:b w:val="1"/>
                <w:bCs w:val="1"/>
                <w:color w:val="auto"/>
              </w:rPr>
              <w:t>Level 2</w:t>
            </w: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jc w:val="right"/>
              <w:ind w:right="331"/>
              <w:spacing w:after="0" w:line="118" w:lineRule="exact"/>
              <w:rPr>
                <w:sz w:val="20"/>
                <w:szCs w:val="20"/>
                <w:color w:val="auto"/>
              </w:rPr>
            </w:pPr>
            <w:r>
              <w:rPr>
                <w:rFonts w:ascii="Times New Roman" w:cs="Times New Roman" w:eastAsia="Times New Roman" w:hAnsi="Times New Roman"/>
                <w:sz w:val="11"/>
                <w:szCs w:val="11"/>
                <w:b w:val="1"/>
                <w:bCs w:val="1"/>
                <w:color w:val="auto"/>
              </w:rPr>
              <w:t>Level 3</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jc w:val="right"/>
              <w:ind w:right="411"/>
              <w:spacing w:after="0" w:line="118" w:lineRule="exact"/>
              <w:rPr>
                <w:sz w:val="20"/>
                <w:szCs w:val="20"/>
                <w:color w:val="auto"/>
              </w:rPr>
            </w:pPr>
            <w:r>
              <w:rPr>
                <w:rFonts w:ascii="Times New Roman" w:cs="Times New Roman" w:eastAsia="Times New Roman" w:hAnsi="Times New Roman"/>
                <w:sz w:val="11"/>
                <w:szCs w:val="11"/>
                <w:b w:val="1"/>
                <w:bCs w:val="1"/>
                <w:color w:val="auto"/>
              </w:rPr>
              <w:t>Total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3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0" w:type="dxa"/>
            <w:vAlign w:val="bottom"/>
            <w:tcBorders>
              <w:top w:val="single" w:sz="8" w:color="CFF0FC"/>
            </w:tcBorders>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94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auto"/>
            </w:tcBorders>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equivalents:</w:t>
            </w:r>
          </w:p>
        </w:tc>
        <w:tc>
          <w:tcPr>
            <w:tcW w:w="1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Money market funds</w:t>
            </w:r>
          </w:p>
        </w:tc>
        <w:tc>
          <w:tcPr>
            <w:tcW w:w="1820" w:type="dxa"/>
            <w:vAlign w:val="bottom"/>
            <w:gridSpan w:val="2"/>
            <w:shd w:val="clear" w:color="auto" w:fill="CFF0FC"/>
          </w:tcPr>
          <w:p>
            <w:pPr>
              <w:jc w:val="right"/>
              <w:ind w:right="105"/>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109,265</w:t>
            </w:r>
          </w:p>
        </w:tc>
        <w:tc>
          <w:tcPr>
            <w:tcW w:w="560" w:type="dxa"/>
            <w:vAlign w:val="bottom"/>
            <w:gridSpan w:val="2"/>
            <w:shd w:val="clear" w:color="auto" w:fill="CFF0FC"/>
          </w:tcPr>
          <w:p>
            <w:pPr>
              <w:jc w:val="right"/>
              <w:ind w:right="205"/>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109,265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Certificate of deposit</w:t>
            </w:r>
          </w:p>
        </w:tc>
        <w:tc>
          <w:tcPr>
            <w:tcW w:w="1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Marketable securities:</w:t>
            </w:r>
          </w:p>
        </w:tc>
        <w:tc>
          <w:tcPr>
            <w:tcW w:w="16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Corporate bonds</w:t>
            </w:r>
          </w:p>
        </w:tc>
        <w:tc>
          <w:tcPr>
            <w:tcW w:w="1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15,234</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15,234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Commercial paper</w:t>
            </w:r>
          </w:p>
        </w:tc>
        <w:tc>
          <w:tcPr>
            <w:tcW w:w="16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9,965</w:t>
            </w:r>
          </w:p>
        </w:tc>
        <w:tc>
          <w:tcPr>
            <w:tcW w:w="2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9,965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60" w:type="dxa"/>
            <w:vAlign w:val="bottom"/>
            <w:tcBorders>
              <w:bottom w:val="single" w:sz="8" w:color="CFF0FC"/>
            </w:tcBorders>
          </w:tcPr>
          <w:p>
            <w:pPr>
              <w:ind w:left="360"/>
              <w:spacing w:after="0"/>
              <w:rPr>
                <w:sz w:val="20"/>
                <w:szCs w:val="20"/>
                <w:color w:val="auto"/>
              </w:rPr>
            </w:pPr>
            <w:r>
              <w:rPr>
                <w:rFonts w:ascii="Times New Roman" w:cs="Times New Roman" w:eastAsia="Times New Roman" w:hAnsi="Times New Roman"/>
                <w:sz w:val="14"/>
                <w:szCs w:val="14"/>
                <w:color w:val="auto"/>
              </w:rPr>
              <w:t>U.S. treasury securities</w:t>
            </w:r>
          </w:p>
        </w:tc>
        <w:tc>
          <w:tcPr>
            <w:tcW w:w="160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12,338</w:t>
            </w:r>
          </w:p>
        </w:tc>
        <w:tc>
          <w:tcPr>
            <w:tcW w:w="240" w:type="dxa"/>
            <w:vAlign w:val="bottom"/>
            <w:tcBorders>
              <w:bottom w:val="single" w:sz="8" w:color="CFF0FC"/>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12,338</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36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Total</w:t>
            </w:r>
          </w:p>
        </w:tc>
        <w:tc>
          <w:tcPr>
            <w:tcW w:w="16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116,265</w:t>
            </w:r>
          </w:p>
        </w:tc>
        <w:tc>
          <w:tcPr>
            <w:tcW w:w="24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37,537</w:t>
            </w:r>
          </w:p>
        </w:tc>
        <w:tc>
          <w:tcPr>
            <w:tcW w:w="24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auto"/>
            </w:tcBorders>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153,802</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vMerge w:val="restart"/>
          </w:tcPr>
          <w:p>
            <w:pPr>
              <w:spacing w:after="0"/>
              <w:rPr>
                <w:sz w:val="13"/>
                <w:szCs w:val="13"/>
                <w:color w:val="auto"/>
              </w:rPr>
            </w:pPr>
          </w:p>
        </w:tc>
        <w:tc>
          <w:tcPr>
            <w:tcW w:w="43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6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Earn-out liability</w:t>
            </w:r>
          </w:p>
        </w:tc>
        <w:tc>
          <w:tcPr>
            <w:tcW w:w="1820" w:type="dxa"/>
            <w:vAlign w:val="bottom"/>
            <w:gridSpan w:val="2"/>
          </w:tcPr>
          <w:p>
            <w:pPr>
              <w:jc w:val="right"/>
              <w:ind w:right="105"/>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205"/>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1,368</w:t>
            </w:r>
          </w:p>
        </w:tc>
        <w:tc>
          <w:tcPr>
            <w:tcW w:w="50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360" w:type="dxa"/>
            <w:vAlign w:val="bottom"/>
            <w:tcBorders>
              <w:top w:val="single" w:sz="8" w:color="CFF0FC"/>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Total</w:t>
            </w:r>
          </w:p>
        </w:tc>
        <w:tc>
          <w:tcPr>
            <w:tcW w:w="1600" w:type="dxa"/>
            <w:vAlign w:val="bottom"/>
            <w:tcBorders>
              <w:top w:val="single" w:sz="8" w:color="CFF0FC"/>
              <w:bottom w:val="single" w:sz="8" w:color="CFF0FC"/>
            </w:tcBorders>
            <w:shd w:val="clear" w:color="auto" w:fill="CFF0FC"/>
          </w:tcPr>
          <w:p>
            <w:pPr>
              <w:spacing w:after="0"/>
              <w:rPr>
                <w:sz w:val="14"/>
                <w:szCs w:val="14"/>
                <w:color w:val="auto"/>
              </w:rPr>
            </w:pPr>
          </w:p>
        </w:tc>
        <w:tc>
          <w:tcPr>
            <w:tcW w:w="22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CFF0FC"/>
              <w:bottom w:val="single" w:sz="8" w:color="CFF0FC"/>
            </w:tcBorders>
            <w:shd w:val="clear" w:color="auto" w:fill="CFF0FC"/>
          </w:tcPr>
          <w:p>
            <w:pPr>
              <w:spacing w:after="0"/>
              <w:rPr>
                <w:sz w:val="14"/>
                <w:szCs w:val="14"/>
                <w:color w:val="auto"/>
              </w:rPr>
            </w:pPr>
          </w:p>
        </w:tc>
        <w:tc>
          <w:tcPr>
            <w:tcW w:w="32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CFF0FC"/>
              <w:bottom w:val="single" w:sz="8" w:color="CFF0FC"/>
            </w:tcBorders>
            <w:shd w:val="clear" w:color="auto" w:fill="CFF0FC"/>
          </w:tcPr>
          <w:p>
            <w:pPr>
              <w:spacing w:after="0"/>
              <w:rPr>
                <w:sz w:val="14"/>
                <w:szCs w:val="14"/>
                <w:color w:val="auto"/>
              </w:rPr>
            </w:pPr>
          </w:p>
        </w:tc>
        <w:tc>
          <w:tcPr>
            <w:tcW w:w="360" w:type="dxa"/>
            <w:vAlign w:val="bottom"/>
            <w:tcBorders>
              <w:top w:val="single" w:sz="8" w:color="auto"/>
              <w:bottom w:val="single" w:sz="8" w:color="auto"/>
            </w:tcBorders>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1,368</w:t>
            </w:r>
          </w:p>
        </w:tc>
        <w:tc>
          <w:tcPr>
            <w:tcW w:w="240" w:type="dxa"/>
            <w:vAlign w:val="bottom"/>
            <w:tcBorders>
              <w:top w:val="single" w:sz="8" w:color="CFF0FC"/>
              <w:bottom w:val="single" w:sz="8" w:color="CFF0FC"/>
            </w:tcBorders>
            <w:shd w:val="clear" w:color="auto" w:fill="CFF0FC"/>
          </w:tcPr>
          <w:p>
            <w:pPr>
              <w:spacing w:after="0"/>
              <w:rPr>
                <w:sz w:val="14"/>
                <w:szCs w:val="14"/>
                <w:color w:val="auto"/>
              </w:rPr>
            </w:pPr>
          </w:p>
        </w:tc>
        <w:tc>
          <w:tcPr>
            <w:tcW w:w="26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1,368</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F – Goodwill and Intangible Assets, net</w:t>
            </w:r>
          </w:p>
        </w:tc>
        <w:tc>
          <w:tcPr>
            <w:tcW w:w="1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380" w:type="dxa"/>
            <w:vAlign w:val="bottom"/>
            <w:gridSpan w:val="2"/>
            <w:vMerge w:val="continue"/>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7680" w:type="dxa"/>
            <w:vAlign w:val="bottom"/>
            <w:gridSpan w:val="6"/>
          </w:tcPr>
          <w:p>
            <w:pPr>
              <w:ind w:left="500"/>
              <w:spacing w:after="0"/>
              <w:rPr>
                <w:sz w:val="20"/>
                <w:szCs w:val="20"/>
                <w:color w:val="auto"/>
              </w:rPr>
            </w:pPr>
            <w:r>
              <w:rPr>
                <w:rFonts w:ascii="Times New Roman" w:cs="Times New Roman" w:eastAsia="Times New Roman" w:hAnsi="Times New Roman"/>
                <w:sz w:val="14"/>
                <w:szCs w:val="14"/>
                <w:color w:val="auto"/>
              </w:rPr>
              <w:t>The changes in the net carrying amount of goodwill for the three months ended March 31, 2019 are as follows (in thousands):</w:t>
            </w: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4360" w:type="dxa"/>
            <w:vAlign w:val="bottom"/>
            <w:tcBorders>
              <w:bottom w:val="single" w:sz="8" w:color="CFF0FC"/>
            </w:tcBorders>
          </w:tcPr>
          <w:p>
            <w:pPr>
              <w:spacing w:after="0"/>
              <w:rPr>
                <w:sz w:val="24"/>
                <w:szCs w:val="24"/>
                <w:color w:val="auto"/>
              </w:rPr>
            </w:pPr>
          </w:p>
        </w:tc>
        <w:tc>
          <w:tcPr>
            <w:tcW w:w="1600" w:type="dxa"/>
            <w:vAlign w:val="bottom"/>
            <w:tcBorders>
              <w:bottom w:val="single" w:sz="8" w:color="CFF0FC"/>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940" w:type="dxa"/>
            <w:vAlign w:val="bottom"/>
            <w:tcBorders>
              <w:bottom w:val="single" w:sz="8" w:color="CFF0FC"/>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320" w:type="dxa"/>
            <w:vAlign w:val="bottom"/>
            <w:tcBorders>
              <w:bottom w:val="single" w:sz="8" w:color="CFF0FC"/>
            </w:tcBorders>
          </w:tcPr>
          <w:p>
            <w:pPr>
              <w:spacing w:after="0"/>
              <w:rPr>
                <w:sz w:val="24"/>
                <w:szCs w:val="24"/>
                <w:color w:val="auto"/>
              </w:rPr>
            </w:pPr>
          </w:p>
        </w:tc>
        <w:tc>
          <w:tcPr>
            <w:tcW w:w="840" w:type="dxa"/>
            <w:vAlign w:val="bottom"/>
            <w:tcBorders>
              <w:bottom w:val="single" w:sz="8" w:color="CFF0FC"/>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6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1"/>
                <w:szCs w:val="11"/>
                <w:b w:val="1"/>
                <w:bCs w:val="1"/>
                <w:color w:val="auto"/>
              </w:rPr>
              <w:t>2019</w:t>
            </w: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Balances, January 1</w:t>
            </w:r>
          </w:p>
        </w:tc>
        <w:tc>
          <w:tcPr>
            <w:tcW w:w="1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69,658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Goodwill acquired during the period</w:t>
            </w:r>
          </w:p>
        </w:tc>
        <w:tc>
          <w:tcPr>
            <w:tcW w:w="1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6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Balances, March 31</w:t>
            </w: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70,075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320" w:firstLine="520"/>
        <w:spacing w:after="0" w:line="285" w:lineRule="auto"/>
        <w:rPr>
          <w:sz w:val="20"/>
          <w:szCs w:val="20"/>
          <w:color w:val="auto"/>
        </w:rPr>
      </w:pPr>
      <w:r>
        <w:rPr>
          <w:rFonts w:ascii="Times New Roman" w:cs="Times New Roman" w:eastAsia="Times New Roman" w:hAnsi="Times New Roman"/>
          <w:sz w:val="14"/>
          <w:szCs w:val="14"/>
          <w:color w:val="auto"/>
        </w:rPr>
        <w:t>Intangible assets subject to amortization primarily include subscriber relationships, non-competition agreements and acquired technology and are amortized over their respective useful lives (ranging from 1 to 10 years). Intangible assets, net included the following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6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March 31, 2019</w:t>
            </w:r>
          </w:p>
        </w:tc>
        <w:tc>
          <w:tcPr>
            <w:tcW w:w="8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3660" w:type="dxa"/>
            <w:vAlign w:val="bottom"/>
          </w:tcPr>
          <w:p>
            <w:pPr>
              <w:spacing w:after="0"/>
              <w:rPr>
                <w:sz w:val="9"/>
                <w:szCs w:val="9"/>
                <w:color w:val="auto"/>
              </w:rPr>
            </w:pPr>
          </w:p>
        </w:tc>
        <w:tc>
          <w:tcPr>
            <w:tcW w:w="2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20" w:type="dxa"/>
            <w:vAlign w:val="bottom"/>
            <w:gridSpan w:val="2"/>
          </w:tcPr>
          <w:p>
            <w:pPr>
              <w:jc w:val="center"/>
              <w:ind w:right="520"/>
              <w:spacing w:after="0" w:line="109" w:lineRule="exact"/>
              <w:rPr>
                <w:sz w:val="20"/>
                <w:szCs w:val="20"/>
                <w:color w:val="auto"/>
              </w:rPr>
            </w:pPr>
            <w:r>
              <w:rPr>
                <w:rFonts w:ascii="Times New Roman" w:cs="Times New Roman" w:eastAsia="Times New Roman" w:hAnsi="Times New Roman"/>
                <w:sz w:val="11"/>
                <w:szCs w:val="11"/>
                <w:b w:val="1"/>
                <w:bCs w:val="1"/>
                <w:color w:val="auto"/>
                <w:w w:val="98"/>
              </w:rPr>
              <w:t>Foreign</w:t>
            </w: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36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center"/>
              <w:ind w:right="174"/>
              <w:spacing w:after="0"/>
              <w:rPr>
                <w:sz w:val="20"/>
                <w:szCs w:val="20"/>
                <w:color w:val="auto"/>
              </w:rPr>
            </w:pPr>
            <w:r>
              <w:rPr>
                <w:rFonts w:ascii="Times New Roman" w:cs="Times New Roman" w:eastAsia="Times New Roman" w:hAnsi="Times New Roman"/>
                <w:sz w:val="11"/>
                <w:szCs w:val="11"/>
                <w:b w:val="1"/>
                <w:bCs w:val="1"/>
                <w:color w:val="auto"/>
              </w:rPr>
              <w:t>Carrying</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280" w:type="dxa"/>
            <w:vAlign w:val="bottom"/>
          </w:tcPr>
          <w:p>
            <w:pPr>
              <w:spacing w:after="0"/>
              <w:rPr>
                <w:sz w:val="11"/>
                <w:szCs w:val="11"/>
                <w:color w:val="auto"/>
              </w:rPr>
            </w:pPr>
          </w:p>
        </w:tc>
        <w:tc>
          <w:tcPr>
            <w:tcW w:w="1120" w:type="dxa"/>
            <w:vAlign w:val="bottom"/>
            <w:gridSpan w:val="2"/>
          </w:tcPr>
          <w:p>
            <w:pPr>
              <w:jc w:val="center"/>
              <w:ind w:right="540"/>
              <w:spacing w:after="0"/>
              <w:rPr>
                <w:sz w:val="20"/>
                <w:szCs w:val="20"/>
                <w:color w:val="auto"/>
              </w:rPr>
            </w:pPr>
            <w:r>
              <w:rPr>
                <w:rFonts w:ascii="Times New Roman" w:cs="Times New Roman" w:eastAsia="Times New Roman" w:hAnsi="Times New Roman"/>
                <w:sz w:val="11"/>
                <w:szCs w:val="11"/>
                <w:b w:val="1"/>
                <w:bCs w:val="1"/>
                <w:color w:val="auto"/>
              </w:rPr>
              <w:t>Currency</w:t>
            </w: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center"/>
              <w:ind w:right="154"/>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Amortization</w:t>
            </w:r>
          </w:p>
        </w:tc>
        <w:tc>
          <w:tcPr>
            <w:tcW w:w="280" w:type="dxa"/>
            <w:vAlign w:val="bottom"/>
          </w:tcPr>
          <w:p>
            <w:pPr>
              <w:spacing w:after="0"/>
              <w:rPr>
                <w:sz w:val="11"/>
                <w:szCs w:val="11"/>
                <w:color w:val="auto"/>
              </w:rPr>
            </w:pPr>
          </w:p>
        </w:tc>
        <w:tc>
          <w:tcPr>
            <w:tcW w:w="1120" w:type="dxa"/>
            <w:vAlign w:val="bottom"/>
            <w:gridSpan w:val="2"/>
          </w:tcPr>
          <w:p>
            <w:pPr>
              <w:jc w:val="center"/>
              <w:ind w:right="520"/>
              <w:spacing w:after="0"/>
              <w:rPr>
                <w:sz w:val="20"/>
                <w:szCs w:val="20"/>
                <w:color w:val="auto"/>
              </w:rPr>
            </w:pPr>
            <w:r>
              <w:rPr>
                <w:rFonts w:ascii="Times New Roman" w:cs="Times New Roman" w:eastAsia="Times New Roman" w:hAnsi="Times New Roman"/>
                <w:sz w:val="11"/>
                <w:szCs w:val="11"/>
                <w:b w:val="1"/>
                <w:bCs w:val="1"/>
                <w:color w:val="auto"/>
              </w:rPr>
              <w:t>Translation</w:t>
            </w:r>
          </w:p>
        </w:tc>
        <w:tc>
          <w:tcPr>
            <w:tcW w:w="280" w:type="dxa"/>
            <w:vAlign w:val="bottom"/>
          </w:tcPr>
          <w:p>
            <w:pPr>
              <w:spacing w:after="0"/>
              <w:rPr>
                <w:sz w:val="11"/>
                <w:szCs w:val="11"/>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Net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Subscriber relationships</w:t>
            </w:r>
          </w:p>
        </w:tc>
        <w:tc>
          <w:tcPr>
            <w:tcW w:w="2320" w:type="dxa"/>
            <w:vAlign w:val="bottom"/>
            <w:tcBorders>
              <w:top w:val="single" w:sz="8" w:color="CFF0FC"/>
            </w:tcBorders>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42,240</w:t>
            </w:r>
          </w:p>
        </w:tc>
        <w:tc>
          <w:tcPr>
            <w:tcW w:w="24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(24,034)</w:t>
            </w:r>
          </w:p>
        </w:tc>
        <w:tc>
          <w:tcPr>
            <w:tcW w:w="240" w:type="dxa"/>
            <w:vAlign w:val="bottom"/>
            <w:tcBorders>
              <w:top w:val="single" w:sz="8" w:color="CFF0FC"/>
            </w:tcBorders>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240" w:type="dxa"/>
            <w:vAlign w:val="bottom"/>
            <w:tcBorders>
              <w:top w:val="single" w:sz="8" w:color="CFF0FC"/>
            </w:tcBorders>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18,323</w:t>
            </w:r>
          </w:p>
        </w:tc>
        <w:tc>
          <w:tcPr>
            <w:tcW w:w="100" w:type="dxa"/>
            <w:vAlign w:val="bottom"/>
            <w:tcBorders>
              <w:top w:val="single" w:sz="8" w:color="CFF0FC"/>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Non-competition agreements</w:t>
            </w:r>
          </w:p>
        </w:tc>
        <w:tc>
          <w:tcPr>
            <w:tcW w:w="2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2,495</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(2,251)</w:t>
            </w: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Technology and other</w:t>
            </w:r>
          </w:p>
        </w:tc>
        <w:tc>
          <w:tcPr>
            <w:tcW w:w="23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5,002</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(2,010)</w:t>
            </w:r>
          </w:p>
        </w:tc>
        <w:tc>
          <w:tcPr>
            <w:tcW w:w="2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2,999</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6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49,737</w:t>
            </w:r>
          </w:p>
        </w:tc>
        <w:tc>
          <w:tcPr>
            <w:tcW w:w="24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(28,295)</w:t>
            </w:r>
          </w:p>
        </w:tc>
        <w:tc>
          <w:tcPr>
            <w:tcW w:w="24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24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21,572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36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jc w:val="right"/>
              <w:ind w:right="1060"/>
              <w:spacing w:after="0"/>
              <w:rPr>
                <w:sz w:val="20"/>
                <w:szCs w:val="20"/>
                <w:color w:val="auto"/>
              </w:rPr>
            </w:pPr>
            <w:r>
              <w:rPr>
                <w:rFonts w:ascii="Times New Roman" w:cs="Times New Roman" w:eastAsia="Times New Roman" w:hAnsi="Times New Roman"/>
                <w:sz w:val="11"/>
                <w:szCs w:val="11"/>
                <w:b w:val="1"/>
                <w:bCs w:val="1"/>
                <w:color w:val="auto"/>
              </w:rPr>
              <w:t>December 31, 2018</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3660" w:type="dxa"/>
            <w:vAlign w:val="bottom"/>
          </w:tcPr>
          <w:p>
            <w:pPr>
              <w:spacing w:after="0"/>
              <w:rPr>
                <w:sz w:val="9"/>
                <w:szCs w:val="9"/>
                <w:color w:val="auto"/>
              </w:rPr>
            </w:pPr>
          </w:p>
        </w:tc>
        <w:tc>
          <w:tcPr>
            <w:tcW w:w="2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20" w:type="dxa"/>
            <w:vAlign w:val="bottom"/>
            <w:gridSpan w:val="2"/>
          </w:tcPr>
          <w:p>
            <w:pPr>
              <w:jc w:val="center"/>
              <w:ind w:right="520"/>
              <w:spacing w:after="0" w:line="109" w:lineRule="exact"/>
              <w:rPr>
                <w:sz w:val="20"/>
                <w:szCs w:val="20"/>
                <w:color w:val="auto"/>
              </w:rPr>
            </w:pPr>
            <w:r>
              <w:rPr>
                <w:rFonts w:ascii="Times New Roman" w:cs="Times New Roman" w:eastAsia="Times New Roman" w:hAnsi="Times New Roman"/>
                <w:sz w:val="11"/>
                <w:szCs w:val="11"/>
                <w:b w:val="1"/>
                <w:bCs w:val="1"/>
                <w:color w:val="auto"/>
                <w:w w:val="98"/>
              </w:rPr>
              <w:t>Foreign</w:t>
            </w: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36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center"/>
              <w:ind w:right="174"/>
              <w:spacing w:after="0"/>
              <w:rPr>
                <w:sz w:val="20"/>
                <w:szCs w:val="20"/>
                <w:color w:val="auto"/>
              </w:rPr>
            </w:pPr>
            <w:r>
              <w:rPr>
                <w:rFonts w:ascii="Times New Roman" w:cs="Times New Roman" w:eastAsia="Times New Roman" w:hAnsi="Times New Roman"/>
                <w:sz w:val="11"/>
                <w:szCs w:val="11"/>
                <w:b w:val="1"/>
                <w:bCs w:val="1"/>
                <w:color w:val="auto"/>
              </w:rPr>
              <w:t>Carrying</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280" w:type="dxa"/>
            <w:vAlign w:val="bottom"/>
          </w:tcPr>
          <w:p>
            <w:pPr>
              <w:spacing w:after="0"/>
              <w:rPr>
                <w:sz w:val="11"/>
                <w:szCs w:val="11"/>
                <w:color w:val="auto"/>
              </w:rPr>
            </w:pPr>
          </w:p>
        </w:tc>
        <w:tc>
          <w:tcPr>
            <w:tcW w:w="1120" w:type="dxa"/>
            <w:vAlign w:val="bottom"/>
            <w:gridSpan w:val="2"/>
          </w:tcPr>
          <w:p>
            <w:pPr>
              <w:jc w:val="center"/>
              <w:ind w:right="540"/>
              <w:spacing w:after="0"/>
              <w:rPr>
                <w:sz w:val="20"/>
                <w:szCs w:val="20"/>
                <w:color w:val="auto"/>
              </w:rPr>
            </w:pPr>
            <w:r>
              <w:rPr>
                <w:rFonts w:ascii="Times New Roman" w:cs="Times New Roman" w:eastAsia="Times New Roman" w:hAnsi="Times New Roman"/>
                <w:sz w:val="11"/>
                <w:szCs w:val="11"/>
                <w:b w:val="1"/>
                <w:bCs w:val="1"/>
                <w:color w:val="auto"/>
              </w:rPr>
              <w:t>Currency</w:t>
            </w: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center"/>
              <w:ind w:right="154"/>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Amortization</w:t>
            </w:r>
          </w:p>
        </w:tc>
        <w:tc>
          <w:tcPr>
            <w:tcW w:w="280" w:type="dxa"/>
            <w:vAlign w:val="bottom"/>
          </w:tcPr>
          <w:p>
            <w:pPr>
              <w:spacing w:after="0"/>
              <w:rPr>
                <w:sz w:val="11"/>
                <w:szCs w:val="11"/>
                <w:color w:val="auto"/>
              </w:rPr>
            </w:pPr>
          </w:p>
        </w:tc>
        <w:tc>
          <w:tcPr>
            <w:tcW w:w="1120" w:type="dxa"/>
            <w:vAlign w:val="bottom"/>
            <w:gridSpan w:val="2"/>
          </w:tcPr>
          <w:p>
            <w:pPr>
              <w:jc w:val="center"/>
              <w:ind w:right="520"/>
              <w:spacing w:after="0"/>
              <w:rPr>
                <w:sz w:val="20"/>
                <w:szCs w:val="20"/>
                <w:color w:val="auto"/>
              </w:rPr>
            </w:pPr>
            <w:r>
              <w:rPr>
                <w:rFonts w:ascii="Times New Roman" w:cs="Times New Roman" w:eastAsia="Times New Roman" w:hAnsi="Times New Roman"/>
                <w:sz w:val="11"/>
                <w:szCs w:val="11"/>
                <w:b w:val="1"/>
                <w:bCs w:val="1"/>
                <w:color w:val="auto"/>
              </w:rPr>
              <w:t>Translation</w:t>
            </w:r>
          </w:p>
        </w:tc>
        <w:tc>
          <w:tcPr>
            <w:tcW w:w="280" w:type="dxa"/>
            <w:vAlign w:val="bottom"/>
          </w:tcPr>
          <w:p>
            <w:pPr>
              <w:spacing w:after="0"/>
              <w:rPr>
                <w:sz w:val="11"/>
                <w:szCs w:val="11"/>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Net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Subscriber relationships</w:t>
            </w:r>
          </w:p>
        </w:tc>
        <w:tc>
          <w:tcPr>
            <w:tcW w:w="2320" w:type="dxa"/>
            <w:vAlign w:val="bottom"/>
            <w:tcBorders>
              <w:top w:val="single" w:sz="8" w:color="CFF0FC"/>
            </w:tcBorders>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43,212</w:t>
            </w:r>
          </w:p>
        </w:tc>
        <w:tc>
          <w:tcPr>
            <w:tcW w:w="24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(23,284)</w:t>
            </w:r>
          </w:p>
        </w:tc>
        <w:tc>
          <w:tcPr>
            <w:tcW w:w="240" w:type="dxa"/>
            <w:vAlign w:val="bottom"/>
            <w:tcBorders>
              <w:top w:val="single" w:sz="8" w:color="CFF0FC"/>
            </w:tcBorders>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(623)</w:t>
            </w:r>
          </w:p>
        </w:tc>
        <w:tc>
          <w:tcPr>
            <w:tcW w:w="240" w:type="dxa"/>
            <w:vAlign w:val="bottom"/>
            <w:tcBorders>
              <w:top w:val="single" w:sz="8" w:color="CFF0FC"/>
            </w:tcBorders>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19,305</w:t>
            </w:r>
          </w:p>
        </w:tc>
        <w:tc>
          <w:tcPr>
            <w:tcW w:w="100" w:type="dxa"/>
            <w:vAlign w:val="bottom"/>
            <w:tcBorders>
              <w:top w:val="single" w:sz="8" w:color="CFF0FC"/>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Non-competition agreements</w:t>
            </w:r>
          </w:p>
        </w:tc>
        <w:tc>
          <w:tcPr>
            <w:tcW w:w="2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2,560</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(2,247)</w:t>
            </w:r>
          </w:p>
        </w:tc>
        <w:tc>
          <w:tcPr>
            <w:tcW w:w="280" w:type="dxa"/>
            <w:vAlign w:val="bottom"/>
          </w:tcPr>
          <w:p>
            <w:pPr>
              <w:spacing w:after="0"/>
              <w:rPr>
                <w:sz w:val="15"/>
                <w:szCs w:val="15"/>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(28)</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Technology and other</w:t>
            </w:r>
          </w:p>
        </w:tc>
        <w:tc>
          <w:tcPr>
            <w:tcW w:w="23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5,199</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(2,012)</w:t>
            </w:r>
          </w:p>
        </w:tc>
        <w:tc>
          <w:tcPr>
            <w:tcW w:w="28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(36)</w:t>
            </w: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3,151</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6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50,971</w:t>
            </w:r>
          </w:p>
        </w:tc>
        <w:tc>
          <w:tcPr>
            <w:tcW w:w="24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(27,543)</w:t>
            </w:r>
          </w:p>
        </w:tc>
        <w:tc>
          <w:tcPr>
            <w:tcW w:w="24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(687)</w:t>
            </w:r>
          </w:p>
        </w:tc>
        <w:tc>
          <w:tcPr>
            <w:tcW w:w="24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22,741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32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14</w:t>
            </w: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366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3660" w:type="dxa"/>
            <w:vAlign w:val="bottom"/>
            <w:tcBorders>
              <w:bottom w:val="single" w:sz="8" w:color="9A9A9A"/>
            </w:tcBorders>
          </w:tcPr>
          <w:p>
            <w:pPr>
              <w:spacing w:after="0"/>
              <w:rPr>
                <w:sz w:val="7"/>
                <w:szCs w:val="7"/>
                <w:color w:val="auto"/>
              </w:rPr>
            </w:pPr>
          </w:p>
        </w:tc>
        <w:tc>
          <w:tcPr>
            <w:tcW w:w="23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-25400</wp:posOffset>
            </wp:positionV>
            <wp:extent cx="3238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-25400</wp:posOffset>
            </wp:positionV>
            <wp:extent cx="3238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480"/>
          </w:cols>
          <w:pgMar w:left="220" w:top="522" w:right="199" w:bottom="1440" w:gutter="0" w:footer="0" w:header="0"/>
        </w:sectPr>
      </w:pPr>
    </w:p>
    <w:bookmarkStart w:id="14" w:name="page15"/>
    <w:bookmarkEnd w:id="14"/>
    <w:p>
      <w:pPr>
        <w:ind w:right="280" w:firstLine="520"/>
        <w:spacing w:after="0" w:line="285" w:lineRule="auto"/>
        <w:rPr>
          <w:sz w:val="20"/>
          <w:szCs w:val="20"/>
          <w:color w:val="auto"/>
        </w:rPr>
      </w:pPr>
      <w:r>
        <w:rPr>
          <w:rFonts w:ascii="Times New Roman" w:cs="Times New Roman" w:eastAsia="Times New Roman" w:hAnsi="Times New Roman"/>
          <w:sz w:val="14"/>
          <w:szCs w:val="14"/>
          <w:color w:val="auto"/>
        </w:rPr>
        <w:t>Total amortization expense for intangible assets during the three months ended March 31, 2019 and 2018 was $1.3 million and $1.1 million, respectively. The estimated annual amortization expense related to intangible assets subject to amortization for the next five years is as follows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8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Remainder of 2019</w:t>
            </w:r>
          </w:p>
        </w:tc>
        <w:tc>
          <w:tcPr>
            <w:tcW w:w="1100" w:type="dxa"/>
            <w:vAlign w:val="bottom"/>
            <w:shd w:val="clear" w:color="auto" w:fill="CFF0FC"/>
          </w:tcPr>
          <w:p>
            <w:pPr>
              <w:jc w:val="right"/>
              <w:ind w:right="950"/>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3,793</w:t>
            </w:r>
          </w:p>
        </w:tc>
        <w:tc>
          <w:tcPr>
            <w:tcW w:w="120" w:type="dxa"/>
            <w:vAlign w:val="bottom"/>
            <w:shd w:val="clear" w:color="auto" w:fill="CFF0FC"/>
          </w:tcPr>
          <w:p>
            <w:pPr>
              <w:spacing w:after="0"/>
              <w:rPr>
                <w:sz w:val="15"/>
                <w:szCs w:val="15"/>
                <w:color w:val="auto"/>
              </w:rPr>
            </w:pPr>
          </w:p>
        </w:tc>
      </w:tr>
      <w:tr>
        <w:trPr>
          <w:trHeight w:val="180"/>
        </w:trPr>
        <w:tc>
          <w:tcPr>
            <w:tcW w:w="8820" w:type="dxa"/>
            <w:vAlign w:val="bottom"/>
          </w:tcPr>
          <w:p>
            <w:pPr>
              <w:spacing w:after="0"/>
              <w:rPr>
                <w:sz w:val="20"/>
                <w:szCs w:val="20"/>
                <w:color w:val="auto"/>
              </w:rPr>
            </w:pPr>
            <w:r>
              <w:rPr>
                <w:rFonts w:ascii="Times New Roman" w:cs="Times New Roman" w:eastAsia="Times New Roman" w:hAnsi="Times New Roman"/>
                <w:sz w:val="14"/>
                <w:szCs w:val="14"/>
                <w:color w:val="auto"/>
              </w:rPr>
              <w:t>2020</w:t>
            </w:r>
          </w:p>
        </w:tc>
        <w:tc>
          <w:tcPr>
            <w:tcW w:w="11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4,706</w:t>
            </w:r>
          </w:p>
        </w:tc>
        <w:tc>
          <w:tcPr>
            <w:tcW w:w="120" w:type="dxa"/>
            <w:vAlign w:val="bottom"/>
          </w:tcPr>
          <w:p>
            <w:pPr>
              <w:spacing w:after="0"/>
              <w:rPr>
                <w:sz w:val="15"/>
                <w:szCs w:val="15"/>
                <w:color w:val="auto"/>
              </w:rPr>
            </w:pPr>
          </w:p>
        </w:tc>
      </w:tr>
      <w:tr>
        <w:trPr>
          <w:trHeight w:val="180"/>
        </w:trPr>
        <w:tc>
          <w:tcPr>
            <w:tcW w:w="88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2021</w:t>
            </w:r>
          </w:p>
        </w:tc>
        <w:tc>
          <w:tcPr>
            <w:tcW w:w="110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3,869</w:t>
            </w:r>
          </w:p>
        </w:tc>
        <w:tc>
          <w:tcPr>
            <w:tcW w:w="120" w:type="dxa"/>
            <w:vAlign w:val="bottom"/>
            <w:shd w:val="clear" w:color="auto" w:fill="CFF0FC"/>
          </w:tcPr>
          <w:p>
            <w:pPr>
              <w:spacing w:after="0"/>
              <w:rPr>
                <w:sz w:val="15"/>
                <w:szCs w:val="15"/>
                <w:color w:val="auto"/>
              </w:rPr>
            </w:pPr>
          </w:p>
        </w:tc>
      </w:tr>
      <w:tr>
        <w:trPr>
          <w:trHeight w:val="180"/>
        </w:trPr>
        <w:tc>
          <w:tcPr>
            <w:tcW w:w="8820" w:type="dxa"/>
            <w:vAlign w:val="bottom"/>
          </w:tcPr>
          <w:p>
            <w:pPr>
              <w:spacing w:after="0"/>
              <w:rPr>
                <w:sz w:val="20"/>
                <w:szCs w:val="20"/>
                <w:color w:val="auto"/>
              </w:rPr>
            </w:pPr>
            <w:r>
              <w:rPr>
                <w:rFonts w:ascii="Times New Roman" w:cs="Times New Roman" w:eastAsia="Times New Roman" w:hAnsi="Times New Roman"/>
                <w:sz w:val="14"/>
                <w:szCs w:val="14"/>
                <w:color w:val="auto"/>
              </w:rPr>
              <w:t>2022</w:t>
            </w:r>
          </w:p>
        </w:tc>
        <w:tc>
          <w:tcPr>
            <w:tcW w:w="11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2,766</w:t>
            </w:r>
          </w:p>
        </w:tc>
        <w:tc>
          <w:tcPr>
            <w:tcW w:w="120" w:type="dxa"/>
            <w:vAlign w:val="bottom"/>
          </w:tcPr>
          <w:p>
            <w:pPr>
              <w:spacing w:after="0"/>
              <w:rPr>
                <w:sz w:val="15"/>
                <w:szCs w:val="15"/>
                <w:color w:val="auto"/>
              </w:rPr>
            </w:pPr>
          </w:p>
        </w:tc>
      </w:tr>
      <w:tr>
        <w:trPr>
          <w:trHeight w:val="180"/>
        </w:trPr>
        <w:tc>
          <w:tcPr>
            <w:tcW w:w="88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2023</w:t>
            </w:r>
          </w:p>
        </w:tc>
        <w:tc>
          <w:tcPr>
            <w:tcW w:w="110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2,691</w:t>
            </w:r>
          </w:p>
        </w:tc>
        <w:tc>
          <w:tcPr>
            <w:tcW w:w="120" w:type="dxa"/>
            <w:vAlign w:val="bottom"/>
            <w:shd w:val="clear" w:color="auto" w:fill="CFF0FC"/>
          </w:tcPr>
          <w:p>
            <w:pPr>
              <w:spacing w:after="0"/>
              <w:rPr>
                <w:sz w:val="15"/>
                <w:szCs w:val="15"/>
                <w:color w:val="auto"/>
              </w:rPr>
            </w:pPr>
          </w:p>
        </w:tc>
      </w:tr>
      <w:tr>
        <w:trPr>
          <w:trHeight w:val="180"/>
        </w:trPr>
        <w:tc>
          <w:tcPr>
            <w:tcW w:w="8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color w:val="auto"/>
              </w:rPr>
              <w:t>Thereafter</w:t>
            </w:r>
          </w:p>
        </w:tc>
        <w:tc>
          <w:tcPr>
            <w:tcW w:w="1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3,747</w:t>
            </w:r>
          </w:p>
        </w:tc>
        <w:tc>
          <w:tcPr>
            <w:tcW w:w="120" w:type="dxa"/>
            <w:vAlign w:val="bottom"/>
            <w:tcBorders>
              <w:bottom w:val="single" w:sz="8" w:color="CFF0FC"/>
            </w:tcBorders>
          </w:tcPr>
          <w:p>
            <w:pPr>
              <w:spacing w:after="0"/>
              <w:rPr>
                <w:sz w:val="15"/>
                <w:szCs w:val="15"/>
                <w:color w:val="auto"/>
              </w:rPr>
            </w:pPr>
          </w:p>
        </w:tc>
      </w:tr>
      <w:tr>
        <w:trPr>
          <w:trHeight w:val="170"/>
        </w:trPr>
        <w:tc>
          <w:tcPr>
            <w:tcW w:w="8820" w:type="dxa"/>
            <w:vAlign w:val="bottom"/>
            <w:tcBorders>
              <w:bottom w:val="single" w:sz="8" w:color="CFF0FC"/>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ind w:right="950"/>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21,572</w:t>
            </w:r>
          </w:p>
        </w:tc>
        <w:tc>
          <w:tcPr>
            <w:tcW w:w="120" w:type="dxa"/>
            <w:vAlign w:val="bottom"/>
            <w:tcBorders>
              <w:bottom w:val="single" w:sz="8" w:color="CFF0FC"/>
            </w:tcBorders>
            <w:shd w:val="clear" w:color="auto" w:fill="CFF0FC"/>
          </w:tcPr>
          <w:p>
            <w:pPr>
              <w:spacing w:after="0"/>
              <w:rPr>
                <w:sz w:val="14"/>
                <w:szCs w:val="14"/>
                <w:color w:val="auto"/>
              </w:rPr>
            </w:pPr>
          </w:p>
        </w:tc>
      </w:tr>
      <w:tr>
        <w:trPr>
          <w:trHeight w:val="20"/>
        </w:trPr>
        <w:tc>
          <w:tcPr>
            <w:tcW w:w="88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G – Other Assets</w:t>
      </w:r>
    </w:p>
    <w:p>
      <w:pPr>
        <w:spacing w:after="0" w:line="1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changes in the net amount of capitalized implementation costs for internal-use software from hosting arrangements for the period ended March 31, 2019 is as follows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7860" w:type="dxa"/>
            <w:vAlign w:val="bottom"/>
            <w:tcBorders>
              <w:bottom w:val="single" w:sz="8" w:color="CFF0FC"/>
            </w:tcBorders>
          </w:tcPr>
          <w:p>
            <w:pPr>
              <w:spacing w:after="0"/>
              <w:rPr>
                <w:sz w:val="11"/>
                <w:szCs w:val="11"/>
                <w:color w:val="auto"/>
              </w:rPr>
            </w:pPr>
          </w:p>
        </w:tc>
        <w:tc>
          <w:tcPr>
            <w:tcW w:w="280" w:type="dxa"/>
            <w:vAlign w:val="bottom"/>
            <w:tcBorders>
              <w:bottom w:val="single" w:sz="8" w:color="CFF0FC"/>
            </w:tcBorders>
          </w:tcPr>
          <w:p>
            <w:pPr>
              <w:spacing w:after="0"/>
              <w:rPr>
                <w:sz w:val="11"/>
                <w:szCs w:val="11"/>
                <w:color w:val="auto"/>
              </w:rPr>
            </w:pPr>
          </w:p>
        </w:tc>
        <w:tc>
          <w:tcPr>
            <w:tcW w:w="1280" w:type="dxa"/>
            <w:vAlign w:val="bottom"/>
            <w:tcBorders>
              <w:bottom w:val="single" w:sz="8" w:color="CFF0FC"/>
            </w:tcBorders>
          </w:tcPr>
          <w:p>
            <w:pPr>
              <w:spacing w:after="0"/>
              <w:rPr>
                <w:sz w:val="11"/>
                <w:szCs w:val="11"/>
                <w:color w:val="auto"/>
              </w:rPr>
            </w:pPr>
          </w:p>
        </w:tc>
        <w:tc>
          <w:tcPr>
            <w:tcW w:w="20" w:type="dxa"/>
            <w:vAlign w:val="bottom"/>
            <w:tcBorders>
              <w:bottom w:val="single" w:sz="8" w:color="CFF0FC"/>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1"/>
                <w:szCs w:val="11"/>
                <w:b w:val="1"/>
                <w:bCs w:val="1"/>
                <w:color w:val="auto"/>
              </w:rPr>
              <w:t>2019</w:t>
            </w: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8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Balances, at beginning of period</w:t>
            </w:r>
          </w:p>
        </w:tc>
        <w:tc>
          <w:tcPr>
            <w:tcW w:w="1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34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455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1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Capitalized implementation fees</w:t>
            </w: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255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1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Amortization of implementation fees</w:t>
            </w:r>
          </w:p>
        </w:tc>
        <w:tc>
          <w:tcPr>
            <w:tcW w:w="12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3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70"/>
        </w:trPr>
        <w:tc>
          <w:tcPr>
            <w:tcW w:w="8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Balances, at end of period</w:t>
            </w: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1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There were no impairment losses in relation to the capitalized implementation costs for the period presented.</w:t>
            </w: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8140" w:type="dxa"/>
            <w:vAlign w:val="bottom"/>
            <w:gridSpan w:val="2"/>
            <w:vMerge w:val="continue"/>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4"/>
        </w:trPr>
        <w:tc>
          <w:tcPr>
            <w:tcW w:w="8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H – Leases</w:t>
            </w: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81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We are obligated under non-cancellable operating leases, primarily for office space and certain equipment as follows (in thousands):</w:t>
            </w:r>
          </w:p>
        </w:tc>
        <w:tc>
          <w:tcPr>
            <w:tcW w:w="1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9"/>
        </w:trPr>
        <w:tc>
          <w:tcPr>
            <w:tcW w:w="78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1"/>
                <w:szCs w:val="11"/>
                <w:b w:val="1"/>
                <w:bCs w:val="1"/>
                <w:color w:val="auto"/>
              </w:rPr>
              <w:t>March 31, 2019</w:t>
            </w:r>
          </w:p>
        </w:tc>
        <w:tc>
          <w:tcPr>
            <w:tcW w:w="12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7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960" w:type="dxa"/>
            <w:vAlign w:val="bottom"/>
            <w:gridSpan w:val="4"/>
          </w:tcPr>
          <w:p>
            <w:pPr>
              <w:jc w:val="center"/>
              <w:ind w:right="890"/>
              <w:spacing w:after="0" w:line="109" w:lineRule="exact"/>
              <w:rPr>
                <w:sz w:val="20"/>
                <w:szCs w:val="20"/>
                <w:color w:val="auto"/>
              </w:rPr>
            </w:pPr>
            <w:r>
              <w:rPr>
                <w:rFonts w:ascii="Times New Roman" w:cs="Times New Roman" w:eastAsia="Times New Roman" w:hAnsi="Times New Roman"/>
                <w:sz w:val="11"/>
                <w:szCs w:val="11"/>
                <w:b w:val="1"/>
                <w:bCs w:val="1"/>
                <w:color w:val="auto"/>
              </w:rPr>
              <w:t>Remaining</w:t>
            </w:r>
          </w:p>
        </w:tc>
        <w:tc>
          <w:tcPr>
            <w:tcW w:w="1240" w:type="dxa"/>
            <w:vAlign w:val="bottom"/>
          </w:tcPr>
          <w:p>
            <w:pPr>
              <w:jc w:val="right"/>
              <w:ind w:right="413"/>
              <w:spacing w:after="0" w:line="109" w:lineRule="exact"/>
              <w:rPr>
                <w:sz w:val="20"/>
                <w:szCs w:val="20"/>
                <w:color w:val="auto"/>
              </w:rPr>
            </w:pPr>
            <w:r>
              <w:rPr>
                <w:rFonts w:ascii="Times New Roman" w:cs="Times New Roman" w:eastAsia="Times New Roman" w:hAnsi="Times New Roman"/>
                <w:sz w:val="11"/>
                <w:szCs w:val="11"/>
                <w:b w:val="1"/>
                <w:bCs w:val="1"/>
                <w:color w:val="auto"/>
              </w:rPr>
              <w:t>Right-of-Use</w:t>
            </w: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7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960" w:type="dxa"/>
            <w:vAlign w:val="bottom"/>
            <w:gridSpan w:val="4"/>
          </w:tcPr>
          <w:p>
            <w:pPr>
              <w:jc w:val="center"/>
              <w:ind w:right="910"/>
              <w:spacing w:after="0"/>
              <w:rPr>
                <w:sz w:val="20"/>
                <w:szCs w:val="20"/>
                <w:color w:val="auto"/>
              </w:rPr>
            </w:pPr>
            <w:r>
              <w:rPr>
                <w:rFonts w:ascii="Times New Roman" w:cs="Times New Roman" w:eastAsia="Times New Roman" w:hAnsi="Times New Roman"/>
                <w:sz w:val="11"/>
                <w:szCs w:val="11"/>
                <w:b w:val="1"/>
                <w:bCs w:val="1"/>
                <w:color w:val="auto"/>
              </w:rPr>
              <w:t>Term (years)</w:t>
            </w:r>
          </w:p>
        </w:tc>
        <w:tc>
          <w:tcPr>
            <w:tcW w:w="1360" w:type="dxa"/>
            <w:vAlign w:val="bottom"/>
            <w:gridSpan w:val="3"/>
          </w:tcPr>
          <w:p>
            <w:pPr>
              <w:jc w:val="right"/>
              <w:ind w:right="780"/>
              <w:spacing w:after="0"/>
              <w:rPr>
                <w:sz w:val="20"/>
                <w:szCs w:val="20"/>
                <w:color w:val="auto"/>
              </w:rPr>
            </w:pPr>
            <w:r>
              <w:rPr>
                <w:rFonts w:ascii="Times New Roman" w:cs="Times New Roman" w:eastAsia="Times New Roman" w:hAnsi="Times New Roman"/>
                <w:sz w:val="11"/>
                <w:szCs w:val="11"/>
                <w:b w:val="1"/>
                <w:bCs w:val="1"/>
                <w:color w:val="auto"/>
              </w:rPr>
              <w:t>Asset</w:t>
            </w:r>
          </w:p>
        </w:tc>
        <w:tc>
          <w:tcPr>
            <w:tcW w:w="0" w:type="dxa"/>
            <w:vAlign w:val="bottom"/>
          </w:tcPr>
          <w:p>
            <w:pPr>
              <w:spacing w:after="0"/>
              <w:rPr>
                <w:sz w:val="1"/>
                <w:szCs w:val="1"/>
                <w:color w:val="auto"/>
              </w:rPr>
            </w:pPr>
          </w:p>
        </w:tc>
      </w:tr>
      <w:tr>
        <w:trPr>
          <w:trHeight w:val="170"/>
        </w:trPr>
        <w:tc>
          <w:tcPr>
            <w:tcW w:w="7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Minneapolis, MN lease</w:t>
            </w:r>
          </w:p>
        </w:tc>
        <w:tc>
          <w:tcPr>
            <w:tcW w:w="280" w:type="dxa"/>
            <w:vAlign w:val="bottom"/>
            <w:tcBorders>
              <w:top w:val="single" w:sz="8" w:color="auto"/>
            </w:tcBorders>
            <w:shd w:val="clear" w:color="auto" w:fill="CFF0FC"/>
          </w:tcPr>
          <w:p>
            <w:pPr>
              <w:spacing w:after="0"/>
              <w:rPr>
                <w:sz w:val="14"/>
                <w:szCs w:val="14"/>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 w:type="dxa"/>
            <w:vAlign w:val="bottom"/>
            <w:tcBorders>
              <w:top w:val="single" w:sz="8" w:color="CFF0FC"/>
            </w:tcBorders>
            <w:shd w:val="clear" w:color="auto" w:fill="CFF0FC"/>
          </w:tcPr>
          <w:p>
            <w:pPr>
              <w:spacing w:after="0"/>
              <w:rPr>
                <w:sz w:val="14"/>
                <w:szCs w:val="14"/>
                <w:color w:val="auto"/>
              </w:rPr>
            </w:pPr>
          </w:p>
        </w:tc>
        <w:tc>
          <w:tcPr>
            <w:tcW w:w="340" w:type="dxa"/>
            <w:vAlign w:val="bottom"/>
            <w:tcBorders>
              <w:top w:val="single" w:sz="8" w:color="CFF0FC"/>
            </w:tcBorders>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11,817</w:t>
            </w:r>
          </w:p>
        </w:tc>
        <w:tc>
          <w:tcPr>
            <w:tcW w:w="2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Little Falls, NJ lease</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leases</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1,548</w:t>
            </w: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7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0" w:type="dxa"/>
            <w:vAlign w:val="bottom"/>
            <w:gridSpan w:val="2"/>
          </w:tcPr>
          <w:p>
            <w:pPr>
              <w:spacing w:after="0"/>
              <w:rPr>
                <w:sz w:val="14"/>
                <w:szCs w:val="14"/>
                <w:color w:val="auto"/>
              </w:rPr>
            </w:pPr>
          </w:p>
        </w:tc>
        <w:tc>
          <w:tcPr>
            <w:tcW w:w="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15,234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jc w:val="both"/>
        <w:ind w:right="40" w:firstLine="520"/>
        <w:spacing w:after="0" w:line="285" w:lineRule="auto"/>
        <w:rPr>
          <w:sz w:val="20"/>
          <w:szCs w:val="20"/>
          <w:color w:val="auto"/>
        </w:rPr>
      </w:pPr>
      <w:r>
        <w:rPr>
          <w:rFonts w:ascii="Times New Roman" w:cs="Times New Roman" w:eastAsia="Times New Roman" w:hAnsi="Times New Roman"/>
          <w:sz w:val="14"/>
          <w:szCs w:val="14"/>
          <w:color w:val="auto"/>
        </w:rPr>
        <w:t>Some of our leases may include options to extend the leases for up to 5 years. The options to extend our leases are not recognized as part of our right-of-use assets and lease liabilities as it is not reasonably certain that we will exercise those options. Additionally, our agreements do not include options to terminate the leases.</w:t>
      </w:r>
    </w:p>
    <w:p>
      <w:pPr>
        <w:spacing w:after="0" w:line="125" w:lineRule="exact"/>
        <w:rPr>
          <w:sz w:val="20"/>
          <w:szCs w:val="20"/>
          <w:color w:val="auto"/>
        </w:rPr>
      </w:pPr>
    </w:p>
    <w:p>
      <w:pPr>
        <w:ind w:right="40" w:firstLine="520"/>
        <w:spacing w:after="0" w:line="263" w:lineRule="auto"/>
        <w:rPr>
          <w:sz w:val="20"/>
          <w:szCs w:val="20"/>
          <w:color w:val="auto"/>
        </w:rPr>
      </w:pPr>
      <w:r>
        <w:rPr>
          <w:rFonts w:ascii="Times New Roman" w:cs="Times New Roman" w:eastAsia="Times New Roman" w:hAnsi="Times New Roman"/>
          <w:sz w:val="14"/>
          <w:szCs w:val="14"/>
          <w:color w:val="auto"/>
        </w:rPr>
        <w:t>On December 20, 2017, we executed the fourth amendment to our lease agreement for our current headquarters located in Minneapolis, Minnesota where we lease approximately 189,000 square feet under an agreement that expires on April 30, 2025. We have agreed to expand our headquarters premises by approximately 25,000 square feet during 2020. Our lease agreement also includes a further expansion right and a right of first offer to lease certain additional space and two options to extend the term of the lease for five years at a market rate determined in accordance with the lease. Incentives of $6.4 million are included as a lease component.</w:t>
      </w:r>
    </w:p>
    <w:p>
      <w:pPr>
        <w:spacing w:after="0" w:line="139" w:lineRule="exact"/>
        <w:rPr>
          <w:sz w:val="20"/>
          <w:szCs w:val="20"/>
          <w:color w:val="auto"/>
        </w:rPr>
      </w:pPr>
    </w:p>
    <w:p>
      <w:pPr>
        <w:ind w:right="220" w:firstLine="520"/>
        <w:spacing w:after="0" w:line="268" w:lineRule="auto"/>
        <w:rPr>
          <w:sz w:val="20"/>
          <w:szCs w:val="20"/>
          <w:color w:val="auto"/>
        </w:rPr>
      </w:pPr>
      <w:r>
        <w:rPr>
          <w:rFonts w:ascii="Times New Roman" w:cs="Times New Roman" w:eastAsia="Times New Roman" w:hAnsi="Times New Roman"/>
          <w:sz w:val="14"/>
          <w:szCs w:val="14"/>
          <w:color w:val="auto"/>
        </w:rPr>
        <w:t>On February 25, 2016, we executed the first amendment to our lease agreement for our Little Falls, New Jersey location where we lease approximately 26,000 square feet under an agreement that expires on June 30, 2023. The agreement includes an option to extend the term of the lease for five years at a market rate determined in accordance with the lease. Incentives of $0.9 million are included as a lease component.</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55245</wp:posOffset>
            </wp:positionV>
            <wp:extent cx="731520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5200" cy="38735"/>
                    </a:xfrm>
                    <a:prstGeom prst="rect">
                      <a:avLst/>
                    </a:prstGeom>
                    <a:noFill/>
                  </pic:spPr>
                </pic:pic>
              </a:graphicData>
            </a:graphic>
          </wp:anchor>
        </w:drawing>
      </w:r>
    </w:p>
    <w:p>
      <w:pPr>
        <w:sectPr>
          <w:pgSz w:w="11900" w:h="16838" w:orient="portrait"/>
          <w:cols w:equalWidth="0" w:num="1">
            <w:col w:w="11460"/>
          </w:cols>
          <w:pgMar w:left="220" w:top="304" w:right="219" w:bottom="1440" w:gutter="0" w:footer="0" w:header="0"/>
        </w:sectPr>
      </w:pPr>
    </w:p>
    <w:bookmarkStart w:id="15" w:name="page16"/>
    <w:bookmarkEnd w:id="15"/>
    <w:p>
      <w:pPr>
        <w:ind w:left="520"/>
        <w:spacing w:after="0"/>
        <w:rPr>
          <w:sz w:val="20"/>
          <w:szCs w:val="20"/>
          <w:color w:val="auto"/>
        </w:rPr>
      </w:pPr>
      <w:r>
        <w:rPr>
          <w:rFonts w:ascii="Times New Roman" w:cs="Times New Roman" w:eastAsia="Times New Roman" w:hAnsi="Times New Roman"/>
          <w:sz w:val="14"/>
          <w:szCs w:val="14"/>
          <w:color w:val="auto"/>
        </w:rPr>
        <w:t>The components of lease expense were as follows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8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20" w:type="dxa"/>
            <w:vAlign w:val="bottom"/>
            <w:gridSpan w:val="2"/>
          </w:tcPr>
          <w:p>
            <w:pPr>
              <w:jc w:val="center"/>
              <w:ind w:right="540"/>
              <w:spacing w:after="0"/>
              <w:rPr>
                <w:sz w:val="20"/>
                <w:szCs w:val="20"/>
                <w:color w:val="auto"/>
              </w:rPr>
            </w:pPr>
            <w:r>
              <w:rPr>
                <w:rFonts w:ascii="Times New Roman" w:cs="Times New Roman" w:eastAsia="Times New Roman" w:hAnsi="Times New Roman"/>
                <w:sz w:val="11"/>
                <w:szCs w:val="11"/>
                <w:b w:val="1"/>
                <w:bCs w:val="1"/>
                <w:color w:val="auto"/>
              </w:rPr>
              <w:t>Three Months Ended</w:t>
            </w:r>
          </w:p>
        </w:tc>
      </w:tr>
      <w:tr>
        <w:trPr>
          <w:trHeight w:val="177"/>
        </w:trPr>
        <w:tc>
          <w:tcPr>
            <w:tcW w:w="8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20" w:type="dxa"/>
            <w:vAlign w:val="bottom"/>
            <w:gridSpan w:val="2"/>
          </w:tcPr>
          <w:p>
            <w:pPr>
              <w:jc w:val="center"/>
              <w:ind w:right="540"/>
              <w:spacing w:after="0"/>
              <w:rPr>
                <w:sz w:val="20"/>
                <w:szCs w:val="20"/>
                <w:color w:val="auto"/>
              </w:rPr>
            </w:pPr>
            <w:r>
              <w:rPr>
                <w:rFonts w:ascii="Times New Roman" w:cs="Times New Roman" w:eastAsia="Times New Roman" w:hAnsi="Times New Roman"/>
                <w:sz w:val="11"/>
                <w:szCs w:val="11"/>
                <w:b w:val="1"/>
                <w:bCs w:val="1"/>
                <w:color w:val="auto"/>
                <w:w w:val="99"/>
              </w:rPr>
              <w:t>March 31,</w:t>
            </w:r>
          </w:p>
        </w:tc>
      </w:tr>
      <w:tr>
        <w:trPr>
          <w:trHeight w:val="181"/>
        </w:trPr>
        <w:tc>
          <w:tcPr>
            <w:tcW w:w="8820" w:type="dxa"/>
            <w:vAlign w:val="bottom"/>
            <w:tcBorders>
              <w:bottom w:val="single" w:sz="8" w:color="CFF0FC"/>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2100" w:type="dxa"/>
            <w:vAlign w:val="bottom"/>
            <w:tcBorders>
              <w:top w:val="single" w:sz="8" w:color="auto"/>
              <w:bottom w:val="single" w:sz="8" w:color="auto"/>
            </w:tcBorders>
          </w:tcPr>
          <w:p>
            <w:pPr>
              <w:jc w:val="center"/>
              <w:ind w:right="357"/>
              <w:spacing w:after="0"/>
              <w:rPr>
                <w:sz w:val="20"/>
                <w:szCs w:val="20"/>
                <w:color w:val="auto"/>
              </w:rPr>
            </w:pPr>
            <w:r>
              <w:rPr>
                <w:rFonts w:ascii="Times New Roman" w:cs="Times New Roman" w:eastAsia="Times New Roman" w:hAnsi="Times New Roman"/>
                <w:sz w:val="11"/>
                <w:szCs w:val="11"/>
                <w:b w:val="1"/>
                <w:bCs w:val="1"/>
                <w:color w:val="auto"/>
              </w:rPr>
              <w:t>2019</w:t>
            </w:r>
          </w:p>
        </w:tc>
        <w:tc>
          <w:tcPr>
            <w:tcW w:w="120" w:type="dxa"/>
            <w:vAlign w:val="bottom"/>
            <w:tcBorders>
              <w:bottom w:val="single" w:sz="8" w:color="CFF0FC"/>
            </w:tcBorders>
          </w:tcPr>
          <w:p>
            <w:pPr>
              <w:spacing w:after="0"/>
              <w:rPr>
                <w:sz w:val="15"/>
                <w:szCs w:val="15"/>
                <w:color w:val="auto"/>
              </w:rPr>
            </w:pPr>
          </w:p>
        </w:tc>
      </w:tr>
      <w:tr>
        <w:trPr>
          <w:trHeight w:val="170"/>
        </w:trPr>
        <w:tc>
          <w:tcPr>
            <w:tcW w:w="88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 lease cost</w:t>
            </w:r>
          </w:p>
        </w:tc>
        <w:tc>
          <w:tcPr>
            <w:tcW w:w="42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120" w:type="dxa"/>
            <w:vAlign w:val="bottom"/>
            <w:shd w:val="clear" w:color="auto" w:fill="CFF0FC"/>
          </w:tcPr>
          <w:p>
            <w:pPr>
              <w:spacing w:after="0"/>
              <w:rPr>
                <w:sz w:val="14"/>
                <w:szCs w:val="14"/>
                <w:color w:val="auto"/>
              </w:rPr>
            </w:pPr>
          </w:p>
        </w:tc>
      </w:tr>
      <w:tr>
        <w:trPr>
          <w:trHeight w:val="180"/>
        </w:trPr>
        <w:tc>
          <w:tcPr>
            <w:tcW w:w="8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color w:val="auto"/>
              </w:rPr>
              <w:t>Variable lease cost</w:t>
            </w:r>
          </w:p>
        </w:tc>
        <w:tc>
          <w:tcPr>
            <w:tcW w:w="4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804</w:t>
            </w:r>
          </w:p>
        </w:tc>
        <w:tc>
          <w:tcPr>
            <w:tcW w:w="120" w:type="dxa"/>
            <w:vAlign w:val="bottom"/>
            <w:tcBorders>
              <w:bottom w:val="single" w:sz="8" w:color="CFF0FC"/>
            </w:tcBorders>
          </w:tcPr>
          <w:p>
            <w:pPr>
              <w:spacing w:after="0"/>
              <w:rPr>
                <w:sz w:val="15"/>
                <w:szCs w:val="15"/>
                <w:color w:val="auto"/>
              </w:rPr>
            </w:pPr>
          </w:p>
        </w:tc>
      </w:tr>
      <w:tr>
        <w:trPr>
          <w:trHeight w:val="170"/>
        </w:trPr>
        <w:tc>
          <w:tcPr>
            <w:tcW w:w="8820" w:type="dxa"/>
            <w:vAlign w:val="bottom"/>
            <w:tcBorders>
              <w:bottom w:val="single" w:sz="8" w:color="CFF0FC"/>
            </w:tcBorders>
            <w:shd w:val="clear" w:color="auto" w:fill="CFF0FC"/>
          </w:tcPr>
          <w:p>
            <w:pPr>
              <w:spacing w:after="0"/>
              <w:rPr>
                <w:sz w:val="14"/>
                <w:szCs w:val="14"/>
                <w:color w:val="auto"/>
              </w:rPr>
            </w:pPr>
          </w:p>
        </w:tc>
        <w:tc>
          <w:tcPr>
            <w:tcW w:w="42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1,490</w:t>
            </w:r>
          </w:p>
        </w:tc>
        <w:tc>
          <w:tcPr>
            <w:tcW w:w="120" w:type="dxa"/>
            <w:vAlign w:val="bottom"/>
            <w:tcBorders>
              <w:bottom w:val="single" w:sz="8" w:color="CFF0FC"/>
            </w:tcBorders>
            <w:shd w:val="clear" w:color="auto" w:fill="CFF0FC"/>
          </w:tcPr>
          <w:p>
            <w:pPr>
              <w:spacing w:after="0"/>
              <w:rPr>
                <w:sz w:val="14"/>
                <w:szCs w:val="14"/>
                <w:color w:val="auto"/>
              </w:rPr>
            </w:pPr>
          </w:p>
        </w:tc>
      </w:tr>
      <w:tr>
        <w:trPr>
          <w:trHeight w:val="20"/>
        </w:trPr>
        <w:tc>
          <w:tcPr>
            <w:tcW w:w="88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6" w:lineRule="exact"/>
        <w:rPr>
          <w:sz w:val="20"/>
          <w:szCs w:val="20"/>
          <w:color w:val="auto"/>
        </w:rPr>
      </w:pPr>
    </w:p>
    <w:p>
      <w:pPr>
        <w:sectPr>
          <w:pgSz w:w="11900" w:h="16838" w:orient="portrait"/>
          <w:cols w:equalWidth="0" w:num="1">
            <w:col w:w="11460"/>
          </w:cols>
          <w:pgMar w:left="220" w:top="473" w:right="219" w:bottom="1440" w:gutter="0" w:footer="0" w:header="0"/>
        </w:sectPr>
      </w:pPr>
    </w:p>
    <w:p>
      <w:pPr>
        <w:ind w:left="520"/>
        <w:spacing w:after="0"/>
        <w:rPr>
          <w:sz w:val="20"/>
          <w:szCs w:val="20"/>
          <w:color w:val="auto"/>
        </w:rPr>
      </w:pPr>
      <w:r>
        <w:rPr>
          <w:rFonts w:ascii="Times New Roman" w:cs="Times New Roman" w:eastAsia="Times New Roman" w:hAnsi="Times New Roman"/>
          <w:sz w:val="14"/>
          <w:szCs w:val="14"/>
          <w:color w:val="auto"/>
        </w:rPr>
        <w:t>Operating lease cost for short-term leases was not material for the three months ended March 31, 2019.</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Other information related to leases was as follows (in thousands, except lease term and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490855</wp:posOffset>
            </wp:positionV>
            <wp:extent cx="7276465" cy="1206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120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Operating cash flows from operating leases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Right-of-use assets obtained in exchange for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-101600</wp:posOffset>
            </wp:positionV>
            <wp:extent cx="7276465" cy="1143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6465" cy="1143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Weighted-average remaining lease term - operating leases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Weighted-average discount rate -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-101600</wp:posOffset>
            </wp:positionV>
            <wp:extent cx="7276465" cy="1143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114300"/>
                    </a:xfrm>
                    <a:prstGeom prst="rect">
                      <a:avLst/>
                    </a:prstGeom>
                    <a:noFill/>
                  </pic:spPr>
                </pic:pic>
              </a:graphicData>
            </a:graphic>
          </wp:anchor>
        </w:drawing>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right-of-use assets obtained in exchange for operating lease liabilities excludes the transition amount of $15.7 million.</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At March 31, 2019, our future minimum payments under operating leases were as follows (in thousands):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Remainder of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-99060</wp:posOffset>
            </wp:positionV>
            <wp:extent cx="7276465" cy="1143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6465" cy="11430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2020</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-101600</wp:posOffset>
            </wp:positionV>
            <wp:extent cx="7276465" cy="1143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1143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2022</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-101600</wp:posOffset>
            </wp:positionV>
            <wp:extent cx="7276465" cy="1143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6465" cy="1143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1206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12065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Less: imputed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276465" cy="1276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6465" cy="12763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I – Stock-Based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Three Months Ended</w:t>
      </w:r>
    </w:p>
    <w:p>
      <w:pPr>
        <w:spacing w:after="0" w:line="6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5715</wp:posOffset>
            </wp:positionV>
            <wp:extent cx="1689735"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89735" cy="6985"/>
                    </a:xfrm>
                    <a:prstGeom prst="rect">
                      <a:avLst/>
                    </a:prstGeom>
                    <a:noFill/>
                  </pic:spPr>
                </pic:pic>
              </a:graphicData>
            </a:graphic>
          </wp:anchor>
        </w:drawing>
      </w:r>
    </w:p>
    <w:p>
      <w:pPr>
        <w:spacing w:after="0" w:line="5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1"/>
          <w:szCs w:val="11"/>
          <w:b w:val="1"/>
          <w:bCs w:val="1"/>
          <w:color w:val="auto"/>
        </w:rPr>
        <w:t>2019</w:t>
      </w:r>
    </w:p>
    <w:p>
      <w:pPr>
        <w:spacing w:after="0" w:line="195"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4"/>
          <w:szCs w:val="14"/>
          <w:color w:val="auto"/>
        </w:rPr>
        <w:t>1,033</w:t>
      </w:r>
    </w:p>
    <w:p>
      <w:pPr>
        <w:spacing w:after="0" w:line="22"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4"/>
          <w:szCs w:val="14"/>
          <w:color w:val="auto"/>
        </w:rPr>
        <w:t>—</w:t>
      </w:r>
    </w:p>
    <w:p>
      <w:pPr>
        <w:spacing w:after="0" w:line="19"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4"/>
          <w:szCs w:val="14"/>
          <w:color w:val="auto"/>
        </w:rPr>
        <w:t>5.5 years</w:t>
      </w:r>
    </w:p>
    <w:p>
      <w:pPr>
        <w:spacing w:after="0" w:line="1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auto"/>
        </w:rPr>
        <w:t>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12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3,289</w:t>
            </w:r>
          </w:p>
        </w:tc>
        <w:tc>
          <w:tcPr>
            <w:tcW w:w="60" w:type="dxa"/>
            <w:vAlign w:val="bottom"/>
          </w:tcPr>
          <w:p>
            <w:pPr>
              <w:spacing w:after="0"/>
              <w:rPr>
                <w:sz w:val="15"/>
                <w:szCs w:val="15"/>
                <w:color w:val="auto"/>
              </w:rPr>
            </w:pPr>
          </w:p>
        </w:tc>
      </w:tr>
      <w:tr>
        <w:trPr>
          <w:trHeight w:val="180"/>
        </w:trPr>
        <w:tc>
          <w:tcPr>
            <w:tcW w:w="11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3,647</w:t>
            </w:r>
          </w:p>
        </w:tc>
        <w:tc>
          <w:tcPr>
            <w:tcW w:w="60" w:type="dxa"/>
            <w:vAlign w:val="bottom"/>
          </w:tcPr>
          <w:p>
            <w:pPr>
              <w:spacing w:after="0"/>
              <w:rPr>
                <w:sz w:val="15"/>
                <w:szCs w:val="15"/>
                <w:color w:val="auto"/>
              </w:rPr>
            </w:pPr>
          </w:p>
        </w:tc>
      </w:tr>
      <w:tr>
        <w:trPr>
          <w:trHeight w:val="180"/>
        </w:trPr>
        <w:tc>
          <w:tcPr>
            <w:tcW w:w="11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4,491</w:t>
            </w:r>
          </w:p>
        </w:tc>
        <w:tc>
          <w:tcPr>
            <w:tcW w:w="60" w:type="dxa"/>
            <w:vAlign w:val="bottom"/>
          </w:tcPr>
          <w:p>
            <w:pPr>
              <w:spacing w:after="0"/>
              <w:rPr>
                <w:sz w:val="15"/>
                <w:szCs w:val="15"/>
                <w:color w:val="auto"/>
              </w:rPr>
            </w:pPr>
          </w:p>
        </w:tc>
      </w:tr>
      <w:tr>
        <w:trPr>
          <w:trHeight w:val="180"/>
        </w:trPr>
        <w:tc>
          <w:tcPr>
            <w:tcW w:w="11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4,042</w:t>
            </w:r>
          </w:p>
        </w:tc>
        <w:tc>
          <w:tcPr>
            <w:tcW w:w="60" w:type="dxa"/>
            <w:vAlign w:val="bottom"/>
          </w:tcPr>
          <w:p>
            <w:pPr>
              <w:spacing w:after="0"/>
              <w:rPr>
                <w:sz w:val="15"/>
                <w:szCs w:val="15"/>
                <w:color w:val="auto"/>
              </w:rPr>
            </w:pPr>
          </w:p>
        </w:tc>
      </w:tr>
      <w:tr>
        <w:trPr>
          <w:trHeight w:val="180"/>
        </w:trPr>
        <w:tc>
          <w:tcPr>
            <w:tcW w:w="11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3,855</w:t>
            </w:r>
          </w:p>
        </w:tc>
        <w:tc>
          <w:tcPr>
            <w:tcW w:w="60" w:type="dxa"/>
            <w:vAlign w:val="bottom"/>
          </w:tcPr>
          <w:p>
            <w:pPr>
              <w:spacing w:after="0"/>
              <w:rPr>
                <w:sz w:val="15"/>
                <w:szCs w:val="15"/>
                <w:color w:val="auto"/>
              </w:rPr>
            </w:pPr>
          </w:p>
        </w:tc>
      </w:tr>
      <w:tr>
        <w:trPr>
          <w:trHeight w:val="184"/>
        </w:trPr>
        <w:tc>
          <w:tcPr>
            <w:tcW w:w="1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4,817</w:t>
            </w:r>
          </w:p>
        </w:tc>
        <w:tc>
          <w:tcPr>
            <w:tcW w:w="60" w:type="dxa"/>
            <w:vAlign w:val="bottom"/>
          </w:tcPr>
          <w:p>
            <w:pPr>
              <w:spacing w:after="0"/>
              <w:rPr>
                <w:sz w:val="15"/>
                <w:szCs w:val="15"/>
                <w:color w:val="auto"/>
              </w:rPr>
            </w:pPr>
          </w:p>
        </w:tc>
      </w:tr>
      <w:tr>
        <w:trPr>
          <w:trHeight w:val="166"/>
        </w:trPr>
        <w:tc>
          <w:tcPr>
            <w:tcW w:w="1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24,141</w:t>
            </w:r>
          </w:p>
        </w:tc>
        <w:tc>
          <w:tcPr>
            <w:tcW w:w="60" w:type="dxa"/>
            <w:vAlign w:val="bottom"/>
          </w:tcPr>
          <w:p>
            <w:pPr>
              <w:spacing w:after="0"/>
              <w:rPr>
                <w:sz w:val="14"/>
                <w:szCs w:val="14"/>
                <w:color w:val="auto"/>
              </w:rPr>
            </w:pPr>
          </w:p>
        </w:tc>
      </w:tr>
      <w:tr>
        <w:trPr>
          <w:trHeight w:val="184"/>
        </w:trPr>
        <w:tc>
          <w:tcPr>
            <w:tcW w:w="112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(2,909)</w:t>
            </w:r>
          </w:p>
        </w:tc>
      </w:tr>
      <w:tr>
        <w:trPr>
          <w:trHeight w:val="170"/>
        </w:trPr>
        <w:tc>
          <w:tcPr>
            <w:tcW w:w="1120" w:type="dxa"/>
            <w:vAlign w:val="bottom"/>
            <w:tcBorders>
              <w:top w:val="single" w:sz="8" w:color="auto"/>
              <w:bottom w:val="single" w:sz="8" w:color="auto"/>
            </w:tcBorders>
          </w:tcPr>
          <w:p>
            <w:pPr>
              <w:jc w:val="right"/>
              <w:ind w:right="970"/>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21,232</w:t>
            </w:r>
          </w:p>
        </w:tc>
        <w:tc>
          <w:tcPr>
            <w:tcW w:w="60" w:type="dxa"/>
            <w:vAlign w:val="bottom"/>
          </w:tcPr>
          <w:p>
            <w:pPr>
              <w:spacing w:after="0"/>
              <w:rPr>
                <w:sz w:val="14"/>
                <w:szCs w:val="14"/>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523" w:lineRule="exact"/>
        <w:rPr>
          <w:sz w:val="20"/>
          <w:szCs w:val="20"/>
          <w:color w:val="auto"/>
        </w:rPr>
      </w:pPr>
    </w:p>
    <w:p>
      <w:pPr>
        <w:sectPr>
          <w:pgSz w:w="11900" w:h="16838" w:orient="portrait"/>
          <w:cols w:equalWidth="0" w:num="2">
            <w:col w:w="8100" w:space="720"/>
            <w:col w:w="2640"/>
          </w:cols>
          <w:pgMar w:left="220" w:top="473" w:right="219" w:bottom="1440" w:gutter="0" w:footer="0" w:header="0"/>
          <w:type w:val="continuous"/>
        </w:sectPr>
      </w:pPr>
    </w:p>
    <w:p>
      <w:pPr>
        <w:ind w:right="220" w:firstLine="520"/>
        <w:spacing w:after="0" w:line="268" w:lineRule="auto"/>
        <w:rPr>
          <w:sz w:val="20"/>
          <w:szCs w:val="20"/>
          <w:color w:val="auto"/>
        </w:rPr>
      </w:pPr>
      <w:r>
        <w:rPr>
          <w:rFonts w:ascii="Times New Roman" w:cs="Times New Roman" w:eastAsia="Times New Roman" w:hAnsi="Times New Roman"/>
          <w:sz w:val="14"/>
          <w:szCs w:val="14"/>
          <w:color w:val="auto"/>
        </w:rPr>
        <w:t>Our equity compensation plans provide for the grant of incentive and nonqualified stock options, as well as other stock-based awards including restricted stock and restricted stock units (“RSU”), to employees, non-employee directors and other consultants who provide services to us. For other stock-based awards, new shares are issued when the award is exercised, vested or released according to the terms of the agreement.</w:t>
      </w:r>
    </w:p>
    <w:p>
      <w:pPr>
        <w:spacing w:after="0" w:line="137" w:lineRule="exact"/>
        <w:rPr>
          <w:sz w:val="20"/>
          <w:szCs w:val="20"/>
          <w:color w:val="auto"/>
        </w:rPr>
      </w:pPr>
    </w:p>
    <w:p>
      <w:pPr>
        <w:jc w:val="both"/>
        <w:ind w:right="100" w:firstLine="520"/>
        <w:spacing w:after="0" w:line="268" w:lineRule="auto"/>
        <w:rPr>
          <w:sz w:val="20"/>
          <w:szCs w:val="20"/>
          <w:color w:val="auto"/>
        </w:rPr>
      </w:pPr>
      <w:r>
        <w:rPr>
          <w:rFonts w:ascii="Times New Roman" w:cs="Times New Roman" w:eastAsia="Times New Roman" w:hAnsi="Times New Roman"/>
          <w:sz w:val="14"/>
          <w:szCs w:val="14"/>
          <w:color w:val="auto"/>
        </w:rPr>
        <w:t>Restricted stock awards result in the issuance of new shares when granted. For other stock-based awards, new shares are issued when the award is exercised, vested or released according to the terms of the agreement. In February 2019, 1,040,744 additional shares were reserved for future issuance under our 2010 Equity Incentive Plan. At March 31, 2019, there were approximately 6,195,941 million shares available for grant under approved equity compensation plans.</w:t>
      </w:r>
    </w:p>
    <w:p>
      <w:pPr>
        <w:spacing w:after="0" w:line="137" w:lineRule="exact"/>
        <w:rPr>
          <w:sz w:val="20"/>
          <w:szCs w:val="20"/>
          <w:color w:val="auto"/>
        </w:rPr>
      </w:pPr>
    </w:p>
    <w:p>
      <w:pPr>
        <w:ind w:right="180" w:firstLine="520"/>
        <w:spacing w:after="0" w:line="285" w:lineRule="auto"/>
        <w:rPr>
          <w:sz w:val="20"/>
          <w:szCs w:val="20"/>
          <w:color w:val="auto"/>
        </w:rPr>
      </w:pPr>
      <w:r>
        <w:rPr>
          <w:rFonts w:ascii="Times New Roman" w:cs="Times New Roman" w:eastAsia="Times New Roman" w:hAnsi="Times New Roman"/>
          <w:sz w:val="14"/>
          <w:szCs w:val="14"/>
          <w:color w:val="auto"/>
        </w:rPr>
        <w:t>We recognize stock-based compensation expense on a straight-line basis over the vesting period, except for expense relating to retirement-eligible employees which is recognized immediately upon the employee becoming retirement-eligible.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55245</wp:posOffset>
            </wp:positionV>
            <wp:extent cx="731520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15200" cy="38735"/>
                    </a:xfrm>
                    <a:prstGeom prst="rect">
                      <a:avLst/>
                    </a:prstGeom>
                    <a:noFill/>
                  </pic:spPr>
                </pic:pic>
              </a:graphicData>
            </a:graphic>
          </wp:anchor>
        </w:drawing>
      </w:r>
    </w:p>
    <w:p>
      <w:pPr>
        <w:sectPr>
          <w:pgSz w:w="11900" w:h="16838" w:orient="portrait"/>
          <w:cols w:equalWidth="0" w:num="1">
            <w:col w:w="11460"/>
          </w:cols>
          <w:pgMar w:left="220" w:top="473" w:right="219" w:bottom="1440" w:gutter="0" w:footer="0" w:header="0"/>
          <w:type w:val="continuous"/>
        </w:sectPr>
      </w:pPr>
    </w:p>
    <w:bookmarkStart w:id="16" w:name="page17"/>
    <w:bookmarkEnd w:id="16"/>
    <w:p>
      <w:pPr>
        <w:ind w:left="520"/>
        <w:spacing w:after="0"/>
        <w:rPr>
          <w:sz w:val="20"/>
          <w:szCs w:val="20"/>
          <w:color w:val="auto"/>
        </w:rPr>
      </w:pPr>
      <w:r>
        <w:rPr>
          <w:rFonts w:ascii="Times New Roman" w:cs="Times New Roman" w:eastAsia="Times New Roman" w:hAnsi="Times New Roman"/>
          <w:sz w:val="14"/>
          <w:szCs w:val="14"/>
          <w:color w:val="auto"/>
        </w:rPr>
        <w:t>Stock-based compensation expense was allocated in the condensed consolidated statements of comprehensive income as follows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7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900" w:type="dxa"/>
            <w:vAlign w:val="bottom"/>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10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7900" w:type="dxa"/>
            <w:vAlign w:val="bottom"/>
            <w:tcBorders>
              <w:bottom w:val="single" w:sz="8" w:color="CFF0FC"/>
            </w:tcBorders>
          </w:tcPr>
          <w:p>
            <w:pPr>
              <w:spacing w:after="0"/>
              <w:rPr>
                <w:sz w:val="10"/>
                <w:szCs w:val="10"/>
                <w:color w:val="auto"/>
              </w:rPr>
            </w:pPr>
          </w:p>
        </w:tc>
        <w:tc>
          <w:tcPr>
            <w:tcW w:w="1040" w:type="dxa"/>
            <w:vAlign w:val="bottom"/>
            <w:tcBorders>
              <w:bottom w:val="single" w:sz="8" w:color="auto"/>
            </w:tcBorders>
          </w:tcPr>
          <w:p>
            <w:pPr>
              <w:jc w:val="right"/>
              <w:ind w:right="84"/>
              <w:spacing w:after="0" w:line="118" w:lineRule="exact"/>
              <w:rPr>
                <w:sz w:val="20"/>
                <w:szCs w:val="20"/>
                <w:color w:val="auto"/>
              </w:rPr>
            </w:pPr>
            <w:r>
              <w:rPr>
                <w:rFonts w:ascii="Times New Roman" w:cs="Times New Roman" w:eastAsia="Times New Roman" w:hAnsi="Times New Roman"/>
                <w:sz w:val="11"/>
                <w:szCs w:val="11"/>
                <w:b w:val="1"/>
                <w:bCs w:val="1"/>
                <w:color w:val="auto"/>
              </w:rPr>
              <w:t>2019</w:t>
            </w:r>
          </w:p>
        </w:tc>
        <w:tc>
          <w:tcPr>
            <w:tcW w:w="540" w:type="dxa"/>
            <w:vAlign w:val="bottom"/>
            <w:tcBorders>
              <w:bottom w:val="single" w:sz="8" w:color="auto"/>
            </w:tcBorders>
          </w:tcPr>
          <w:p>
            <w:pPr>
              <w:spacing w:after="0"/>
              <w:rPr>
                <w:sz w:val="10"/>
                <w:szCs w:val="10"/>
                <w:color w:val="auto"/>
              </w:rPr>
            </w:pPr>
          </w:p>
        </w:tc>
        <w:tc>
          <w:tcPr>
            <w:tcW w:w="280" w:type="dxa"/>
            <w:vAlign w:val="bottom"/>
            <w:tcBorders>
              <w:bottom w:val="single" w:sz="8" w:color="CFF0FC"/>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612"/>
              <w:spacing w:after="0" w:line="118" w:lineRule="exact"/>
              <w:rPr>
                <w:sz w:val="20"/>
                <w:szCs w:val="20"/>
                <w:color w:val="auto"/>
              </w:rPr>
            </w:pPr>
            <w:r>
              <w:rPr>
                <w:rFonts w:ascii="Times New Roman" w:cs="Times New Roman" w:eastAsia="Times New Roman" w:hAnsi="Times New Roman"/>
                <w:sz w:val="11"/>
                <w:szCs w:val="11"/>
                <w:b w:val="1"/>
                <w:bCs w:val="1"/>
                <w:color w:val="auto"/>
              </w:rPr>
              <w:t>2018</w:t>
            </w:r>
          </w:p>
        </w:tc>
        <w:tc>
          <w:tcPr>
            <w:tcW w:w="120" w:type="dxa"/>
            <w:vAlign w:val="bottom"/>
            <w:tcBorders>
              <w:bottom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Cost of revenues</w:t>
            </w:r>
          </w:p>
        </w:tc>
        <w:tc>
          <w:tcPr>
            <w:tcW w:w="1040" w:type="dxa"/>
            <w:vAlign w:val="bottom"/>
            <w:shd w:val="clear" w:color="auto" w:fill="CFF0FC"/>
          </w:tcPr>
          <w:p>
            <w:pPr>
              <w:jc w:val="right"/>
              <w:ind w:right="924"/>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Sales and marketing</w:t>
            </w:r>
          </w:p>
        </w:tc>
        <w:tc>
          <w:tcPr>
            <w:tcW w:w="10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730</w:t>
            </w:r>
          </w:p>
        </w:tc>
        <w:tc>
          <w:tcPr>
            <w:tcW w:w="2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653</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9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0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w:t>
            </w: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04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3,454</w:t>
            </w:r>
          </w:p>
        </w:tc>
        <w:tc>
          <w:tcPr>
            <w:tcW w:w="280" w:type="dxa"/>
            <w:vAlign w:val="bottom"/>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2,003</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1040" w:type="dxa"/>
            <w:vAlign w:val="bottom"/>
            <w:tcBorders>
              <w:bottom w:val="single" w:sz="8" w:color="auto"/>
            </w:tcBorders>
          </w:tcPr>
          <w:p>
            <w:pPr>
              <w:jc w:val="right"/>
              <w:ind w:right="924"/>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5,294</w:t>
            </w:r>
          </w:p>
        </w:tc>
        <w:tc>
          <w:tcPr>
            <w:tcW w:w="280" w:type="dxa"/>
            <w:vAlign w:val="bottom"/>
          </w:tcPr>
          <w:p>
            <w:pPr>
              <w:spacing w:after="0"/>
              <w:rPr>
                <w:sz w:val="14"/>
                <w:szCs w:val="14"/>
                <w:color w:val="auto"/>
              </w:rPr>
            </w:pPr>
          </w:p>
        </w:tc>
        <w:tc>
          <w:tcPr>
            <w:tcW w:w="5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90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Stock-based compensation expense by plan type was as follows (in thousands):</w:t>
            </w: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790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7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7900" w:type="dxa"/>
            <w:vAlign w:val="bottom"/>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10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7900" w:type="dxa"/>
            <w:vAlign w:val="bottom"/>
            <w:tcBorders>
              <w:bottom w:val="single" w:sz="8" w:color="CFF0FC"/>
            </w:tcBorders>
          </w:tcPr>
          <w:p>
            <w:pPr>
              <w:spacing w:after="0"/>
              <w:rPr>
                <w:sz w:val="10"/>
                <w:szCs w:val="10"/>
                <w:color w:val="auto"/>
              </w:rPr>
            </w:pPr>
          </w:p>
        </w:tc>
        <w:tc>
          <w:tcPr>
            <w:tcW w:w="1040" w:type="dxa"/>
            <w:vAlign w:val="bottom"/>
            <w:tcBorders>
              <w:bottom w:val="single" w:sz="8" w:color="auto"/>
            </w:tcBorders>
          </w:tcPr>
          <w:p>
            <w:pPr>
              <w:jc w:val="right"/>
              <w:ind w:right="84"/>
              <w:spacing w:after="0" w:line="118" w:lineRule="exact"/>
              <w:rPr>
                <w:sz w:val="20"/>
                <w:szCs w:val="20"/>
                <w:color w:val="auto"/>
              </w:rPr>
            </w:pPr>
            <w:r>
              <w:rPr>
                <w:rFonts w:ascii="Times New Roman" w:cs="Times New Roman" w:eastAsia="Times New Roman" w:hAnsi="Times New Roman"/>
                <w:sz w:val="11"/>
                <w:szCs w:val="11"/>
                <w:b w:val="1"/>
                <w:bCs w:val="1"/>
                <w:color w:val="auto"/>
              </w:rPr>
              <w:t>2019</w:t>
            </w:r>
          </w:p>
        </w:tc>
        <w:tc>
          <w:tcPr>
            <w:tcW w:w="540" w:type="dxa"/>
            <w:vAlign w:val="bottom"/>
            <w:tcBorders>
              <w:bottom w:val="single" w:sz="8" w:color="auto"/>
            </w:tcBorders>
          </w:tcPr>
          <w:p>
            <w:pPr>
              <w:spacing w:after="0"/>
              <w:rPr>
                <w:sz w:val="10"/>
                <w:szCs w:val="10"/>
                <w:color w:val="auto"/>
              </w:rPr>
            </w:pPr>
          </w:p>
        </w:tc>
        <w:tc>
          <w:tcPr>
            <w:tcW w:w="280" w:type="dxa"/>
            <w:vAlign w:val="bottom"/>
            <w:tcBorders>
              <w:bottom w:val="single" w:sz="8" w:color="CFF0FC"/>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612"/>
              <w:spacing w:after="0" w:line="118" w:lineRule="exact"/>
              <w:rPr>
                <w:sz w:val="20"/>
                <w:szCs w:val="20"/>
                <w:color w:val="auto"/>
              </w:rPr>
            </w:pPr>
            <w:r>
              <w:rPr>
                <w:rFonts w:ascii="Times New Roman" w:cs="Times New Roman" w:eastAsia="Times New Roman" w:hAnsi="Times New Roman"/>
                <w:sz w:val="11"/>
                <w:szCs w:val="11"/>
                <w:b w:val="1"/>
                <w:bCs w:val="1"/>
                <w:color w:val="auto"/>
              </w:rPr>
              <w:t>2018</w:t>
            </w:r>
          </w:p>
        </w:tc>
        <w:tc>
          <w:tcPr>
            <w:tcW w:w="120" w:type="dxa"/>
            <w:vAlign w:val="bottom"/>
            <w:tcBorders>
              <w:bottom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7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Stock options</w:t>
            </w:r>
          </w:p>
        </w:tc>
        <w:tc>
          <w:tcPr>
            <w:tcW w:w="1040" w:type="dxa"/>
            <w:vAlign w:val="bottom"/>
            <w:shd w:val="clear" w:color="auto" w:fill="CFF0FC"/>
          </w:tcPr>
          <w:p>
            <w:pPr>
              <w:jc w:val="right"/>
              <w:ind w:right="924"/>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1,274</w:t>
            </w: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9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Performance share units</w:t>
            </w:r>
          </w:p>
        </w:tc>
        <w:tc>
          <w:tcPr>
            <w:tcW w:w="10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923</w:t>
            </w: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Restricted stock units</w:t>
            </w:r>
          </w:p>
        </w:tc>
        <w:tc>
          <w:tcPr>
            <w:tcW w:w="10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2,443</w:t>
            </w:r>
          </w:p>
        </w:tc>
        <w:tc>
          <w:tcPr>
            <w:tcW w:w="2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9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Restricted stock awards</w:t>
            </w:r>
          </w:p>
        </w:tc>
        <w:tc>
          <w:tcPr>
            <w:tcW w:w="10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10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2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90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4"/>
                <w:szCs w:val="14"/>
                <w:color w:val="auto"/>
              </w:rPr>
              <w:t>401(k) stock match</w:t>
            </w:r>
          </w:p>
        </w:tc>
        <w:tc>
          <w:tcPr>
            <w:tcW w:w="10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280" w:type="dxa"/>
            <w:vAlign w:val="bottom"/>
            <w:tcBorders>
              <w:bottom w:val="single" w:sz="8" w:color="CFF0FC"/>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7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1040" w:type="dxa"/>
            <w:vAlign w:val="bottom"/>
            <w:tcBorders>
              <w:bottom w:val="single" w:sz="8" w:color="auto"/>
            </w:tcBorders>
            <w:shd w:val="clear" w:color="auto" w:fill="CFF0FC"/>
          </w:tcPr>
          <w:p>
            <w:pPr>
              <w:jc w:val="right"/>
              <w:ind w:right="924"/>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5,294</w:t>
            </w:r>
          </w:p>
        </w:tc>
        <w:tc>
          <w:tcPr>
            <w:tcW w:w="280" w:type="dxa"/>
            <w:vAlign w:val="bottom"/>
            <w:tcBorders>
              <w:bottom w:val="single" w:sz="8" w:color="CFF0FC"/>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3,533</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ind w:right="80" w:firstLine="520"/>
        <w:spacing w:after="0" w:line="285" w:lineRule="auto"/>
        <w:rPr>
          <w:sz w:val="20"/>
          <w:szCs w:val="20"/>
          <w:color w:val="auto"/>
        </w:rPr>
      </w:pPr>
      <w:r>
        <w:rPr>
          <w:rFonts w:ascii="Times New Roman" w:cs="Times New Roman" w:eastAsia="Times New Roman" w:hAnsi="Times New Roman"/>
          <w:sz w:val="14"/>
          <w:szCs w:val="14"/>
          <w:color w:val="auto"/>
        </w:rPr>
        <w:t>As of March 31, 2019, there was approximately $18.8 million of unrecognized stock-based compensation expense under our equity compensation plans, which is expected to be recognized on a straight-line basis over a weighted average period of 2.9 years.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Stock Options</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Stock options generally vest over four years and have a contractual term of seven to ten years from the date of grant. Our stock option activity was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7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8"/>
              </w:rPr>
              <w:t>Weighted Average</w:t>
            </w:r>
          </w:p>
        </w:tc>
      </w:tr>
      <w:tr>
        <w:trPr>
          <w:trHeight w:val="135"/>
        </w:trPr>
        <w:tc>
          <w:tcPr>
            <w:tcW w:w="7900" w:type="dxa"/>
            <w:vAlign w:val="bottom"/>
          </w:tcPr>
          <w:p>
            <w:pPr>
              <w:spacing w:after="0"/>
              <w:rPr>
                <w:sz w:val="11"/>
                <w:szCs w:val="11"/>
                <w:color w:val="auto"/>
              </w:rPr>
            </w:pPr>
          </w:p>
        </w:tc>
        <w:tc>
          <w:tcPr>
            <w:tcW w:w="1040" w:type="dxa"/>
            <w:vAlign w:val="bottom"/>
          </w:tcPr>
          <w:p>
            <w:pPr>
              <w:jc w:val="center"/>
              <w:ind w:left="464"/>
              <w:spacing w:after="0"/>
              <w:rPr>
                <w:sz w:val="20"/>
                <w:szCs w:val="20"/>
                <w:color w:val="auto"/>
              </w:rPr>
            </w:pPr>
            <w:r>
              <w:rPr>
                <w:rFonts w:ascii="Times New Roman" w:cs="Times New Roman" w:eastAsia="Times New Roman" w:hAnsi="Times New Roman"/>
                <w:sz w:val="11"/>
                <w:szCs w:val="11"/>
                <w:b w:val="1"/>
                <w:bCs w:val="1"/>
                <w:color w:val="auto"/>
              </w:rPr>
              <w:t>Options</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Exercise Price</w:t>
            </w:r>
          </w:p>
        </w:tc>
      </w:tr>
      <w:tr>
        <w:trPr>
          <w:trHeight w:val="117"/>
        </w:trPr>
        <w:tc>
          <w:tcPr>
            <w:tcW w:w="7900" w:type="dxa"/>
            <w:vAlign w:val="bottom"/>
          </w:tcPr>
          <w:p>
            <w:pPr>
              <w:spacing w:after="0"/>
              <w:rPr>
                <w:sz w:val="10"/>
                <w:szCs w:val="10"/>
                <w:color w:val="auto"/>
              </w:rPr>
            </w:pPr>
          </w:p>
        </w:tc>
        <w:tc>
          <w:tcPr>
            <w:tcW w:w="1040" w:type="dxa"/>
            <w:vAlign w:val="bottom"/>
            <w:tcBorders>
              <w:top w:val="single" w:sz="8" w:color="auto"/>
            </w:tcBorders>
          </w:tcPr>
          <w:p>
            <w:pPr>
              <w:jc w:val="right"/>
              <w:ind w:right="144"/>
              <w:spacing w:after="0" w:line="118" w:lineRule="exact"/>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tcPr>
          <w:p>
            <w:pPr>
              <w:jc w:val="center"/>
              <w:ind w:right="156"/>
              <w:spacing w:after="0" w:line="118" w:lineRule="exact"/>
              <w:rPr>
                <w:sz w:val="20"/>
                <w:szCs w:val="20"/>
                <w:color w:val="auto"/>
              </w:rPr>
            </w:pPr>
            <w:r>
              <w:rPr>
                <w:rFonts w:ascii="Times New Roman" w:cs="Times New Roman" w:eastAsia="Times New Roman" w:hAnsi="Times New Roman"/>
                <w:sz w:val="11"/>
                <w:szCs w:val="11"/>
                <w:b w:val="1"/>
                <w:bCs w:val="1"/>
                <w:color w:val="auto"/>
              </w:rPr>
              <w:t>($/share)</w:t>
            </w:r>
          </w:p>
        </w:tc>
        <w:tc>
          <w:tcPr>
            <w:tcW w:w="120" w:type="dxa"/>
            <w:vAlign w:val="bottom"/>
          </w:tcPr>
          <w:p>
            <w:pPr>
              <w:spacing w:after="0"/>
              <w:rPr>
                <w:sz w:val="10"/>
                <w:szCs w:val="10"/>
                <w:color w:val="auto"/>
              </w:rPr>
            </w:pPr>
          </w:p>
        </w:tc>
      </w:tr>
      <w:tr>
        <w:trPr>
          <w:trHeight w:val="180"/>
        </w:trPr>
        <w:tc>
          <w:tcPr>
            <w:tcW w:w="8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Outstanding at December 31, 2018</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873,234</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51.86</w:t>
            </w:r>
          </w:p>
        </w:tc>
        <w:tc>
          <w:tcPr>
            <w:tcW w:w="120" w:type="dxa"/>
            <w:vAlign w:val="bottom"/>
            <w:shd w:val="clear" w:color="auto" w:fill="CFF0FC"/>
          </w:tcPr>
          <w:p>
            <w:pPr>
              <w:spacing w:after="0"/>
              <w:rPr>
                <w:sz w:val="15"/>
                <w:szCs w:val="15"/>
                <w:color w:val="auto"/>
              </w:rPr>
            </w:pPr>
          </w:p>
        </w:tc>
      </w:tr>
      <w:tr>
        <w:trPr>
          <w:trHeight w:val="180"/>
        </w:trPr>
        <w:tc>
          <w:tcPr>
            <w:tcW w:w="89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Granted</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69,943</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109.07</w:t>
            </w:r>
          </w:p>
        </w:tc>
        <w:tc>
          <w:tcPr>
            <w:tcW w:w="120" w:type="dxa"/>
            <w:vAlign w:val="bottom"/>
          </w:tcPr>
          <w:p>
            <w:pPr>
              <w:spacing w:after="0"/>
              <w:rPr>
                <w:sz w:val="15"/>
                <w:szCs w:val="15"/>
                <w:color w:val="auto"/>
              </w:rPr>
            </w:pPr>
          </w:p>
        </w:tc>
      </w:tr>
      <w:tr>
        <w:trPr>
          <w:trHeight w:val="180"/>
        </w:trPr>
        <w:tc>
          <w:tcPr>
            <w:tcW w:w="89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Exercised</w:t>
            </w: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(68,339)</w:t>
            </w: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44.34</w:t>
            </w:r>
          </w:p>
        </w:tc>
        <w:tc>
          <w:tcPr>
            <w:tcW w:w="120" w:type="dxa"/>
            <w:vAlign w:val="bottom"/>
            <w:shd w:val="clear" w:color="auto" w:fill="CFF0FC"/>
          </w:tcPr>
          <w:p>
            <w:pPr>
              <w:spacing w:after="0"/>
              <w:rPr>
                <w:sz w:val="15"/>
                <w:szCs w:val="15"/>
                <w:color w:val="auto"/>
              </w:rPr>
            </w:pPr>
          </w:p>
        </w:tc>
      </w:tr>
      <w:tr>
        <w:trPr>
          <w:trHeight w:val="180"/>
        </w:trPr>
        <w:tc>
          <w:tcPr>
            <w:tcW w:w="89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Forfeited</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(7,158)</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56.00</w:t>
            </w:r>
          </w:p>
        </w:tc>
        <w:tc>
          <w:tcPr>
            <w:tcW w:w="120" w:type="dxa"/>
            <w:vAlign w:val="bottom"/>
          </w:tcPr>
          <w:p>
            <w:pPr>
              <w:spacing w:after="0"/>
              <w:rPr>
                <w:sz w:val="15"/>
                <w:szCs w:val="15"/>
                <w:color w:val="auto"/>
              </w:rPr>
            </w:pPr>
          </w:p>
        </w:tc>
      </w:tr>
      <w:tr>
        <w:trPr>
          <w:trHeight w:val="170"/>
        </w:trPr>
        <w:tc>
          <w:tcPr>
            <w:tcW w:w="79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Outstanding at March 31, 2019</w:t>
            </w:r>
          </w:p>
        </w:tc>
        <w:tc>
          <w:tcPr>
            <w:tcW w:w="1040" w:type="dxa"/>
            <w:vAlign w:val="bottom"/>
            <w:tcBorders>
              <w:top w:val="single" w:sz="8" w:color="auto"/>
              <w:bottom w:val="single" w:sz="8" w:color="auto"/>
            </w:tcBorders>
            <w:shd w:val="clear" w:color="auto" w:fill="CFF0FC"/>
          </w:tcPr>
          <w:p>
            <w:pPr>
              <w:spacing w:after="0"/>
              <w:rPr>
                <w:sz w:val="14"/>
                <w:szCs w:val="14"/>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867,680</w:t>
            </w:r>
          </w:p>
        </w:tc>
        <w:tc>
          <w:tcPr>
            <w:tcW w:w="280" w:type="dxa"/>
            <w:vAlign w:val="bottom"/>
            <w:tcBorders>
              <w:top w:val="single" w:sz="8" w:color="CFF0FC"/>
              <w:bottom w:val="single" w:sz="8" w:color="CFF0FC"/>
            </w:tcBorders>
            <w:shd w:val="clear" w:color="auto" w:fill="CFF0FC"/>
          </w:tcPr>
          <w:p>
            <w:pPr>
              <w:spacing w:after="0"/>
              <w:rPr>
                <w:sz w:val="14"/>
                <w:szCs w:val="14"/>
                <w:color w:val="auto"/>
              </w:rPr>
            </w:pPr>
          </w:p>
        </w:tc>
        <w:tc>
          <w:tcPr>
            <w:tcW w:w="220" w:type="dxa"/>
            <w:vAlign w:val="bottom"/>
            <w:tcBorders>
              <w:top w:val="single" w:sz="8" w:color="CFF0FC"/>
              <w:bottom w:val="single" w:sz="8" w:color="CFF0FC"/>
            </w:tcBorders>
            <w:shd w:val="clear" w:color="auto" w:fill="CFF0FC"/>
          </w:tcPr>
          <w:p>
            <w:pPr>
              <w:spacing w:after="0"/>
              <w:rPr>
                <w:sz w:val="14"/>
                <w:szCs w:val="14"/>
                <w:color w:val="auto"/>
              </w:rPr>
            </w:pPr>
          </w:p>
        </w:tc>
        <w:tc>
          <w:tcPr>
            <w:tcW w:w="136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r>
      <w:tr>
        <w:trPr>
          <w:trHeight w:val="20"/>
        </w:trPr>
        <w:tc>
          <w:tcPr>
            <w:tcW w:w="79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80" w:firstLine="520"/>
        <w:spacing w:after="0" w:line="285" w:lineRule="auto"/>
        <w:rPr>
          <w:sz w:val="20"/>
          <w:szCs w:val="20"/>
          <w:color w:val="auto"/>
        </w:rPr>
      </w:pPr>
      <w:r>
        <w:rPr>
          <w:rFonts w:ascii="Times New Roman" w:cs="Times New Roman" w:eastAsia="Times New Roman" w:hAnsi="Times New Roman"/>
          <w:sz w:val="14"/>
          <w:szCs w:val="14"/>
          <w:color w:val="auto"/>
        </w:rPr>
        <w:t>Of the total outstanding options at March 31, 2019, 579,772 were exercisable with a weighted average exercise price of $51.65 per share. The total outstanding options had a weighted average remaining contractual life of 3.4 years.</w:t>
      </w:r>
    </w:p>
    <w:p>
      <w:pPr>
        <w:spacing w:after="0" w:line="125" w:lineRule="exact"/>
        <w:rPr>
          <w:sz w:val="20"/>
          <w:szCs w:val="20"/>
          <w:color w:val="auto"/>
        </w:rPr>
      </w:pPr>
    </w:p>
    <w:p>
      <w:pPr>
        <w:ind w:right="200" w:firstLine="520"/>
        <w:spacing w:after="0" w:line="285" w:lineRule="auto"/>
        <w:rPr>
          <w:sz w:val="20"/>
          <w:szCs w:val="20"/>
          <w:color w:val="auto"/>
        </w:rPr>
      </w:pPr>
      <w:r>
        <w:rPr>
          <w:rFonts w:ascii="Times New Roman" w:cs="Times New Roman" w:eastAsia="Times New Roman" w:hAnsi="Times New Roman"/>
          <w:sz w:val="14"/>
          <w:szCs w:val="14"/>
          <w:color w:val="auto"/>
        </w:rPr>
        <w:t>The weighted average grant date fair value of options granted during the first three months of 2019 was $34.80. This was estimated on the date of grant using the Black-Scholes option pricing model with the following weighted-average assumptions: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Volatility</w:t>
            </w:r>
          </w:p>
        </w:tc>
        <w:tc>
          <w:tcPr>
            <w:tcW w:w="8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20" w:type="dxa"/>
            <w:vAlign w:val="bottom"/>
          </w:tcPr>
          <w:p>
            <w:pPr>
              <w:spacing w:after="0"/>
              <w:rPr>
                <w:sz w:val="15"/>
                <w:szCs w:val="15"/>
                <w:color w:val="auto"/>
              </w:rPr>
            </w:pPr>
          </w:p>
        </w:tc>
      </w:tr>
      <w:tr>
        <w:trPr>
          <w:trHeight w:val="180"/>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Dividend yield</w:t>
            </w:r>
          </w:p>
        </w:tc>
        <w:tc>
          <w:tcPr>
            <w:tcW w:w="8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0" w:type="dxa"/>
            <w:vAlign w:val="bottom"/>
          </w:tcPr>
          <w:p>
            <w:pPr>
              <w:spacing w:after="0"/>
              <w:rPr>
                <w:sz w:val="15"/>
                <w:szCs w:val="15"/>
                <w:color w:val="auto"/>
              </w:rPr>
            </w:pPr>
          </w:p>
        </w:tc>
      </w:tr>
      <w:tr>
        <w:trPr>
          <w:trHeight w:val="180"/>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Life (in years)</w:t>
            </w:r>
          </w:p>
        </w:tc>
        <w:tc>
          <w:tcPr>
            <w:tcW w:w="80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4.6</w:t>
            </w:r>
          </w:p>
        </w:tc>
        <w:tc>
          <w:tcPr>
            <w:tcW w:w="20" w:type="dxa"/>
            <w:vAlign w:val="bottom"/>
          </w:tcPr>
          <w:p>
            <w:pPr>
              <w:spacing w:after="0"/>
              <w:rPr>
                <w:sz w:val="15"/>
                <w:szCs w:val="15"/>
                <w:color w:val="auto"/>
              </w:rPr>
            </w:pPr>
          </w:p>
        </w:tc>
      </w:tr>
      <w:tr>
        <w:trPr>
          <w:trHeight w:val="183"/>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8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20" w:type="dxa"/>
            <w:vAlign w:val="bottom"/>
          </w:tcPr>
          <w:p>
            <w:pPr>
              <w:spacing w:after="0"/>
              <w:rPr>
                <w:sz w:val="15"/>
                <w:szCs w:val="15"/>
                <w:color w:val="auto"/>
              </w:rPr>
            </w:pPr>
          </w:p>
        </w:tc>
      </w:tr>
      <w:tr>
        <w:trPr>
          <w:trHeight w:val="503"/>
        </w:trPr>
        <w:tc>
          <w:tcPr>
            <w:tcW w:w="3440" w:type="dxa"/>
            <w:vAlign w:val="bottom"/>
          </w:tcPr>
          <w:p>
            <w:pPr>
              <w:spacing w:after="0"/>
              <w:rPr>
                <w:sz w:val="24"/>
                <w:szCs w:val="24"/>
                <w:color w:val="auto"/>
              </w:rPr>
            </w:pPr>
          </w:p>
        </w:tc>
        <w:tc>
          <w:tcPr>
            <w:tcW w:w="8020" w:type="dxa"/>
            <w:vAlign w:val="bottom"/>
          </w:tcPr>
          <w:p>
            <w:pPr>
              <w:jc w:val="right"/>
              <w:ind w:right="5590"/>
              <w:spacing w:after="0"/>
              <w:rPr>
                <w:sz w:val="20"/>
                <w:szCs w:val="20"/>
                <w:color w:val="auto"/>
              </w:rPr>
            </w:pPr>
            <w:r>
              <w:rPr>
                <w:rFonts w:ascii="Times New Roman" w:cs="Times New Roman" w:eastAsia="Times New Roman" w:hAnsi="Times New Roman"/>
                <w:sz w:val="14"/>
                <w:szCs w:val="14"/>
                <w:color w:val="auto"/>
              </w:rPr>
              <w:t>17</w:t>
            </w:r>
          </w:p>
        </w:tc>
        <w:tc>
          <w:tcPr>
            <w:tcW w:w="20" w:type="dxa"/>
            <w:vAlign w:val="bottom"/>
          </w:tcPr>
          <w:p>
            <w:pPr>
              <w:spacing w:after="0"/>
              <w:rPr>
                <w:sz w:val="24"/>
                <w:szCs w:val="24"/>
                <w:color w:val="auto"/>
              </w:rPr>
            </w:pPr>
          </w:p>
        </w:tc>
      </w:tr>
      <w:tr>
        <w:trPr>
          <w:trHeight w:val="86"/>
        </w:trPr>
        <w:tc>
          <w:tcPr>
            <w:tcW w:w="3440" w:type="dxa"/>
            <w:vAlign w:val="bottom"/>
            <w:tcBorders>
              <w:bottom w:val="single" w:sz="8" w:color="9A9A9A"/>
            </w:tcBorders>
          </w:tcPr>
          <w:p>
            <w:pPr>
              <w:spacing w:after="0"/>
              <w:rPr>
                <w:sz w:val="7"/>
                <w:szCs w:val="7"/>
                <w:color w:val="auto"/>
              </w:rPr>
            </w:pPr>
          </w:p>
        </w:tc>
        <w:tc>
          <w:tcPr>
            <w:tcW w:w="80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-25400</wp:posOffset>
            </wp:positionV>
            <wp:extent cx="3238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-25400</wp:posOffset>
            </wp:positionV>
            <wp:extent cx="3238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480"/>
          </w:cols>
          <w:pgMar w:left="220" w:top="473" w:right="1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color w:val="auto"/>
        </w:rPr>
        <w:t>Performance Share Units and Restricted Stock Units and Awards</w:t>
      </w:r>
    </w:p>
    <w:p>
      <w:pPr>
        <w:spacing w:after="0" w:line="94" w:lineRule="exact"/>
        <w:rPr>
          <w:sz w:val="20"/>
          <w:szCs w:val="20"/>
          <w:color w:val="auto"/>
        </w:rPr>
      </w:pPr>
    </w:p>
    <w:p>
      <w:pPr>
        <w:ind w:right="20" w:firstLine="520"/>
        <w:spacing w:after="0" w:line="263" w:lineRule="auto"/>
        <w:rPr>
          <w:sz w:val="20"/>
          <w:szCs w:val="20"/>
          <w:color w:val="auto"/>
        </w:rPr>
      </w:pPr>
      <w:r>
        <w:rPr>
          <w:rFonts w:ascii="Times New Roman" w:cs="Times New Roman" w:eastAsia="Times New Roman" w:hAnsi="Times New Roman"/>
          <w:sz w:val="14"/>
          <w:szCs w:val="14"/>
          <w:color w:val="auto"/>
        </w:rPr>
        <w:t>In February 2017, our executive officers were granted performance share unit (“PSU”) awards with vesting contingent on successful attainment of pre-determined revenue targets over the course of a three-year performance period (fiscal years 2017 – 2019). The fair value is measured as the number of performance shares expected to be earned multiplied by the grant date fair value of our shares. The number of performance shares expected to vest during the current service period is estimated and the fair value of those shares is recognized over the remaining service period less any amounts already recognized.</w:t>
      </w:r>
    </w:p>
    <w:p>
      <w:pPr>
        <w:spacing w:after="0" w:line="139" w:lineRule="exact"/>
        <w:rPr>
          <w:sz w:val="20"/>
          <w:szCs w:val="20"/>
          <w:color w:val="auto"/>
        </w:rPr>
      </w:pPr>
    </w:p>
    <w:p>
      <w:pPr>
        <w:ind w:right="140" w:firstLine="520"/>
        <w:spacing w:after="0" w:line="263" w:lineRule="auto"/>
        <w:rPr>
          <w:sz w:val="20"/>
          <w:szCs w:val="20"/>
          <w:color w:val="auto"/>
        </w:rPr>
      </w:pPr>
      <w:r>
        <w:rPr>
          <w:rFonts w:ascii="Times New Roman" w:cs="Times New Roman" w:eastAsia="Times New Roman" w:hAnsi="Times New Roman"/>
          <w:sz w:val="14"/>
          <w:szCs w:val="14"/>
          <w:color w:val="auto"/>
        </w:rPr>
        <w:t>In February 2018 and 2019, our executive officers were granted PSU awards with vesting contingent on the Company’s total shareholder return as compared to indexed total shareholder return over the course of a three-year performance period (fiscal years 2018 – 2020 and fiscal years 2019 – 2021, respectively). The grant date fair value was estimated using a Monte Carlo simulation that utilizes multiple input variables that determine the probability of satisfying the performance conditions stipulated in the award and calculates the fair market value for the performance stock units granted. Expense is recognized on a straight-line basis over the vesting period, regardless of whether the market condition is satisfied.</w:t>
      </w:r>
    </w:p>
    <w:p>
      <w:pPr>
        <w:spacing w:after="0" w:line="139" w:lineRule="exact"/>
        <w:rPr>
          <w:sz w:val="20"/>
          <w:szCs w:val="20"/>
          <w:color w:val="auto"/>
        </w:rPr>
      </w:pPr>
    </w:p>
    <w:p>
      <w:pPr>
        <w:ind w:right="160" w:firstLine="520"/>
        <w:spacing w:after="0" w:line="285" w:lineRule="auto"/>
        <w:rPr>
          <w:sz w:val="20"/>
          <w:szCs w:val="20"/>
          <w:color w:val="auto"/>
        </w:rPr>
      </w:pPr>
      <w:r>
        <w:rPr>
          <w:rFonts w:ascii="Times New Roman" w:cs="Times New Roman" w:eastAsia="Times New Roman" w:hAnsi="Times New Roman"/>
          <w:sz w:val="14"/>
          <w:szCs w:val="14"/>
          <w:color w:val="auto"/>
        </w:rPr>
        <w:t>Restricted stock units vest over four years and, upon vesting, the holder is entitled to receive shares of our common stock. With restricted stock awards, shares of our common stock are issued when the award is granted and the restrictions lapse over one year.</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Activity for our performance share units and restricted stock units was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800" w:type="dxa"/>
            <w:vAlign w:val="bottom"/>
          </w:tcPr>
          <w:p>
            <w:pPr>
              <w:spacing w:after="0"/>
              <w:rPr>
                <w:sz w:val="11"/>
                <w:szCs w:val="11"/>
                <w:color w:val="auto"/>
              </w:rPr>
            </w:pPr>
          </w:p>
        </w:tc>
        <w:tc>
          <w:tcPr>
            <w:tcW w:w="1660" w:type="dxa"/>
            <w:vAlign w:val="bottom"/>
          </w:tcPr>
          <w:p>
            <w:pPr>
              <w:jc w:val="center"/>
              <w:ind w:left="424"/>
              <w:spacing w:after="0"/>
              <w:rPr>
                <w:sz w:val="20"/>
                <w:szCs w:val="20"/>
                <w:color w:val="auto"/>
              </w:rPr>
            </w:pPr>
            <w:r>
              <w:rPr>
                <w:rFonts w:ascii="Times New Roman" w:cs="Times New Roman" w:eastAsia="Times New Roman" w:hAnsi="Times New Roman"/>
                <w:sz w:val="11"/>
                <w:szCs w:val="11"/>
                <w:b w:val="1"/>
                <w:bCs w:val="1"/>
                <w:color w:val="auto"/>
              </w:rPr>
              <w:t>Performance Share and</w:t>
            </w: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gridSpan w:val="2"/>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w w:val="98"/>
              </w:rPr>
              <w:t>Weighted Average</w:t>
            </w:r>
          </w:p>
        </w:tc>
      </w:tr>
      <w:tr>
        <w:trPr>
          <w:trHeight w:val="135"/>
        </w:trPr>
        <w:tc>
          <w:tcPr>
            <w:tcW w:w="6800" w:type="dxa"/>
            <w:vAlign w:val="bottom"/>
          </w:tcPr>
          <w:p>
            <w:pPr>
              <w:spacing w:after="0"/>
              <w:rPr>
                <w:sz w:val="11"/>
                <w:szCs w:val="11"/>
                <w:color w:val="auto"/>
              </w:rPr>
            </w:pPr>
          </w:p>
        </w:tc>
        <w:tc>
          <w:tcPr>
            <w:tcW w:w="1660" w:type="dxa"/>
            <w:vAlign w:val="bottom"/>
          </w:tcPr>
          <w:p>
            <w:pPr>
              <w:jc w:val="center"/>
              <w:ind w:left="404"/>
              <w:spacing w:after="0"/>
              <w:rPr>
                <w:sz w:val="20"/>
                <w:szCs w:val="20"/>
                <w:color w:val="auto"/>
              </w:rPr>
            </w:pPr>
            <w:r>
              <w:rPr>
                <w:rFonts w:ascii="Times New Roman" w:cs="Times New Roman" w:eastAsia="Times New Roman" w:hAnsi="Times New Roman"/>
                <w:sz w:val="11"/>
                <w:szCs w:val="11"/>
                <w:b w:val="1"/>
                <w:bCs w:val="1"/>
                <w:color w:val="auto"/>
              </w:rPr>
              <w:t>Restricted Stock Units</w:t>
            </w: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rPr>
              <w:t>Grant Date Fair Value</w:t>
            </w:r>
          </w:p>
        </w:tc>
      </w:tr>
      <w:tr>
        <w:trPr>
          <w:trHeight w:val="117"/>
        </w:trPr>
        <w:tc>
          <w:tcPr>
            <w:tcW w:w="6800" w:type="dxa"/>
            <w:vAlign w:val="bottom"/>
          </w:tcPr>
          <w:p>
            <w:pPr>
              <w:spacing w:after="0"/>
              <w:rPr>
                <w:sz w:val="10"/>
                <w:szCs w:val="10"/>
                <w:color w:val="auto"/>
              </w:rPr>
            </w:pPr>
          </w:p>
        </w:tc>
        <w:tc>
          <w:tcPr>
            <w:tcW w:w="1660" w:type="dxa"/>
            <w:vAlign w:val="bottom"/>
            <w:tcBorders>
              <w:top w:val="single" w:sz="8" w:color="auto"/>
            </w:tcBorders>
          </w:tcPr>
          <w:p>
            <w:pPr>
              <w:jc w:val="center"/>
              <w:ind w:left="424"/>
              <w:spacing w:after="0" w:line="118" w:lineRule="exact"/>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840" w:type="dxa"/>
            <w:vAlign w:val="bottom"/>
            <w:tcBorders>
              <w:top w:val="single" w:sz="8" w:color="auto"/>
            </w:tcBorders>
          </w:tcPr>
          <w:p>
            <w:pPr>
              <w:jc w:val="center"/>
              <w:ind w:right="236"/>
              <w:spacing w:after="0" w:line="118" w:lineRule="exact"/>
              <w:rPr>
                <w:sz w:val="20"/>
                <w:szCs w:val="20"/>
                <w:color w:val="auto"/>
              </w:rPr>
            </w:pPr>
            <w:r>
              <w:rPr>
                <w:rFonts w:ascii="Times New Roman" w:cs="Times New Roman" w:eastAsia="Times New Roman" w:hAnsi="Times New Roman"/>
                <w:sz w:val="11"/>
                <w:szCs w:val="11"/>
                <w:b w:val="1"/>
                <w:bCs w:val="1"/>
                <w:color w:val="auto"/>
              </w:rPr>
              <w:t>($/share)</w:t>
            </w:r>
          </w:p>
        </w:tc>
        <w:tc>
          <w:tcPr>
            <w:tcW w:w="100" w:type="dxa"/>
            <w:vAlign w:val="bottom"/>
          </w:tcPr>
          <w:p>
            <w:pPr>
              <w:spacing w:after="0"/>
              <w:rPr>
                <w:sz w:val="10"/>
                <w:szCs w:val="10"/>
                <w:color w:val="auto"/>
              </w:rPr>
            </w:pPr>
          </w:p>
        </w:tc>
      </w:tr>
      <w:tr>
        <w:trPr>
          <w:trHeight w:val="180"/>
        </w:trPr>
        <w:tc>
          <w:tcPr>
            <w:tcW w:w="8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Outstanding at December 31, 2018</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6"/>
              </w:rPr>
              <w:t>377,335</w:t>
            </w:r>
          </w:p>
        </w:tc>
        <w:tc>
          <w:tcPr>
            <w:tcW w:w="28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59.90</w:t>
            </w:r>
          </w:p>
        </w:tc>
        <w:tc>
          <w:tcPr>
            <w:tcW w:w="100" w:type="dxa"/>
            <w:vAlign w:val="bottom"/>
            <w:shd w:val="clear" w:color="auto" w:fill="CFF0FC"/>
          </w:tcPr>
          <w:p>
            <w:pPr>
              <w:spacing w:after="0"/>
              <w:rPr>
                <w:sz w:val="15"/>
                <w:szCs w:val="15"/>
                <w:color w:val="auto"/>
              </w:rPr>
            </w:pPr>
          </w:p>
        </w:tc>
      </w:tr>
      <w:tr>
        <w:trPr>
          <w:trHeight w:val="180"/>
        </w:trPr>
        <w:tc>
          <w:tcPr>
            <w:tcW w:w="84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Granted</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69,581</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115.56</w:t>
            </w:r>
          </w:p>
        </w:tc>
        <w:tc>
          <w:tcPr>
            <w:tcW w:w="100" w:type="dxa"/>
            <w:vAlign w:val="bottom"/>
          </w:tcPr>
          <w:p>
            <w:pPr>
              <w:spacing w:after="0"/>
              <w:rPr>
                <w:sz w:val="15"/>
                <w:szCs w:val="15"/>
                <w:color w:val="auto"/>
              </w:rPr>
            </w:pPr>
          </w:p>
        </w:tc>
      </w:tr>
      <w:tr>
        <w:trPr>
          <w:trHeight w:val="180"/>
        </w:trPr>
        <w:tc>
          <w:tcPr>
            <w:tcW w:w="84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Vested and common stock issued</w:t>
            </w: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(95,312)</w:t>
            </w:r>
          </w:p>
        </w:tc>
        <w:tc>
          <w:tcPr>
            <w:tcW w:w="300" w:type="dxa"/>
            <w:vAlign w:val="bottom"/>
            <w:shd w:val="clear" w:color="auto" w:fill="CFF0FC"/>
          </w:tcPr>
          <w:p>
            <w:pPr>
              <w:spacing w:after="0"/>
              <w:rPr>
                <w:sz w:val="15"/>
                <w:szCs w:val="15"/>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57.53</w:t>
            </w:r>
          </w:p>
        </w:tc>
        <w:tc>
          <w:tcPr>
            <w:tcW w:w="100" w:type="dxa"/>
            <w:vAlign w:val="bottom"/>
            <w:shd w:val="clear" w:color="auto" w:fill="CFF0FC"/>
          </w:tcPr>
          <w:p>
            <w:pPr>
              <w:spacing w:after="0"/>
              <w:rPr>
                <w:sz w:val="15"/>
                <w:szCs w:val="15"/>
                <w:color w:val="auto"/>
              </w:rPr>
            </w:pPr>
          </w:p>
        </w:tc>
      </w:tr>
      <w:tr>
        <w:trPr>
          <w:trHeight w:val="180"/>
        </w:trPr>
        <w:tc>
          <w:tcPr>
            <w:tcW w:w="84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Forfeited</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(5,104)</w:t>
            </w:r>
          </w:p>
        </w:tc>
        <w:tc>
          <w:tcPr>
            <w:tcW w:w="30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58.28</w:t>
            </w:r>
          </w:p>
        </w:tc>
        <w:tc>
          <w:tcPr>
            <w:tcW w:w="100" w:type="dxa"/>
            <w:vAlign w:val="bottom"/>
          </w:tcPr>
          <w:p>
            <w:pPr>
              <w:spacing w:after="0"/>
              <w:rPr>
                <w:sz w:val="15"/>
                <w:szCs w:val="15"/>
                <w:color w:val="auto"/>
              </w:rPr>
            </w:pPr>
          </w:p>
        </w:tc>
      </w:tr>
      <w:tr>
        <w:trPr>
          <w:trHeight w:val="170"/>
        </w:trPr>
        <w:tc>
          <w:tcPr>
            <w:tcW w:w="68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Outstanding at March 31, 2019</w:t>
            </w:r>
          </w:p>
        </w:tc>
        <w:tc>
          <w:tcPr>
            <w:tcW w:w="1660" w:type="dxa"/>
            <w:vAlign w:val="bottom"/>
            <w:tcBorders>
              <w:top w:val="single" w:sz="8" w:color="auto"/>
              <w:bottom w:val="single" w:sz="8" w:color="auto"/>
            </w:tcBorders>
            <w:shd w:val="clear" w:color="auto" w:fill="CFF0FC"/>
          </w:tcPr>
          <w:p>
            <w:pPr>
              <w:spacing w:after="0"/>
              <w:rPr>
                <w:sz w:val="14"/>
                <w:szCs w:val="14"/>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6"/>
              </w:rPr>
              <w:t>346,500</w:t>
            </w:r>
          </w:p>
        </w:tc>
        <w:tc>
          <w:tcPr>
            <w:tcW w:w="280" w:type="dxa"/>
            <w:vAlign w:val="bottom"/>
            <w:tcBorders>
              <w:top w:val="single" w:sz="8" w:color="CFF0FC"/>
              <w:bottom w:val="single" w:sz="8" w:color="CFF0FC"/>
            </w:tcBorders>
            <w:shd w:val="clear" w:color="auto" w:fill="CFF0FC"/>
          </w:tcPr>
          <w:p>
            <w:pPr>
              <w:spacing w:after="0"/>
              <w:rPr>
                <w:sz w:val="14"/>
                <w:szCs w:val="14"/>
                <w:color w:val="auto"/>
              </w:rPr>
            </w:pPr>
          </w:p>
        </w:tc>
        <w:tc>
          <w:tcPr>
            <w:tcW w:w="300" w:type="dxa"/>
            <w:vAlign w:val="bottom"/>
            <w:tcBorders>
              <w:top w:val="single" w:sz="8" w:color="CFF0FC"/>
              <w:bottom w:val="single" w:sz="8" w:color="CFF0FC"/>
            </w:tcBorders>
            <w:shd w:val="clear" w:color="auto" w:fill="CFF0FC"/>
          </w:tcPr>
          <w:p>
            <w:pPr>
              <w:spacing w:after="0"/>
              <w:rPr>
                <w:sz w:val="14"/>
                <w:szCs w:val="14"/>
                <w:color w:val="auto"/>
              </w:rPr>
            </w:pPr>
          </w:p>
        </w:tc>
        <w:tc>
          <w:tcPr>
            <w:tcW w:w="184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r>
      <w:tr>
        <w:trPr>
          <w:trHeight w:val="20"/>
        </w:trPr>
        <w:tc>
          <w:tcPr>
            <w:tcW w:w="68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firstLine="520"/>
        <w:spacing w:after="0" w:line="285" w:lineRule="auto"/>
        <w:rPr>
          <w:sz w:val="20"/>
          <w:szCs w:val="20"/>
          <w:color w:val="auto"/>
        </w:rPr>
      </w:pPr>
      <w:r>
        <w:rPr>
          <w:rFonts w:ascii="Times New Roman" w:cs="Times New Roman" w:eastAsia="Times New Roman" w:hAnsi="Times New Roman"/>
          <w:sz w:val="14"/>
          <w:szCs w:val="14"/>
          <w:color w:val="auto"/>
        </w:rPr>
        <w:t>The number of restricted stock units outstanding at March 31, 2019 included 6,924 units that have vested, but for which shares of common stock have not yet been issued pursuant to the terms of the agreement.</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restricted stock awards activity was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800" w:type="dxa"/>
            <w:vAlign w:val="bottom"/>
          </w:tcPr>
          <w:p>
            <w:pPr>
              <w:spacing w:after="0"/>
              <w:rPr>
                <w:sz w:val="11"/>
                <w:szCs w:val="11"/>
                <w:color w:val="auto"/>
              </w:rPr>
            </w:pPr>
          </w:p>
        </w:tc>
        <w:tc>
          <w:tcPr>
            <w:tcW w:w="1620" w:type="dxa"/>
            <w:vAlign w:val="bottom"/>
          </w:tcPr>
          <w:p>
            <w:pPr>
              <w:jc w:val="center"/>
              <w:ind w:left="464"/>
              <w:spacing w:after="0"/>
              <w:rPr>
                <w:sz w:val="20"/>
                <w:szCs w:val="20"/>
                <w:color w:val="auto"/>
              </w:rPr>
            </w:pPr>
            <w:r>
              <w:rPr>
                <w:rFonts w:ascii="Times New Roman" w:cs="Times New Roman" w:eastAsia="Times New Roman" w:hAnsi="Times New Roman"/>
                <w:sz w:val="11"/>
                <w:szCs w:val="11"/>
                <w:b w:val="1"/>
                <w:bCs w:val="1"/>
                <w:color w:val="auto"/>
              </w:rPr>
              <w:t>Restricted Stock</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98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Weighted Average Grant</w:t>
            </w:r>
          </w:p>
        </w:tc>
      </w:tr>
      <w:tr>
        <w:trPr>
          <w:trHeight w:val="135"/>
        </w:trPr>
        <w:tc>
          <w:tcPr>
            <w:tcW w:w="6800" w:type="dxa"/>
            <w:vAlign w:val="bottom"/>
          </w:tcPr>
          <w:p>
            <w:pPr>
              <w:spacing w:after="0"/>
              <w:rPr>
                <w:sz w:val="11"/>
                <w:szCs w:val="11"/>
                <w:color w:val="auto"/>
              </w:rPr>
            </w:pPr>
          </w:p>
        </w:tc>
        <w:tc>
          <w:tcPr>
            <w:tcW w:w="1620" w:type="dxa"/>
            <w:vAlign w:val="bottom"/>
          </w:tcPr>
          <w:p>
            <w:pPr>
              <w:jc w:val="center"/>
              <w:ind w:left="464"/>
              <w:spacing w:after="0"/>
              <w:rPr>
                <w:sz w:val="20"/>
                <w:szCs w:val="20"/>
                <w:color w:val="auto"/>
              </w:rPr>
            </w:pPr>
            <w:r>
              <w:rPr>
                <w:rFonts w:ascii="Times New Roman" w:cs="Times New Roman" w:eastAsia="Times New Roman" w:hAnsi="Times New Roman"/>
                <w:sz w:val="11"/>
                <w:szCs w:val="11"/>
                <w:b w:val="1"/>
                <w:bCs w:val="1"/>
                <w:color w:val="auto"/>
              </w:rPr>
              <w:t>Awards (#)</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98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Date Fair Value ($/share)</w:t>
            </w:r>
          </w:p>
        </w:tc>
      </w:tr>
      <w:tr>
        <w:trPr>
          <w:trHeight w:val="170"/>
        </w:trPr>
        <w:tc>
          <w:tcPr>
            <w:tcW w:w="68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Outstanding at December 31, 2018</w:t>
            </w:r>
          </w:p>
        </w:tc>
        <w:tc>
          <w:tcPr>
            <w:tcW w:w="1620" w:type="dxa"/>
            <w:vAlign w:val="bottom"/>
            <w:tcBorders>
              <w:top w:val="single" w:sz="8" w:color="auto"/>
            </w:tcBorders>
            <w:shd w:val="clear" w:color="auto" w:fill="CFF0FC"/>
          </w:tcPr>
          <w:p>
            <w:pPr>
              <w:spacing w:after="0"/>
              <w:rPr>
                <w:sz w:val="14"/>
                <w:szCs w:val="14"/>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1,832</w:t>
            </w:r>
          </w:p>
        </w:tc>
        <w:tc>
          <w:tcPr>
            <w:tcW w:w="280" w:type="dxa"/>
            <w:vAlign w:val="bottom"/>
            <w:tcBorders>
              <w:top w:val="single" w:sz="8" w:color="CFF0FC"/>
            </w:tcBorders>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74.44</w:t>
            </w:r>
          </w:p>
        </w:tc>
        <w:tc>
          <w:tcPr>
            <w:tcW w:w="100" w:type="dxa"/>
            <w:vAlign w:val="bottom"/>
            <w:tcBorders>
              <w:top w:val="single" w:sz="8" w:color="CFF0FC"/>
            </w:tcBorders>
            <w:shd w:val="clear" w:color="auto" w:fill="CFF0FC"/>
          </w:tcPr>
          <w:p>
            <w:pPr>
              <w:spacing w:after="0"/>
              <w:rPr>
                <w:sz w:val="14"/>
                <w:szCs w:val="14"/>
                <w:color w:val="auto"/>
              </w:rPr>
            </w:pPr>
          </w:p>
        </w:tc>
      </w:tr>
      <w:tr>
        <w:trPr>
          <w:trHeight w:val="180"/>
        </w:trPr>
        <w:tc>
          <w:tcPr>
            <w:tcW w:w="84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Restricted common stock issued</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4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Restrictions lapsed</w:t>
            </w: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(1,832)</w:t>
            </w:r>
          </w:p>
        </w:tc>
        <w:tc>
          <w:tcPr>
            <w:tcW w:w="260" w:type="dxa"/>
            <w:vAlign w:val="bottom"/>
            <w:shd w:val="clear" w:color="auto" w:fill="CFF0FC"/>
          </w:tcPr>
          <w:p>
            <w:pPr>
              <w:spacing w:after="0"/>
              <w:rPr>
                <w:sz w:val="15"/>
                <w:szCs w:val="15"/>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74.43</w:t>
            </w:r>
          </w:p>
        </w:tc>
        <w:tc>
          <w:tcPr>
            <w:tcW w:w="100" w:type="dxa"/>
            <w:vAlign w:val="bottom"/>
            <w:shd w:val="clear" w:color="auto" w:fill="CFF0FC"/>
          </w:tcPr>
          <w:p>
            <w:pPr>
              <w:spacing w:after="0"/>
              <w:rPr>
                <w:sz w:val="15"/>
                <w:szCs w:val="15"/>
                <w:color w:val="auto"/>
              </w:rPr>
            </w:pPr>
          </w:p>
        </w:tc>
      </w:tr>
      <w:tr>
        <w:trPr>
          <w:trHeight w:val="180"/>
        </w:trPr>
        <w:tc>
          <w:tcPr>
            <w:tcW w:w="84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Forfeited</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68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Outstanding at March 31, 2019</w:t>
            </w:r>
          </w:p>
        </w:tc>
        <w:tc>
          <w:tcPr>
            <w:tcW w:w="1620" w:type="dxa"/>
            <w:vAlign w:val="bottom"/>
            <w:tcBorders>
              <w:top w:val="single" w:sz="8" w:color="auto"/>
              <w:bottom w:val="single" w:sz="8" w:color="auto"/>
            </w:tcBorders>
            <w:shd w:val="clear" w:color="auto" w:fill="CFF0FC"/>
          </w:tcPr>
          <w:p>
            <w:pPr>
              <w:spacing w:after="0"/>
              <w:rPr>
                <w:sz w:val="14"/>
                <w:szCs w:val="14"/>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CFF0FC"/>
              <w:bottom w:val="single" w:sz="8" w:color="CFF0FC"/>
            </w:tcBorders>
            <w:shd w:val="clear" w:color="auto" w:fill="CFF0FC"/>
          </w:tcPr>
          <w:p>
            <w:pPr>
              <w:spacing w:after="0"/>
              <w:rPr>
                <w:sz w:val="14"/>
                <w:szCs w:val="14"/>
                <w:color w:val="auto"/>
              </w:rPr>
            </w:pPr>
          </w:p>
        </w:tc>
        <w:tc>
          <w:tcPr>
            <w:tcW w:w="260" w:type="dxa"/>
            <w:vAlign w:val="bottom"/>
            <w:tcBorders>
              <w:top w:val="single" w:sz="8" w:color="CFF0FC"/>
              <w:bottom w:val="single" w:sz="8" w:color="CFF0FC"/>
            </w:tcBorders>
            <w:shd w:val="clear" w:color="auto" w:fill="CFF0FC"/>
          </w:tcPr>
          <w:p>
            <w:pPr>
              <w:spacing w:after="0"/>
              <w:rPr>
                <w:sz w:val="14"/>
                <w:szCs w:val="14"/>
                <w:color w:val="auto"/>
              </w:rPr>
            </w:pPr>
          </w:p>
        </w:tc>
        <w:tc>
          <w:tcPr>
            <w:tcW w:w="188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r>
      <w:tr>
        <w:trPr>
          <w:trHeight w:val="20"/>
        </w:trPr>
        <w:tc>
          <w:tcPr>
            <w:tcW w:w="68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Employee Stock Purchase Plan</w:t>
      </w:r>
    </w:p>
    <w:p>
      <w:pPr>
        <w:spacing w:after="0" w:line="94" w:lineRule="exact"/>
        <w:rPr>
          <w:sz w:val="20"/>
          <w:szCs w:val="20"/>
          <w:color w:val="auto"/>
        </w:rPr>
      </w:pPr>
    </w:p>
    <w:p>
      <w:pPr>
        <w:ind w:right="200" w:firstLine="520"/>
        <w:spacing w:after="0" w:line="263" w:lineRule="auto"/>
        <w:rPr>
          <w:sz w:val="20"/>
          <w:szCs w:val="20"/>
          <w:color w:val="auto"/>
        </w:rPr>
      </w:pPr>
      <w:r>
        <w:rPr>
          <w:rFonts w:ascii="Times New Roman" w:cs="Times New Roman" w:eastAsia="Times New Roman" w:hAnsi="Times New Roman"/>
          <w:sz w:val="14"/>
          <w:szCs w:val="14"/>
          <w:color w:val="auto"/>
        </w:rPr>
        <w:t>We have an employee stock purchase plan allows participating employees to purchase shares of our common stock at a discount through payroll deductions. The plan is available to all employees subject to certain eligibility requirements. Participating employees may purchase common stock, on a voluntary after tax basis, at a price that is the lower of 85% of the fair market value of one share of common stock at the beginning or end of each stock purchase period. The plan consists of two six-month offering periods, beginning on January 1 and July 1 of each calendar year, respectively. A total of 1.0 million shares of common stock are reserved for issuance under the plan.</w:t>
      </w:r>
    </w:p>
    <w:p>
      <w:pPr>
        <w:spacing w:after="0" w:line="139" w:lineRule="exact"/>
        <w:rPr>
          <w:sz w:val="20"/>
          <w:szCs w:val="20"/>
          <w:color w:val="auto"/>
        </w:rPr>
      </w:pPr>
    </w:p>
    <w:p>
      <w:pPr>
        <w:ind w:right="360" w:firstLine="520"/>
        <w:spacing w:after="0" w:line="285" w:lineRule="auto"/>
        <w:rPr>
          <w:sz w:val="20"/>
          <w:szCs w:val="20"/>
          <w:color w:val="auto"/>
        </w:rPr>
      </w:pPr>
      <w:r>
        <w:rPr>
          <w:rFonts w:ascii="Times New Roman" w:cs="Times New Roman" w:eastAsia="Times New Roman" w:hAnsi="Times New Roman"/>
          <w:sz w:val="14"/>
          <w:szCs w:val="14"/>
          <w:color w:val="auto"/>
        </w:rPr>
        <w:t>For the offering periods that began on January 1, 2019 and January 1, 2018, we withheld approximately $0.6 million and $0.5 million from employees participating in the plan for the three months ending March 31, 2019 and March 31, 2018, respectively.</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55245</wp:posOffset>
            </wp:positionV>
            <wp:extent cx="731520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15200" cy="38735"/>
                    </a:xfrm>
                    <a:prstGeom prst="rect">
                      <a:avLst/>
                    </a:prstGeom>
                    <a:noFill/>
                  </pic:spPr>
                </pic:pic>
              </a:graphicData>
            </a:graphic>
          </wp:anchor>
        </w:drawing>
      </w:r>
    </w:p>
    <w:p>
      <w:pPr>
        <w:sectPr>
          <w:pgSz w:w="11900" w:h="16838" w:orient="portrait"/>
          <w:cols w:equalWidth="0" w:num="1">
            <w:col w:w="11460"/>
          </w:cols>
          <w:pgMar w:left="220" w:top="419" w:right="219" w:bottom="1440" w:gutter="0" w:footer="0" w:header="0"/>
        </w:sectPr>
      </w:pPr>
    </w:p>
    <w:bookmarkStart w:id="18" w:name="page19"/>
    <w:bookmarkEnd w:id="18"/>
    <w:p>
      <w:pPr>
        <w:ind w:left="520"/>
        <w:spacing w:after="0"/>
        <w:rPr>
          <w:sz w:val="20"/>
          <w:szCs w:val="20"/>
          <w:color w:val="auto"/>
        </w:rPr>
      </w:pPr>
      <w:r>
        <w:rPr>
          <w:rFonts w:ascii="Times New Roman" w:cs="Times New Roman" w:eastAsia="Times New Roman" w:hAnsi="Times New Roman"/>
          <w:sz w:val="14"/>
          <w:szCs w:val="14"/>
          <w:color w:val="auto"/>
        </w:rPr>
        <w:t>The fair value was estimated based on the market price of our common stock at the beginning of the offering period using the Black-Scholes option pricing model with the following</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assumptions:</w:t>
            </w:r>
          </w:p>
        </w:tc>
        <w:tc>
          <w:tcPr>
            <w:tcW w:w="5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612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Volatility</w:t>
            </w:r>
          </w:p>
        </w:tc>
        <w:tc>
          <w:tcPr>
            <w:tcW w:w="5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4"/>
                <w:szCs w:val="14"/>
                <w:color w:val="auto"/>
              </w:rPr>
              <w:t>Dividend yield</w:t>
            </w:r>
          </w:p>
        </w:tc>
        <w:tc>
          <w:tcPr>
            <w:tcW w:w="5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Life (in years)</w:t>
            </w:r>
          </w:p>
        </w:tc>
        <w:tc>
          <w:tcPr>
            <w:tcW w:w="53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5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0" w:type="dxa"/>
            <w:vAlign w:val="bottom"/>
          </w:tcPr>
          <w:p>
            <w:pPr>
              <w:spacing w:after="0"/>
              <w:rPr>
                <w:sz w:val="1"/>
                <w:szCs w:val="1"/>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401(k) Stock Match</w:t>
      </w:r>
    </w:p>
    <w:p>
      <w:pPr>
        <w:spacing w:after="0" w:line="94" w:lineRule="exact"/>
        <w:rPr>
          <w:sz w:val="20"/>
          <w:szCs w:val="20"/>
          <w:color w:val="auto"/>
        </w:rPr>
      </w:pPr>
    </w:p>
    <w:p>
      <w:pPr>
        <w:jc w:val="both"/>
        <w:ind w:right="280" w:firstLine="520"/>
        <w:spacing w:after="0" w:line="263" w:lineRule="auto"/>
        <w:rPr>
          <w:sz w:val="20"/>
          <w:szCs w:val="20"/>
          <w:color w:val="auto"/>
        </w:rPr>
      </w:pPr>
      <w:r>
        <w:rPr>
          <w:rFonts w:ascii="Times New Roman" w:cs="Times New Roman" w:eastAsia="Times New Roman" w:hAnsi="Times New Roman"/>
          <w:sz w:val="14"/>
          <w:szCs w:val="14"/>
          <w:color w:val="auto"/>
        </w:rPr>
        <w:t>We sponsor a 401(k) retirement savings plan for our U.S. employees where employees can contribute up to 100% of their compensation, subject to the limits established by law. In 2018, we increased our match to 50% of the employee’s elective deferrals, up to the first 6% of the employee’s pre-tax compensation for each pay period. A portion of our match is in company stock, which is purchased from the open market by our plan provider and immediately deposited into the employee’s 401(k) account. Additionally, we make statutory contributions to retirement plans as required by local foreign government regulations.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J – Income Taxes</w:t>
      </w:r>
    </w:p>
    <w:p>
      <w:pPr>
        <w:spacing w:after="0" w:line="94" w:lineRule="exact"/>
        <w:rPr>
          <w:sz w:val="20"/>
          <w:szCs w:val="20"/>
          <w:color w:val="auto"/>
        </w:rPr>
      </w:pPr>
    </w:p>
    <w:p>
      <w:pPr>
        <w:ind w:right="100" w:firstLine="520"/>
        <w:spacing w:after="0" w:line="260" w:lineRule="auto"/>
        <w:rPr>
          <w:sz w:val="20"/>
          <w:szCs w:val="20"/>
          <w:color w:val="auto"/>
        </w:rPr>
      </w:pPr>
      <w:r>
        <w:rPr>
          <w:rFonts w:ascii="Times New Roman" w:cs="Times New Roman" w:eastAsia="Times New Roman" w:hAnsi="Times New Roman"/>
          <w:sz w:val="14"/>
          <w:szCs w:val="14"/>
          <w:color w:val="auto"/>
        </w:rPr>
        <w:t>We record our interim provision for income taxes by applying our estimated annual effective tax rate to our year-to-date pretax income and adjust the provision for discrete tax items recorded in the period. Differences between our effective tax rate and statutory tax rates are primarily due to the impact of permanently non-deductible expenses partially offset by the federal research and development credits. Additionally, excess tax benefits generated upon settlement or exercise of stock awards are recognized as a reduction to income tax expense as a discrete tax item in the quarter that the event occurs creating potentially significant fluctuation in tax expense by quarter and by year. Our provisions for income taxes include current foreign and state income tax expense, as well as deferred tax expense.</w:t>
      </w:r>
    </w:p>
    <w:p>
      <w:pPr>
        <w:spacing w:after="0" w:line="1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March 31, 2019 we do not have any unrecognized tax benefits nor any accrued interest or tax penalties.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K – Net Income Per Share</w:t>
      </w:r>
    </w:p>
    <w:p>
      <w:pPr>
        <w:spacing w:after="0" w:line="94" w:lineRule="exact"/>
        <w:rPr>
          <w:sz w:val="20"/>
          <w:szCs w:val="20"/>
          <w:color w:val="auto"/>
        </w:rPr>
      </w:pPr>
    </w:p>
    <w:p>
      <w:pPr>
        <w:ind w:right="20" w:firstLine="520"/>
        <w:spacing w:after="0" w:line="268" w:lineRule="auto"/>
        <w:rPr>
          <w:sz w:val="20"/>
          <w:szCs w:val="20"/>
          <w:color w:val="auto"/>
        </w:rPr>
      </w:pPr>
      <w:r>
        <w:rPr>
          <w:rFonts w:ascii="Times New Roman" w:cs="Times New Roman" w:eastAsia="Times New Roman" w:hAnsi="Times New Roman"/>
          <w:sz w:val="14"/>
          <w:szCs w:val="14"/>
          <w:color w:val="auto"/>
        </w:rPr>
        <w:t>Basic net income per share has been computed using the weighted average number of shares of common stock outstanding during each period. Diluted net income per share also includes the impact of our outstanding potential common shares, including options and restricted stock units. Potential common shares that are anti-dilutive are excluded from the calculation of diluted net income per share.</w:t>
      </w:r>
    </w:p>
    <w:p>
      <w:pPr>
        <w:spacing w:after="0" w:line="1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presents the components of the computation of basic and diluted net income per share for the periods indicated (in thousands, except per share amounts):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46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340" w:type="dxa"/>
            <w:vAlign w:val="bottom"/>
            <w:gridSpan w:val="3"/>
          </w:tcPr>
          <w:p>
            <w:pPr>
              <w:jc w:val="right"/>
              <w:ind w:right="9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6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10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4460" w:type="dxa"/>
            <w:vAlign w:val="bottom"/>
            <w:tcBorders>
              <w:bottom w:val="single" w:sz="8" w:color="CFF0FC"/>
            </w:tcBorders>
          </w:tcPr>
          <w:p>
            <w:pPr>
              <w:spacing w:after="0"/>
              <w:rPr>
                <w:sz w:val="10"/>
                <w:szCs w:val="10"/>
                <w:color w:val="auto"/>
              </w:rPr>
            </w:pPr>
          </w:p>
        </w:tc>
        <w:tc>
          <w:tcPr>
            <w:tcW w:w="3440" w:type="dxa"/>
            <w:vAlign w:val="bottom"/>
            <w:tcBorders>
              <w:bottom w:val="single" w:sz="8" w:color="CFF0FC"/>
            </w:tcBorders>
          </w:tcPr>
          <w:p>
            <w:pPr>
              <w:spacing w:after="0"/>
              <w:rPr>
                <w:sz w:val="10"/>
                <w:szCs w:val="10"/>
                <w:color w:val="auto"/>
              </w:rPr>
            </w:pPr>
          </w:p>
        </w:tc>
        <w:tc>
          <w:tcPr>
            <w:tcW w:w="1040" w:type="dxa"/>
            <w:vAlign w:val="bottom"/>
            <w:tcBorders>
              <w:bottom w:val="single" w:sz="8" w:color="auto"/>
            </w:tcBorders>
          </w:tcPr>
          <w:p>
            <w:pPr>
              <w:jc w:val="right"/>
              <w:ind w:right="84"/>
              <w:spacing w:after="0" w:line="118" w:lineRule="exact"/>
              <w:rPr>
                <w:sz w:val="20"/>
                <w:szCs w:val="20"/>
                <w:color w:val="auto"/>
              </w:rPr>
            </w:pPr>
            <w:r>
              <w:rPr>
                <w:rFonts w:ascii="Times New Roman" w:cs="Times New Roman" w:eastAsia="Times New Roman" w:hAnsi="Times New Roman"/>
                <w:sz w:val="11"/>
                <w:szCs w:val="11"/>
                <w:b w:val="1"/>
                <w:bCs w:val="1"/>
                <w:color w:val="auto"/>
              </w:rPr>
              <w:t>2019</w:t>
            </w:r>
          </w:p>
        </w:tc>
        <w:tc>
          <w:tcPr>
            <w:tcW w:w="540" w:type="dxa"/>
            <w:vAlign w:val="bottom"/>
            <w:tcBorders>
              <w:bottom w:val="single" w:sz="8" w:color="auto"/>
            </w:tcBorders>
          </w:tcPr>
          <w:p>
            <w:pPr>
              <w:spacing w:after="0"/>
              <w:rPr>
                <w:sz w:val="10"/>
                <w:szCs w:val="10"/>
                <w:color w:val="auto"/>
              </w:rPr>
            </w:pPr>
          </w:p>
        </w:tc>
        <w:tc>
          <w:tcPr>
            <w:tcW w:w="280" w:type="dxa"/>
            <w:vAlign w:val="bottom"/>
            <w:tcBorders>
              <w:bottom w:val="single" w:sz="8" w:color="CFF0FC"/>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611"/>
              <w:spacing w:after="0" w:line="118" w:lineRule="exact"/>
              <w:rPr>
                <w:sz w:val="20"/>
                <w:szCs w:val="20"/>
                <w:color w:val="auto"/>
              </w:rPr>
            </w:pPr>
            <w:r>
              <w:rPr>
                <w:rFonts w:ascii="Times New Roman" w:cs="Times New Roman" w:eastAsia="Times New Roman" w:hAnsi="Times New Roman"/>
                <w:sz w:val="11"/>
                <w:szCs w:val="11"/>
                <w:b w:val="1"/>
                <w:bCs w:val="1"/>
                <w:color w:val="auto"/>
              </w:rPr>
              <w:t>2018</w:t>
            </w:r>
          </w:p>
        </w:tc>
        <w:tc>
          <w:tcPr>
            <w:tcW w:w="120" w:type="dxa"/>
            <w:vAlign w:val="bottom"/>
            <w:tcBorders>
              <w:bottom w:val="single" w:sz="8" w:color="CFF0FC"/>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34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income</w:t>
            </w:r>
          </w:p>
        </w:tc>
        <w:tc>
          <w:tcPr>
            <w:tcW w:w="4480" w:type="dxa"/>
            <w:vAlign w:val="bottom"/>
            <w:gridSpan w:val="2"/>
          </w:tcPr>
          <w:p>
            <w:pPr>
              <w:jc w:val="right"/>
              <w:ind w:right="924"/>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6,813</w:t>
            </w:r>
          </w:p>
        </w:tc>
        <w:tc>
          <w:tcPr>
            <w:tcW w:w="280" w:type="dxa"/>
            <w:vAlign w:val="bottom"/>
          </w:tcPr>
          <w:p>
            <w:pPr>
              <w:spacing w:after="0"/>
              <w:rPr>
                <w:sz w:val="15"/>
                <w:szCs w:val="15"/>
                <w:color w:val="auto"/>
              </w:rPr>
            </w:pPr>
          </w:p>
        </w:tc>
        <w:tc>
          <w:tcPr>
            <w:tcW w:w="520" w:type="dxa"/>
            <w:vAlign w:val="bottom"/>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34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Weighted average common shares outstanding, basic</w:t>
            </w:r>
          </w:p>
        </w:tc>
        <w:tc>
          <w:tcPr>
            <w:tcW w:w="3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17,471</w:t>
            </w: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17,093</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Options to purchase common stock</w:t>
            </w:r>
          </w:p>
        </w:tc>
        <w:tc>
          <w:tcPr>
            <w:tcW w:w="34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2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2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60" w:type="dxa"/>
            <w:vAlign w:val="bottom"/>
            <w:tcBorders>
              <w:bottom w:val="single" w:sz="8" w:color="CFF0FC"/>
            </w:tcBorders>
          </w:tcPr>
          <w:p>
            <w:pPr>
              <w:ind w:left="380"/>
              <w:spacing w:after="0"/>
              <w:rPr>
                <w:sz w:val="20"/>
                <w:szCs w:val="20"/>
                <w:color w:val="auto"/>
              </w:rPr>
            </w:pPr>
            <w:r>
              <w:rPr>
                <w:rFonts w:ascii="Times New Roman" w:cs="Times New Roman" w:eastAsia="Times New Roman" w:hAnsi="Times New Roman"/>
                <w:sz w:val="14"/>
                <w:szCs w:val="14"/>
                <w:color w:val="auto"/>
              </w:rPr>
              <w:t>Restricted stock units</w:t>
            </w:r>
          </w:p>
        </w:tc>
        <w:tc>
          <w:tcPr>
            <w:tcW w:w="344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280" w:type="dxa"/>
            <w:vAlign w:val="bottom"/>
            <w:tcBorders>
              <w:bottom w:val="single" w:sz="8" w:color="CFF0FC"/>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tcBorders>
              <w:bottom w:val="single" w:sz="8" w:color="CFF0F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4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Weighted average common shares outstanding, diluted</w:t>
            </w:r>
          </w:p>
        </w:tc>
        <w:tc>
          <w:tcPr>
            <w:tcW w:w="3440" w:type="dxa"/>
            <w:vAlign w:val="bottom"/>
            <w:tcBorders>
              <w:bottom w:val="single" w:sz="8" w:color="CFF0FC"/>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17,992</w:t>
            </w:r>
          </w:p>
        </w:tc>
        <w:tc>
          <w:tcPr>
            <w:tcW w:w="280" w:type="dxa"/>
            <w:vAlign w:val="bottom"/>
            <w:tcBorders>
              <w:bottom w:val="single" w:sz="8" w:color="CFF0FC"/>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17,307</w:t>
            </w:r>
          </w:p>
        </w:tc>
        <w:tc>
          <w:tcPr>
            <w:tcW w:w="120" w:type="dxa"/>
            <w:vAlign w:val="bottom"/>
            <w:tcBorders>
              <w:bottom w:val="single" w:sz="8" w:color="CFF0FC"/>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income per share</w:t>
            </w:r>
          </w:p>
        </w:tc>
        <w:tc>
          <w:tcPr>
            <w:tcW w:w="34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460" w:type="dxa"/>
            <w:vAlign w:val="bottom"/>
            <w:vMerge w:val="continue"/>
          </w:tcPr>
          <w:p>
            <w:pPr>
              <w:spacing w:after="0"/>
              <w:rPr>
                <w:sz w:val="13"/>
                <w:szCs w:val="13"/>
                <w:color w:val="auto"/>
              </w:rPr>
            </w:pPr>
          </w:p>
        </w:tc>
        <w:tc>
          <w:tcPr>
            <w:tcW w:w="34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4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Basic</w:t>
            </w:r>
          </w:p>
        </w:tc>
        <w:tc>
          <w:tcPr>
            <w:tcW w:w="4480" w:type="dxa"/>
            <w:vAlign w:val="bottom"/>
            <w:gridSpan w:val="2"/>
            <w:shd w:val="clear" w:color="auto" w:fill="CFF0FC"/>
          </w:tcPr>
          <w:p>
            <w:pPr>
              <w:jc w:val="right"/>
              <w:ind w:right="924"/>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0.39</w:t>
            </w:r>
          </w:p>
        </w:tc>
        <w:tc>
          <w:tcPr>
            <w:tcW w:w="280" w:type="dxa"/>
            <w:vAlign w:val="bottom"/>
            <w:shd w:val="clear" w:color="auto" w:fill="CFF0FC"/>
          </w:tcPr>
          <w:p>
            <w:pPr>
              <w:spacing w:after="0"/>
              <w:rPr>
                <w:sz w:val="15"/>
                <w:szCs w:val="15"/>
                <w:color w:val="auto"/>
              </w:rPr>
            </w:pPr>
          </w:p>
        </w:tc>
        <w:tc>
          <w:tcPr>
            <w:tcW w:w="52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0.19</w:t>
            </w:r>
          </w:p>
        </w:tc>
        <w:tc>
          <w:tcPr>
            <w:tcW w:w="12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Diluted</w:t>
            </w:r>
          </w:p>
        </w:tc>
        <w:tc>
          <w:tcPr>
            <w:tcW w:w="4480" w:type="dxa"/>
            <w:vAlign w:val="bottom"/>
            <w:gridSpan w:val="2"/>
          </w:tcPr>
          <w:p>
            <w:pPr>
              <w:jc w:val="right"/>
              <w:ind w:right="924"/>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0.38</w:t>
            </w:r>
          </w:p>
        </w:tc>
        <w:tc>
          <w:tcPr>
            <w:tcW w:w="280" w:type="dxa"/>
            <w:vAlign w:val="bottom"/>
          </w:tcPr>
          <w:p>
            <w:pPr>
              <w:spacing w:after="0"/>
              <w:rPr>
                <w:sz w:val="15"/>
                <w:szCs w:val="15"/>
                <w:color w:val="auto"/>
              </w:rPr>
            </w:pPr>
          </w:p>
        </w:tc>
        <w:tc>
          <w:tcPr>
            <w:tcW w:w="520" w:type="dxa"/>
            <w:vAlign w:val="bottom"/>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0.19</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Antidilutive shares (in thousands)</w:t>
            </w:r>
          </w:p>
        </w:tc>
        <w:tc>
          <w:tcPr>
            <w:tcW w:w="344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280" w:type="dxa"/>
            <w:vAlign w:val="bottom"/>
            <w:tcBorders>
              <w:bottom w:val="single" w:sz="8" w:color="CFF0FC"/>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20" w:type="dxa"/>
            <w:vAlign w:val="bottom"/>
            <w:tcBorders>
              <w:bottom w:val="single" w:sz="8" w:color="CFF0FC"/>
            </w:tcBorders>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3440" w:type="dxa"/>
            <w:vAlign w:val="bottom"/>
            <w:vMerge w:val="restart"/>
          </w:tcPr>
          <w:p>
            <w:pPr>
              <w:jc w:val="right"/>
              <w:ind w:right="2030"/>
              <w:spacing w:after="0"/>
              <w:rPr>
                <w:sz w:val="20"/>
                <w:szCs w:val="20"/>
                <w:color w:val="auto"/>
              </w:rPr>
            </w:pPr>
            <w:r>
              <w:rPr>
                <w:rFonts w:ascii="Times New Roman" w:cs="Times New Roman" w:eastAsia="Times New Roman" w:hAnsi="Times New Roman"/>
                <w:sz w:val="14"/>
                <w:szCs w:val="14"/>
                <w:color w:val="auto"/>
              </w:rPr>
              <w:t>19</w:t>
            </w: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446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4460" w:type="dxa"/>
            <w:vAlign w:val="bottom"/>
            <w:tcBorders>
              <w:bottom w:val="single" w:sz="8" w:color="9A9A9A"/>
            </w:tcBorders>
          </w:tcPr>
          <w:p>
            <w:pPr>
              <w:spacing w:after="0"/>
              <w:rPr>
                <w:sz w:val="7"/>
                <w:szCs w:val="7"/>
                <w:color w:val="auto"/>
              </w:rPr>
            </w:pPr>
          </w:p>
        </w:tc>
        <w:tc>
          <w:tcPr>
            <w:tcW w:w="344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-25400</wp:posOffset>
            </wp:positionV>
            <wp:extent cx="3238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-25400</wp:posOffset>
            </wp:positionV>
            <wp:extent cx="3238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480"/>
          </w:cols>
          <w:pgMar w:left="220" w:top="473" w:right="199" w:bottom="1440" w:gutter="0" w:footer="0" w:header="0"/>
        </w:sectPr>
      </w:pPr>
    </w:p>
    <w:bookmarkStart w:id="19" w:name="page20"/>
    <w:bookmarkEnd w:id="19"/>
    <w:p>
      <w:pPr>
        <w:spacing w:after="0"/>
        <w:tabs>
          <w:tab w:leader="none" w:pos="1020" w:val="left"/>
        </w:tabs>
        <w:rPr>
          <w:sz w:val="20"/>
          <w:szCs w:val="20"/>
          <w:color w:val="auto"/>
        </w:rPr>
      </w:pPr>
      <w:r>
        <w:rPr>
          <w:rFonts w:ascii="Times New Roman" w:cs="Times New Roman" w:eastAsia="Times New Roman" w:hAnsi="Times New Roman"/>
          <w:sz w:val="14"/>
          <w:szCs w:val="14"/>
          <w:b w:val="1"/>
          <w:bCs w:val="1"/>
          <w:color w:val="auto"/>
        </w:rPr>
        <w:t>Item 2.</w:t>
      </w:r>
      <w:r>
        <w:rPr>
          <w:sz w:val="20"/>
          <w:szCs w:val="20"/>
          <w:color w:val="auto"/>
        </w:rPr>
        <w:tab/>
      </w:r>
      <w:r>
        <w:rPr>
          <w:rFonts w:ascii="Times New Roman" w:cs="Times New Roman" w:eastAsia="Times New Roman" w:hAnsi="Times New Roman"/>
          <w:sz w:val="14"/>
          <w:szCs w:val="14"/>
          <w:b w:val="1"/>
          <w:bCs w:val="1"/>
          <w:color w:val="auto"/>
        </w:rPr>
        <w:t>Management’s Discussion and Analysis of Financial Condition and Results of Operations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4" w:lineRule="exact"/>
        <w:rPr>
          <w:sz w:val="20"/>
          <w:szCs w:val="20"/>
          <w:color w:val="auto"/>
        </w:rPr>
      </w:pPr>
    </w:p>
    <w:p>
      <w:pPr>
        <w:jc w:val="both"/>
        <w:ind w:firstLine="520"/>
        <w:spacing w:after="0" w:line="268" w:lineRule="auto"/>
        <w:rPr>
          <w:sz w:val="20"/>
          <w:szCs w:val="20"/>
          <w:color w:val="auto"/>
        </w:rPr>
      </w:pPr>
      <w:r>
        <w:rPr>
          <w:rFonts w:ascii="Times New Roman" w:cs="Times New Roman" w:eastAsia="Times New Roman" w:hAnsi="Times New Roman"/>
          <w:sz w:val="14"/>
          <w:szCs w:val="14"/>
          <w:color w:val="auto"/>
        </w:rPr>
        <w:t>SPS Commerce is a leading provider of cloud-based solutions that make it easier for retailers, suppliers, grocers, distributors and logistics firms to orchestrate the management of item data, order fulfillment, inventory control and sales analytics across all channels. The solutions offered by SPS Commerce eliminate the need for on-premise software and support staff by taking on that capability on the customer’s behalf. We derive the majority of our revenues from numerous monthly recurring subscriptions from business that utilize our solutions.</w:t>
      </w:r>
    </w:p>
    <w:p>
      <w:pPr>
        <w:spacing w:after="0" w:line="137" w:lineRule="exact"/>
        <w:rPr>
          <w:sz w:val="20"/>
          <w:szCs w:val="20"/>
          <w:color w:val="auto"/>
        </w:rPr>
      </w:pPr>
    </w:p>
    <w:p>
      <w:pPr>
        <w:ind w:right="160" w:firstLine="520"/>
        <w:spacing w:after="0" w:line="268" w:lineRule="auto"/>
        <w:rPr>
          <w:sz w:val="20"/>
          <w:szCs w:val="20"/>
          <w:color w:val="auto"/>
        </w:rPr>
      </w:pPr>
      <w:r>
        <w:rPr>
          <w:rFonts w:ascii="Times New Roman" w:cs="Times New Roman" w:eastAsia="Times New Roman" w:hAnsi="Times New Roman"/>
          <w:sz w:val="14"/>
          <w:szCs w:val="14"/>
          <w:color w:val="auto"/>
        </w:rPr>
        <w:t>We plan to continue to grow our business by further penetrating the supply chain management market, increasing revenues from our customers as their businesses grow, expanding our distribution channels, expanding our international presence and, from time to time, developing new solutions and applications. We also intend to selectively pursue acquisitions that will add customers, allow us to expand into new regions, or allow us to offer new functionalities.</w:t>
      </w:r>
    </w:p>
    <w:p>
      <w:pPr>
        <w:spacing w:after="0" w:line="137" w:lineRule="exact"/>
        <w:rPr>
          <w:sz w:val="20"/>
          <w:szCs w:val="20"/>
          <w:color w:val="auto"/>
        </w:rPr>
      </w:pPr>
    </w:p>
    <w:p>
      <w:pPr>
        <w:ind w:right="20" w:firstLine="520"/>
        <w:spacing w:after="0" w:line="285" w:lineRule="auto"/>
        <w:rPr>
          <w:sz w:val="20"/>
          <w:szCs w:val="20"/>
          <w:color w:val="auto"/>
        </w:rPr>
      </w:pPr>
      <w:r>
        <w:rPr>
          <w:rFonts w:ascii="Times New Roman" w:cs="Times New Roman" w:eastAsia="Times New Roman" w:hAnsi="Times New Roman"/>
          <w:sz w:val="14"/>
          <w:szCs w:val="14"/>
          <w:color w:val="auto"/>
        </w:rPr>
        <w:t>For the three months ended March 31, 2019, our revenues were $66.9 million, an increase of 13% from the comparable period in 2018, and represented our 73rd consecutive quarter of increased revenues. Total operating expenses increased 8% for the same period in 2019 from 2018.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Financial Terms and Metrics</w:t>
      </w:r>
    </w:p>
    <w:p>
      <w:pPr>
        <w:spacing w:after="0" w:line="94" w:lineRule="exact"/>
        <w:rPr>
          <w:sz w:val="20"/>
          <w:szCs w:val="20"/>
          <w:color w:val="auto"/>
        </w:rPr>
      </w:pPr>
    </w:p>
    <w:p>
      <w:pPr>
        <w:jc w:val="both"/>
        <w:ind w:right="360" w:firstLine="520"/>
        <w:spacing w:after="0" w:line="268" w:lineRule="auto"/>
        <w:rPr>
          <w:sz w:val="20"/>
          <w:szCs w:val="20"/>
          <w:color w:val="auto"/>
        </w:rPr>
      </w:pPr>
      <w:r>
        <w:rPr>
          <w:rFonts w:ascii="Times New Roman" w:cs="Times New Roman" w:eastAsia="Times New Roman" w:hAnsi="Times New Roman"/>
          <w:sz w:val="14"/>
          <w:szCs w:val="14"/>
          <w:color w:val="auto"/>
        </w:rPr>
        <w:t>We have several key financial terms and metrics, including annualized average recurring revenues per recurring revenue customer, which we also refer to as wallet share. During the three months ended March 31, 2019, there were no changes in the definitions of our key financial terms and metrics, which are discussed in more detail under the heading “</w:t>
      </w:r>
      <w:r>
        <w:rPr>
          <w:rFonts w:ascii="Times New Roman" w:cs="Times New Roman" w:eastAsia="Times New Roman" w:hAnsi="Times New Roman"/>
          <w:sz w:val="14"/>
          <w:szCs w:val="14"/>
          <w:i w:val="1"/>
          <w:iCs w:val="1"/>
          <w:color w:val="auto"/>
        </w:rPr>
        <w:t>Management’s Discussion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Analysis of Financial Condition and Results of Operations</w:t>
      </w:r>
      <w:r>
        <w:rPr>
          <w:rFonts w:ascii="Times New Roman" w:cs="Times New Roman" w:eastAsia="Times New Roman" w:hAnsi="Times New Roman"/>
          <w:sz w:val="14"/>
          <w:szCs w:val="14"/>
          <w:color w:val="auto"/>
        </w:rPr>
        <w:t>” included in our Annual Report on Form 10-K/A for the year ended December 31, 2018 as filed with the SEC.</w:t>
      </w:r>
    </w:p>
    <w:p>
      <w:pPr>
        <w:spacing w:after="0" w:line="137" w:lineRule="exact"/>
        <w:rPr>
          <w:sz w:val="20"/>
          <w:szCs w:val="20"/>
          <w:color w:val="auto"/>
        </w:rPr>
      </w:pPr>
    </w:p>
    <w:p>
      <w:pPr>
        <w:ind w:right="120" w:firstLine="520"/>
        <w:spacing w:after="0" w:line="263" w:lineRule="auto"/>
        <w:rPr>
          <w:sz w:val="20"/>
          <w:szCs w:val="20"/>
          <w:color w:val="auto"/>
        </w:rPr>
      </w:pPr>
      <w:r>
        <w:rPr>
          <w:rFonts w:ascii="Times New Roman" w:cs="Times New Roman" w:eastAsia="Times New Roman" w:hAnsi="Times New Roman"/>
          <w:sz w:val="14"/>
          <w:szCs w:val="14"/>
          <w:color w:val="auto"/>
        </w:rPr>
        <w:t>To supplement our financial statements, we also provide investors with Adjusted EBITDA and non-GAAP income per share, both of which are non-GAAP financial measures. We believe that these non-GAAP measures provide useful information to management and investors regarding certain financial and business trends relating to our financial condition and results of operations. Our management uses these non-GAAP measures to compare the company’s performance to that of prior periods for trend analyses and planning purposes. Adjusted EBITDA is also used for purposes of determining executive and senior management incentive compensation. These measures are presented to our board of directors.</w:t>
      </w:r>
    </w:p>
    <w:p>
      <w:pPr>
        <w:spacing w:after="0" w:line="139" w:lineRule="exact"/>
        <w:rPr>
          <w:sz w:val="20"/>
          <w:szCs w:val="20"/>
          <w:color w:val="auto"/>
        </w:rPr>
      </w:pPr>
    </w:p>
    <w:p>
      <w:pPr>
        <w:ind w:right="180" w:firstLine="520"/>
        <w:spacing w:after="0" w:line="268" w:lineRule="auto"/>
        <w:rPr>
          <w:sz w:val="20"/>
          <w:szCs w:val="20"/>
          <w:color w:val="auto"/>
        </w:rPr>
      </w:pPr>
      <w:r>
        <w:rPr>
          <w:rFonts w:ascii="Times New Roman" w:cs="Times New Roman" w:eastAsia="Times New Roman" w:hAnsi="Times New Roman"/>
          <w:sz w:val="14"/>
          <w:szCs w:val="14"/>
          <w:color w:val="auto"/>
        </w:rPr>
        <w:t>These non-GAAP measures should not be considered a substitute for, or superior to, financial measures calculated in accordance with GAAP. These non-GAAP financial measures exclude significant expenses and income that are required by GAAP to be recorded in our financial statements and are subject to inherent limitations. Investors should review the reconciliations of non-GAAP financial measures to the comparable GAAP financial measures that are included in this “</w:t>
      </w:r>
      <w:r>
        <w:rPr>
          <w:rFonts w:ascii="Times New Roman" w:cs="Times New Roman" w:eastAsia="Times New Roman" w:hAnsi="Times New Roman"/>
          <w:sz w:val="14"/>
          <w:szCs w:val="14"/>
          <w:i w:val="1"/>
          <w:iCs w:val="1"/>
          <w:color w:val="auto"/>
        </w:rPr>
        <w:t>Management’s Discussion and Analysis of Financial Condition and Results of Operations.</w:t>
      </w:r>
      <w:r>
        <w:rPr>
          <w:rFonts w:ascii="Times New Roman" w:cs="Times New Roman" w:eastAsia="Times New Roman" w:hAnsi="Times New Roman"/>
          <w:sz w:val="14"/>
          <w:szCs w:val="14"/>
          <w:color w:val="auto"/>
        </w:rPr>
        <w: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94" w:lineRule="exact"/>
        <w:rPr>
          <w:sz w:val="20"/>
          <w:szCs w:val="20"/>
          <w:color w:val="auto"/>
        </w:rPr>
      </w:pPr>
    </w:p>
    <w:p>
      <w:pPr>
        <w:ind w:right="200" w:firstLine="520"/>
        <w:spacing w:after="0" w:line="263" w:lineRule="auto"/>
        <w:rPr>
          <w:sz w:val="20"/>
          <w:szCs w:val="20"/>
          <w:color w:val="auto"/>
        </w:rPr>
      </w:pPr>
      <w:r>
        <w:rPr>
          <w:rFonts w:ascii="Times New Roman" w:cs="Times New Roman" w:eastAsia="Times New Roman" w:hAnsi="Times New Roman"/>
          <w:sz w:val="14"/>
          <w:szCs w:val="14"/>
          <w:color w:val="auto"/>
        </w:rPr>
        <w:t>This discussion of our financial condition and results of operations is based upon our condensed consolidated financial statements, which are prepared in accordance with GAAP. The preparation of these financial statements requires us to make estimates, judgments and assumptions that affect the reported amounts of assets, liabilities, revenues, costs and expenses and related disclosures. On an ongoing basis, we evaluate our estimates and assumptions. We base our estimates of the carrying value of certain assets and liabilities on historical experience and on various other assumptions that we believe to be reasonable. Our actual results may differ from these estimates under different assumptions or conditions.</w:t>
      </w:r>
    </w:p>
    <w:p>
      <w:pPr>
        <w:spacing w:after="0" w:line="139" w:lineRule="exact"/>
        <w:rPr>
          <w:sz w:val="20"/>
          <w:szCs w:val="20"/>
          <w:color w:val="auto"/>
        </w:rPr>
      </w:pPr>
    </w:p>
    <w:p>
      <w:pPr>
        <w:jc w:val="both"/>
        <w:ind w:right="200" w:firstLine="520"/>
        <w:spacing w:after="0" w:line="268" w:lineRule="auto"/>
        <w:rPr>
          <w:sz w:val="20"/>
          <w:szCs w:val="20"/>
          <w:color w:val="auto"/>
        </w:rPr>
      </w:pPr>
      <w:r>
        <w:rPr>
          <w:rFonts w:ascii="Times New Roman" w:cs="Times New Roman" w:eastAsia="Times New Roman" w:hAnsi="Times New Roman"/>
          <w:sz w:val="14"/>
          <w:szCs w:val="14"/>
          <w:color w:val="auto"/>
        </w:rPr>
        <w:t>A critical accounting policy is one that is both material to the presentation of our financial statements and requires us to make difficult, subjective or complex judgments relating to uncertain matters that could have a material effect on our financial condition and results of operations. Accordingly, we believe that our policies for revenue recognition and income taxes are the most critical to fully understand and evaluate our financial condition and results of operations.</w:t>
      </w:r>
    </w:p>
    <w:p>
      <w:pPr>
        <w:spacing w:after="0" w:line="137" w:lineRule="exact"/>
        <w:rPr>
          <w:sz w:val="20"/>
          <w:szCs w:val="20"/>
          <w:color w:val="auto"/>
        </w:rPr>
      </w:pPr>
    </w:p>
    <w:p>
      <w:pPr>
        <w:ind w:right="40" w:firstLine="520"/>
        <w:spacing w:after="0" w:line="268" w:lineRule="auto"/>
        <w:rPr>
          <w:sz w:val="20"/>
          <w:szCs w:val="20"/>
          <w:color w:val="auto"/>
        </w:rPr>
      </w:pPr>
      <w:r>
        <w:rPr>
          <w:rFonts w:ascii="Times New Roman" w:cs="Times New Roman" w:eastAsia="Times New Roman" w:hAnsi="Times New Roman"/>
          <w:sz w:val="14"/>
          <w:szCs w:val="14"/>
          <w:color w:val="auto"/>
        </w:rPr>
        <w:t>During the three months ended March 31, 2019, there were no changes in our critical accounting policies or estimates, other than the adoption of ASU No. 2016-02. See Note A to our condensed consolidated financial statements included in this Quarterly Report on Form 10-Q and in our Annual Report on Form 10-K/A for the year ended December 31, 2018, as filed with the SEC, for additional information regarding our accounting policies.</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55245</wp:posOffset>
            </wp:positionV>
            <wp:extent cx="731520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15200" cy="38735"/>
                    </a:xfrm>
                    <a:prstGeom prst="rect">
                      <a:avLst/>
                    </a:prstGeom>
                    <a:noFill/>
                  </pic:spPr>
                </pic:pic>
              </a:graphicData>
            </a:graphic>
          </wp:anchor>
        </w:drawing>
      </w:r>
    </w:p>
    <w:p>
      <w:pPr>
        <w:sectPr>
          <w:pgSz w:w="11900" w:h="16838" w:orient="portrait"/>
          <w:cols w:equalWidth="0" w:num="1">
            <w:col w:w="11440"/>
          </w:cols>
          <w:pgMar w:left="220" w:top="302"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Three months ended March 31, 2019 compared to three months ended March 31, 2018</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presents our results of operations for the periods indicated (dollars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34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400" w:type="dxa"/>
            <w:vAlign w:val="bottom"/>
            <w:tcBorders>
              <w:bottom w:val="single" w:sz="8" w:color="auto"/>
            </w:tcBorders>
            <w:gridSpan w:val="6"/>
          </w:tcPr>
          <w:p>
            <w:pPr>
              <w:jc w:val="right"/>
              <w:ind w:right="62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9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434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2"/>
          </w:tcPr>
          <w:p>
            <w:pPr>
              <w:jc w:val="right"/>
              <w:ind w:right="80"/>
              <w:spacing w:after="0" w:line="118" w:lineRule="exact"/>
              <w:rPr>
                <w:sz w:val="20"/>
                <w:szCs w:val="20"/>
                <w:color w:val="auto"/>
              </w:rPr>
            </w:pPr>
            <w:r>
              <w:rPr>
                <w:rFonts w:ascii="Times New Roman" w:cs="Times New Roman" w:eastAsia="Times New Roman" w:hAnsi="Times New Roman"/>
                <w:sz w:val="11"/>
                <w:szCs w:val="11"/>
                <w:b w:val="1"/>
                <w:bCs w:val="1"/>
                <w:color w:val="auto"/>
              </w:rPr>
              <w:t>2019</w:t>
            </w:r>
          </w:p>
        </w:tc>
        <w:tc>
          <w:tcPr>
            <w:tcW w:w="88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2"/>
          </w:tcPr>
          <w:p>
            <w:pPr>
              <w:jc w:val="right"/>
              <w:ind w:right="80"/>
              <w:spacing w:after="0" w:line="118" w:lineRule="exact"/>
              <w:rPr>
                <w:sz w:val="20"/>
                <w:szCs w:val="20"/>
                <w:color w:val="auto"/>
              </w:rPr>
            </w:pPr>
            <w:r>
              <w:rPr>
                <w:rFonts w:ascii="Times New Roman" w:cs="Times New Roman" w:eastAsia="Times New Roman" w:hAnsi="Times New Roman"/>
                <w:sz w:val="11"/>
                <w:szCs w:val="11"/>
                <w:b w:val="1"/>
                <w:bCs w:val="1"/>
                <w:color w:val="auto"/>
              </w:rPr>
              <w:t>2018</w:t>
            </w:r>
          </w:p>
        </w:tc>
        <w:tc>
          <w:tcPr>
            <w:tcW w:w="90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2"/>
            <w:vMerge w:val="continue"/>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tcPr>
          <w:p>
            <w:pPr>
              <w:jc w:val="right"/>
              <w:ind w:right="91"/>
              <w:spacing w:after="0" w:line="118" w:lineRule="exact"/>
              <w:rPr>
                <w:sz w:val="20"/>
                <w:szCs w:val="20"/>
                <w:color w:val="auto"/>
              </w:rPr>
            </w:pPr>
            <w:r>
              <w:rPr>
                <w:rFonts w:ascii="Times New Roman" w:cs="Times New Roman" w:eastAsia="Times New Roman" w:hAnsi="Times New Roman"/>
                <w:sz w:val="11"/>
                <w:szCs w:val="11"/>
                <w:b w:val="1"/>
                <w:bCs w:val="1"/>
                <w:color w:val="auto"/>
              </w:rPr>
              <w:t>% of revenue</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Pr>
          <w:p>
            <w:pPr>
              <w:jc w:val="right"/>
              <w:ind w:right="110"/>
              <w:spacing w:after="0" w:line="118" w:lineRule="exact"/>
              <w:rPr>
                <w:sz w:val="20"/>
                <w:szCs w:val="20"/>
                <w:color w:val="auto"/>
              </w:rPr>
            </w:pPr>
            <w:r>
              <w:rPr>
                <w:rFonts w:ascii="Times New Roman" w:cs="Times New Roman" w:eastAsia="Times New Roman" w:hAnsi="Times New Roman"/>
                <w:sz w:val="11"/>
                <w:szCs w:val="11"/>
                <w:b w:val="1"/>
                <w:bCs w:val="1"/>
                <w:color w:val="auto"/>
              </w:rPr>
              <w:t>% of revenue</w:t>
            </w: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jc w:val="right"/>
              <w:ind w:right="391"/>
              <w:spacing w:after="0" w:line="118" w:lineRule="exact"/>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tcPr>
          <w:p>
            <w:pPr>
              <w:spacing w:after="0"/>
              <w:rPr>
                <w:sz w:val="10"/>
                <w:szCs w:val="10"/>
                <w:color w:val="auto"/>
              </w:rPr>
            </w:pPr>
          </w:p>
        </w:tc>
        <w:tc>
          <w:tcPr>
            <w:tcW w:w="720" w:type="dxa"/>
            <w:vAlign w:val="bottom"/>
          </w:tcPr>
          <w:p>
            <w:pPr>
              <w:jc w:val="right"/>
              <w:ind w:right="370"/>
              <w:spacing w:after="0" w:line="118"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Revenues</w:t>
            </w:r>
          </w:p>
        </w:tc>
        <w:tc>
          <w:tcPr>
            <w:tcW w:w="32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66,934</w:t>
            </w:r>
          </w:p>
        </w:tc>
        <w:tc>
          <w:tcPr>
            <w:tcW w:w="3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100.0%</w:t>
            </w:r>
          </w:p>
        </w:tc>
        <w:tc>
          <w:tcPr>
            <w:tcW w:w="38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59,092</w:t>
            </w:r>
          </w:p>
        </w:tc>
        <w:tc>
          <w:tcPr>
            <w:tcW w:w="3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100.0%</w:t>
            </w:r>
          </w:p>
        </w:tc>
        <w:tc>
          <w:tcPr>
            <w:tcW w:w="260" w:type="dxa"/>
            <w:vAlign w:val="bottom"/>
            <w:shd w:val="clear" w:color="auto" w:fill="CFF0FC"/>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7,842</w:t>
            </w:r>
          </w:p>
        </w:tc>
        <w:tc>
          <w:tcPr>
            <w:tcW w:w="48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180"/>
        </w:trPr>
        <w:tc>
          <w:tcPr>
            <w:tcW w:w="43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color w:val="auto"/>
              </w:rPr>
              <w:t>Cost of revenues</w:t>
            </w:r>
          </w:p>
        </w:tc>
        <w:tc>
          <w:tcPr>
            <w:tcW w:w="3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21,367</w:t>
            </w:r>
          </w:p>
        </w:tc>
        <w:tc>
          <w:tcPr>
            <w:tcW w:w="300" w:type="dxa"/>
            <w:vAlign w:val="bottom"/>
            <w:tcBorders>
              <w:bottom w:val="single" w:sz="8" w:color="CFF0FC"/>
            </w:tcBorders>
          </w:tcPr>
          <w:p>
            <w:pPr>
              <w:spacing w:after="0"/>
              <w:rPr>
                <w:sz w:val="15"/>
                <w:szCs w:val="15"/>
                <w:color w:val="auto"/>
              </w:rPr>
            </w:pPr>
          </w:p>
        </w:tc>
        <w:tc>
          <w:tcPr>
            <w:tcW w:w="8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20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19,758</w:t>
            </w:r>
          </w:p>
        </w:tc>
        <w:tc>
          <w:tcPr>
            <w:tcW w:w="300" w:type="dxa"/>
            <w:vAlign w:val="bottom"/>
            <w:tcBorders>
              <w:bottom w:val="single" w:sz="8" w:color="CFF0FC"/>
            </w:tcBorders>
          </w:tcPr>
          <w:p>
            <w:pPr>
              <w:spacing w:after="0"/>
              <w:rPr>
                <w:sz w:val="15"/>
                <w:szCs w:val="15"/>
                <w:color w:val="auto"/>
              </w:rPr>
            </w:pPr>
          </w:p>
        </w:tc>
        <w:tc>
          <w:tcPr>
            <w:tcW w:w="9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26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1,609</w:t>
            </w:r>
          </w:p>
        </w:tc>
        <w:tc>
          <w:tcPr>
            <w:tcW w:w="480" w:type="dxa"/>
            <w:vAlign w:val="bottom"/>
            <w:tcBorders>
              <w:bottom w:val="single" w:sz="8" w:color="CFF0FC"/>
            </w:tcBorders>
          </w:tcPr>
          <w:p>
            <w:pPr>
              <w:spacing w:after="0"/>
              <w:rPr>
                <w:sz w:val="15"/>
                <w:szCs w:val="15"/>
                <w:color w:val="auto"/>
              </w:rPr>
            </w:pPr>
          </w:p>
        </w:tc>
        <w:tc>
          <w:tcPr>
            <w:tcW w:w="7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4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Gross profit</w:t>
            </w:r>
          </w:p>
        </w:tc>
        <w:tc>
          <w:tcPr>
            <w:tcW w:w="32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45,567</w:t>
            </w:r>
          </w:p>
        </w:tc>
        <w:tc>
          <w:tcPr>
            <w:tcW w:w="3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39,334</w:t>
            </w:r>
          </w:p>
        </w:tc>
        <w:tc>
          <w:tcPr>
            <w:tcW w:w="3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66.6</w:t>
            </w:r>
          </w:p>
        </w:tc>
        <w:tc>
          <w:tcPr>
            <w:tcW w:w="260" w:type="dxa"/>
            <w:vAlign w:val="bottom"/>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6,233</w:t>
            </w:r>
          </w:p>
        </w:tc>
        <w:tc>
          <w:tcPr>
            <w:tcW w:w="4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Sales and marketing</w:t>
            </w:r>
          </w:p>
        </w:tc>
        <w:tc>
          <w:tcPr>
            <w:tcW w:w="3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17,922</w:t>
            </w:r>
          </w:p>
        </w:tc>
        <w:tc>
          <w:tcPr>
            <w:tcW w:w="3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18,647</w:t>
            </w:r>
          </w:p>
        </w:tc>
        <w:tc>
          <w:tcPr>
            <w:tcW w:w="3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4"/>
                <w:szCs w:val="14"/>
                <w:color w:val="auto"/>
              </w:rPr>
              <w:t>(725)</w:t>
            </w: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80"/>
        </w:trPr>
        <w:tc>
          <w:tcPr>
            <w:tcW w:w="43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6,192</w:t>
            </w:r>
          </w:p>
        </w:tc>
        <w:tc>
          <w:tcPr>
            <w:tcW w:w="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5,132</w:t>
            </w:r>
          </w:p>
        </w:tc>
        <w:tc>
          <w:tcPr>
            <w:tcW w:w="3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w:t>
            </w:r>
          </w:p>
        </w:tc>
        <w:tc>
          <w:tcPr>
            <w:tcW w:w="4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12,770</w:t>
            </w:r>
          </w:p>
        </w:tc>
        <w:tc>
          <w:tcPr>
            <w:tcW w:w="3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10,130</w:t>
            </w:r>
          </w:p>
        </w:tc>
        <w:tc>
          <w:tcPr>
            <w:tcW w:w="3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2,640</w:t>
            </w:r>
          </w:p>
        </w:tc>
        <w:tc>
          <w:tcPr>
            <w:tcW w:w="4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34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3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1,304</w:t>
            </w:r>
          </w:p>
        </w:tc>
        <w:tc>
          <w:tcPr>
            <w:tcW w:w="300" w:type="dxa"/>
            <w:vAlign w:val="bottom"/>
            <w:tcBorders>
              <w:bottom w:val="single" w:sz="8" w:color="CFF0FC"/>
            </w:tcBorders>
          </w:tcPr>
          <w:p>
            <w:pPr>
              <w:spacing w:after="0"/>
              <w:rPr>
                <w:sz w:val="15"/>
                <w:szCs w:val="15"/>
                <w:color w:val="auto"/>
              </w:rPr>
            </w:pPr>
          </w:p>
        </w:tc>
        <w:tc>
          <w:tcPr>
            <w:tcW w:w="8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0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1,125</w:t>
            </w:r>
          </w:p>
        </w:tc>
        <w:tc>
          <w:tcPr>
            <w:tcW w:w="300" w:type="dxa"/>
            <w:vAlign w:val="bottom"/>
            <w:tcBorders>
              <w:bottom w:val="single" w:sz="8" w:color="CFF0FC"/>
            </w:tcBorders>
          </w:tcPr>
          <w:p>
            <w:pPr>
              <w:spacing w:after="0"/>
              <w:rPr>
                <w:sz w:val="15"/>
                <w:szCs w:val="15"/>
                <w:color w:val="auto"/>
              </w:rPr>
            </w:pPr>
          </w:p>
        </w:tc>
        <w:tc>
          <w:tcPr>
            <w:tcW w:w="9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6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480" w:type="dxa"/>
            <w:vAlign w:val="bottom"/>
            <w:tcBorders>
              <w:bottom w:val="single" w:sz="8" w:color="CFF0FC"/>
            </w:tcBorders>
          </w:tcPr>
          <w:p>
            <w:pPr>
              <w:spacing w:after="0"/>
              <w:rPr>
                <w:sz w:val="15"/>
                <w:szCs w:val="15"/>
                <w:color w:val="auto"/>
              </w:rPr>
            </w:pPr>
          </w:p>
        </w:tc>
        <w:tc>
          <w:tcPr>
            <w:tcW w:w="7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4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3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2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38,188</w:t>
            </w:r>
          </w:p>
        </w:tc>
        <w:tc>
          <w:tcPr>
            <w:tcW w:w="3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35,034</w:t>
            </w:r>
          </w:p>
        </w:tc>
        <w:tc>
          <w:tcPr>
            <w:tcW w:w="3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260" w:type="dxa"/>
            <w:vAlign w:val="bottom"/>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3,154</w:t>
            </w:r>
          </w:p>
        </w:tc>
        <w:tc>
          <w:tcPr>
            <w:tcW w:w="4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3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Income from operations</w:t>
            </w:r>
          </w:p>
        </w:tc>
        <w:tc>
          <w:tcPr>
            <w:tcW w:w="3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7,379</w:t>
            </w:r>
          </w:p>
        </w:tc>
        <w:tc>
          <w:tcPr>
            <w:tcW w:w="3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4,300</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3,079</w:t>
            </w:r>
          </w:p>
        </w:tc>
        <w:tc>
          <w:tcPr>
            <w:tcW w:w="4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income (expense)</w:t>
            </w:r>
          </w:p>
        </w:tc>
        <w:tc>
          <w:tcPr>
            <w:tcW w:w="3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3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income, net</w:t>
            </w:r>
          </w:p>
        </w:tc>
        <w:tc>
          <w:tcPr>
            <w:tcW w:w="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w:t>
            </w:r>
          </w:p>
        </w:tc>
        <w:tc>
          <w:tcPr>
            <w:tcW w:w="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3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4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 expense, net</w:t>
            </w:r>
          </w:p>
        </w:tc>
        <w:tc>
          <w:tcPr>
            <w:tcW w:w="3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(47)</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(0.1)</w:t>
            </w:r>
          </w:p>
        </w:tc>
        <w:tc>
          <w:tcPr>
            <w:tcW w:w="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(154)</w:t>
            </w: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(0.3)</w:t>
            </w:r>
          </w:p>
        </w:tc>
        <w:tc>
          <w:tcPr>
            <w:tcW w:w="2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4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69.5</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3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Change in earn-out liability</w:t>
            </w:r>
          </w:p>
        </w:tc>
        <w:tc>
          <w:tcPr>
            <w:tcW w:w="32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(56)</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(0.1)</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(56)</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70"/>
        </w:trPr>
        <w:tc>
          <w:tcPr>
            <w:tcW w:w="4340" w:type="dxa"/>
            <w:vAlign w:val="bottom"/>
            <w:tcBorders>
              <w:top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Total other income, net</w:t>
            </w:r>
          </w:p>
        </w:tc>
        <w:tc>
          <w:tcPr>
            <w:tcW w:w="320" w:type="dxa"/>
            <w:vAlign w:val="bottom"/>
            <w:tcBorders>
              <w:top w:val="single" w:sz="8" w:color="auto"/>
              <w:bottom w:val="single" w:sz="8" w:color="auto"/>
            </w:tcBorders>
            <w:shd w:val="clear" w:color="auto" w:fill="CFF0FC"/>
          </w:tcPr>
          <w:p>
            <w:pPr>
              <w:spacing w:after="0"/>
              <w:rPr>
                <w:sz w:val="14"/>
                <w:szCs w:val="14"/>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300" w:type="dxa"/>
            <w:vAlign w:val="bottom"/>
            <w:tcBorders>
              <w:top w:val="single" w:sz="8" w:color="CFF0FC"/>
            </w:tcBorders>
            <w:shd w:val="clear" w:color="auto" w:fill="CFF0FC"/>
          </w:tcPr>
          <w:p>
            <w:pPr>
              <w:spacing w:after="0"/>
              <w:rPr>
                <w:sz w:val="14"/>
                <w:szCs w:val="14"/>
                <w:color w:val="auto"/>
              </w:rPr>
            </w:pPr>
          </w:p>
        </w:tc>
        <w:tc>
          <w:tcPr>
            <w:tcW w:w="88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20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320" w:type="dxa"/>
            <w:vAlign w:val="bottom"/>
            <w:tcBorders>
              <w:top w:val="single" w:sz="8" w:color="auto"/>
              <w:bottom w:val="single" w:sz="8" w:color="auto"/>
            </w:tcBorders>
            <w:shd w:val="clear" w:color="auto" w:fill="CFF0FC"/>
          </w:tcPr>
          <w:p>
            <w:pPr>
              <w:spacing w:after="0"/>
              <w:rPr>
                <w:sz w:val="14"/>
                <w:szCs w:val="14"/>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300" w:type="dxa"/>
            <w:vAlign w:val="bottom"/>
            <w:tcBorders>
              <w:top w:val="single" w:sz="8" w:color="CFF0FC"/>
            </w:tcBorders>
            <w:shd w:val="clear" w:color="auto" w:fill="CFF0FC"/>
          </w:tcPr>
          <w:p>
            <w:pPr>
              <w:spacing w:after="0"/>
              <w:rPr>
                <w:sz w:val="14"/>
                <w:szCs w:val="14"/>
                <w:color w:val="auto"/>
              </w:rPr>
            </w:pPr>
          </w:p>
        </w:tc>
        <w:tc>
          <w:tcPr>
            <w:tcW w:w="90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260" w:type="dxa"/>
            <w:vAlign w:val="bottom"/>
            <w:tcBorders>
              <w:top w:val="single" w:sz="8" w:color="CFF0FC"/>
            </w:tcBorders>
            <w:shd w:val="clear" w:color="auto" w:fill="CFF0FC"/>
          </w:tcPr>
          <w:p>
            <w:pPr>
              <w:spacing w:after="0"/>
              <w:rPr>
                <w:sz w:val="14"/>
                <w:szCs w:val="14"/>
                <w:color w:val="auto"/>
              </w:rPr>
            </w:pPr>
          </w:p>
        </w:tc>
        <w:tc>
          <w:tcPr>
            <w:tcW w:w="260" w:type="dxa"/>
            <w:vAlign w:val="bottom"/>
            <w:tcBorders>
              <w:top w:val="single" w:sz="8" w:color="auto"/>
              <w:bottom w:val="single" w:sz="8" w:color="auto"/>
            </w:tcBorders>
            <w:shd w:val="clear" w:color="auto" w:fill="CFF0FC"/>
          </w:tcPr>
          <w:p>
            <w:pPr>
              <w:spacing w:after="0"/>
              <w:rPr>
                <w:sz w:val="14"/>
                <w:szCs w:val="14"/>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480" w:type="dxa"/>
            <w:vAlign w:val="bottom"/>
            <w:tcBorders>
              <w:top w:val="single" w:sz="8" w:color="CFF0FC"/>
            </w:tcBorders>
            <w:shd w:val="clear" w:color="auto" w:fill="CFF0FC"/>
          </w:tcPr>
          <w:p>
            <w:pPr>
              <w:spacing w:after="0"/>
              <w:rPr>
                <w:sz w:val="14"/>
                <w:szCs w:val="14"/>
                <w:color w:val="auto"/>
              </w:rPr>
            </w:pPr>
          </w:p>
        </w:tc>
        <w:tc>
          <w:tcPr>
            <w:tcW w:w="72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82.3</w:t>
            </w:r>
          </w:p>
        </w:tc>
        <w:tc>
          <w:tcPr>
            <w:tcW w:w="14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3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7,853</w:t>
            </w:r>
          </w:p>
        </w:tc>
        <w:tc>
          <w:tcPr>
            <w:tcW w:w="3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4,560</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3,293</w:t>
            </w:r>
          </w:p>
        </w:tc>
        <w:tc>
          <w:tcPr>
            <w:tcW w:w="4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Income tax expense</w:t>
            </w:r>
          </w:p>
        </w:tc>
        <w:tc>
          <w:tcPr>
            <w:tcW w:w="3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3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1,306</w:t>
            </w:r>
          </w:p>
        </w:tc>
        <w:tc>
          <w:tcPr>
            <w:tcW w:w="3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4"/>
                <w:szCs w:val="14"/>
                <w:color w:val="auto"/>
              </w:rPr>
              <w:t>(266)</w:t>
            </w: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(20.4)</w:t>
            </w:r>
          </w:p>
        </w:tc>
        <w:tc>
          <w:tcPr>
            <w:tcW w:w="0" w:type="dxa"/>
            <w:vAlign w:val="bottom"/>
          </w:tcPr>
          <w:p>
            <w:pPr>
              <w:spacing w:after="0"/>
              <w:rPr>
                <w:sz w:val="1"/>
                <w:szCs w:val="1"/>
                <w:color w:val="auto"/>
              </w:rPr>
            </w:pPr>
          </w:p>
        </w:tc>
      </w:tr>
      <w:tr>
        <w:trPr>
          <w:trHeight w:val="170"/>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3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6,813</w:t>
            </w:r>
          </w:p>
        </w:tc>
        <w:tc>
          <w:tcPr>
            <w:tcW w:w="30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10.1%</w:t>
            </w:r>
          </w:p>
        </w:tc>
        <w:tc>
          <w:tcPr>
            <w:tcW w:w="6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3,254</w:t>
            </w:r>
          </w:p>
        </w:tc>
        <w:tc>
          <w:tcPr>
            <w:tcW w:w="30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5.4%</w:t>
            </w:r>
          </w:p>
        </w:tc>
        <w:tc>
          <w:tcPr>
            <w:tcW w:w="260" w:type="dxa"/>
            <w:vAlign w:val="bottom"/>
            <w:tcBorders>
              <w:top w:val="single" w:sz="8" w:color="auto"/>
              <w:bottom w:val="single" w:sz="8" w:color="auto"/>
            </w:tcBorders>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3,559</w:t>
            </w:r>
          </w:p>
        </w:tc>
        <w:tc>
          <w:tcPr>
            <w:tcW w:w="48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109.4%</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right="380" w:firstLine="520"/>
        <w:spacing w:after="0" w:line="288" w:lineRule="auto"/>
        <w:rPr>
          <w:sz w:val="20"/>
          <w:szCs w:val="20"/>
          <w:color w:val="auto"/>
        </w:rPr>
      </w:pPr>
      <w:r>
        <w:rPr>
          <w:rFonts w:ascii="Times New Roman" w:cs="Times New Roman" w:eastAsia="Times New Roman" w:hAnsi="Times New Roman"/>
          <w:sz w:val="14"/>
          <w:szCs w:val="14"/>
          <w:i w:val="1"/>
          <w:iCs w:val="1"/>
          <w:color w:val="auto"/>
        </w:rPr>
        <w:t xml:space="preserve">Revenues. </w:t>
      </w:r>
      <w:r>
        <w:rPr>
          <w:rFonts w:ascii="Times New Roman" w:cs="Times New Roman" w:eastAsia="Times New Roman" w:hAnsi="Times New Roman"/>
          <w:sz w:val="14"/>
          <w:szCs w:val="14"/>
          <w:color w:val="auto"/>
        </w:rPr>
        <w:t>The increase in revenues resulted from two primary factors: the increase in recurring revenue customers and the increase in annualized average recurring revenues per recurring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revenue customer, which we also refer to as wallet share.</w:t>
      </w:r>
    </w:p>
    <w:p>
      <w:pPr>
        <w:spacing w:after="0" w:line="38" w:lineRule="exact"/>
        <w:rPr>
          <w:sz w:val="20"/>
          <w:szCs w:val="20"/>
          <w:color w:val="auto"/>
        </w:rPr>
      </w:pPr>
    </w:p>
    <w:p>
      <w:pPr>
        <w:ind w:left="1040" w:hanging="518"/>
        <w:spacing w:after="0"/>
        <w:tabs>
          <w:tab w:leader="none" w:pos="10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recurring revenue customers increased 14% to 29,466 at March 31, 2019 from 25,888 at March 31, 2018.</w:t>
      </w:r>
    </w:p>
    <w:p>
      <w:pPr>
        <w:spacing w:after="0" w:line="92" w:lineRule="exact"/>
        <w:rPr>
          <w:rFonts w:ascii="Times New Roman" w:cs="Times New Roman" w:eastAsia="Times New Roman" w:hAnsi="Times New Roman"/>
          <w:sz w:val="14"/>
          <w:szCs w:val="14"/>
          <w:color w:val="auto"/>
        </w:rPr>
      </w:pPr>
    </w:p>
    <w:p>
      <w:pPr>
        <w:ind w:left="1040" w:right="280" w:hanging="518"/>
        <w:spacing w:after="0" w:line="285" w:lineRule="auto"/>
        <w:tabs>
          <w:tab w:leader="none" w:pos="10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Annualized average recurring revenues per recurring revenue customer, or wallet share, stayed level at $8,541 for the three months ended March 31, 2019 from $8,499 for the same period in 2018. The consistent wallet share is due to the increase in recurring revenue customers.</w:t>
      </w:r>
    </w:p>
    <w:p>
      <w:pPr>
        <w:spacing w:after="0" w:line="125" w:lineRule="exact"/>
        <w:rPr>
          <w:sz w:val="20"/>
          <w:szCs w:val="20"/>
          <w:color w:val="auto"/>
        </w:rPr>
      </w:pPr>
    </w:p>
    <w:p>
      <w:pPr>
        <w:jc w:val="both"/>
        <w:ind w:right="20" w:firstLine="520"/>
        <w:spacing w:after="0" w:line="268" w:lineRule="auto"/>
        <w:rPr>
          <w:sz w:val="20"/>
          <w:szCs w:val="20"/>
          <w:color w:val="auto"/>
        </w:rPr>
      </w:pPr>
      <w:r>
        <w:rPr>
          <w:rFonts w:ascii="Times New Roman" w:cs="Times New Roman" w:eastAsia="Times New Roman" w:hAnsi="Times New Roman"/>
          <w:sz w:val="14"/>
          <w:szCs w:val="14"/>
          <w:color w:val="auto"/>
        </w:rPr>
        <w:t>Recurring revenues from recurring revenue customers accounted for 94% of our total revenues for the three months ended March 31, 2019, increasing from 93% for the same period in 2018. We anticipate that the number of recurring revenue customers and wallet share will continue to increase as we increase the number of solutions we offer and increase the penetration of those solutions across our customer base.</w:t>
      </w:r>
    </w:p>
    <w:p>
      <w:pPr>
        <w:spacing w:after="0" w:line="135" w:lineRule="exact"/>
        <w:rPr>
          <w:sz w:val="20"/>
          <w:szCs w:val="20"/>
          <w:color w:val="auto"/>
        </w:rPr>
      </w:pPr>
    </w:p>
    <w:p>
      <w:pPr>
        <w:ind w:right="200" w:firstLine="520"/>
        <w:spacing w:after="0" w:line="270" w:lineRule="auto"/>
        <w:rPr>
          <w:sz w:val="20"/>
          <w:szCs w:val="20"/>
          <w:color w:val="auto"/>
        </w:rPr>
      </w:pPr>
      <w:r>
        <w:rPr>
          <w:rFonts w:ascii="Times New Roman" w:cs="Times New Roman" w:eastAsia="Times New Roman" w:hAnsi="Times New Roman"/>
          <w:sz w:val="14"/>
          <w:szCs w:val="14"/>
          <w:i w:val="1"/>
          <w:iCs w:val="1"/>
          <w:color w:val="auto"/>
        </w:rPr>
        <w:t xml:space="preserve">Cost of Revenues. </w:t>
      </w:r>
      <w:r>
        <w:rPr>
          <w:rFonts w:ascii="Times New Roman" w:cs="Times New Roman" w:eastAsia="Times New Roman" w:hAnsi="Times New Roman"/>
          <w:sz w:val="14"/>
          <w:szCs w:val="14"/>
          <w:color w:val="auto"/>
        </w:rPr>
        <w:t>The increase in cost of revenues for the three months ended March 31, 2019 was primarily due to an increase in personnel-related costs of $1.0 million, driven by increased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salaries and benefits due to business growth and by increased contract labor. As we continued to invest in the infrastructure supporting our platform, depreciation expense increased by $0.5 million compared to the same period in 2018.</w:t>
      </w:r>
    </w:p>
    <w:p>
      <w:pPr>
        <w:spacing w:after="0" w:line="133" w:lineRule="exact"/>
        <w:rPr>
          <w:sz w:val="20"/>
          <w:szCs w:val="20"/>
          <w:color w:val="auto"/>
        </w:rPr>
      </w:pPr>
    </w:p>
    <w:p>
      <w:pPr>
        <w:jc w:val="both"/>
        <w:ind w:right="120" w:firstLine="520"/>
        <w:spacing w:after="0" w:line="270" w:lineRule="auto"/>
        <w:rPr>
          <w:sz w:val="20"/>
          <w:szCs w:val="20"/>
          <w:color w:val="auto"/>
        </w:rPr>
      </w:pPr>
      <w:r>
        <w:rPr>
          <w:rFonts w:ascii="Times New Roman" w:cs="Times New Roman" w:eastAsia="Times New Roman" w:hAnsi="Times New Roman"/>
          <w:sz w:val="14"/>
          <w:szCs w:val="14"/>
          <w:i w:val="1"/>
          <w:iCs w:val="1"/>
          <w:color w:val="auto"/>
        </w:rPr>
        <w:t xml:space="preserve">Sales and Marketing Expenses. </w:t>
      </w:r>
      <w:r>
        <w:rPr>
          <w:rFonts w:ascii="Times New Roman" w:cs="Times New Roman" w:eastAsia="Times New Roman" w:hAnsi="Times New Roman"/>
          <w:sz w:val="14"/>
          <w:szCs w:val="14"/>
          <w:color w:val="auto"/>
        </w:rPr>
        <w:t>The decrease in sales and marketing expenses for the three months ended March 31, 2019 was due to decreased headcount, which resulted in a decrease of $1.4</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million in personnel-related costs, offset by an increase of $0.3 million in variable compensation earned by sales personnel and referral partners due to business growth, and by a $0.3 million increase in promotional expenses, compared to the same period in 2018.</w:t>
      </w:r>
    </w:p>
    <w:p>
      <w:pPr>
        <w:spacing w:after="0" w:line="133" w:lineRule="exact"/>
        <w:rPr>
          <w:sz w:val="20"/>
          <w:szCs w:val="20"/>
          <w:color w:val="auto"/>
        </w:rPr>
      </w:pPr>
    </w:p>
    <w:p>
      <w:pPr>
        <w:ind w:right="20" w:firstLine="520"/>
        <w:spacing w:after="0" w:line="288" w:lineRule="auto"/>
        <w:rPr>
          <w:sz w:val="20"/>
          <w:szCs w:val="20"/>
          <w:color w:val="auto"/>
        </w:rPr>
      </w:pPr>
      <w:r>
        <w:rPr>
          <w:rFonts w:ascii="Times New Roman" w:cs="Times New Roman" w:eastAsia="Times New Roman" w:hAnsi="Times New Roman"/>
          <w:sz w:val="14"/>
          <w:szCs w:val="14"/>
          <w:i w:val="1"/>
          <w:iCs w:val="1"/>
          <w:color w:val="auto"/>
        </w:rPr>
        <w:t xml:space="preserve">Research and Development Expenses. </w:t>
      </w:r>
      <w:r>
        <w:rPr>
          <w:rFonts w:ascii="Times New Roman" w:cs="Times New Roman" w:eastAsia="Times New Roman" w:hAnsi="Times New Roman"/>
          <w:sz w:val="14"/>
          <w:szCs w:val="14"/>
          <w:color w:val="auto"/>
        </w:rPr>
        <w:t>The increase in research and development expense for the three months ended March 31, 2019 was primarily due to increased headcount which resulted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 increase in personnel costs of $0.8 million and an increase in stock-based compensation expense of $0.2 million.</w:t>
      </w:r>
    </w:p>
    <w:p>
      <w:pPr>
        <w:spacing w:after="0" w:line="121" w:lineRule="exact"/>
        <w:rPr>
          <w:sz w:val="20"/>
          <w:szCs w:val="20"/>
          <w:color w:val="auto"/>
        </w:rPr>
      </w:pPr>
    </w:p>
    <w:p>
      <w:pPr>
        <w:ind w:right="40" w:firstLine="520"/>
        <w:spacing w:after="0" w:line="264" w:lineRule="auto"/>
        <w:rPr>
          <w:sz w:val="20"/>
          <w:szCs w:val="20"/>
          <w:color w:val="auto"/>
        </w:rPr>
      </w:pPr>
      <w:r>
        <w:rPr>
          <w:rFonts w:ascii="Times New Roman" w:cs="Times New Roman" w:eastAsia="Times New Roman" w:hAnsi="Times New Roman"/>
          <w:sz w:val="14"/>
          <w:szCs w:val="14"/>
          <w:i w:val="1"/>
          <w:iCs w:val="1"/>
          <w:color w:val="auto"/>
        </w:rPr>
        <w:t xml:space="preserve">General and Administrative Expenses. </w:t>
      </w:r>
      <w:r>
        <w:rPr>
          <w:rFonts w:ascii="Times New Roman" w:cs="Times New Roman" w:eastAsia="Times New Roman" w:hAnsi="Times New Roman"/>
          <w:sz w:val="14"/>
          <w:szCs w:val="14"/>
          <w:color w:val="auto"/>
        </w:rPr>
        <w:t>The increase in general and administrative expenses for the three months ended March 31, 2019 was primarily due to an increase of $1.5 million in stock-based compensation driven by the timing of the Chief Executive Officer’s 2019 RSU grants compared to his 2018 RSU grants, which resulted in immediate vesting, and expensing, based on retirement eligibility. As a result of continued business growth, personnel-related costs increased $0.5 million, cloud-based and software subscriptions increased $0.3 million, and bad debt expense increased $0.2 million, compared to the same period in 2018.</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55245</wp:posOffset>
            </wp:positionV>
            <wp:extent cx="731520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15200" cy="38735"/>
                    </a:xfrm>
                    <a:prstGeom prst="rect">
                      <a:avLst/>
                    </a:prstGeom>
                    <a:noFill/>
                  </pic:spPr>
                </pic:pic>
              </a:graphicData>
            </a:graphic>
          </wp:anchor>
        </w:drawing>
      </w:r>
    </w:p>
    <w:p>
      <w:pPr>
        <w:sectPr>
          <w:pgSz w:w="11900" w:h="16838" w:orient="portrait"/>
          <w:cols w:equalWidth="0" w:num="1">
            <w:col w:w="11460"/>
          </w:cols>
          <w:pgMar w:left="220" w:top="556" w:right="219" w:bottom="1440" w:gutter="0" w:footer="0" w:header="0"/>
        </w:sectPr>
      </w:pPr>
    </w:p>
    <w:bookmarkStart w:id="21" w:name="page22"/>
    <w:bookmarkEnd w:id="21"/>
    <w:p>
      <w:pPr>
        <w:ind w:right="120" w:firstLine="520"/>
        <w:spacing w:after="0" w:line="264" w:lineRule="auto"/>
        <w:rPr>
          <w:sz w:val="20"/>
          <w:szCs w:val="20"/>
          <w:color w:val="auto"/>
        </w:rPr>
      </w:pPr>
      <w:r>
        <w:rPr>
          <w:rFonts w:ascii="Times New Roman" w:cs="Times New Roman" w:eastAsia="Times New Roman" w:hAnsi="Times New Roman"/>
          <w:sz w:val="14"/>
          <w:szCs w:val="14"/>
          <w:i w:val="1"/>
          <w:iCs w:val="1"/>
          <w:color w:val="auto"/>
        </w:rPr>
        <w:t xml:space="preserve">Other Income (Expense). </w:t>
      </w:r>
      <w:r>
        <w:rPr>
          <w:rFonts w:ascii="Times New Roman" w:cs="Times New Roman" w:eastAsia="Times New Roman" w:hAnsi="Times New Roman"/>
          <w:sz w:val="14"/>
          <w:szCs w:val="14"/>
          <w:color w:val="auto"/>
        </w:rPr>
        <w:t>Interest income, net, other expense, net, and change in earn-out liability for the three months ended March 31, 2019 increased over the same period in 2018 primarily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due to other income of $0.3 million related to settlement and subsequent return of escrowed shares from the Toolbox acquisition partially offset by decreased interest income from investments and lower realized foreign currency exchange gains. Change in earn-out liability for the three months ended March 31, 2019 included $0.1 million expense driven by an adjustment to the fair value of the EDIAdmin due to estimated revenue at the earn-out measurement dates, December 31, 2019 and December 31, 2020.</w:t>
      </w:r>
    </w:p>
    <w:p>
      <w:pPr>
        <w:spacing w:after="0" w:line="137" w:lineRule="exact"/>
        <w:rPr>
          <w:sz w:val="20"/>
          <w:szCs w:val="20"/>
          <w:color w:val="auto"/>
        </w:rPr>
      </w:pPr>
    </w:p>
    <w:p>
      <w:pPr>
        <w:ind w:right="40" w:firstLine="520"/>
        <w:spacing w:after="0" w:line="261" w:lineRule="auto"/>
        <w:rPr>
          <w:sz w:val="20"/>
          <w:szCs w:val="20"/>
          <w:color w:val="auto"/>
        </w:rPr>
      </w:pPr>
      <w:r>
        <w:rPr>
          <w:rFonts w:ascii="Times New Roman" w:cs="Times New Roman" w:eastAsia="Times New Roman" w:hAnsi="Times New Roman"/>
          <w:sz w:val="14"/>
          <w:szCs w:val="14"/>
          <w:i w:val="1"/>
          <w:iCs w:val="1"/>
          <w:color w:val="auto"/>
        </w:rPr>
        <w:t xml:space="preserve">Income Tax Expense. </w:t>
      </w:r>
      <w:r>
        <w:rPr>
          <w:rFonts w:ascii="Times New Roman" w:cs="Times New Roman" w:eastAsia="Times New Roman" w:hAnsi="Times New Roman"/>
          <w:sz w:val="14"/>
          <w:szCs w:val="14"/>
          <w:color w:val="auto"/>
        </w:rPr>
        <w:t>We recorded income tax expense of $1.0 million for the three months ended March 31, 2019 compared to income tax expense of $1.3 million for three months ended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March 31, 2018. The decrease in income tax expense for the three months ended March 31, 2019 was primarily due to discrete tax benefits from stock activity increasing $1.0 million for the three months ended March 31, 2019 compared to the same period in 2018, partially offset by an increase in pre-tax income. Under ASU 2016-09, excess tax benefits generated upon the settlement or exercise of stock awards are no longer recognized as additional paid-in capital but are instead recognized as a reduction to income tax expense. As a result of recording these excess tax benefits in income tax expense, we expect that our annual effective income tax rate will be more volatile than it has been historically.</w:t>
      </w:r>
    </w:p>
    <w:p>
      <w:pPr>
        <w:spacing w:after="0" w:line="139" w:lineRule="exact"/>
        <w:rPr>
          <w:sz w:val="20"/>
          <w:szCs w:val="20"/>
          <w:color w:val="auto"/>
        </w:rPr>
      </w:pPr>
    </w:p>
    <w:p>
      <w:pPr>
        <w:jc w:val="both"/>
        <w:ind w:right="300" w:firstLine="520"/>
        <w:spacing w:after="0" w:line="264" w:lineRule="auto"/>
        <w:rPr>
          <w:sz w:val="20"/>
          <w:szCs w:val="20"/>
          <w:color w:val="auto"/>
        </w:rPr>
      </w:pPr>
      <w:r>
        <w:rPr>
          <w:rFonts w:ascii="Times New Roman" w:cs="Times New Roman" w:eastAsia="Times New Roman" w:hAnsi="Times New Roman"/>
          <w:sz w:val="14"/>
          <w:szCs w:val="14"/>
          <w:i w:val="1"/>
          <w:iCs w:val="1"/>
          <w:color w:val="auto"/>
        </w:rPr>
        <w:t xml:space="preserve">Adjusted EBITDA. </w:t>
      </w:r>
      <w:r>
        <w:rPr>
          <w:rFonts w:ascii="Times New Roman" w:cs="Times New Roman" w:eastAsia="Times New Roman" w:hAnsi="Times New Roman"/>
          <w:sz w:val="14"/>
          <w:szCs w:val="14"/>
          <w:color w:val="auto"/>
        </w:rPr>
        <w:t>Adjusted EBITDA, which is a non-GAAP measure of financial performance, consists of net income adjusted for depreciation and amortization, interest expense, interest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income, income tax expense, stock-based compensation expense, the discrete impact from tax law change, and other adjustments as necessary for a fair presentation. Other adjustments included the impact of the fair value adjustment for the EDIAdmin earn-out liability, returned escrow shares related to the Toolbox acquisition, and an impairment of internally developed software. The following table provides a reconciliation of net income to Adjusted EBITDA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7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340" w:type="dxa"/>
            <w:vAlign w:val="bottom"/>
            <w:gridSpan w:val="3"/>
          </w:tcPr>
          <w:p>
            <w:pPr>
              <w:jc w:val="right"/>
              <w:ind w:right="9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7900" w:type="dxa"/>
            <w:vAlign w:val="bottom"/>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10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17"/>
        </w:trPr>
        <w:tc>
          <w:tcPr>
            <w:tcW w:w="7900" w:type="dxa"/>
            <w:vAlign w:val="bottom"/>
            <w:tcBorders>
              <w:bottom w:val="single" w:sz="8" w:color="CFF0FC"/>
            </w:tcBorders>
          </w:tcPr>
          <w:p>
            <w:pPr>
              <w:spacing w:after="0"/>
              <w:rPr>
                <w:sz w:val="10"/>
                <w:szCs w:val="10"/>
                <w:color w:val="auto"/>
              </w:rPr>
            </w:pPr>
          </w:p>
        </w:tc>
        <w:tc>
          <w:tcPr>
            <w:tcW w:w="1040" w:type="dxa"/>
            <w:vAlign w:val="bottom"/>
            <w:tcBorders>
              <w:bottom w:val="single" w:sz="8" w:color="auto"/>
            </w:tcBorders>
          </w:tcPr>
          <w:p>
            <w:pPr>
              <w:jc w:val="right"/>
              <w:ind w:right="84"/>
              <w:spacing w:after="0" w:line="118" w:lineRule="exact"/>
              <w:rPr>
                <w:sz w:val="20"/>
                <w:szCs w:val="20"/>
                <w:color w:val="auto"/>
              </w:rPr>
            </w:pPr>
            <w:r>
              <w:rPr>
                <w:rFonts w:ascii="Times New Roman" w:cs="Times New Roman" w:eastAsia="Times New Roman" w:hAnsi="Times New Roman"/>
                <w:sz w:val="11"/>
                <w:szCs w:val="11"/>
                <w:b w:val="1"/>
                <w:bCs w:val="1"/>
                <w:color w:val="auto"/>
              </w:rPr>
              <w:t>2019</w:t>
            </w:r>
          </w:p>
        </w:tc>
        <w:tc>
          <w:tcPr>
            <w:tcW w:w="540" w:type="dxa"/>
            <w:vAlign w:val="bottom"/>
            <w:tcBorders>
              <w:bottom w:val="single" w:sz="8" w:color="auto"/>
            </w:tcBorders>
          </w:tcPr>
          <w:p>
            <w:pPr>
              <w:spacing w:after="0"/>
              <w:rPr>
                <w:sz w:val="10"/>
                <w:szCs w:val="10"/>
                <w:color w:val="auto"/>
              </w:rPr>
            </w:pPr>
          </w:p>
        </w:tc>
        <w:tc>
          <w:tcPr>
            <w:tcW w:w="280" w:type="dxa"/>
            <w:vAlign w:val="bottom"/>
            <w:tcBorders>
              <w:bottom w:val="single" w:sz="8" w:color="CFF0FC"/>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611"/>
              <w:spacing w:after="0" w:line="118" w:lineRule="exact"/>
              <w:rPr>
                <w:sz w:val="20"/>
                <w:szCs w:val="20"/>
                <w:color w:val="auto"/>
              </w:rPr>
            </w:pPr>
            <w:r>
              <w:rPr>
                <w:rFonts w:ascii="Times New Roman" w:cs="Times New Roman" w:eastAsia="Times New Roman" w:hAnsi="Times New Roman"/>
                <w:sz w:val="11"/>
                <w:szCs w:val="11"/>
                <w:b w:val="1"/>
                <w:bCs w:val="1"/>
                <w:color w:val="auto"/>
              </w:rPr>
              <w:t>2018</w:t>
            </w:r>
          </w:p>
        </w:tc>
        <w:tc>
          <w:tcPr>
            <w:tcW w:w="120" w:type="dxa"/>
            <w:vAlign w:val="bottom"/>
            <w:tcBorders>
              <w:bottom w:val="single" w:sz="8" w:color="CFF0FC"/>
            </w:tcBorders>
          </w:tcPr>
          <w:p>
            <w:pPr>
              <w:spacing w:after="0"/>
              <w:rPr>
                <w:sz w:val="10"/>
                <w:szCs w:val="10"/>
                <w:color w:val="auto"/>
              </w:rPr>
            </w:pPr>
          </w:p>
        </w:tc>
      </w:tr>
      <w:tr>
        <w:trPr>
          <w:trHeight w:val="170"/>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income</w:t>
            </w:r>
          </w:p>
        </w:tc>
        <w:tc>
          <w:tcPr>
            <w:tcW w:w="1040" w:type="dxa"/>
            <w:vAlign w:val="bottom"/>
            <w:shd w:val="clear" w:color="auto" w:fill="CFF0FC"/>
          </w:tcPr>
          <w:p>
            <w:pPr>
              <w:jc w:val="right"/>
              <w:ind w:right="924"/>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6,813</w:t>
            </w: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3,254</w:t>
            </w:r>
          </w:p>
        </w:tc>
        <w:tc>
          <w:tcPr>
            <w:tcW w:w="120" w:type="dxa"/>
            <w:vAlign w:val="bottom"/>
            <w:shd w:val="clear" w:color="auto" w:fill="CFF0FC"/>
          </w:tcPr>
          <w:p>
            <w:pPr>
              <w:spacing w:after="0"/>
              <w:rPr>
                <w:sz w:val="14"/>
                <w:szCs w:val="14"/>
                <w:color w:val="auto"/>
              </w:rPr>
            </w:pPr>
          </w:p>
        </w:tc>
      </w:tr>
      <w:tr>
        <w:trPr>
          <w:trHeight w:val="180"/>
        </w:trPr>
        <w:tc>
          <w:tcPr>
            <w:tcW w:w="79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Depreciation and amortization of property and equipment</w:t>
            </w:r>
          </w:p>
        </w:tc>
        <w:tc>
          <w:tcPr>
            <w:tcW w:w="10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2,637</w:t>
            </w: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2,083</w:t>
            </w:r>
          </w:p>
        </w:tc>
        <w:tc>
          <w:tcPr>
            <w:tcW w:w="120" w:type="dxa"/>
            <w:vAlign w:val="bottom"/>
          </w:tcPr>
          <w:p>
            <w:pPr>
              <w:spacing w:after="0"/>
              <w:rPr>
                <w:sz w:val="15"/>
                <w:szCs w:val="15"/>
                <w:color w:val="auto"/>
              </w:rPr>
            </w:pPr>
          </w:p>
        </w:tc>
      </w:tr>
      <w:tr>
        <w:trPr>
          <w:trHeight w:val="180"/>
        </w:trPr>
        <w:tc>
          <w:tcPr>
            <w:tcW w:w="7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10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1,304</w:t>
            </w:r>
          </w:p>
        </w:tc>
        <w:tc>
          <w:tcPr>
            <w:tcW w:w="2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1,125</w:t>
            </w:r>
          </w:p>
        </w:tc>
        <w:tc>
          <w:tcPr>
            <w:tcW w:w="120" w:type="dxa"/>
            <w:vAlign w:val="bottom"/>
            <w:shd w:val="clear" w:color="auto" w:fill="CFF0FC"/>
          </w:tcPr>
          <w:p>
            <w:pPr>
              <w:spacing w:after="0"/>
              <w:rPr>
                <w:sz w:val="15"/>
                <w:szCs w:val="15"/>
                <w:color w:val="auto"/>
              </w:rPr>
            </w:pPr>
          </w:p>
        </w:tc>
      </w:tr>
      <w:tr>
        <w:trPr>
          <w:trHeight w:val="180"/>
        </w:trPr>
        <w:tc>
          <w:tcPr>
            <w:tcW w:w="79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income, net</w:t>
            </w:r>
          </w:p>
        </w:tc>
        <w:tc>
          <w:tcPr>
            <w:tcW w:w="104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(577)</w:t>
            </w:r>
          </w:p>
        </w:tc>
        <w:tc>
          <w:tcPr>
            <w:tcW w:w="520" w:type="dxa"/>
            <w:vAlign w:val="bottom"/>
          </w:tcPr>
          <w:p>
            <w:pPr>
              <w:spacing w:after="0"/>
              <w:rPr>
                <w:sz w:val="15"/>
                <w:szCs w:val="15"/>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(414)</w:t>
            </w:r>
          </w:p>
        </w:tc>
      </w:tr>
      <w:tr>
        <w:trPr>
          <w:trHeight w:val="180"/>
        </w:trPr>
        <w:tc>
          <w:tcPr>
            <w:tcW w:w="7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Income tax expense</w:t>
            </w:r>
          </w:p>
        </w:tc>
        <w:tc>
          <w:tcPr>
            <w:tcW w:w="10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2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1,306</w:t>
            </w:r>
          </w:p>
        </w:tc>
        <w:tc>
          <w:tcPr>
            <w:tcW w:w="120" w:type="dxa"/>
            <w:vAlign w:val="bottom"/>
            <w:shd w:val="clear" w:color="auto" w:fill="CFF0FC"/>
          </w:tcPr>
          <w:p>
            <w:pPr>
              <w:spacing w:after="0"/>
              <w:rPr>
                <w:sz w:val="15"/>
                <w:szCs w:val="15"/>
                <w:color w:val="auto"/>
              </w:rPr>
            </w:pPr>
          </w:p>
        </w:tc>
      </w:tr>
      <w:tr>
        <w:trPr>
          <w:trHeight w:val="180"/>
        </w:trPr>
        <w:tc>
          <w:tcPr>
            <w:tcW w:w="79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5,294</w:t>
            </w: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3,533</w:t>
            </w:r>
          </w:p>
        </w:tc>
        <w:tc>
          <w:tcPr>
            <w:tcW w:w="120" w:type="dxa"/>
            <w:vAlign w:val="bottom"/>
          </w:tcPr>
          <w:p>
            <w:pPr>
              <w:spacing w:after="0"/>
              <w:rPr>
                <w:sz w:val="15"/>
                <w:szCs w:val="15"/>
                <w:color w:val="auto"/>
              </w:rPr>
            </w:pPr>
          </w:p>
        </w:tc>
      </w:tr>
      <w:tr>
        <w:trPr>
          <w:trHeight w:val="180"/>
        </w:trPr>
        <w:tc>
          <w:tcPr>
            <w:tcW w:w="7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w:t>
            </w:r>
          </w:p>
        </w:tc>
        <w:tc>
          <w:tcPr>
            <w:tcW w:w="10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(61)</w:t>
            </w:r>
          </w:p>
        </w:tc>
        <w:tc>
          <w:tcPr>
            <w:tcW w:w="5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auto"/>
              </w:rPr>
              <w:t>Adjusted EBITDA</w:t>
            </w:r>
          </w:p>
        </w:tc>
        <w:tc>
          <w:tcPr>
            <w:tcW w:w="1040" w:type="dxa"/>
            <w:vAlign w:val="bottom"/>
            <w:tcBorders>
              <w:top w:val="single" w:sz="8" w:color="auto"/>
              <w:bottom w:val="single" w:sz="8" w:color="auto"/>
            </w:tcBorders>
          </w:tcPr>
          <w:p>
            <w:pPr>
              <w:jc w:val="right"/>
              <w:ind w:right="924"/>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16,450</w:t>
            </w:r>
          </w:p>
        </w:tc>
        <w:tc>
          <w:tcPr>
            <w:tcW w:w="28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10,887</w:t>
            </w:r>
          </w:p>
        </w:tc>
        <w:tc>
          <w:tcPr>
            <w:tcW w:w="120" w:type="dxa"/>
            <w:vAlign w:val="bottom"/>
          </w:tcPr>
          <w:p>
            <w:pPr>
              <w:spacing w:after="0"/>
              <w:rPr>
                <w:sz w:val="14"/>
                <w:szCs w:val="14"/>
                <w:color w:val="auto"/>
              </w:rPr>
            </w:pPr>
          </w:p>
        </w:tc>
      </w:tr>
      <w:tr>
        <w:trPr>
          <w:trHeight w:val="20"/>
        </w:trPr>
        <w:tc>
          <w:tcPr>
            <w:tcW w:w="79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2" w:lineRule="exact"/>
        <w:rPr>
          <w:sz w:val="20"/>
          <w:szCs w:val="20"/>
          <w:color w:val="auto"/>
        </w:rPr>
      </w:pPr>
    </w:p>
    <w:p>
      <w:pPr>
        <w:ind w:right="120" w:firstLine="520"/>
        <w:spacing w:after="0" w:line="264" w:lineRule="auto"/>
        <w:rPr>
          <w:sz w:val="20"/>
          <w:szCs w:val="20"/>
          <w:color w:val="auto"/>
        </w:rPr>
      </w:pPr>
      <w:r>
        <w:rPr>
          <w:rFonts w:ascii="Times New Roman" w:cs="Times New Roman" w:eastAsia="Times New Roman" w:hAnsi="Times New Roman"/>
          <w:sz w:val="14"/>
          <w:szCs w:val="14"/>
          <w:i w:val="1"/>
          <w:iCs w:val="1"/>
          <w:color w:val="auto"/>
        </w:rPr>
        <w:t xml:space="preserve">Non-GAAP Income per Share. </w:t>
      </w:r>
      <w:r>
        <w:rPr>
          <w:rFonts w:ascii="Times New Roman" w:cs="Times New Roman" w:eastAsia="Times New Roman" w:hAnsi="Times New Roman"/>
          <w:sz w:val="14"/>
          <w:szCs w:val="14"/>
          <w:color w:val="auto"/>
        </w:rPr>
        <w:t>Non-GAAP income per share, which is also a non-GAAP measure of financial performance, consists of net income plus stock-based compensation expense,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amortization expense related to intangible assets, the discrete impact from tax law change and other adjustments as necessary for a fair presentation, divided by the weighted average number of shares of common stock outstanding during each period. Other adjustments included the impact of the fair value adjustment for the EDIAdmin earn-out liability, returned escrow shares related to the Toolbox acquisition, and an impairment of internally developed software. The following table provides a reconciliation of net income to non-GAAP income per share (in thousands, except per share amounts):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34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340" w:type="dxa"/>
            <w:vAlign w:val="bottom"/>
            <w:gridSpan w:val="4"/>
          </w:tcPr>
          <w:p>
            <w:pPr>
              <w:jc w:val="right"/>
              <w:ind w:right="105"/>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434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4"/>
          </w:tcPr>
          <w:p>
            <w:pPr>
              <w:jc w:val="right"/>
              <w:ind w:right="365"/>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10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17"/>
        </w:trPr>
        <w:tc>
          <w:tcPr>
            <w:tcW w:w="4340" w:type="dxa"/>
            <w:vAlign w:val="bottom"/>
            <w:tcBorders>
              <w:bottom w:val="single" w:sz="8" w:color="CFF0FC"/>
            </w:tcBorders>
          </w:tcPr>
          <w:p>
            <w:pPr>
              <w:spacing w:after="0"/>
              <w:rPr>
                <w:sz w:val="10"/>
                <w:szCs w:val="10"/>
                <w:color w:val="auto"/>
              </w:rPr>
            </w:pPr>
          </w:p>
        </w:tc>
        <w:tc>
          <w:tcPr>
            <w:tcW w:w="3580" w:type="dxa"/>
            <w:vAlign w:val="bottom"/>
            <w:tcBorders>
              <w:bottom w:val="single" w:sz="8" w:color="CFF0FC"/>
            </w:tcBorders>
          </w:tcPr>
          <w:p>
            <w:pPr>
              <w:spacing w:after="0"/>
              <w:rPr>
                <w:sz w:val="10"/>
                <w:szCs w:val="10"/>
                <w:color w:val="auto"/>
              </w:rPr>
            </w:pPr>
          </w:p>
        </w:tc>
        <w:tc>
          <w:tcPr>
            <w:tcW w:w="1040" w:type="dxa"/>
            <w:vAlign w:val="bottom"/>
            <w:tcBorders>
              <w:bottom w:val="single" w:sz="8" w:color="auto"/>
            </w:tcBorders>
          </w:tcPr>
          <w:p>
            <w:pPr>
              <w:jc w:val="right"/>
              <w:ind w:right="104"/>
              <w:spacing w:after="0" w:line="118" w:lineRule="exact"/>
              <w:rPr>
                <w:sz w:val="20"/>
                <w:szCs w:val="20"/>
                <w:color w:val="auto"/>
              </w:rPr>
            </w:pPr>
            <w:r>
              <w:rPr>
                <w:rFonts w:ascii="Times New Roman" w:cs="Times New Roman" w:eastAsia="Times New Roman" w:hAnsi="Times New Roman"/>
                <w:sz w:val="11"/>
                <w:szCs w:val="11"/>
                <w:b w:val="1"/>
                <w:bCs w:val="1"/>
                <w:color w:val="auto"/>
              </w:rPr>
              <w:t>2019</w:t>
            </w:r>
          </w:p>
        </w:tc>
        <w:tc>
          <w:tcPr>
            <w:tcW w:w="520" w:type="dxa"/>
            <w:vAlign w:val="bottom"/>
            <w:tcBorders>
              <w:bottom w:val="single" w:sz="8" w:color="auto"/>
            </w:tcBorders>
          </w:tcPr>
          <w:p>
            <w:pPr>
              <w:spacing w:after="0"/>
              <w:rPr>
                <w:sz w:val="10"/>
                <w:szCs w:val="10"/>
                <w:color w:val="auto"/>
              </w:rPr>
            </w:pPr>
          </w:p>
        </w:tc>
        <w:tc>
          <w:tcPr>
            <w:tcW w:w="180" w:type="dxa"/>
            <w:vAlign w:val="bottom"/>
            <w:tcBorders>
              <w:bottom w:val="single" w:sz="8" w:color="CFF0FC"/>
            </w:tcBorders>
          </w:tcPr>
          <w:p>
            <w:pPr>
              <w:spacing w:after="0"/>
              <w:rPr>
                <w:sz w:val="10"/>
                <w:szCs w:val="10"/>
                <w:color w:val="auto"/>
              </w:rPr>
            </w:pPr>
          </w:p>
        </w:tc>
        <w:tc>
          <w:tcPr>
            <w:tcW w:w="120" w:type="dxa"/>
            <w:vAlign w:val="bottom"/>
            <w:tcBorders>
              <w:bottom w:val="single" w:sz="8" w:color="CFF0FC"/>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611"/>
              <w:spacing w:after="0" w:line="118" w:lineRule="exact"/>
              <w:rPr>
                <w:sz w:val="20"/>
                <w:szCs w:val="20"/>
                <w:color w:val="auto"/>
              </w:rPr>
            </w:pPr>
            <w:r>
              <w:rPr>
                <w:rFonts w:ascii="Times New Roman" w:cs="Times New Roman" w:eastAsia="Times New Roman" w:hAnsi="Times New Roman"/>
                <w:sz w:val="11"/>
                <w:szCs w:val="11"/>
                <w:b w:val="1"/>
                <w:bCs w:val="1"/>
                <w:color w:val="auto"/>
              </w:rPr>
              <w:t>2018</w:t>
            </w:r>
          </w:p>
        </w:tc>
        <w:tc>
          <w:tcPr>
            <w:tcW w:w="100" w:type="dxa"/>
            <w:vAlign w:val="bottom"/>
            <w:tcBorders>
              <w:bottom w:val="single" w:sz="8" w:color="CFF0FC"/>
            </w:tcBorders>
          </w:tcPr>
          <w:p>
            <w:pPr>
              <w:spacing w:after="0"/>
              <w:rPr>
                <w:sz w:val="10"/>
                <w:szCs w:val="10"/>
                <w:color w:val="auto"/>
              </w:rPr>
            </w:pPr>
          </w:p>
        </w:tc>
        <w:tc>
          <w:tcPr>
            <w:tcW w:w="20" w:type="dxa"/>
            <w:vAlign w:val="bottom"/>
          </w:tcPr>
          <w:p>
            <w:pPr>
              <w:spacing w:after="0"/>
              <w:rPr>
                <w:sz w:val="10"/>
                <w:szCs w:val="10"/>
                <w:color w:val="auto"/>
              </w:rPr>
            </w:pPr>
          </w:p>
        </w:tc>
      </w:tr>
      <w:tr>
        <w:trPr>
          <w:trHeight w:val="170"/>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income</w:t>
            </w:r>
          </w:p>
        </w:tc>
        <w:tc>
          <w:tcPr>
            <w:tcW w:w="358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92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6,813</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right"/>
              <w:ind w:right="40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3,254</w:t>
            </w: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80"/>
        </w:trPr>
        <w:tc>
          <w:tcPr>
            <w:tcW w:w="43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5,294</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4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35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1,304</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1,125</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43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Income tax effects of adjustments</w:t>
            </w:r>
          </w:p>
        </w:tc>
        <w:tc>
          <w:tcPr>
            <w:tcW w:w="3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(2,643)</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(1,153)</w:t>
            </w:r>
          </w:p>
        </w:tc>
        <w:tc>
          <w:tcPr>
            <w:tcW w:w="20" w:type="dxa"/>
            <w:vAlign w:val="bottom"/>
          </w:tcPr>
          <w:p>
            <w:pPr>
              <w:spacing w:after="0"/>
              <w:rPr>
                <w:sz w:val="15"/>
                <w:szCs w:val="15"/>
                <w:color w:val="auto"/>
              </w:rPr>
            </w:pPr>
          </w:p>
        </w:tc>
      </w:tr>
      <w:tr>
        <w:trPr>
          <w:trHeight w:val="180"/>
        </w:trPr>
        <w:tc>
          <w:tcPr>
            <w:tcW w:w="4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w:t>
            </w:r>
          </w:p>
        </w:tc>
        <w:tc>
          <w:tcPr>
            <w:tcW w:w="35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r>
      <w:tr>
        <w:trPr>
          <w:trHeight w:val="210"/>
        </w:trPr>
        <w:tc>
          <w:tcPr>
            <w:tcW w:w="43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color w:val="auto"/>
              </w:rPr>
              <w:t>Non-GAAP income</w:t>
            </w:r>
          </w:p>
        </w:tc>
        <w:tc>
          <w:tcPr>
            <w:tcW w:w="3580" w:type="dxa"/>
            <w:vAlign w:val="bottom"/>
            <w:tcBorders>
              <w:bottom w:val="single" w:sz="8" w:color="CFF0FC"/>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92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10,707</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40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6,759</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r>
      <w:tr>
        <w:trPr>
          <w:trHeight w:val="162"/>
        </w:trPr>
        <w:tc>
          <w:tcPr>
            <w:tcW w:w="4340" w:type="dxa"/>
            <w:vAlign w:val="bottom"/>
            <w:shd w:val="clear" w:color="auto" w:fill="CFF0FC"/>
          </w:tcPr>
          <w:p>
            <w:pPr>
              <w:spacing w:after="0" w:line="151" w:lineRule="exact"/>
              <w:rPr>
                <w:sz w:val="20"/>
                <w:szCs w:val="20"/>
                <w:color w:val="auto"/>
              </w:rPr>
            </w:pPr>
            <w:r>
              <w:rPr>
                <w:rFonts w:ascii="Times New Roman" w:cs="Times New Roman" w:eastAsia="Times New Roman" w:hAnsi="Times New Roman"/>
                <w:sz w:val="14"/>
                <w:szCs w:val="14"/>
                <w:color w:val="auto"/>
              </w:rPr>
              <w:t>Shares used to compute non-GAAP income per share</w:t>
            </w:r>
          </w:p>
        </w:tc>
        <w:tc>
          <w:tcPr>
            <w:tcW w:w="35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80"/>
        </w:trPr>
        <w:tc>
          <w:tcPr>
            <w:tcW w:w="43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Basic</w:t>
            </w:r>
          </w:p>
        </w:tc>
        <w:tc>
          <w:tcPr>
            <w:tcW w:w="3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17,471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17,093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4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Diluted</w:t>
            </w:r>
          </w:p>
        </w:tc>
        <w:tc>
          <w:tcPr>
            <w:tcW w:w="35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17,992</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17,307</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Non-GAAP income per share</w:t>
            </w:r>
          </w:p>
        </w:tc>
        <w:tc>
          <w:tcPr>
            <w:tcW w:w="3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4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Basic</w:t>
            </w:r>
          </w:p>
        </w:tc>
        <w:tc>
          <w:tcPr>
            <w:tcW w:w="4620" w:type="dxa"/>
            <w:vAlign w:val="bottom"/>
            <w:gridSpan w:val="2"/>
            <w:shd w:val="clear" w:color="auto" w:fill="CFF0FC"/>
          </w:tcPr>
          <w:p>
            <w:pPr>
              <w:jc w:val="right"/>
              <w:ind w:right="924"/>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0.61</w:t>
            </w:r>
          </w:p>
        </w:tc>
        <w:tc>
          <w:tcPr>
            <w:tcW w:w="18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405"/>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0.40</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43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Diluted</w:t>
            </w:r>
          </w:p>
        </w:tc>
        <w:tc>
          <w:tcPr>
            <w:tcW w:w="4620" w:type="dxa"/>
            <w:vAlign w:val="bottom"/>
            <w:gridSpan w:val="2"/>
          </w:tcPr>
          <w:p>
            <w:pPr>
              <w:jc w:val="right"/>
              <w:ind w:right="924"/>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0.60</w:t>
            </w:r>
          </w:p>
        </w:tc>
        <w:tc>
          <w:tcPr>
            <w:tcW w:w="180" w:type="dxa"/>
            <w:vAlign w:val="bottom"/>
          </w:tcPr>
          <w:p>
            <w:pPr>
              <w:spacing w:after="0"/>
              <w:rPr>
                <w:sz w:val="15"/>
                <w:szCs w:val="15"/>
                <w:color w:val="auto"/>
              </w:rPr>
            </w:pPr>
          </w:p>
        </w:tc>
        <w:tc>
          <w:tcPr>
            <w:tcW w:w="640" w:type="dxa"/>
            <w:vAlign w:val="bottom"/>
            <w:gridSpan w:val="2"/>
          </w:tcPr>
          <w:p>
            <w:pPr>
              <w:jc w:val="right"/>
              <w:ind w:right="405"/>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503"/>
        </w:trPr>
        <w:tc>
          <w:tcPr>
            <w:tcW w:w="4340" w:type="dxa"/>
            <w:vAlign w:val="bottom"/>
          </w:tcPr>
          <w:p>
            <w:pPr>
              <w:spacing w:after="0"/>
              <w:rPr>
                <w:sz w:val="24"/>
                <w:szCs w:val="24"/>
                <w:color w:val="auto"/>
              </w:rPr>
            </w:pPr>
          </w:p>
        </w:tc>
        <w:tc>
          <w:tcPr>
            <w:tcW w:w="3580" w:type="dxa"/>
            <w:vAlign w:val="bottom"/>
          </w:tcPr>
          <w:p>
            <w:pPr>
              <w:jc w:val="right"/>
              <w:ind w:right="2050"/>
              <w:spacing w:after="0"/>
              <w:rPr>
                <w:sz w:val="20"/>
                <w:szCs w:val="20"/>
                <w:color w:val="auto"/>
              </w:rPr>
            </w:pPr>
            <w:r>
              <w:rPr>
                <w:rFonts w:ascii="Times New Roman" w:cs="Times New Roman" w:eastAsia="Times New Roman" w:hAnsi="Times New Roman"/>
                <w:sz w:val="14"/>
                <w:szCs w:val="14"/>
                <w:color w:val="auto"/>
              </w:rPr>
              <w:t>22</w:t>
            </w: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6"/>
        </w:trPr>
        <w:tc>
          <w:tcPr>
            <w:tcW w:w="4340" w:type="dxa"/>
            <w:vAlign w:val="bottom"/>
            <w:tcBorders>
              <w:bottom w:val="single" w:sz="8" w:color="9A9A9A"/>
            </w:tcBorders>
          </w:tcPr>
          <w:p>
            <w:pPr>
              <w:spacing w:after="0"/>
              <w:rPr>
                <w:sz w:val="7"/>
                <w:szCs w:val="7"/>
                <w:color w:val="auto"/>
              </w:rPr>
            </w:pPr>
          </w:p>
        </w:tc>
        <w:tc>
          <w:tcPr>
            <w:tcW w:w="35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-25400</wp:posOffset>
            </wp:positionV>
            <wp:extent cx="3238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-25400</wp:posOffset>
            </wp:positionV>
            <wp:extent cx="3238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480"/>
          </w:cols>
          <w:pgMar w:left="220" w:top="471" w:right="1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94" w:lineRule="exact"/>
        <w:rPr>
          <w:sz w:val="20"/>
          <w:szCs w:val="20"/>
          <w:color w:val="auto"/>
        </w:rPr>
      </w:pPr>
    </w:p>
    <w:p>
      <w:pPr>
        <w:ind w:right="120" w:firstLine="520"/>
        <w:spacing w:after="0" w:line="268" w:lineRule="auto"/>
        <w:rPr>
          <w:sz w:val="20"/>
          <w:szCs w:val="20"/>
          <w:color w:val="auto"/>
        </w:rPr>
      </w:pPr>
      <w:r>
        <w:rPr>
          <w:rFonts w:ascii="Times New Roman" w:cs="Times New Roman" w:eastAsia="Times New Roman" w:hAnsi="Times New Roman"/>
          <w:sz w:val="14"/>
          <w:szCs w:val="14"/>
          <w:color w:val="auto"/>
        </w:rPr>
        <w:t>At March 31, 2019, our principal sources of liquidity were cash, cash equivalents, certificates of deposit and marketable securities of $185 million and accounts receivable, net of allowance for doubtful accounts, of $28 million. Certificates of deposit and marketable securities are invested in accordance with our investment policy, with a goal of maintaining liquidity and capital preservation. Our cash equivalents and marketable securities are held in highly liquid money market funds, commercial paper, federal agency securities and corporate debt securities.</w:t>
      </w:r>
    </w:p>
    <w:p>
      <w:pPr>
        <w:spacing w:after="0" w:line="1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below table summarizes the activity within the statement of cash flows:</w:t>
      </w:r>
    </w:p>
    <w:p>
      <w:pPr>
        <w:spacing w:after="0" w:line="246" w:lineRule="exact"/>
        <w:rPr>
          <w:sz w:val="20"/>
          <w:szCs w:val="20"/>
          <w:color w:val="auto"/>
        </w:rPr>
      </w:pPr>
    </w:p>
    <w:p>
      <w:pPr>
        <w:jc w:val="center"/>
        <w:ind w:left="7780"/>
        <w:spacing w:after="0"/>
        <w:rPr>
          <w:sz w:val="20"/>
          <w:szCs w:val="20"/>
          <w:color w:val="auto"/>
        </w:rPr>
      </w:pPr>
      <w:r>
        <w:rPr>
          <w:rFonts w:ascii="Times New Roman" w:cs="Times New Roman" w:eastAsia="Times New Roman" w:hAnsi="Times New Roman"/>
          <w:sz w:val="11"/>
          <w:szCs w:val="11"/>
          <w:b w:val="1"/>
          <w:bCs w:val="1"/>
          <w:color w:val="auto"/>
        </w:rPr>
        <w:t>Three Months Ended</w:t>
      </w:r>
    </w:p>
    <w:p>
      <w:pPr>
        <w:spacing w:after="0" w:line="9" w:lineRule="exact"/>
        <w:rPr>
          <w:sz w:val="20"/>
          <w:szCs w:val="20"/>
          <w:color w:val="auto"/>
        </w:rPr>
      </w:pPr>
    </w:p>
    <w:p>
      <w:pPr>
        <w:jc w:val="center"/>
        <w:ind w:left="7780"/>
        <w:spacing w:after="0"/>
        <w:rPr>
          <w:sz w:val="20"/>
          <w:szCs w:val="20"/>
          <w:color w:val="auto"/>
        </w:rPr>
      </w:pPr>
      <w:r>
        <w:rPr>
          <w:rFonts w:ascii="Times New Roman" w:cs="Times New Roman" w:eastAsia="Times New Roman" w:hAnsi="Times New Roman"/>
          <w:sz w:val="11"/>
          <w:szCs w:val="11"/>
          <w:b w:val="1"/>
          <w:bCs w:val="1"/>
          <w:color w:val="auto"/>
        </w:rPr>
        <w:t>March 31,</w:t>
      </w:r>
    </w:p>
    <w:tbl>
      <w:tblPr>
        <w:tblLayout w:type="fixed"/>
        <w:tblInd w:w="0" w:type="dxa"/>
        <w:tblCellMar>
          <w:top w:w="0" w:type="dxa"/>
          <w:left w:w="0" w:type="dxa"/>
          <w:bottom w:w="0" w:type="dxa"/>
          <w:right w:w="0" w:type="dxa"/>
        </w:tblCellMar>
      </w:tblPr>
      <w:tr>
        <w:trPr>
          <w:trHeight w:val="117"/>
        </w:trPr>
        <w:tc>
          <w:tcPr>
            <w:tcW w:w="7900" w:type="dxa"/>
            <w:vAlign w:val="bottom"/>
          </w:tcPr>
          <w:p>
            <w:pPr>
              <w:spacing w:after="0"/>
              <w:rPr>
                <w:sz w:val="10"/>
                <w:szCs w:val="10"/>
                <w:color w:val="auto"/>
              </w:rPr>
            </w:pPr>
          </w:p>
        </w:tc>
        <w:tc>
          <w:tcPr>
            <w:tcW w:w="1040" w:type="dxa"/>
            <w:vAlign w:val="bottom"/>
            <w:tcBorders>
              <w:top w:val="single" w:sz="8" w:color="auto"/>
            </w:tcBorders>
          </w:tcPr>
          <w:p>
            <w:pPr>
              <w:jc w:val="right"/>
              <w:ind w:right="84"/>
              <w:spacing w:after="0" w:line="118" w:lineRule="exact"/>
              <w:rPr>
                <w:sz w:val="20"/>
                <w:szCs w:val="20"/>
                <w:color w:val="auto"/>
              </w:rPr>
            </w:pPr>
            <w:r>
              <w:rPr>
                <w:rFonts w:ascii="Times New Roman" w:cs="Times New Roman" w:eastAsia="Times New Roman" w:hAnsi="Times New Roman"/>
                <w:sz w:val="11"/>
                <w:szCs w:val="11"/>
                <w:b w:val="1"/>
                <w:bCs w:val="1"/>
                <w:color w:val="auto"/>
              </w:rPr>
              <w:t>2019</w:t>
            </w:r>
          </w:p>
        </w:tc>
        <w:tc>
          <w:tcPr>
            <w:tcW w:w="104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tcPr>
          <w:p>
            <w:pPr>
              <w:jc w:val="right"/>
              <w:ind w:right="613"/>
              <w:spacing w:after="0" w:line="118" w:lineRule="exact"/>
              <w:rPr>
                <w:sz w:val="20"/>
                <w:szCs w:val="20"/>
                <w:color w:val="auto"/>
              </w:rPr>
            </w:pPr>
            <w:r>
              <w:rPr>
                <w:rFonts w:ascii="Times New Roman" w:cs="Times New Roman" w:eastAsia="Times New Roman" w:hAnsi="Times New Roman"/>
                <w:sz w:val="11"/>
                <w:szCs w:val="11"/>
                <w:b w:val="1"/>
                <w:bCs w:val="1"/>
                <w:color w:val="auto"/>
              </w:rPr>
              <w:t>2018</w:t>
            </w:r>
          </w:p>
        </w:tc>
        <w:tc>
          <w:tcPr>
            <w:tcW w:w="120" w:type="dxa"/>
            <w:vAlign w:val="bottom"/>
          </w:tcPr>
          <w:p>
            <w:pPr>
              <w:spacing w:after="0"/>
              <w:rPr>
                <w:sz w:val="10"/>
                <w:szCs w:val="10"/>
                <w:color w:val="auto"/>
              </w:rPr>
            </w:pPr>
          </w:p>
        </w:tc>
      </w:tr>
      <w:tr>
        <w:trPr>
          <w:trHeight w:val="180"/>
        </w:trPr>
        <w:tc>
          <w:tcPr>
            <w:tcW w:w="8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04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4"/>
                <w:szCs w:val="14"/>
                <w:color w:val="auto"/>
              </w:rPr>
              <w:t>10,201</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9,349</w:t>
            </w:r>
          </w:p>
        </w:tc>
        <w:tc>
          <w:tcPr>
            <w:tcW w:w="120" w:type="dxa"/>
            <w:vAlign w:val="bottom"/>
            <w:shd w:val="clear" w:color="auto" w:fill="CFF0FC"/>
          </w:tcPr>
          <w:p>
            <w:pPr>
              <w:spacing w:after="0"/>
              <w:rPr>
                <w:sz w:val="15"/>
                <w:szCs w:val="15"/>
                <w:color w:val="auto"/>
              </w:rPr>
            </w:pPr>
          </w:p>
        </w:tc>
      </w:tr>
      <w:tr>
        <w:trPr>
          <w:trHeight w:val="190"/>
        </w:trPr>
        <w:tc>
          <w:tcPr>
            <w:tcW w:w="8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4"/>
                <w:szCs w:val="14"/>
                <w:color w:val="auto"/>
              </w:rPr>
              <w:t>(121)</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(6,692)</w:t>
            </w:r>
          </w:p>
        </w:tc>
      </w:tr>
      <w:tr>
        <w:trPr>
          <w:trHeight w:val="180"/>
        </w:trPr>
        <w:tc>
          <w:tcPr>
            <w:tcW w:w="8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104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4"/>
                <w:szCs w:val="14"/>
                <w:color w:val="auto"/>
              </w:rPr>
              <w:t>(494)</w:t>
            </w: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(5,156)</w:t>
            </w:r>
          </w:p>
        </w:tc>
      </w:tr>
    </w:tbl>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Net Cash Flows from Operating Activities</w:t>
      </w:r>
    </w:p>
    <w:p>
      <w:pPr>
        <w:spacing w:after="0" w:line="94" w:lineRule="exact"/>
        <w:rPr>
          <w:sz w:val="20"/>
          <w:szCs w:val="20"/>
          <w:color w:val="auto"/>
        </w:rPr>
      </w:pPr>
    </w:p>
    <w:p>
      <w:pPr>
        <w:ind w:right="260" w:firstLine="520"/>
        <w:spacing w:after="0" w:line="285" w:lineRule="auto"/>
        <w:rPr>
          <w:sz w:val="20"/>
          <w:szCs w:val="20"/>
          <w:color w:val="auto"/>
        </w:rPr>
      </w:pPr>
      <w:r>
        <w:rPr>
          <w:rFonts w:ascii="Times New Roman" w:cs="Times New Roman" w:eastAsia="Times New Roman" w:hAnsi="Times New Roman"/>
          <w:sz w:val="14"/>
          <w:szCs w:val="14"/>
          <w:color w:val="auto"/>
        </w:rPr>
        <w:t xml:space="preserve">The increase in operating cash flows as compared to the same period in 2018 was primarily due to increased net income, stock-based compensation, and deferred costs, offset by decreases in accrued compensation related to timing of payroll and deferred rent due to the adoption of ASC 842,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Net Cash Flows from Investing Activities</w:t>
      </w:r>
    </w:p>
    <w:p>
      <w:pPr>
        <w:spacing w:after="0" w:line="94" w:lineRule="exact"/>
        <w:rPr>
          <w:sz w:val="20"/>
          <w:szCs w:val="20"/>
          <w:color w:val="auto"/>
        </w:rPr>
      </w:pPr>
    </w:p>
    <w:p>
      <w:pPr>
        <w:ind w:right="40" w:firstLine="520"/>
        <w:spacing w:after="0" w:line="263" w:lineRule="auto"/>
        <w:rPr>
          <w:sz w:val="20"/>
          <w:szCs w:val="20"/>
          <w:color w:val="auto"/>
        </w:rPr>
      </w:pPr>
      <w:r>
        <w:rPr>
          <w:rFonts w:ascii="Times New Roman" w:cs="Times New Roman" w:eastAsia="Times New Roman" w:hAnsi="Times New Roman"/>
          <w:sz w:val="14"/>
          <w:szCs w:val="14"/>
          <w:color w:val="auto"/>
        </w:rPr>
        <w:t>The change in net cash used in investing activities compared to the same period in 2018 was primarily due to capital expenditures and maturities of investments in excess of purchases in investments. For the three months ended March 31, 2019, investments matured, net of purchases, of $2.8 million and capital expenditures of $2.9 million compared to net purchases of $2.4 million and capital expenditures of $3.9 million in the three months ended March 31, 2018. Our capital expenditures are for supporting our business growth and existing customer base, as well as for our internal use such as equipment for our employees.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Net Cash Flows from Financing Activities</w:t>
      </w:r>
    </w:p>
    <w:p>
      <w:pPr>
        <w:spacing w:after="0" w:line="94" w:lineRule="exact"/>
        <w:rPr>
          <w:sz w:val="20"/>
          <w:szCs w:val="20"/>
          <w:color w:val="auto"/>
        </w:rPr>
      </w:pPr>
    </w:p>
    <w:p>
      <w:pPr>
        <w:ind w:right="260" w:firstLine="520"/>
        <w:spacing w:after="0" w:line="285" w:lineRule="auto"/>
        <w:rPr>
          <w:sz w:val="20"/>
          <w:szCs w:val="20"/>
          <w:color w:val="auto"/>
        </w:rPr>
      </w:pPr>
      <w:r>
        <w:rPr>
          <w:rFonts w:ascii="Times New Roman" w:cs="Times New Roman" w:eastAsia="Times New Roman" w:hAnsi="Times New Roman"/>
          <w:sz w:val="14"/>
          <w:szCs w:val="14"/>
          <w:color w:val="auto"/>
        </w:rPr>
        <w:t>The change in net cash used in financing activities as compared to the same period in 2018 was primarily due to the increase in net proceeds from stock option exercises and decrease in cash used for share repurchases.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Effect of Foreign Currency Exchange Rate Changes</w:t>
      </w:r>
    </w:p>
    <w:p>
      <w:pPr>
        <w:spacing w:after="0" w:line="94" w:lineRule="exact"/>
        <w:rPr>
          <w:sz w:val="20"/>
          <w:szCs w:val="20"/>
          <w:color w:val="auto"/>
        </w:rPr>
      </w:pPr>
    </w:p>
    <w:p>
      <w:pPr>
        <w:ind w:right="80" w:firstLine="520"/>
        <w:spacing w:after="0" w:line="268" w:lineRule="auto"/>
        <w:rPr>
          <w:sz w:val="20"/>
          <w:szCs w:val="20"/>
          <w:color w:val="auto"/>
        </w:rPr>
      </w:pPr>
      <w:r>
        <w:rPr>
          <w:rFonts w:ascii="Times New Roman" w:cs="Times New Roman" w:eastAsia="Times New Roman" w:hAnsi="Times New Roman"/>
          <w:sz w:val="14"/>
          <w:szCs w:val="14"/>
          <w:color w:val="auto"/>
        </w:rPr>
        <w:t>Our results of operations and cash flows were not materially affected by fluctuations in foreign currency exchange rates. We maintain approximately 6% of our total cash and cash equivalents outside of the U.S. in foreign currencies, primarily in Australian and Canadian dollars. We believe that a significant change in foreign currency exchange rates or an inability to access these funds would not affect our ability to meet our operational needs.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Adequacy of Capital Resources</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future capital requirements may vary significantly from those now planned and will depend on many factors, including:</w:t>
      </w:r>
    </w:p>
    <w:p>
      <w:pPr>
        <w:spacing w:after="0" w:line="92" w:lineRule="exact"/>
        <w:rPr>
          <w:sz w:val="20"/>
          <w:szCs w:val="20"/>
          <w:color w:val="auto"/>
        </w:rPr>
      </w:pPr>
    </w:p>
    <w:p>
      <w:pPr>
        <w:ind w:left="1040" w:hanging="518"/>
        <w:spacing w:after="0"/>
        <w:tabs>
          <w:tab w:leader="none" w:pos="10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to develop and implement new solutions and applications, if any;</w:t>
      </w:r>
    </w:p>
    <w:p>
      <w:pPr>
        <w:spacing w:after="0" w:line="92" w:lineRule="exact"/>
        <w:rPr>
          <w:rFonts w:ascii="Times New Roman" w:cs="Times New Roman" w:eastAsia="Times New Roman" w:hAnsi="Times New Roman"/>
          <w:sz w:val="14"/>
          <w:szCs w:val="14"/>
          <w:color w:val="auto"/>
        </w:rPr>
      </w:pPr>
    </w:p>
    <w:p>
      <w:pPr>
        <w:ind w:left="1040" w:hanging="518"/>
        <w:spacing w:after="0"/>
        <w:tabs>
          <w:tab w:leader="none" w:pos="10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and marketing resources needed to further penetrate our market and gain acceptance of new solutions and applications that we may develop;</w:t>
      </w:r>
    </w:p>
    <w:p>
      <w:pPr>
        <w:spacing w:after="0" w:line="92" w:lineRule="exact"/>
        <w:rPr>
          <w:rFonts w:ascii="Times New Roman" w:cs="Times New Roman" w:eastAsia="Times New Roman" w:hAnsi="Times New Roman"/>
          <w:sz w:val="14"/>
          <w:szCs w:val="14"/>
          <w:color w:val="auto"/>
        </w:rPr>
      </w:pPr>
    </w:p>
    <w:p>
      <w:pPr>
        <w:ind w:left="1040" w:hanging="518"/>
        <w:spacing w:after="0"/>
        <w:tabs>
          <w:tab w:leader="none" w:pos="10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expansion of our operations in the United States and internationally;</w:t>
      </w:r>
    </w:p>
    <w:p>
      <w:pPr>
        <w:spacing w:after="0" w:line="92" w:lineRule="exact"/>
        <w:rPr>
          <w:rFonts w:ascii="Times New Roman" w:cs="Times New Roman" w:eastAsia="Times New Roman" w:hAnsi="Times New Roman"/>
          <w:sz w:val="14"/>
          <w:szCs w:val="14"/>
          <w:color w:val="auto"/>
        </w:rPr>
      </w:pPr>
    </w:p>
    <w:p>
      <w:pPr>
        <w:ind w:left="1040" w:hanging="518"/>
        <w:spacing w:after="0"/>
        <w:tabs>
          <w:tab w:leader="none" w:pos="10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response of competitors to our solutions and applications; and,</w:t>
      </w:r>
    </w:p>
    <w:p>
      <w:pPr>
        <w:spacing w:after="0" w:line="92" w:lineRule="exact"/>
        <w:rPr>
          <w:rFonts w:ascii="Times New Roman" w:cs="Times New Roman" w:eastAsia="Times New Roman" w:hAnsi="Times New Roman"/>
          <w:sz w:val="14"/>
          <w:szCs w:val="14"/>
          <w:color w:val="auto"/>
        </w:rPr>
      </w:pPr>
    </w:p>
    <w:p>
      <w:pPr>
        <w:ind w:left="1040" w:hanging="518"/>
        <w:spacing w:after="0"/>
        <w:tabs>
          <w:tab w:leader="none" w:pos="10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 of capital for acquisitions, if any.</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Historically, we have experienced increases in our expenditures consistent with the growth in our operations, and we anticipate that our expenditures will continue to increase as we expand our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business.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55245</wp:posOffset>
            </wp:positionV>
            <wp:extent cx="731520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15200" cy="38735"/>
                    </a:xfrm>
                    <a:prstGeom prst="rect">
                      <a:avLst/>
                    </a:prstGeom>
                    <a:noFill/>
                  </pic:spPr>
                </pic:pic>
              </a:graphicData>
            </a:graphic>
          </wp:anchor>
        </w:drawing>
      </w:r>
    </w:p>
    <w:p>
      <w:pPr>
        <w:sectPr>
          <w:pgSz w:w="11900" w:h="16838" w:orient="portrait"/>
          <w:cols w:equalWidth="0" w:num="1">
            <w:col w:w="11460"/>
          </w:cols>
          <w:pgMar w:left="220" w:top="419" w:right="219" w:bottom="1440" w:gutter="0" w:footer="0" w:header="0"/>
        </w:sectPr>
      </w:pPr>
    </w:p>
    <w:bookmarkStart w:id="23" w:name="page24"/>
    <w:bookmarkEnd w:id="23"/>
    <w:p>
      <w:pPr>
        <w:ind w:right="300" w:firstLine="520"/>
        <w:spacing w:after="0" w:line="285" w:lineRule="auto"/>
        <w:rPr>
          <w:sz w:val="20"/>
          <w:szCs w:val="20"/>
          <w:color w:val="auto"/>
        </w:rPr>
      </w:pPr>
      <w:r>
        <w:rPr>
          <w:rFonts w:ascii="Times New Roman" w:cs="Times New Roman" w:eastAsia="Times New Roman" w:hAnsi="Times New Roman"/>
          <w:sz w:val="14"/>
          <w:szCs w:val="14"/>
          <w:color w:val="auto"/>
        </w:rPr>
        <w:t>We believe our cash, cash equivalents, certificates of deposit, marketable securities and our cash flows from operations will be sufficient to meet our working capital and capital expenditure requirements for at least the next twelve months.</w:t>
      </w:r>
    </w:p>
    <w:p>
      <w:pPr>
        <w:spacing w:after="0" w:line="125" w:lineRule="exact"/>
        <w:rPr>
          <w:sz w:val="20"/>
          <w:szCs w:val="20"/>
          <w:color w:val="auto"/>
        </w:rPr>
      </w:pPr>
    </w:p>
    <w:p>
      <w:pPr>
        <w:ind w:right="100" w:firstLine="520"/>
        <w:spacing w:after="0" w:line="285" w:lineRule="auto"/>
        <w:rPr>
          <w:sz w:val="20"/>
          <w:szCs w:val="20"/>
          <w:color w:val="auto"/>
        </w:rPr>
      </w:pPr>
      <w:r>
        <w:rPr>
          <w:rFonts w:ascii="Times New Roman" w:cs="Times New Roman" w:eastAsia="Times New Roman" w:hAnsi="Times New Roman"/>
          <w:sz w:val="14"/>
          <w:szCs w:val="14"/>
          <w:color w:val="auto"/>
        </w:rPr>
        <w:t>Inflation and changing prices did not have a material effect on our business during the three months ended March 31, 2019 and we do not expect that inflation or changing prices will materially affect our business in the foreseeable future.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Off-Balance Sheet Arrangements</w:t>
      </w:r>
    </w:p>
    <w:p>
      <w:pPr>
        <w:spacing w:after="0" w:line="94" w:lineRule="exact"/>
        <w:rPr>
          <w:sz w:val="20"/>
          <w:szCs w:val="20"/>
          <w:color w:val="auto"/>
        </w:rPr>
      </w:pPr>
    </w:p>
    <w:p>
      <w:pPr>
        <w:ind w:right="280" w:firstLine="520"/>
        <w:spacing w:after="0" w:line="285" w:lineRule="auto"/>
        <w:rPr>
          <w:sz w:val="20"/>
          <w:szCs w:val="20"/>
          <w:color w:val="auto"/>
        </w:rPr>
      </w:pPr>
      <w:r>
        <w:rPr>
          <w:rFonts w:ascii="Times New Roman" w:cs="Times New Roman" w:eastAsia="Times New Roman" w:hAnsi="Times New Roman"/>
          <w:sz w:val="14"/>
          <w:szCs w:val="14"/>
          <w:color w:val="auto"/>
        </w:rPr>
        <w:t>We do not have any off-balance sheet arrangements, investments in special purpose entities or undisclosed borrowings or debt. Additionally, we are not a party to any derivative contracts or synthetic leases.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Contractual and Commercial Commitment Summary</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contractual obligations and commercial commitments as of March 31, 2019 are summarized below:</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18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520" w:type="dxa"/>
            <w:vAlign w:val="bottom"/>
            <w:tcBorders>
              <w:bottom w:val="single" w:sz="8" w:color="auto"/>
            </w:tcBorders>
            <w:gridSpan w:val="6"/>
          </w:tcPr>
          <w:p>
            <w:pPr>
              <w:jc w:val="center"/>
              <w:ind w:left="480"/>
              <w:spacing w:after="0"/>
              <w:rPr>
                <w:sz w:val="20"/>
                <w:szCs w:val="20"/>
                <w:color w:val="auto"/>
              </w:rPr>
            </w:pPr>
            <w:r>
              <w:rPr>
                <w:rFonts w:ascii="Times New Roman" w:cs="Times New Roman" w:eastAsia="Times New Roman" w:hAnsi="Times New Roman"/>
                <w:sz w:val="11"/>
                <w:szCs w:val="11"/>
                <w:b w:val="1"/>
                <w:bCs w:val="1"/>
                <w:color w:val="auto"/>
              </w:rPr>
              <w:t>Payments Due By Period (in thousands)</w:t>
            </w:r>
          </w:p>
        </w:tc>
        <w:tc>
          <w:tcPr>
            <w:tcW w:w="8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r>
      <w:tr>
        <w:trPr>
          <w:trHeight w:val="109"/>
        </w:trPr>
        <w:tc>
          <w:tcPr>
            <w:tcW w:w="1180" w:type="dxa"/>
            <w:vAlign w:val="bottom"/>
          </w:tcPr>
          <w:p>
            <w:pPr>
              <w:spacing w:after="0"/>
              <w:rPr>
                <w:sz w:val="9"/>
                <w:szCs w:val="9"/>
                <w:color w:val="auto"/>
              </w:rPr>
            </w:pPr>
          </w:p>
        </w:tc>
        <w:tc>
          <w:tcPr>
            <w:tcW w:w="4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gridSpan w:val="2"/>
          </w:tcPr>
          <w:p>
            <w:pPr>
              <w:jc w:val="center"/>
              <w:ind w:right="400"/>
              <w:spacing w:after="0" w:line="109" w:lineRule="exact"/>
              <w:rPr>
                <w:sz w:val="20"/>
                <w:szCs w:val="20"/>
                <w:color w:val="auto"/>
              </w:rPr>
            </w:pPr>
            <w:r>
              <w:rPr>
                <w:rFonts w:ascii="Times New Roman" w:cs="Times New Roman" w:eastAsia="Times New Roman" w:hAnsi="Times New Roman"/>
                <w:sz w:val="11"/>
                <w:szCs w:val="11"/>
                <w:b w:val="1"/>
                <w:bCs w:val="1"/>
                <w:color w:val="auto"/>
              </w:rPr>
              <w:t>Less Than</w:t>
            </w: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jc w:val="center"/>
              <w:ind w:right="219"/>
              <w:spacing w:after="0" w:line="109" w:lineRule="exact"/>
              <w:rPr>
                <w:sz w:val="20"/>
                <w:szCs w:val="20"/>
                <w:color w:val="auto"/>
              </w:rPr>
            </w:pPr>
            <w:r>
              <w:rPr>
                <w:rFonts w:ascii="Times New Roman" w:cs="Times New Roman" w:eastAsia="Times New Roman" w:hAnsi="Times New Roman"/>
                <w:sz w:val="11"/>
                <w:szCs w:val="11"/>
                <w:b w:val="1"/>
                <w:bCs w:val="1"/>
                <w:color w:val="auto"/>
              </w:rPr>
              <w:t>More Than</w:t>
            </w:r>
          </w:p>
        </w:tc>
      </w:tr>
      <w:tr>
        <w:trPr>
          <w:trHeight w:val="145"/>
        </w:trPr>
        <w:tc>
          <w:tcPr>
            <w:tcW w:w="1180" w:type="dxa"/>
            <w:vAlign w:val="bottom"/>
            <w:tcBorders>
              <w:bottom w:val="single" w:sz="8" w:color="auto"/>
            </w:tcBorders>
          </w:tcPr>
          <w:p>
            <w:pPr>
              <w:spacing w:after="0" w:line="125" w:lineRule="exact"/>
              <w:rPr>
                <w:sz w:val="20"/>
                <w:szCs w:val="20"/>
                <w:color w:val="auto"/>
              </w:rPr>
            </w:pPr>
            <w:r>
              <w:rPr>
                <w:rFonts w:ascii="Times New Roman" w:cs="Times New Roman" w:eastAsia="Times New Roman" w:hAnsi="Times New Roman"/>
                <w:sz w:val="11"/>
                <w:szCs w:val="11"/>
                <w:b w:val="1"/>
                <w:bCs w:val="1"/>
                <w:color w:val="auto"/>
              </w:rPr>
              <w:t>Contractual Obligations</w:t>
            </w:r>
          </w:p>
        </w:tc>
        <w:tc>
          <w:tcPr>
            <w:tcW w:w="4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337"/>
              <w:spacing w:after="0" w:line="125" w:lineRule="exact"/>
              <w:rPr>
                <w:sz w:val="20"/>
                <w:szCs w:val="20"/>
                <w:color w:val="auto"/>
              </w:rPr>
            </w:pPr>
            <w:r>
              <w:rPr>
                <w:rFonts w:ascii="Times New Roman" w:cs="Times New Roman" w:eastAsia="Times New Roman" w:hAnsi="Times New Roman"/>
                <w:sz w:val="11"/>
                <w:szCs w:val="11"/>
                <w:b w:val="1"/>
                <w:bCs w:val="1"/>
                <w:color w:val="auto"/>
              </w:rPr>
              <w:t>Total</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400"/>
              <w:spacing w:after="0" w:line="125" w:lineRule="exact"/>
              <w:rPr>
                <w:sz w:val="20"/>
                <w:szCs w:val="20"/>
                <w:color w:val="auto"/>
              </w:rPr>
            </w:pPr>
            <w:r>
              <w:rPr>
                <w:rFonts w:ascii="Times New Roman" w:cs="Times New Roman" w:eastAsia="Times New Roman" w:hAnsi="Times New Roman"/>
                <w:sz w:val="11"/>
                <w:szCs w:val="11"/>
                <w:b w:val="1"/>
                <w:bCs w:val="1"/>
                <w:color w:val="auto"/>
                <w:w w:val="95"/>
              </w:rPr>
              <w:t>1 Year</w:t>
            </w:r>
          </w:p>
        </w:tc>
        <w:tc>
          <w:tcPr>
            <w:tcW w:w="160" w:type="dxa"/>
            <w:vAlign w:val="bottom"/>
          </w:tcPr>
          <w:p>
            <w:pPr>
              <w:spacing w:after="0"/>
              <w:rPr>
                <w:sz w:val="12"/>
                <w:szCs w:val="12"/>
                <w:color w:val="auto"/>
              </w:rPr>
            </w:pPr>
          </w:p>
        </w:tc>
        <w:tc>
          <w:tcPr>
            <w:tcW w:w="1040" w:type="dxa"/>
            <w:vAlign w:val="bottom"/>
            <w:gridSpan w:val="2"/>
          </w:tcPr>
          <w:p>
            <w:pPr>
              <w:jc w:val="center"/>
              <w:ind w:right="400"/>
              <w:spacing w:after="0" w:line="125" w:lineRule="exact"/>
              <w:rPr>
                <w:sz w:val="20"/>
                <w:szCs w:val="20"/>
                <w:color w:val="auto"/>
              </w:rPr>
            </w:pPr>
            <w:r>
              <w:rPr>
                <w:rFonts w:ascii="Times New Roman" w:cs="Times New Roman" w:eastAsia="Times New Roman" w:hAnsi="Times New Roman"/>
                <w:sz w:val="11"/>
                <w:szCs w:val="11"/>
                <w:b w:val="1"/>
                <w:bCs w:val="1"/>
                <w:color w:val="auto"/>
                <w:w w:val="97"/>
              </w:rPr>
              <w:t>1-3 Years</w:t>
            </w:r>
          </w:p>
        </w:tc>
        <w:tc>
          <w:tcPr>
            <w:tcW w:w="260" w:type="dxa"/>
            <w:vAlign w:val="bottom"/>
          </w:tcPr>
          <w:p>
            <w:pPr>
              <w:spacing w:after="0"/>
              <w:rPr>
                <w:sz w:val="12"/>
                <w:szCs w:val="12"/>
                <w:color w:val="auto"/>
              </w:rPr>
            </w:pPr>
          </w:p>
        </w:tc>
        <w:tc>
          <w:tcPr>
            <w:tcW w:w="860" w:type="dxa"/>
            <w:vAlign w:val="bottom"/>
          </w:tcPr>
          <w:p>
            <w:pPr>
              <w:jc w:val="right"/>
              <w:ind w:right="337"/>
              <w:spacing w:after="0" w:line="125" w:lineRule="exact"/>
              <w:rPr>
                <w:sz w:val="20"/>
                <w:szCs w:val="20"/>
                <w:color w:val="auto"/>
              </w:rPr>
            </w:pPr>
            <w:r>
              <w:rPr>
                <w:rFonts w:ascii="Times New Roman" w:cs="Times New Roman" w:eastAsia="Times New Roman" w:hAnsi="Times New Roman"/>
                <w:sz w:val="11"/>
                <w:szCs w:val="11"/>
                <w:b w:val="1"/>
                <w:bCs w:val="1"/>
                <w:color w:val="auto"/>
                <w:w w:val="97"/>
              </w:rPr>
              <w:t>3-5 Years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199"/>
              <w:spacing w:after="0" w:line="125" w:lineRule="exact"/>
              <w:rPr>
                <w:sz w:val="20"/>
                <w:szCs w:val="20"/>
                <w:color w:val="auto"/>
              </w:rPr>
            </w:pPr>
            <w:r>
              <w:rPr>
                <w:rFonts w:ascii="Times New Roman" w:cs="Times New Roman" w:eastAsia="Times New Roman" w:hAnsi="Times New Roman"/>
                <w:sz w:val="11"/>
                <w:szCs w:val="11"/>
                <w:b w:val="1"/>
                <w:bCs w:val="1"/>
                <w:color w:val="auto"/>
              </w:rPr>
              <w:t>5 Years</w:t>
            </w:r>
          </w:p>
        </w:tc>
      </w:tr>
      <w:tr>
        <w:trPr>
          <w:trHeight w:val="161"/>
        </w:trPr>
        <w:tc>
          <w:tcPr>
            <w:tcW w:w="542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 lease obligations, including imputed interest</w:t>
            </w:r>
          </w:p>
        </w:tc>
        <w:tc>
          <w:tcPr>
            <w:tcW w:w="220" w:type="dxa"/>
            <w:vAlign w:val="bottom"/>
            <w:tcBorders>
              <w:top w:val="single" w:sz="8" w:color="auto"/>
            </w:tcBorders>
            <w:shd w:val="clear" w:color="auto" w:fill="CFF0FC"/>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24,141</w:t>
            </w:r>
          </w:p>
        </w:tc>
        <w:tc>
          <w:tcPr>
            <w:tcW w:w="2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3,289</w:t>
            </w:r>
          </w:p>
        </w:tc>
        <w:tc>
          <w:tcPr>
            <w:tcW w:w="1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4"/>
                <w:szCs w:val="14"/>
                <w:color w:val="auto"/>
              </w:rPr>
              <w:t>8,138</w:t>
            </w:r>
          </w:p>
        </w:tc>
        <w:tc>
          <w:tcPr>
            <w:tcW w:w="10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4"/>
                <w:szCs w:val="14"/>
                <w:color w:val="auto"/>
              </w:rPr>
              <w:t>7,897</w:t>
            </w:r>
          </w:p>
        </w:tc>
        <w:tc>
          <w:tcPr>
            <w:tcW w:w="1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4"/>
                <w:szCs w:val="14"/>
                <w:color w:val="auto"/>
              </w:rPr>
              <w:t>4,817</w:t>
            </w:r>
          </w:p>
        </w:tc>
      </w:tr>
    </w:tbl>
    <w:p>
      <w:pPr>
        <w:spacing w:after="0" w:line="26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4"/>
          <w:szCs w:val="14"/>
          <w:b w:val="1"/>
          <w:bCs w:val="1"/>
          <w:color w:val="auto"/>
        </w:rPr>
        <w:t>Item 3.</w:t>
      </w:r>
      <w:r>
        <w:rPr>
          <w:sz w:val="20"/>
          <w:szCs w:val="20"/>
          <w:color w:val="auto"/>
        </w:rPr>
        <w:tab/>
      </w:r>
      <w:r>
        <w:rPr>
          <w:rFonts w:ascii="Times New Roman" w:cs="Times New Roman" w:eastAsia="Times New Roman" w:hAnsi="Times New Roman"/>
          <w:sz w:val="14"/>
          <w:szCs w:val="14"/>
          <w:b w:val="1"/>
          <w:bCs w:val="1"/>
          <w:color w:val="auto"/>
        </w:rPr>
        <w:t>Quantitative and Qualitative Disclosures About Market Risk</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Rate Sensitivity Risk</w:t>
      </w:r>
    </w:p>
    <w:p>
      <w:pPr>
        <w:spacing w:after="0" w:line="94" w:lineRule="exact"/>
        <w:rPr>
          <w:sz w:val="20"/>
          <w:szCs w:val="20"/>
          <w:color w:val="auto"/>
        </w:rPr>
      </w:pPr>
    </w:p>
    <w:p>
      <w:pPr>
        <w:jc w:val="both"/>
        <w:ind w:right="20" w:firstLine="520"/>
        <w:spacing w:after="0" w:line="268" w:lineRule="auto"/>
        <w:rPr>
          <w:sz w:val="20"/>
          <w:szCs w:val="20"/>
          <w:color w:val="auto"/>
        </w:rPr>
      </w:pPr>
      <w:r>
        <w:rPr>
          <w:rFonts w:ascii="Times New Roman" w:cs="Times New Roman" w:eastAsia="Times New Roman" w:hAnsi="Times New Roman"/>
          <w:sz w:val="14"/>
          <w:szCs w:val="14"/>
          <w:color w:val="auto"/>
        </w:rPr>
        <w:t>The principal objectives of our investment activities are to preserve principal, provide liquidity and maximize income consistent with minimizing risk of material loss. We are exposed to market risk related to changes in interest rates. However, based on the nature and current level of our investments (primarily cash and cash equivalents, which approximate fair value due to their short maturities, certificates of deposit and marketable securities), we believe there is no material risk exposure. We do not enter into investments for trading or speculative purposes.</w:t>
      </w:r>
    </w:p>
    <w:p>
      <w:pPr>
        <w:spacing w:after="0" w:line="1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did not have any outstanding debt as of March 31, 2019. Therefore, we do not have any material risk to interest rate fluctuations.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Foreign Currency Exchange Risk</w:t>
      </w:r>
    </w:p>
    <w:p>
      <w:pPr>
        <w:spacing w:after="0" w:line="94" w:lineRule="exact"/>
        <w:rPr>
          <w:sz w:val="20"/>
          <w:szCs w:val="20"/>
          <w:color w:val="auto"/>
        </w:rPr>
      </w:pPr>
    </w:p>
    <w:p>
      <w:pPr>
        <w:ind w:right="240" w:firstLine="520"/>
        <w:spacing w:after="0" w:line="260" w:lineRule="auto"/>
        <w:rPr>
          <w:sz w:val="20"/>
          <w:szCs w:val="20"/>
          <w:color w:val="auto"/>
        </w:rPr>
      </w:pPr>
      <w:r>
        <w:rPr>
          <w:rFonts w:ascii="Times New Roman" w:cs="Times New Roman" w:eastAsia="Times New Roman" w:hAnsi="Times New Roman"/>
          <w:sz w:val="14"/>
          <w:szCs w:val="14"/>
          <w:color w:val="auto"/>
        </w:rPr>
        <w:t>We have revenue, expenses, assets and liabilities that are denominated in currencies other than the U.S. dollar, primarily the Australian dollar and Canadian dollar. As of March 31, 2019, we maintained approximately 6% of our total cash and cash equivalents outside of the U.S. in foreign currencies. We believe that a significant change in foreign currency exchange rates or an inability to access these funds would not affect our ability to meet our operational needs. As we expand internationally, our results of operations and cash flows may be impacted by changes in foreign currency exchange rates, and would be adversely impacted when the U.S. dollar appreciates relative to other foreign currencies. We have not used any forward contracts or currency borrowings to hedge our exposure to foreign currency exchange risk, although we may do so in the future.</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55245</wp:posOffset>
            </wp:positionV>
            <wp:extent cx="731520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15200" cy="38735"/>
                    </a:xfrm>
                    <a:prstGeom prst="rect">
                      <a:avLst/>
                    </a:prstGeom>
                    <a:noFill/>
                  </pic:spPr>
                </pic:pic>
              </a:graphicData>
            </a:graphic>
          </wp:anchor>
        </w:drawing>
      </w:r>
    </w:p>
    <w:p>
      <w:pPr>
        <w:sectPr>
          <w:pgSz w:w="11900" w:h="16838" w:orient="portrait"/>
          <w:cols w:equalWidth="0" w:num="1">
            <w:col w:w="11460"/>
          </w:cols>
          <w:pgMar w:left="220" w:top="473" w:right="219" w:bottom="1440" w:gutter="0" w:footer="0" w:header="0"/>
        </w:sectPr>
      </w:pPr>
    </w:p>
    <w:bookmarkStart w:id="24" w:name="page25"/>
    <w:bookmarkEnd w:id="24"/>
    <w:p>
      <w:pPr>
        <w:spacing w:after="0"/>
        <w:tabs>
          <w:tab w:leader="none" w:pos="1020" w:val="left"/>
        </w:tabs>
        <w:rPr>
          <w:sz w:val="20"/>
          <w:szCs w:val="20"/>
          <w:color w:val="auto"/>
        </w:rPr>
      </w:pPr>
      <w:r>
        <w:rPr>
          <w:rFonts w:ascii="Times New Roman" w:cs="Times New Roman" w:eastAsia="Times New Roman" w:hAnsi="Times New Roman"/>
          <w:sz w:val="14"/>
          <w:szCs w:val="14"/>
          <w:b w:val="1"/>
          <w:bCs w:val="1"/>
          <w:color w:val="auto"/>
        </w:rPr>
        <w:t>Item 4.</w:t>
      </w:r>
      <w:r>
        <w:rPr>
          <w:sz w:val="20"/>
          <w:szCs w:val="20"/>
          <w:color w:val="auto"/>
        </w:rPr>
        <w:tab/>
      </w:r>
      <w:r>
        <w:rPr>
          <w:rFonts w:ascii="Times New Roman" w:cs="Times New Roman" w:eastAsia="Times New Roman" w:hAnsi="Times New Roman"/>
          <w:sz w:val="14"/>
          <w:szCs w:val="14"/>
          <w:b w:val="1"/>
          <w:bCs w:val="1"/>
          <w:color w:val="auto"/>
        </w:rPr>
        <w:t>Controls and Procedures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Evaluation of Disclosure Controls and Procedures</w:t>
      </w:r>
    </w:p>
    <w:p>
      <w:pPr>
        <w:spacing w:after="0" w:line="94" w:lineRule="exact"/>
        <w:rPr>
          <w:sz w:val="20"/>
          <w:szCs w:val="20"/>
          <w:color w:val="auto"/>
        </w:rPr>
      </w:pPr>
    </w:p>
    <w:p>
      <w:pPr>
        <w:ind w:firstLine="520"/>
        <w:spacing w:after="0" w:line="258" w:lineRule="auto"/>
        <w:rPr>
          <w:sz w:val="20"/>
          <w:szCs w:val="20"/>
          <w:color w:val="auto"/>
        </w:rPr>
      </w:pPr>
      <w:r>
        <w:rPr>
          <w:rFonts w:ascii="Times New Roman" w:cs="Times New Roman" w:eastAsia="Times New Roman" w:hAnsi="Times New Roman"/>
          <w:sz w:val="14"/>
          <w:szCs w:val="14"/>
          <w:color w:val="auto"/>
        </w:rPr>
        <w:t>As of the end of the period covered by this Quarterly Report on Form 10-Q, our management has evaluated, under the supervision and with the participation of our Chief Executive Officer and Chief Financial Officer, the effectiveness of our disclosure controls and procedures (as defined in Rules 13a-15(e) and 15d-15(e) under the Securities Exchange Act of 1934). Disclosure controls and procedures are designed to ensure that information required to be disclosed in our reports filed under the Securities Exchange Act of 1934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 Based on this evaluation, our Chief Executive Officer and Chief Financial Officer concluded that our disclosure controls and procedures were effective as of March 31, 2019.</w:t>
      </w:r>
    </w:p>
    <w:p>
      <w:pPr>
        <w:spacing w:after="0" w:line="145" w:lineRule="exact"/>
        <w:rPr>
          <w:sz w:val="20"/>
          <w:szCs w:val="20"/>
          <w:color w:val="auto"/>
        </w:rPr>
      </w:pPr>
    </w:p>
    <w:p>
      <w:pPr>
        <w:ind w:right="20" w:firstLine="520"/>
        <w:spacing w:after="0" w:line="260" w:lineRule="auto"/>
        <w:rPr>
          <w:sz w:val="20"/>
          <w:szCs w:val="20"/>
          <w:color w:val="auto"/>
        </w:rPr>
      </w:pPr>
      <w:r>
        <w:rPr>
          <w:rFonts w:ascii="Times New Roman" w:cs="Times New Roman" w:eastAsia="Times New Roman" w:hAnsi="Times New Roman"/>
          <w:sz w:val="14"/>
          <w:szCs w:val="14"/>
          <w:color w:val="auto"/>
        </w:rPr>
        <w:t>In the fourth quarter of 2018, we acquired the assets of two separate entities, EDIAdmin and CovalentWorks. EDIAdmin and CovalentWorks represented approximately two percent and six percent of our total consolidated assets, respectively. EDIAdmin and CovalentWorks each represented less than one percent of our consolidated revenues as of and for the year ended December 31, 2018. As these acquisitions occurred in 2018, the scope of our assessment of the effectiveness of internal control over financial reporting does not include EDIAdmin and CovalentWorks. This exclusion is in accordance with the SEC’s general guidance that an assessment of a recently acquired business may be omitted from the assessment of the effectiveness of internal control over financial reporting in the year of acquisition.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Changes in Internal Control over Financial Reporting</w:t>
      </w:r>
    </w:p>
    <w:p>
      <w:pPr>
        <w:spacing w:after="0" w:line="94" w:lineRule="exact"/>
        <w:rPr>
          <w:sz w:val="20"/>
          <w:szCs w:val="20"/>
          <w:color w:val="auto"/>
        </w:rPr>
      </w:pPr>
    </w:p>
    <w:p>
      <w:pPr>
        <w:ind w:right="240" w:firstLine="520"/>
        <w:spacing w:after="0" w:line="285" w:lineRule="auto"/>
        <w:rPr>
          <w:sz w:val="20"/>
          <w:szCs w:val="20"/>
          <w:color w:val="auto"/>
        </w:rPr>
      </w:pPr>
      <w:r>
        <w:rPr>
          <w:rFonts w:ascii="Times New Roman" w:cs="Times New Roman" w:eastAsia="Times New Roman" w:hAnsi="Times New Roman"/>
          <w:sz w:val="14"/>
          <w:szCs w:val="14"/>
          <w:color w:val="auto"/>
        </w:rPr>
        <w:t>There were no changes in our internal control over financial reporting during the quarter ended March 31, 2019 that have materially affected, or are reasonably likely to materially affect, our internal control over financial reporting.</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55245</wp:posOffset>
            </wp:positionV>
            <wp:extent cx="731520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15200" cy="38735"/>
                    </a:xfrm>
                    <a:prstGeom prst="rect">
                      <a:avLst/>
                    </a:prstGeom>
                    <a:noFill/>
                  </pic:spPr>
                </pic:pic>
              </a:graphicData>
            </a:graphic>
          </wp:anchor>
        </w:drawing>
      </w:r>
    </w:p>
    <w:p>
      <w:pPr>
        <w:sectPr>
          <w:pgSz w:w="11900" w:h="16838" w:orient="portrait"/>
          <w:cols w:equalWidth="0" w:num="1">
            <w:col w:w="11440"/>
          </w:cols>
          <w:pgMar w:left="220" w:top="556" w:right="2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4"/>
          <w:szCs w:val="14"/>
          <w:b w:val="1"/>
          <w:bCs w:val="1"/>
          <w:color w:val="auto"/>
        </w:rPr>
        <w:t>PART II. – OTHER INFORMATION</w:t>
      </w:r>
    </w:p>
    <w:p>
      <w:pPr>
        <w:spacing w:after="0" w:line="17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4"/>
          <w:szCs w:val="14"/>
          <w:b w:val="1"/>
          <w:bCs w:val="1"/>
          <w:color w:val="auto"/>
        </w:rPr>
        <w:t>Item 1.</w:t>
      </w:r>
      <w:r>
        <w:rPr>
          <w:sz w:val="20"/>
          <w:szCs w:val="20"/>
          <w:color w:val="auto"/>
        </w:rPr>
        <w:tab/>
      </w:r>
      <w:r>
        <w:rPr>
          <w:rFonts w:ascii="Times New Roman" w:cs="Times New Roman" w:eastAsia="Times New Roman" w:hAnsi="Times New Roman"/>
          <w:sz w:val="14"/>
          <w:szCs w:val="14"/>
          <w:b w:val="1"/>
          <w:bCs w:val="1"/>
          <w:color w:val="auto"/>
        </w:rPr>
        <w:t>Legal Proceedings</w:t>
      </w:r>
    </w:p>
    <w:p>
      <w:pPr>
        <w:spacing w:after="0" w:line="94" w:lineRule="exact"/>
        <w:rPr>
          <w:sz w:val="20"/>
          <w:szCs w:val="20"/>
          <w:color w:val="auto"/>
        </w:rPr>
      </w:pPr>
    </w:p>
    <w:p>
      <w:pPr>
        <w:jc w:val="both"/>
        <w:ind w:right="180" w:firstLine="520"/>
        <w:spacing w:after="0" w:line="268" w:lineRule="auto"/>
        <w:rPr>
          <w:sz w:val="20"/>
          <w:szCs w:val="20"/>
          <w:color w:val="auto"/>
        </w:rPr>
      </w:pPr>
      <w:r>
        <w:rPr>
          <w:rFonts w:ascii="Times New Roman" w:cs="Times New Roman" w:eastAsia="Times New Roman" w:hAnsi="Times New Roman"/>
          <w:sz w:val="14"/>
          <w:szCs w:val="14"/>
          <w:color w:val="auto"/>
        </w:rPr>
        <w:t>We are not currently subject to any material legal proceedings. From time to time, we may be named as a defendant in legal actions or otherwise be subject to claims arising from our normal business activities. Any such actions, even those that lack merit, could result in the expenditure of significant financial and managerial resources. We believe that we have obtained adequate insurance coverage or rights to indemnification in connection with potential legal proceedings that may arise.</w:t>
      </w:r>
    </w:p>
    <w:p>
      <w:pPr>
        <w:spacing w:after="0" w:line="21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4"/>
          <w:szCs w:val="14"/>
          <w:b w:val="1"/>
          <w:bCs w:val="1"/>
          <w:color w:val="auto"/>
        </w:rPr>
        <w:t>Item 1A.</w:t>
      </w:r>
      <w:r>
        <w:rPr>
          <w:sz w:val="20"/>
          <w:szCs w:val="20"/>
          <w:color w:val="auto"/>
        </w:rPr>
        <w:tab/>
      </w:r>
      <w:r>
        <w:rPr>
          <w:rFonts w:ascii="Times New Roman" w:cs="Times New Roman" w:eastAsia="Times New Roman" w:hAnsi="Times New Roman"/>
          <w:sz w:val="14"/>
          <w:szCs w:val="14"/>
          <w:b w:val="1"/>
          <w:bCs w:val="1"/>
          <w:color w:val="auto"/>
        </w:rPr>
        <w:t>Risk Factors</w:t>
      </w:r>
    </w:p>
    <w:p>
      <w:pPr>
        <w:spacing w:after="0" w:line="92" w:lineRule="exact"/>
        <w:rPr>
          <w:sz w:val="20"/>
          <w:szCs w:val="20"/>
          <w:color w:val="auto"/>
        </w:rPr>
      </w:pPr>
    </w:p>
    <w:p>
      <w:pPr>
        <w:ind w:right="100" w:firstLine="520"/>
        <w:spacing w:after="0" w:line="288" w:lineRule="auto"/>
        <w:rPr>
          <w:sz w:val="20"/>
          <w:szCs w:val="20"/>
          <w:color w:val="auto"/>
        </w:rPr>
      </w:pPr>
      <w:r>
        <w:rPr>
          <w:rFonts w:ascii="Times New Roman" w:cs="Times New Roman" w:eastAsia="Times New Roman" w:hAnsi="Times New Roman"/>
          <w:sz w:val="14"/>
          <w:szCs w:val="14"/>
          <w:color w:val="auto"/>
        </w:rPr>
        <w:t xml:space="preserve">There have been no material changes in our risk factors from those disclosed under the heading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xml:space="preserve"> in our Annual Report on Form 10-K/A for the year ended December 31, 2018 as filed with the SEC.</w:t>
      </w:r>
    </w:p>
    <w:p>
      <w:pPr>
        <w:spacing w:after="0" w:line="20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4"/>
          <w:szCs w:val="14"/>
          <w:b w:val="1"/>
          <w:bCs w:val="1"/>
          <w:color w:val="auto"/>
        </w:rPr>
        <w:t>Item 2.</w:t>
      </w:r>
      <w:r>
        <w:rPr>
          <w:sz w:val="20"/>
          <w:szCs w:val="20"/>
          <w:color w:val="auto"/>
        </w:rPr>
        <w:tab/>
      </w:r>
      <w:r>
        <w:rPr>
          <w:rFonts w:ascii="Times New Roman" w:cs="Times New Roman" w:eastAsia="Times New Roman" w:hAnsi="Times New Roman"/>
          <w:sz w:val="14"/>
          <w:szCs w:val="14"/>
          <w:b w:val="1"/>
          <w:bCs w:val="1"/>
          <w:color w:val="auto"/>
        </w:rPr>
        <w:t>Unregistered Sales of Equity Securities and Use of Proceeds</w:t>
      </w:r>
    </w:p>
    <w:p>
      <w:pPr>
        <w:spacing w:after="0" w:line="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(c) Share Repurchases</w:t>
      </w:r>
    </w:p>
    <w:p>
      <w:pPr>
        <w:spacing w:after="0" w:line="94" w:lineRule="exact"/>
        <w:rPr>
          <w:sz w:val="20"/>
          <w:szCs w:val="20"/>
          <w:color w:val="auto"/>
        </w:rPr>
      </w:pPr>
    </w:p>
    <w:p>
      <w:pPr>
        <w:ind w:right="220" w:firstLine="520"/>
        <w:spacing w:after="0" w:line="285" w:lineRule="auto"/>
        <w:rPr>
          <w:sz w:val="20"/>
          <w:szCs w:val="20"/>
          <w:color w:val="auto"/>
        </w:rPr>
      </w:pPr>
      <w:r>
        <w:rPr>
          <w:rFonts w:ascii="Times New Roman" w:cs="Times New Roman" w:eastAsia="Times New Roman" w:hAnsi="Times New Roman"/>
          <w:sz w:val="14"/>
          <w:szCs w:val="14"/>
          <w:color w:val="auto"/>
        </w:rPr>
        <w:t>The following table presents the total number of shares of our common stock that we purchased during the first quarter of 2019, the average price paid per share, the number of shares that we purchased as part of our publicly announced repurchase program and the approximate dollar value of shares that still could be repurchased at the end of the applicable period.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Total Number of Shares</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Approximate Dollar</w:t>
            </w:r>
          </w:p>
        </w:tc>
        <w:tc>
          <w:tcPr>
            <w:tcW w:w="0" w:type="dxa"/>
            <w:vAlign w:val="bottom"/>
          </w:tcPr>
          <w:p>
            <w:pPr>
              <w:spacing w:after="0"/>
              <w:rPr>
                <w:sz w:val="1"/>
                <w:szCs w:val="1"/>
                <w:color w:val="auto"/>
              </w:rPr>
            </w:pPr>
          </w:p>
        </w:tc>
      </w:tr>
      <w:tr>
        <w:trPr>
          <w:trHeight w:val="116"/>
        </w:trPr>
        <w:tc>
          <w:tcPr>
            <w:tcW w:w="5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98"/>
              </w:rPr>
              <w:t>Total Number of Shares</w:t>
            </w:r>
          </w:p>
        </w:tc>
        <w:tc>
          <w:tcPr>
            <w:tcW w:w="240" w:type="dxa"/>
            <w:vAlign w:val="bottom"/>
          </w:tcPr>
          <w:p>
            <w:pPr>
              <w:spacing w:after="0"/>
              <w:rPr>
                <w:sz w:val="10"/>
                <w:szCs w:val="10"/>
                <w:color w:val="auto"/>
              </w:rPr>
            </w:pPr>
          </w:p>
        </w:tc>
        <w:tc>
          <w:tcPr>
            <w:tcW w:w="140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Average Price Paid per</w:t>
            </w:r>
          </w:p>
        </w:tc>
        <w:tc>
          <w:tcPr>
            <w:tcW w:w="116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Purchased as Part of</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jc w:val="center"/>
              <w:ind w:right="200"/>
              <w:spacing w:after="0" w:line="116" w:lineRule="exact"/>
              <w:rPr>
                <w:sz w:val="20"/>
                <w:szCs w:val="20"/>
                <w:color w:val="auto"/>
              </w:rPr>
            </w:pPr>
            <w:r>
              <w:rPr>
                <w:rFonts w:ascii="Times New Roman" w:cs="Times New Roman" w:eastAsia="Times New Roman" w:hAnsi="Times New Roman"/>
                <w:sz w:val="11"/>
                <w:szCs w:val="11"/>
                <w:b w:val="1"/>
                <w:bCs w:val="1"/>
                <w:color w:val="auto"/>
              </w:rPr>
              <w:t>Value of Shares that</w:t>
            </w:r>
          </w:p>
        </w:tc>
        <w:tc>
          <w:tcPr>
            <w:tcW w:w="0" w:type="dxa"/>
            <w:vAlign w:val="bottom"/>
          </w:tcPr>
          <w:p>
            <w:pPr>
              <w:spacing w:after="0"/>
              <w:rPr>
                <w:sz w:val="1"/>
                <w:szCs w:val="1"/>
                <w:color w:val="auto"/>
              </w:rPr>
            </w:pPr>
          </w:p>
        </w:tc>
      </w:tr>
      <w:tr>
        <w:trPr>
          <w:trHeight w:val="116"/>
        </w:trPr>
        <w:tc>
          <w:tcPr>
            <w:tcW w:w="5980" w:type="dxa"/>
            <w:vAlign w:val="bottom"/>
            <w:gridSpan w:val="2"/>
            <w:vMerge w:val="restart"/>
          </w:tcPr>
          <w:p>
            <w:pPr>
              <w:ind w:left="2760"/>
              <w:spacing w:after="0"/>
              <w:rPr>
                <w:sz w:val="20"/>
                <w:szCs w:val="20"/>
                <w:color w:val="auto"/>
              </w:rPr>
            </w:pPr>
            <w:r>
              <w:rPr>
                <w:rFonts w:ascii="Times New Roman" w:cs="Times New Roman" w:eastAsia="Times New Roman" w:hAnsi="Times New Roman"/>
                <w:sz w:val="11"/>
                <w:szCs w:val="11"/>
                <w:b w:val="1"/>
                <w:bCs w:val="1"/>
                <w:color w:val="auto"/>
              </w:rPr>
              <w:t>Period</w:t>
            </w:r>
          </w:p>
        </w:tc>
        <w:tc>
          <w:tcPr>
            <w:tcW w:w="11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400" w:type="dxa"/>
            <w:vAlign w:val="bottom"/>
            <w:gridSpan w:val="3"/>
            <w:vMerge w:val="continue"/>
          </w:tcPr>
          <w:p>
            <w:pPr>
              <w:spacing w:after="0"/>
              <w:rPr>
                <w:sz w:val="10"/>
                <w:szCs w:val="10"/>
                <w:color w:val="auto"/>
              </w:rPr>
            </w:pPr>
          </w:p>
        </w:tc>
        <w:tc>
          <w:tcPr>
            <w:tcW w:w="116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Publicly Announced</w:t>
            </w:r>
          </w:p>
        </w:tc>
        <w:tc>
          <w:tcPr>
            <w:tcW w:w="240" w:type="dxa"/>
            <w:vAlign w:val="bottom"/>
          </w:tcPr>
          <w:p>
            <w:pPr>
              <w:spacing w:after="0"/>
              <w:rPr>
                <w:sz w:val="10"/>
                <w:szCs w:val="10"/>
                <w:color w:val="auto"/>
              </w:rPr>
            </w:pPr>
          </w:p>
        </w:tc>
        <w:tc>
          <w:tcPr>
            <w:tcW w:w="1280" w:type="dxa"/>
            <w:vAlign w:val="bottom"/>
            <w:gridSpan w:val="3"/>
          </w:tcPr>
          <w:p>
            <w:pPr>
              <w:jc w:val="center"/>
              <w:ind w:right="120"/>
              <w:spacing w:after="0" w:line="116" w:lineRule="exact"/>
              <w:rPr>
                <w:sz w:val="20"/>
                <w:szCs w:val="20"/>
                <w:color w:val="auto"/>
              </w:rPr>
            </w:pPr>
            <w:r>
              <w:rPr>
                <w:rFonts w:ascii="Times New Roman" w:cs="Times New Roman" w:eastAsia="Times New Roman" w:hAnsi="Times New Roman"/>
                <w:sz w:val="11"/>
                <w:szCs w:val="11"/>
                <w:b w:val="1"/>
                <w:bCs w:val="1"/>
                <w:color w:val="auto"/>
              </w:rPr>
              <w:t>May Yet be Purchased</w:t>
            </w:r>
          </w:p>
        </w:tc>
        <w:tc>
          <w:tcPr>
            <w:tcW w:w="0" w:type="dxa"/>
            <w:vAlign w:val="bottom"/>
          </w:tcPr>
          <w:p>
            <w:pPr>
              <w:spacing w:after="0"/>
              <w:rPr>
                <w:sz w:val="1"/>
                <w:szCs w:val="1"/>
                <w:color w:val="auto"/>
              </w:rPr>
            </w:pPr>
          </w:p>
        </w:tc>
      </w:tr>
      <w:tr>
        <w:trPr>
          <w:trHeight w:val="135"/>
        </w:trPr>
        <w:tc>
          <w:tcPr>
            <w:tcW w:w="5980" w:type="dxa"/>
            <w:vAlign w:val="bottom"/>
            <w:gridSpan w:val="2"/>
            <w:vMerge w:val="continue"/>
          </w:tcPr>
          <w:p>
            <w:pPr>
              <w:spacing w:after="0"/>
              <w:rPr>
                <w:sz w:val="11"/>
                <w:szCs w:val="11"/>
                <w:color w:val="auto"/>
              </w:rPr>
            </w:pPr>
          </w:p>
        </w:tc>
        <w:tc>
          <w:tcPr>
            <w:tcW w:w="1160" w:type="dxa"/>
            <w:vAlign w:val="bottom"/>
          </w:tcPr>
          <w:p>
            <w:pPr>
              <w:jc w:val="right"/>
              <w:ind w:right="274"/>
              <w:spacing w:after="0"/>
              <w:rPr>
                <w:sz w:val="20"/>
                <w:szCs w:val="20"/>
                <w:color w:val="auto"/>
              </w:rPr>
            </w:pPr>
            <w:r>
              <w:rPr>
                <w:rFonts w:ascii="Times New Roman" w:cs="Times New Roman" w:eastAsia="Times New Roman" w:hAnsi="Times New Roman"/>
                <w:sz w:val="11"/>
                <w:szCs w:val="11"/>
                <w:b w:val="1"/>
                <w:bCs w:val="1"/>
                <w:color w:val="auto"/>
              </w:rPr>
              <w:t>Purchased</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jc w:val="center"/>
              <w:ind w:right="480"/>
              <w:spacing w:after="0"/>
              <w:rPr>
                <w:sz w:val="20"/>
                <w:szCs w:val="20"/>
                <w:color w:val="auto"/>
              </w:rPr>
            </w:pPr>
            <w:r>
              <w:rPr>
                <w:rFonts w:ascii="Times New Roman" w:cs="Times New Roman" w:eastAsia="Times New Roman" w:hAnsi="Times New Roman"/>
                <w:sz w:val="11"/>
                <w:szCs w:val="11"/>
                <w:b w:val="1"/>
                <w:bCs w:val="1"/>
                <w:color w:val="auto"/>
              </w:rPr>
              <w:t>Share</w:t>
            </w: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 xml:space="preserve">Program </w:t>
            </w:r>
            <w:r>
              <w:rPr>
                <w:rFonts w:ascii="Times New Roman" w:cs="Times New Roman" w:eastAsia="Times New Roman" w:hAnsi="Times New Roman"/>
                <w:sz w:val="9"/>
                <w:szCs w:val="9"/>
                <w:b w:val="1"/>
                <w:bCs w:val="1"/>
                <w:color w:val="auto"/>
              </w:rPr>
              <w:t>(1)</w:t>
            </w:r>
          </w:p>
        </w:tc>
        <w:tc>
          <w:tcPr>
            <w:tcW w:w="240" w:type="dxa"/>
            <w:vAlign w:val="bottom"/>
          </w:tcPr>
          <w:p>
            <w:pPr>
              <w:spacing w:after="0"/>
              <w:rPr>
                <w:sz w:val="11"/>
                <w:szCs w:val="11"/>
                <w:color w:val="auto"/>
              </w:rPr>
            </w:pP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 xml:space="preserve">Under the Program </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170"/>
        </w:trPr>
        <w:tc>
          <w:tcPr>
            <w:tcW w:w="58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January 1 - 31, 2019</w:t>
            </w:r>
          </w:p>
        </w:tc>
        <w:tc>
          <w:tcPr>
            <w:tcW w:w="140" w:type="dxa"/>
            <w:vAlign w:val="bottom"/>
            <w:tcBorders>
              <w:top w:val="single" w:sz="8" w:color="CFF0FC"/>
            </w:tcBorders>
            <w:shd w:val="clear" w:color="auto" w:fill="CFF0FC"/>
          </w:tcPr>
          <w:p>
            <w:pPr>
              <w:spacing w:after="0"/>
              <w:rPr>
                <w:sz w:val="14"/>
                <w:szCs w:val="14"/>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29,257</w:t>
            </w:r>
          </w:p>
        </w:tc>
        <w:tc>
          <w:tcPr>
            <w:tcW w:w="240" w:type="dxa"/>
            <w:vAlign w:val="bottom"/>
            <w:tcBorders>
              <w:top w:val="single" w:sz="8" w:color="CFF0FC"/>
            </w:tcBorders>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85.35</w:t>
            </w:r>
          </w:p>
        </w:tc>
        <w:tc>
          <w:tcPr>
            <w:tcW w:w="240" w:type="dxa"/>
            <w:vAlign w:val="bottom"/>
            <w:tcBorders>
              <w:top w:val="single" w:sz="8" w:color="CFF0FC"/>
            </w:tcBorders>
            <w:shd w:val="clear" w:color="auto" w:fill="CFF0FC"/>
          </w:tcPr>
          <w:p>
            <w:pPr>
              <w:spacing w:after="0"/>
              <w:rPr>
                <w:sz w:val="14"/>
                <w:szCs w:val="14"/>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29,257</w:t>
            </w:r>
          </w:p>
        </w:tc>
        <w:tc>
          <w:tcPr>
            <w:tcW w:w="24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21,824,000</w:t>
            </w: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February 1 - 28, 2019</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21,824,000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March 1 - 31, 2019</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4,475</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104.80</w:t>
            </w:r>
          </w:p>
        </w:tc>
        <w:tc>
          <w:tcPr>
            <w:tcW w:w="240" w:type="dxa"/>
            <w:vAlign w:val="bottom"/>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4,475</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21,355,000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first quarter 2019</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33,732</w:t>
            </w:r>
          </w:p>
        </w:tc>
        <w:tc>
          <w:tcPr>
            <w:tcW w:w="480" w:type="dxa"/>
            <w:vAlign w:val="bottom"/>
            <w:gridSpan w:val="2"/>
          </w:tcPr>
          <w:p>
            <w:pPr>
              <w:jc w:val="right"/>
              <w:ind w:right="124"/>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87.93</w:t>
            </w:r>
          </w:p>
        </w:tc>
        <w:tc>
          <w:tcPr>
            <w:tcW w:w="24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33,732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21,355,000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380" w:hanging="376"/>
        <w:spacing w:after="0"/>
        <w:tabs>
          <w:tab w:leader="none" w:pos="38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Pursuant to a $50.0 million share repurchase program that was announced by our board of directors on November 2, 2017. Under the program, purchases may be made from time to time in the open market over two years.</w:t>
      </w:r>
    </w:p>
    <w:p>
      <w:pPr>
        <w:spacing w:after="0" w:line="24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4"/>
          <w:szCs w:val="14"/>
          <w:b w:val="1"/>
          <w:bCs w:val="1"/>
          <w:color w:val="auto"/>
        </w:rPr>
        <w:t>Item 3.</w:t>
      </w:r>
      <w:r>
        <w:rPr>
          <w:sz w:val="20"/>
          <w:szCs w:val="20"/>
          <w:color w:val="auto"/>
        </w:rPr>
        <w:tab/>
      </w:r>
      <w:r>
        <w:rPr>
          <w:rFonts w:ascii="Times New Roman" w:cs="Times New Roman" w:eastAsia="Times New Roman" w:hAnsi="Times New Roman"/>
          <w:sz w:val="14"/>
          <w:szCs w:val="14"/>
          <w:b w:val="1"/>
          <w:bCs w:val="1"/>
          <w:color w:val="auto"/>
        </w:rPr>
        <w:t>Defaults Upon Senior Securities</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Not Applicable.</w:t>
      </w:r>
    </w:p>
    <w:p>
      <w:pPr>
        <w:spacing w:after="0" w:line="25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4"/>
          <w:szCs w:val="14"/>
          <w:b w:val="1"/>
          <w:bCs w:val="1"/>
          <w:color w:val="auto"/>
        </w:rPr>
        <w:t>Item 4.</w:t>
      </w:r>
      <w:r>
        <w:rPr>
          <w:sz w:val="20"/>
          <w:szCs w:val="20"/>
          <w:color w:val="auto"/>
        </w:rPr>
        <w:tab/>
      </w:r>
      <w:r>
        <w:rPr>
          <w:rFonts w:ascii="Times New Roman" w:cs="Times New Roman" w:eastAsia="Times New Roman" w:hAnsi="Times New Roman"/>
          <w:sz w:val="14"/>
          <w:szCs w:val="14"/>
          <w:b w:val="1"/>
          <w:bCs w:val="1"/>
          <w:color w:val="auto"/>
        </w:rPr>
        <w:t>Mine Safety Disclosures</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Not Applicable.</w:t>
      </w:r>
    </w:p>
    <w:p>
      <w:pPr>
        <w:spacing w:after="0" w:line="25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4"/>
          <w:szCs w:val="14"/>
          <w:b w:val="1"/>
          <w:bCs w:val="1"/>
          <w:color w:val="auto"/>
        </w:rPr>
        <w:t>Item 5.</w:t>
      </w:r>
      <w:r>
        <w:rPr>
          <w:sz w:val="20"/>
          <w:szCs w:val="20"/>
          <w:color w:val="auto"/>
        </w:rPr>
        <w:tab/>
      </w:r>
      <w:r>
        <w:rPr>
          <w:rFonts w:ascii="Times New Roman" w:cs="Times New Roman" w:eastAsia="Times New Roman" w:hAnsi="Times New Roman"/>
          <w:sz w:val="13"/>
          <w:szCs w:val="13"/>
          <w:b w:val="1"/>
          <w:bCs w:val="1"/>
          <w:color w:val="auto"/>
        </w:rPr>
        <w:t>Other Information</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Not Applicable.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55245</wp:posOffset>
            </wp:positionV>
            <wp:extent cx="731520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15200" cy="38735"/>
                    </a:xfrm>
                    <a:prstGeom prst="rect">
                      <a:avLst/>
                    </a:prstGeom>
                    <a:noFill/>
                  </pic:spPr>
                </pic:pic>
              </a:graphicData>
            </a:graphic>
          </wp:anchor>
        </w:drawing>
      </w:r>
    </w:p>
    <w:p>
      <w:pPr>
        <w:sectPr>
          <w:pgSz w:w="11900" w:h="16838" w:orient="portrait"/>
          <w:cols w:equalWidth="0" w:num="1">
            <w:col w:w="11460"/>
          </w:cols>
          <w:pgMar w:left="220" w:top="302" w:right="21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85"/>
        </w:trPr>
        <w:tc>
          <w:tcPr>
            <w:tcW w:w="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6.</w:t>
            </w:r>
          </w:p>
        </w:tc>
        <w:tc>
          <w:tcPr>
            <w:tcW w:w="10720" w:type="dxa"/>
            <w:vAlign w:val="bottom"/>
            <w:gridSpan w:val="1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Exhibits</w:t>
            </w:r>
          </w:p>
        </w:tc>
      </w:tr>
      <w:tr>
        <w:trPr>
          <w:trHeight w:val="285"/>
        </w:trPr>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3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12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r>
      <w:tr>
        <w:trPr>
          <w:trHeight w:val="223"/>
        </w:trPr>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3.1</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980" w:type="dxa"/>
            <w:vAlign w:val="bottom"/>
            <w:tcBorders>
              <w:bottom w:val="single" w:sz="8" w:color="0000EE"/>
            </w:tcBorders>
            <w:gridSpan w:val="8"/>
          </w:tcPr>
          <w:p>
            <w:pPr>
              <w:spacing w:after="0"/>
              <w:rPr>
                <w:rFonts w:ascii="Times New Roman" w:cs="Times New Roman" w:eastAsia="Times New Roman" w:hAnsi="Times New Roman"/>
                <w:sz w:val="14"/>
                <w:szCs w:val="14"/>
                <w:color w:val="0000EE"/>
              </w:rPr>
            </w:pPr>
            <w:hyperlink r:id="rId51">
              <w:r>
                <w:rPr>
                  <w:rFonts w:ascii="Times New Roman" w:cs="Times New Roman" w:eastAsia="Times New Roman" w:hAnsi="Times New Roman"/>
                  <w:sz w:val="14"/>
                  <w:szCs w:val="14"/>
                  <w:color w:val="0000EE"/>
                </w:rPr>
                <w:t>Certificate of Incorporation (incorporated by reference to Exhibit 4.1 to our Registration Statement on Form S-3 (File No. 333-182097) filed with the Commission on September</w:t>
              </w:r>
            </w:hyperlink>
          </w:p>
        </w:tc>
        <w:tc>
          <w:tcPr>
            <w:tcW w:w="140" w:type="dxa"/>
            <w:vAlign w:val="bottom"/>
            <w:gridSpan w:val="2"/>
          </w:tcPr>
          <w:p>
            <w:pPr>
              <w:spacing w:after="0"/>
              <w:rPr>
                <w:sz w:val="19"/>
                <w:szCs w:val="19"/>
                <w:color w:val="auto"/>
              </w:rPr>
            </w:pPr>
          </w:p>
        </w:tc>
      </w:tr>
      <w:tr>
        <w:trPr>
          <w:trHeight w:val="149"/>
        </w:trPr>
        <w:tc>
          <w:tcPr>
            <w:tcW w:w="740" w:type="dxa"/>
            <w:vAlign w:val="bottom"/>
          </w:tcPr>
          <w:p>
            <w:pPr>
              <w:spacing w:after="0"/>
              <w:rPr>
                <w:sz w:val="12"/>
                <w:szCs w:val="12"/>
                <w:color w:val="auto"/>
              </w:rPr>
            </w:pPr>
          </w:p>
        </w:tc>
        <w:tc>
          <w:tcPr>
            <w:tcW w:w="600" w:type="dxa"/>
            <w:vAlign w:val="bottom"/>
            <w:gridSpan w:val="2"/>
          </w:tcPr>
          <w:p>
            <w:pPr>
              <w:spacing w:after="0"/>
              <w:rPr>
                <w:sz w:val="12"/>
                <w:szCs w:val="12"/>
                <w:color w:val="auto"/>
              </w:rPr>
            </w:pPr>
          </w:p>
        </w:tc>
        <w:tc>
          <w:tcPr>
            <w:tcW w:w="5020" w:type="dxa"/>
            <w:vAlign w:val="bottom"/>
            <w:gridSpan w:val="3"/>
          </w:tcPr>
          <w:p>
            <w:pPr>
              <w:spacing w:after="0" w:line="149" w:lineRule="exact"/>
              <w:rPr>
                <w:rFonts w:ascii="Times New Roman" w:cs="Times New Roman" w:eastAsia="Times New Roman" w:hAnsi="Times New Roman"/>
                <w:sz w:val="14"/>
                <w:szCs w:val="14"/>
                <w:color w:val="0000EE"/>
              </w:rPr>
            </w:pPr>
            <w:hyperlink r:id="rId51">
              <w:r>
                <w:rPr>
                  <w:rFonts w:ascii="Times New Roman" w:cs="Times New Roman" w:eastAsia="Times New Roman" w:hAnsi="Times New Roman"/>
                  <w:sz w:val="14"/>
                  <w:szCs w:val="14"/>
                  <w:color w:val="0000EE"/>
                </w:rPr>
                <w:t>13, 2012).</w:t>
              </w:r>
            </w:hyperlink>
          </w:p>
        </w:tc>
        <w:tc>
          <w:tcPr>
            <w:tcW w:w="3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0"/>
        </w:trPr>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3.2</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20" w:type="dxa"/>
            <w:vAlign w:val="bottom"/>
            <w:gridSpan w:val="10"/>
          </w:tcPr>
          <w:p>
            <w:pPr>
              <w:spacing w:after="0"/>
              <w:rPr>
                <w:rFonts w:ascii="Times New Roman" w:cs="Times New Roman" w:eastAsia="Times New Roman" w:hAnsi="Times New Roman"/>
                <w:sz w:val="14"/>
                <w:szCs w:val="14"/>
                <w:color w:val="0000EE"/>
              </w:rPr>
            </w:pPr>
            <w:hyperlink r:id="rId52">
              <w:r>
                <w:rPr>
                  <w:rFonts w:ascii="Times New Roman" w:cs="Times New Roman" w:eastAsia="Times New Roman" w:hAnsi="Times New Roman"/>
                  <w:sz w:val="14"/>
                  <w:szCs w:val="14"/>
                  <w:color w:val="0000EE"/>
                </w:rPr>
                <w:t>Amended and Restated Bylaws (incorporated by reference to Exhibit 3.1 to our Current Report on Form 8-K (File No. 001-34702) filed with the Commission on October 12,</w:t>
              </w:r>
            </w:hyperlink>
          </w:p>
        </w:tc>
      </w:tr>
      <w:tr>
        <w:trPr>
          <w:trHeight w:val="149"/>
        </w:trPr>
        <w:tc>
          <w:tcPr>
            <w:tcW w:w="740" w:type="dxa"/>
            <w:vAlign w:val="bottom"/>
          </w:tcPr>
          <w:p>
            <w:pPr>
              <w:spacing w:after="0"/>
              <w:rPr>
                <w:sz w:val="12"/>
                <w:szCs w:val="12"/>
                <w:color w:val="auto"/>
              </w:rPr>
            </w:pPr>
          </w:p>
        </w:tc>
        <w:tc>
          <w:tcPr>
            <w:tcW w:w="600" w:type="dxa"/>
            <w:vAlign w:val="bottom"/>
            <w:gridSpan w:val="2"/>
          </w:tcPr>
          <w:p>
            <w:pPr>
              <w:spacing w:after="0"/>
              <w:rPr>
                <w:sz w:val="12"/>
                <w:szCs w:val="12"/>
                <w:color w:val="auto"/>
              </w:rPr>
            </w:pPr>
          </w:p>
        </w:tc>
        <w:tc>
          <w:tcPr>
            <w:tcW w:w="360" w:type="dxa"/>
            <w:vAlign w:val="bottom"/>
            <w:tcBorders>
              <w:top w:val="single" w:sz="8" w:color="0000EE"/>
              <w:bottom w:val="single" w:sz="8" w:color="0000EE"/>
            </w:tcBorders>
          </w:tcPr>
          <w:p>
            <w:pPr>
              <w:spacing w:after="0" w:line="149" w:lineRule="exact"/>
              <w:rPr>
                <w:rFonts w:ascii="Times New Roman" w:cs="Times New Roman" w:eastAsia="Times New Roman" w:hAnsi="Times New Roman"/>
                <w:sz w:val="14"/>
                <w:szCs w:val="14"/>
                <w:color w:val="0000EE"/>
                <w:w w:val="93"/>
              </w:rPr>
            </w:pPr>
            <w:hyperlink r:id="rId52">
              <w:r>
                <w:rPr>
                  <w:rFonts w:ascii="Times New Roman" w:cs="Times New Roman" w:eastAsia="Times New Roman" w:hAnsi="Times New Roman"/>
                  <w:sz w:val="14"/>
                  <w:szCs w:val="14"/>
                  <w:color w:val="0000EE"/>
                  <w:w w:val="93"/>
                </w:rPr>
                <w:t>2017).</w:t>
              </w:r>
            </w:hyperlink>
          </w:p>
        </w:tc>
        <w:tc>
          <w:tcPr>
            <w:tcW w:w="220" w:type="dxa"/>
            <w:vAlign w:val="bottom"/>
            <w:tcBorders>
              <w:top w:val="single" w:sz="8" w:color="0000EE"/>
            </w:tcBorders>
          </w:tcPr>
          <w:p>
            <w:pPr>
              <w:spacing w:after="0"/>
              <w:rPr>
                <w:sz w:val="12"/>
                <w:szCs w:val="12"/>
                <w:color w:val="auto"/>
              </w:rPr>
            </w:pPr>
          </w:p>
        </w:tc>
        <w:tc>
          <w:tcPr>
            <w:tcW w:w="4440" w:type="dxa"/>
            <w:vAlign w:val="bottom"/>
            <w:tcBorders>
              <w:top w:val="single" w:sz="8" w:color="0000EE"/>
            </w:tcBorders>
          </w:tcPr>
          <w:p>
            <w:pPr>
              <w:spacing w:after="0"/>
              <w:rPr>
                <w:sz w:val="12"/>
                <w:szCs w:val="12"/>
                <w:color w:val="auto"/>
              </w:rPr>
            </w:pPr>
          </w:p>
        </w:tc>
        <w:tc>
          <w:tcPr>
            <w:tcW w:w="300" w:type="dxa"/>
            <w:vAlign w:val="bottom"/>
            <w:tcBorders>
              <w:top w:val="single" w:sz="8" w:color="0000EE"/>
            </w:tcBorders>
          </w:tcPr>
          <w:p>
            <w:pPr>
              <w:spacing w:after="0"/>
              <w:rPr>
                <w:sz w:val="12"/>
                <w:szCs w:val="12"/>
                <w:color w:val="auto"/>
              </w:rPr>
            </w:pPr>
          </w:p>
        </w:tc>
        <w:tc>
          <w:tcPr>
            <w:tcW w:w="282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1580" w:type="dxa"/>
            <w:vAlign w:val="bottom"/>
            <w:tcBorders>
              <w:top w:val="single" w:sz="8" w:color="0000EE"/>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10.1</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20" w:type="dxa"/>
            <w:vAlign w:val="bottom"/>
            <w:tcBorders>
              <w:bottom w:val="single" w:sz="8" w:color="0000EE"/>
            </w:tcBorders>
            <w:gridSpan w:val="3"/>
          </w:tcPr>
          <w:p>
            <w:pPr>
              <w:spacing w:after="0"/>
              <w:rPr>
                <w:rFonts w:ascii="Times New Roman" w:cs="Times New Roman" w:eastAsia="Times New Roman" w:hAnsi="Times New Roman"/>
                <w:sz w:val="14"/>
                <w:szCs w:val="14"/>
                <w:color w:val="0000EE"/>
              </w:rPr>
            </w:pPr>
            <w:hyperlink w:anchor="page29">
              <w:r>
                <w:rPr>
                  <w:rFonts w:ascii="Times New Roman" w:cs="Times New Roman" w:eastAsia="Times New Roman" w:hAnsi="Times New Roman"/>
                  <w:sz w:val="14"/>
                  <w:szCs w:val="14"/>
                  <w:color w:val="0000EE"/>
                </w:rPr>
                <w:t>Non-Employee Director Compensation Summary as of May 14, 2019 (filed herewith).**</w:t>
              </w:r>
            </w:hyperlink>
          </w:p>
        </w:tc>
        <w:tc>
          <w:tcPr>
            <w:tcW w:w="5100" w:type="dxa"/>
            <w:vAlign w:val="bottom"/>
            <w:gridSpan w:val="7"/>
          </w:tcPr>
          <w:p>
            <w:pPr>
              <w:spacing w:after="0"/>
              <w:rPr>
                <w:sz w:val="21"/>
                <w:szCs w:val="21"/>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10.2</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320" w:type="dxa"/>
            <w:vAlign w:val="bottom"/>
            <w:tcBorders>
              <w:bottom w:val="single" w:sz="8" w:color="0000EE"/>
            </w:tcBorders>
            <w:gridSpan w:val="4"/>
          </w:tcPr>
          <w:p>
            <w:pPr>
              <w:spacing w:after="0"/>
              <w:rPr>
                <w:rFonts w:ascii="Times New Roman" w:cs="Times New Roman" w:eastAsia="Times New Roman" w:hAnsi="Times New Roman"/>
                <w:sz w:val="14"/>
                <w:szCs w:val="14"/>
                <w:color w:val="0000EE"/>
              </w:rPr>
            </w:pPr>
            <w:hyperlink w:anchor="page31">
              <w:r>
                <w:rPr>
                  <w:rFonts w:ascii="Times New Roman" w:cs="Times New Roman" w:eastAsia="Times New Roman" w:hAnsi="Times New Roman"/>
                  <w:sz w:val="14"/>
                  <w:szCs w:val="14"/>
                  <w:color w:val="0000EE"/>
                </w:rPr>
                <w:t>Form of Deferred Stock Unit Agreement under 2010 Equity Incentive Plan (filed herewith).**</w:t>
              </w:r>
            </w:hyperlink>
          </w:p>
        </w:tc>
        <w:tc>
          <w:tcPr>
            <w:tcW w:w="4800" w:type="dxa"/>
            <w:vAlign w:val="bottom"/>
            <w:gridSpan w:val="6"/>
          </w:tcPr>
          <w:p>
            <w:pPr>
              <w:spacing w:after="0"/>
              <w:rPr>
                <w:sz w:val="21"/>
                <w:szCs w:val="21"/>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31.1</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20" w:type="dxa"/>
            <w:vAlign w:val="bottom"/>
            <w:gridSpan w:val="10"/>
          </w:tcPr>
          <w:p>
            <w:pPr>
              <w:spacing w:after="0"/>
              <w:rPr>
                <w:rFonts w:ascii="Times New Roman" w:cs="Times New Roman" w:eastAsia="Times New Roman" w:hAnsi="Times New Roman"/>
                <w:sz w:val="14"/>
                <w:szCs w:val="14"/>
                <w:color w:val="0000EE"/>
              </w:rPr>
            </w:pPr>
            <w:hyperlink w:anchor="page35">
              <w:r>
                <w:rPr>
                  <w:rFonts w:ascii="Times New Roman" w:cs="Times New Roman" w:eastAsia="Times New Roman" w:hAnsi="Times New Roman"/>
                  <w:sz w:val="14"/>
                  <w:szCs w:val="14"/>
                  <w:color w:val="0000EE"/>
                </w:rPr>
                <w:t>Certification of Principal Executive Officer pursuant to Rules 13a-14(a) under the Securities Exchange Act of 1934, as amended (filed herewith).</w:t>
              </w:r>
            </w:hyperlink>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180" w:type="dxa"/>
            <w:vAlign w:val="bottom"/>
            <w:tcBorders>
              <w:top w:val="single" w:sz="8" w:color="0000EE"/>
            </w:tcBorders>
            <w:gridSpan w:val="6"/>
          </w:tcPr>
          <w:p>
            <w:pPr>
              <w:spacing w:after="0"/>
              <w:rPr>
                <w:rFonts w:ascii="Times New Roman" w:cs="Times New Roman" w:eastAsia="Times New Roman" w:hAnsi="Times New Roman"/>
                <w:sz w:val="14"/>
                <w:szCs w:val="14"/>
                <w:color w:val="0000EE"/>
              </w:rPr>
            </w:pPr>
            <w:hyperlink w:anchor="page36">
              <w:r>
                <w:rPr>
                  <w:rFonts w:ascii="Times New Roman" w:cs="Times New Roman" w:eastAsia="Times New Roman" w:hAnsi="Times New Roman"/>
                  <w:sz w:val="14"/>
                  <w:szCs w:val="14"/>
                  <w:color w:val="0000EE"/>
                </w:rPr>
                <w:t>Certification of Principal Financial Officer pursuant to Rules 13a-14(a) under the Securities Exchange Act of 1934, as amended (filed herewith).</w:t>
              </w:r>
            </w:hyperlink>
          </w:p>
        </w:tc>
        <w:tc>
          <w:tcPr>
            <w:tcW w:w="1940" w:type="dxa"/>
            <w:vAlign w:val="bottom"/>
            <w:gridSpan w:val="4"/>
          </w:tcPr>
          <w:p>
            <w:pPr>
              <w:spacing w:after="0"/>
              <w:rPr>
                <w:sz w:val="21"/>
                <w:szCs w:val="21"/>
                <w:color w:val="auto"/>
              </w:rPr>
            </w:pPr>
          </w:p>
        </w:tc>
      </w:tr>
      <w:tr>
        <w:trPr>
          <w:trHeight w:val="20"/>
        </w:trPr>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560" w:type="dxa"/>
            <w:vAlign w:val="bottom"/>
            <w:gridSpan w:val="3"/>
            <w:shd w:val="clear" w:color="auto" w:fill="0000EE"/>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32.1</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20" w:type="dxa"/>
            <w:vAlign w:val="bottom"/>
            <w:gridSpan w:val="10"/>
          </w:tcPr>
          <w:p>
            <w:pPr>
              <w:spacing w:after="0"/>
              <w:rPr>
                <w:rFonts w:ascii="Times New Roman" w:cs="Times New Roman" w:eastAsia="Times New Roman" w:hAnsi="Times New Roman"/>
                <w:sz w:val="14"/>
                <w:szCs w:val="14"/>
                <w:color w:val="0000EE"/>
              </w:rPr>
            </w:pPr>
            <w:hyperlink w:anchor="page37">
              <w:r>
                <w:rPr>
                  <w:rFonts w:ascii="Times New Roman" w:cs="Times New Roman" w:eastAsia="Times New Roman" w:hAnsi="Times New Roman"/>
                  <w:sz w:val="14"/>
                  <w:szCs w:val="14"/>
                  <w:color w:val="0000EE"/>
                </w:rPr>
                <w:t>Certification of Chief Executive Officer and Chief Financial Officer pursuant to 18 U.S.C. Sec. 1350, as adopted pursuant to Section 906 of the Sarbanes-Oxley Act of 2002 (filed</w:t>
              </w:r>
            </w:hyperlink>
          </w:p>
        </w:tc>
      </w:tr>
      <w:tr>
        <w:trPr>
          <w:trHeight w:val="149"/>
        </w:trPr>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60" w:type="dxa"/>
            <w:vAlign w:val="bottom"/>
            <w:tcBorders>
              <w:top w:val="single" w:sz="8" w:color="0000EE"/>
            </w:tcBorders>
            <w:gridSpan w:val="9"/>
          </w:tcPr>
          <w:p>
            <w:pPr>
              <w:spacing w:after="0" w:line="149" w:lineRule="exact"/>
              <w:rPr>
                <w:rFonts w:ascii="Times New Roman" w:cs="Times New Roman" w:eastAsia="Times New Roman" w:hAnsi="Times New Roman"/>
                <w:sz w:val="14"/>
                <w:szCs w:val="14"/>
                <w:color w:val="0000EE"/>
              </w:rPr>
            </w:pPr>
            <w:hyperlink w:anchor="page37">
              <w:r>
                <w:rPr>
                  <w:rFonts w:ascii="Times New Roman" w:cs="Times New Roman" w:eastAsia="Times New Roman" w:hAnsi="Times New Roman"/>
                  <w:sz w:val="14"/>
                  <w:szCs w:val="14"/>
                  <w:color w:val="0000EE"/>
                </w:rPr>
                <w:t>herewith).</w:t>
              </w:r>
            </w:hyperlink>
          </w:p>
        </w:tc>
        <w:tc>
          <w:tcPr>
            <w:tcW w:w="60" w:type="dxa"/>
            <w:vAlign w:val="bottom"/>
          </w:tcPr>
          <w:p>
            <w:pPr>
              <w:spacing w:after="0"/>
              <w:rPr>
                <w:sz w:val="12"/>
                <w:szCs w:val="12"/>
                <w:color w:val="auto"/>
              </w:rPr>
            </w:pPr>
          </w:p>
        </w:tc>
      </w:tr>
      <w:tr>
        <w:trPr>
          <w:trHeight w:val="20"/>
        </w:trPr>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1" w:lineRule="exact"/>
        <w:rPr>
          <w:sz w:val="20"/>
          <w:szCs w:val="20"/>
          <w:color w:val="auto"/>
        </w:rPr>
      </w:pPr>
    </w:p>
    <w:p>
      <w:pPr>
        <w:ind w:left="1340" w:hanging="1336"/>
        <w:spacing w:after="0"/>
        <w:tabs>
          <w:tab w:leader="none" w:pos="1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Interactive Data Files Pursuant to Rule 405 of Regulation S-T (filed herewith).</w:t>
      </w:r>
    </w:p>
    <w:p>
      <w:pPr>
        <w:spacing w:after="0" w:line="198"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management contract or compensatory plan or arrangement.</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55245</wp:posOffset>
            </wp:positionV>
            <wp:extent cx="731520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315200" cy="38735"/>
                    </a:xfrm>
                    <a:prstGeom prst="rect">
                      <a:avLst/>
                    </a:prstGeom>
                    <a:noFill/>
                  </pic:spPr>
                </pic:pic>
              </a:graphicData>
            </a:graphic>
          </wp:anchor>
        </w:drawing>
      </w:r>
    </w:p>
    <w:p>
      <w:pPr>
        <w:sectPr>
          <w:pgSz w:w="11900" w:h="16838" w:orient="portrait"/>
          <w:cols w:equalWidth="0" w:num="1">
            <w:col w:w="11460"/>
          </w:cols>
          <w:pgMar w:left="220" w:top="556" w:right="219" w:bottom="1440" w:gutter="0" w:footer="0" w:header="0"/>
        </w:sectPr>
      </w:pPr>
    </w:p>
    <w:bookmarkStart w:id="27" w:name="page28"/>
    <w:bookmarkEnd w:id="27"/>
    <w:p>
      <w:pPr>
        <w:jc w:val="center"/>
        <w:ind w:right="-65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spacing w:after="0"/>
        <w:tabs>
          <w:tab w:leader="none" w:pos="6100" w:val="left"/>
        </w:tabs>
        <w:rPr>
          <w:sz w:val="20"/>
          <w:szCs w:val="20"/>
          <w:color w:val="auto"/>
        </w:rPr>
      </w:pPr>
      <w:r>
        <w:rPr>
          <w:rFonts w:ascii="Times New Roman" w:cs="Times New Roman" w:eastAsia="Times New Roman" w:hAnsi="Times New Roman"/>
          <w:sz w:val="14"/>
          <w:szCs w:val="14"/>
          <w:color w:val="auto"/>
        </w:rPr>
        <w:t>Dated: April 26, 2019</w:t>
      </w:r>
      <w:r>
        <w:rPr>
          <w:sz w:val="20"/>
          <w:szCs w:val="20"/>
          <w:color w:val="auto"/>
        </w:rPr>
        <w:tab/>
      </w:r>
      <w:r>
        <w:rPr>
          <w:rFonts w:ascii="Times New Roman" w:cs="Times New Roman" w:eastAsia="Times New Roman" w:hAnsi="Times New Roman"/>
          <w:sz w:val="13"/>
          <w:szCs w:val="13"/>
          <w:b w:val="1"/>
          <w:bCs w:val="1"/>
          <w:color w:val="auto"/>
        </w:rPr>
        <w:t>SPS COMMERCE, INC.</w:t>
      </w:r>
    </w:p>
    <w:p>
      <w:pPr>
        <w:spacing w:after="0" w:line="20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4"/>
          <w:szCs w:val="14"/>
          <w:color w:val="auto"/>
        </w:rPr>
        <w:t>/s/ KIMBERLY K. NELSON</w:t>
      </w:r>
    </w:p>
    <w:p>
      <w:pPr>
        <w:spacing w:after="0" w:line="22"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4"/>
          <w:szCs w:val="14"/>
          <w:color w:val="auto"/>
        </w:rPr>
        <w:t>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3839210</wp:posOffset>
            </wp:positionH>
            <wp:positionV relativeFrom="paragraph">
              <wp:posOffset>-101600</wp:posOffset>
            </wp:positionV>
            <wp:extent cx="3440430"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3440430" cy="6985"/>
                    </a:xfrm>
                    <a:prstGeom prst="rect">
                      <a:avLst/>
                    </a:prstGeom>
                    <a:noFill/>
                  </pic:spPr>
                </pic:pic>
              </a:graphicData>
            </a:graphic>
          </wp:anchor>
        </w:drawing>
      </w:r>
    </w:p>
    <w:p>
      <w:pPr>
        <w:ind w:left="6120"/>
        <w:spacing w:after="0"/>
        <w:rPr>
          <w:sz w:val="20"/>
          <w:szCs w:val="20"/>
          <w:color w:val="auto"/>
        </w:rPr>
      </w:pPr>
      <w:r>
        <w:rPr>
          <w:rFonts w:ascii="Times New Roman" w:cs="Times New Roman" w:eastAsia="Times New Roman" w:hAnsi="Times New Roman"/>
          <w:sz w:val="14"/>
          <w:szCs w:val="14"/>
          <w:i w:val="1"/>
          <w:iCs w:val="1"/>
          <w:color w:val="auto"/>
        </w:rPr>
        <w:t>Executive Vice President and Chief Financial Officer</w:t>
      </w:r>
    </w:p>
    <w:p>
      <w:pPr>
        <w:spacing w:after="0" w:line="8"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4"/>
          <w:szCs w:val="14"/>
          <w:i w:val="1"/>
          <w:iCs w:val="1"/>
          <w:color w:val="auto"/>
        </w:rPr>
        <w:t>(principal financial and accounting officer)</w:t>
      </w:r>
    </w:p>
    <w:p>
      <w:pPr>
        <w:spacing w:after="0" w:line="200" w:lineRule="exact"/>
        <w:rPr>
          <w:sz w:val="20"/>
          <w:szCs w:val="20"/>
          <w:color w:val="auto"/>
        </w:rPr>
      </w:pPr>
    </w:p>
    <w:p>
      <w:pPr>
        <w:spacing w:after="0" w:line="30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0800"/>
          </w:cols>
          <w:pgMar w:left="220" w:top="302" w:right="87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jc w:val="center"/>
              <w:ind w:left="3510"/>
              <w:spacing w:after="0"/>
              <w:rPr>
                <w:sz w:val="20"/>
                <w:szCs w:val="20"/>
                <w:color w:val="auto"/>
              </w:rPr>
            </w:pPr>
            <w:r>
              <w:rPr>
                <w:rFonts w:ascii="Times New Roman" w:cs="Times New Roman" w:eastAsia="Times New Roman" w:hAnsi="Times New Roman"/>
                <w:sz w:val="14"/>
                <w:szCs w:val="14"/>
                <w:b w:val="1"/>
                <w:bCs w:val="1"/>
                <w:color w:val="auto"/>
                <w:w w:val="99"/>
              </w:rPr>
              <w:t>SPS COMMERCE, INC.</w:t>
            </w: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r>
      <w:tr>
        <w:trPr>
          <w:trHeight w:val="185"/>
        </w:trPr>
        <w:tc>
          <w:tcPr>
            <w:tcW w:w="7880" w:type="dxa"/>
            <w:vAlign w:val="bottom"/>
          </w:tcPr>
          <w:p>
            <w:pPr>
              <w:jc w:val="center"/>
              <w:ind w:left="3530"/>
              <w:spacing w:after="0"/>
              <w:rPr>
                <w:sz w:val="20"/>
                <w:szCs w:val="20"/>
                <w:color w:val="auto"/>
              </w:rPr>
            </w:pPr>
            <w:r>
              <w:rPr>
                <w:rFonts w:ascii="Times New Roman" w:cs="Times New Roman" w:eastAsia="Times New Roman" w:hAnsi="Times New Roman"/>
                <w:sz w:val="14"/>
                <w:szCs w:val="14"/>
                <w:b w:val="1"/>
                <w:bCs w:val="1"/>
                <w:color w:val="auto"/>
                <w:w w:val="99"/>
              </w:rPr>
              <w:t>NON-EMPLOYEE DIRECTOR COMPENSATION SUMMARY</w:t>
            </w: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338"/>
        </w:trPr>
        <w:tc>
          <w:tcPr>
            <w:tcW w:w="7880" w:type="dxa"/>
            <w:vAlign w:val="bottom"/>
          </w:tcPr>
          <w:p>
            <w:pPr>
              <w:jc w:val="center"/>
              <w:ind w:left="3510"/>
              <w:spacing w:after="0"/>
              <w:rPr>
                <w:sz w:val="20"/>
                <w:szCs w:val="20"/>
                <w:color w:val="auto"/>
              </w:rPr>
            </w:pPr>
            <w:r>
              <w:rPr>
                <w:rFonts w:ascii="Times New Roman" w:cs="Times New Roman" w:eastAsia="Times New Roman" w:hAnsi="Times New Roman"/>
                <w:sz w:val="14"/>
                <w:szCs w:val="14"/>
                <w:color w:val="auto"/>
              </w:rPr>
              <w:t>Effective: May 14, 2019</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38"/>
        </w:trPr>
        <w:tc>
          <w:tcPr>
            <w:tcW w:w="78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Director annual retainer</w:t>
            </w:r>
            <w:r>
              <w:rPr>
                <w:rFonts w:ascii="Times New Roman" w:cs="Times New Roman" w:eastAsia="Times New Roman" w:hAnsi="Times New Roman"/>
                <w:sz w:val="14"/>
                <w:szCs w:val="14"/>
                <w:color w:val="auto"/>
              </w:rPr>
              <w:t>: Annual retainer, payable in cash, of $31,000 per director except for the chairperson who shall receive $53,500</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53"/>
        </w:trPr>
        <w:tc>
          <w:tcPr>
            <w:tcW w:w="78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Committee chairs annual retainer</w:t>
            </w:r>
            <w:r>
              <w:rPr>
                <w:rFonts w:ascii="Times New Roman" w:cs="Times New Roman" w:eastAsia="Times New Roman" w:hAnsi="Times New Roman"/>
                <w:sz w:val="14"/>
                <w:szCs w:val="14"/>
                <w:color w:val="auto"/>
              </w:rPr>
              <w:t>: Annual retainers, payable in cash, of:</w:t>
            </w: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39"/>
        </w:trPr>
        <w:tc>
          <w:tcPr>
            <w:tcW w:w="7880" w:type="dxa"/>
            <w:vAlign w:val="bottom"/>
          </w:tcPr>
          <w:p>
            <w:pPr>
              <w:ind w:left="1760"/>
              <w:spacing w:after="0"/>
              <w:rPr>
                <w:sz w:val="20"/>
                <w:szCs w:val="20"/>
                <w:color w:val="auto"/>
              </w:rPr>
            </w:pPr>
            <w:r>
              <w:rPr>
                <w:rFonts w:ascii="Times New Roman" w:cs="Times New Roman" w:eastAsia="Times New Roman" w:hAnsi="Times New Roman"/>
                <w:sz w:val="14"/>
                <w:szCs w:val="14"/>
                <w:color w:val="auto"/>
              </w:rPr>
              <w:t>Audit Committee:</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w:t>
            </w:r>
          </w:p>
        </w:tc>
      </w:tr>
      <w:tr>
        <w:trPr>
          <w:trHeight w:val="169"/>
        </w:trPr>
        <w:tc>
          <w:tcPr>
            <w:tcW w:w="7880" w:type="dxa"/>
            <w:vAlign w:val="bottom"/>
          </w:tcPr>
          <w:p>
            <w:pPr>
              <w:ind w:left="1760"/>
              <w:spacing w:after="0"/>
              <w:rPr>
                <w:sz w:val="20"/>
                <w:szCs w:val="20"/>
                <w:color w:val="auto"/>
              </w:rPr>
            </w:pPr>
            <w:r>
              <w:rPr>
                <w:rFonts w:ascii="Times New Roman" w:cs="Times New Roman" w:eastAsia="Times New Roman" w:hAnsi="Times New Roman"/>
                <w:sz w:val="14"/>
                <w:szCs w:val="14"/>
                <w:color w:val="auto"/>
              </w:rPr>
              <w:t>Compensation Committee:</w:t>
            </w:r>
          </w:p>
        </w:tc>
        <w:tc>
          <w:tcPr>
            <w:tcW w:w="3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w:t>
            </w:r>
          </w:p>
        </w:tc>
      </w:tr>
      <w:tr>
        <w:trPr>
          <w:trHeight w:val="169"/>
        </w:trPr>
        <w:tc>
          <w:tcPr>
            <w:tcW w:w="7880" w:type="dxa"/>
            <w:vAlign w:val="bottom"/>
          </w:tcPr>
          <w:p>
            <w:pPr>
              <w:ind w:left="1760"/>
              <w:spacing w:after="0"/>
              <w:rPr>
                <w:sz w:val="20"/>
                <w:szCs w:val="20"/>
                <w:color w:val="auto"/>
              </w:rPr>
            </w:pPr>
            <w:r>
              <w:rPr>
                <w:rFonts w:ascii="Times New Roman" w:cs="Times New Roman" w:eastAsia="Times New Roman" w:hAnsi="Times New Roman"/>
                <w:sz w:val="14"/>
                <w:szCs w:val="14"/>
                <w:color w:val="auto"/>
              </w:rPr>
              <w:t>Finance and Strategy Committee:</w:t>
            </w:r>
          </w:p>
        </w:tc>
        <w:tc>
          <w:tcPr>
            <w:tcW w:w="3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r>
      <w:tr>
        <w:trPr>
          <w:trHeight w:val="183"/>
        </w:trPr>
        <w:tc>
          <w:tcPr>
            <w:tcW w:w="7880" w:type="dxa"/>
            <w:vAlign w:val="bottom"/>
          </w:tcPr>
          <w:p>
            <w:pPr>
              <w:ind w:left="1760"/>
              <w:spacing w:after="0"/>
              <w:rPr>
                <w:sz w:val="20"/>
                <w:szCs w:val="20"/>
                <w:color w:val="auto"/>
              </w:rPr>
            </w:pPr>
            <w:r>
              <w:rPr>
                <w:rFonts w:ascii="Times New Roman" w:cs="Times New Roman" w:eastAsia="Times New Roman" w:hAnsi="Times New Roman"/>
                <w:sz w:val="14"/>
                <w:szCs w:val="14"/>
                <w:color w:val="auto"/>
              </w:rPr>
              <w:t>Governance and Nominating Committee:</w:t>
            </w:r>
          </w:p>
        </w:tc>
        <w:tc>
          <w:tcPr>
            <w:tcW w:w="3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w:t>
            </w:r>
          </w:p>
        </w:tc>
      </w:tr>
      <w:tr>
        <w:trPr>
          <w:trHeight w:val="253"/>
        </w:trPr>
        <w:tc>
          <w:tcPr>
            <w:tcW w:w="78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Committee member annual retainer</w:t>
            </w:r>
            <w:r>
              <w:rPr>
                <w:rFonts w:ascii="Times New Roman" w:cs="Times New Roman" w:eastAsia="Times New Roman" w:hAnsi="Times New Roman"/>
                <w:sz w:val="14"/>
                <w:szCs w:val="14"/>
                <w:color w:val="auto"/>
              </w:rPr>
              <w:t>: Annual retainers, payable in cash, of:</w:t>
            </w: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39"/>
        </w:trPr>
        <w:tc>
          <w:tcPr>
            <w:tcW w:w="7880" w:type="dxa"/>
            <w:vAlign w:val="bottom"/>
          </w:tcPr>
          <w:p>
            <w:pPr>
              <w:ind w:left="1760"/>
              <w:spacing w:after="0"/>
              <w:rPr>
                <w:sz w:val="20"/>
                <w:szCs w:val="20"/>
                <w:color w:val="auto"/>
              </w:rPr>
            </w:pPr>
            <w:r>
              <w:rPr>
                <w:rFonts w:ascii="Times New Roman" w:cs="Times New Roman" w:eastAsia="Times New Roman" w:hAnsi="Times New Roman"/>
                <w:sz w:val="14"/>
                <w:szCs w:val="14"/>
                <w:color w:val="auto"/>
              </w:rPr>
              <w:t>Audit Committee:</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8,000</w:t>
            </w:r>
          </w:p>
        </w:tc>
      </w:tr>
      <w:tr>
        <w:trPr>
          <w:trHeight w:val="169"/>
        </w:trPr>
        <w:tc>
          <w:tcPr>
            <w:tcW w:w="7880" w:type="dxa"/>
            <w:vAlign w:val="bottom"/>
          </w:tcPr>
          <w:p>
            <w:pPr>
              <w:ind w:left="1760"/>
              <w:spacing w:after="0"/>
              <w:rPr>
                <w:sz w:val="20"/>
                <w:szCs w:val="20"/>
                <w:color w:val="auto"/>
              </w:rPr>
            </w:pPr>
            <w:r>
              <w:rPr>
                <w:rFonts w:ascii="Times New Roman" w:cs="Times New Roman" w:eastAsia="Times New Roman" w:hAnsi="Times New Roman"/>
                <w:sz w:val="14"/>
                <w:szCs w:val="14"/>
                <w:color w:val="auto"/>
              </w:rPr>
              <w:t>Compensation Committee:</w:t>
            </w:r>
          </w:p>
        </w:tc>
        <w:tc>
          <w:tcPr>
            <w:tcW w:w="3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r>
      <w:tr>
        <w:trPr>
          <w:trHeight w:val="169"/>
        </w:trPr>
        <w:tc>
          <w:tcPr>
            <w:tcW w:w="7880" w:type="dxa"/>
            <w:vAlign w:val="bottom"/>
          </w:tcPr>
          <w:p>
            <w:pPr>
              <w:ind w:left="1760"/>
              <w:spacing w:after="0"/>
              <w:rPr>
                <w:sz w:val="20"/>
                <w:szCs w:val="20"/>
                <w:color w:val="auto"/>
              </w:rPr>
            </w:pPr>
            <w:r>
              <w:rPr>
                <w:rFonts w:ascii="Times New Roman" w:cs="Times New Roman" w:eastAsia="Times New Roman" w:hAnsi="Times New Roman"/>
                <w:sz w:val="14"/>
                <w:szCs w:val="14"/>
                <w:color w:val="auto"/>
              </w:rPr>
              <w:t>Finance and Strategy Committee:</w:t>
            </w:r>
          </w:p>
        </w:tc>
        <w:tc>
          <w:tcPr>
            <w:tcW w:w="3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r>
      <w:tr>
        <w:trPr>
          <w:trHeight w:val="183"/>
        </w:trPr>
        <w:tc>
          <w:tcPr>
            <w:tcW w:w="7880" w:type="dxa"/>
            <w:vAlign w:val="bottom"/>
          </w:tcPr>
          <w:p>
            <w:pPr>
              <w:ind w:left="1760"/>
              <w:spacing w:after="0"/>
              <w:rPr>
                <w:sz w:val="20"/>
                <w:szCs w:val="20"/>
                <w:color w:val="auto"/>
              </w:rPr>
            </w:pPr>
            <w:r>
              <w:rPr>
                <w:rFonts w:ascii="Times New Roman" w:cs="Times New Roman" w:eastAsia="Times New Roman" w:hAnsi="Times New Roman"/>
                <w:sz w:val="14"/>
                <w:szCs w:val="14"/>
                <w:color w:val="auto"/>
              </w:rPr>
              <w:t>Governance and Nominating Committee:</w:t>
            </w:r>
          </w:p>
        </w:tc>
        <w:tc>
          <w:tcPr>
            <w:tcW w:w="3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w:t>
            </w: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Annual non-statutory stock option grants</w:t>
      </w:r>
      <w:r>
        <w:rPr>
          <w:rFonts w:ascii="Times New Roman" w:cs="Times New Roman" w:eastAsia="Times New Roman" w:hAnsi="Times New Roman"/>
          <w:sz w:val="14"/>
          <w:szCs w:val="14"/>
          <w:color w:val="auto"/>
        </w:rPr>
        <w:t>:</w:t>
      </w:r>
    </w:p>
    <w:p>
      <w:pPr>
        <w:spacing w:after="0" w:line="94" w:lineRule="exact"/>
        <w:rPr>
          <w:sz w:val="20"/>
          <w:szCs w:val="20"/>
          <w:color w:val="auto"/>
        </w:rPr>
      </w:pPr>
    </w:p>
    <w:p>
      <w:pPr>
        <w:ind w:left="880" w:right="140" w:hanging="442"/>
        <w:spacing w:after="0" w:line="285" w:lineRule="auto"/>
        <w:tabs>
          <w:tab w:leader="none" w:pos="8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purchase up to $85,000 of common stock calculated as the grant date fair value of the stock-based awards computed in accordance with FASB ASC 718 on the date of the Company’s annual meeting of stockholders using the closing sale price for a share of the Company’s common stock on the Nasdaq Global Market on the date of the annual meeting of stockholders</w:t>
      </w:r>
    </w:p>
    <w:p>
      <w:pPr>
        <w:spacing w:after="0" w:line="40" w:lineRule="exact"/>
        <w:rPr>
          <w:rFonts w:ascii="Times New Roman" w:cs="Times New Roman" w:eastAsia="Times New Roman" w:hAnsi="Times New Roman"/>
          <w:sz w:val="14"/>
          <w:szCs w:val="14"/>
          <w:color w:val="auto"/>
        </w:rPr>
      </w:pPr>
    </w:p>
    <w:p>
      <w:pPr>
        <w:ind w:left="880" w:hanging="442"/>
        <w:spacing w:after="0"/>
        <w:tabs>
          <w:tab w:leader="none" w:pos="8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Granted to directors who are elected to the board at the annual meeting of stockholders</w:t>
      </w:r>
    </w:p>
    <w:p>
      <w:pPr>
        <w:spacing w:after="0" w:line="92" w:lineRule="exact"/>
        <w:rPr>
          <w:rFonts w:ascii="Times New Roman" w:cs="Times New Roman" w:eastAsia="Times New Roman" w:hAnsi="Times New Roman"/>
          <w:sz w:val="14"/>
          <w:szCs w:val="14"/>
          <w:color w:val="auto"/>
        </w:rPr>
      </w:pPr>
    </w:p>
    <w:p>
      <w:pPr>
        <w:ind w:left="880" w:hanging="442"/>
        <w:spacing w:after="0"/>
        <w:tabs>
          <w:tab w:leader="none" w:pos="8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Exercise price per share equal to the closing sales price for a share on the Nasdaq Global Market on the date of the annual meeting of stockholders</w:t>
      </w:r>
    </w:p>
    <w:p>
      <w:pPr>
        <w:spacing w:after="0" w:line="92" w:lineRule="exact"/>
        <w:rPr>
          <w:rFonts w:ascii="Times New Roman" w:cs="Times New Roman" w:eastAsia="Times New Roman" w:hAnsi="Times New Roman"/>
          <w:sz w:val="14"/>
          <w:szCs w:val="14"/>
          <w:color w:val="auto"/>
        </w:rPr>
      </w:pPr>
    </w:p>
    <w:p>
      <w:pPr>
        <w:ind w:left="880" w:right="100" w:hanging="442"/>
        <w:spacing w:after="0" w:line="285" w:lineRule="auto"/>
        <w:tabs>
          <w:tab w:leader="none" w:pos="8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Vest in four equal installments on the last day of each fiscal quarter with the first vesting occurring on the fiscal quarter end next following the date of the annual meeting of stockholders, provided the recipient remains a member of the board as of the vesting date</w:t>
      </w:r>
    </w:p>
    <w:p>
      <w:pPr>
        <w:spacing w:after="0" w:line="40" w:lineRule="exact"/>
        <w:rPr>
          <w:rFonts w:ascii="Times New Roman" w:cs="Times New Roman" w:eastAsia="Times New Roman" w:hAnsi="Times New Roman"/>
          <w:sz w:val="14"/>
          <w:szCs w:val="14"/>
          <w:color w:val="auto"/>
        </w:rPr>
      </w:pPr>
    </w:p>
    <w:p>
      <w:pPr>
        <w:ind w:left="880" w:hanging="442"/>
        <w:spacing w:after="0"/>
        <w:tabs>
          <w:tab w:leader="none" w:pos="8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Maximum term of seven years measured from the date of grant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Annual restricted stock and/or deferred stock unit grants</w:t>
      </w:r>
      <w:r>
        <w:rPr>
          <w:rFonts w:ascii="Times New Roman" w:cs="Times New Roman" w:eastAsia="Times New Roman" w:hAnsi="Times New Roman"/>
          <w:sz w:val="14"/>
          <w:szCs w:val="14"/>
          <w:color w:val="auto"/>
        </w:rPr>
        <w:t>:</w:t>
      </w:r>
    </w:p>
    <w:p>
      <w:pPr>
        <w:spacing w:after="0" w:line="94" w:lineRule="exact"/>
        <w:rPr>
          <w:sz w:val="20"/>
          <w:szCs w:val="20"/>
          <w:color w:val="auto"/>
        </w:rPr>
      </w:pPr>
    </w:p>
    <w:p>
      <w:pPr>
        <w:ind w:left="980" w:hanging="426"/>
        <w:spacing w:after="0" w:line="285" w:lineRule="auto"/>
        <w:tabs>
          <w:tab w:leader="none" w:pos="98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acquire up to $85,000 of restricted common stock or deferred stock units, or some combination of the two, at the director’s election, calculated by dividing $85,000 by the closing sale price for a share of the Company’s common stock on the Nasdaq Global Market on the date of the Company’s annual meeting of stockholders</w:t>
      </w:r>
    </w:p>
    <w:p>
      <w:pPr>
        <w:spacing w:after="0" w:line="40" w:lineRule="exact"/>
        <w:rPr>
          <w:rFonts w:ascii="Times New Roman" w:cs="Times New Roman" w:eastAsia="Times New Roman" w:hAnsi="Times New Roman"/>
          <w:sz w:val="14"/>
          <w:szCs w:val="14"/>
          <w:color w:val="auto"/>
        </w:rPr>
      </w:pPr>
    </w:p>
    <w:p>
      <w:pPr>
        <w:ind w:left="980" w:hanging="426"/>
        <w:spacing w:after="0"/>
        <w:tabs>
          <w:tab w:leader="none" w:pos="98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Granted to directors who are elected to the board at the annual meeting of stockholders</w:t>
      </w:r>
    </w:p>
    <w:p>
      <w:pPr>
        <w:spacing w:after="0" w:line="92" w:lineRule="exact"/>
        <w:rPr>
          <w:rFonts w:ascii="Times New Roman" w:cs="Times New Roman" w:eastAsia="Times New Roman" w:hAnsi="Times New Roman"/>
          <w:sz w:val="14"/>
          <w:szCs w:val="14"/>
          <w:color w:val="auto"/>
        </w:rPr>
      </w:pPr>
    </w:p>
    <w:p>
      <w:pPr>
        <w:ind w:left="980" w:right="780" w:hanging="426"/>
        <w:spacing w:after="0" w:line="285" w:lineRule="auto"/>
        <w:tabs>
          <w:tab w:leader="none" w:pos="98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Vest in four equal installments on the last day of each fiscal quarter with the first vesting occurring on the fiscal quarter end next following the date of the annual meeting of stockholders, provided the recipient remains a member of the board as of the vesting date</w:t>
      </w:r>
      <w:r>
        <w:rPr>
          <w:rFonts w:ascii="Times New Roman" w:cs="Times New Roman" w:eastAsia="Times New Roman" w:hAnsi="Times New Roman"/>
          <w:sz w:val="11"/>
          <w:szCs w:val="11"/>
          <w:color w:val="auto"/>
        </w:rPr>
        <w:t>1</w:t>
      </w:r>
    </w:p>
    <w:p>
      <w:pPr>
        <w:spacing w:after="0" w:line="40" w:lineRule="exact"/>
        <w:rPr>
          <w:rFonts w:ascii="Times New Roman" w:cs="Times New Roman" w:eastAsia="Times New Roman" w:hAnsi="Times New Roman"/>
          <w:sz w:val="14"/>
          <w:szCs w:val="14"/>
          <w:color w:val="auto"/>
        </w:rPr>
      </w:pPr>
    </w:p>
    <w:p>
      <w:pPr>
        <w:ind w:left="980" w:right="540" w:hanging="426"/>
        <w:spacing w:after="0" w:line="285" w:lineRule="auto"/>
        <w:tabs>
          <w:tab w:leader="none" w:pos="98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Deferred stock units must be retained until completion of the director’s service on the board, and upon completion of such service, convert into an equal number of shares of the Company’s common stock. A director may defer receipt of the shares for up to ten years after completion of service.</w:t>
      </w:r>
    </w:p>
    <w:p>
      <w:pPr>
        <w:spacing w:after="0" w:line="166" w:lineRule="exact"/>
        <w:rPr>
          <w:rFonts w:ascii="Times New Roman" w:cs="Times New Roman" w:eastAsia="Times New Roman" w:hAnsi="Times New Roman"/>
          <w:sz w:val="14"/>
          <w:szCs w:val="14"/>
          <w:color w:val="auto"/>
        </w:rPr>
      </w:pPr>
    </w:p>
    <w:p>
      <w:pPr>
        <w:ind w:left="120" w:right="340" w:hanging="106"/>
        <w:spacing w:after="0" w:line="28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 xml:space="preserve">1 </w:t>
      </w:r>
      <w:r>
        <w:rPr>
          <w:rFonts w:ascii="Times New Roman" w:cs="Times New Roman" w:eastAsia="Times New Roman" w:hAnsi="Times New Roman"/>
          <w:sz w:val="14"/>
          <w:szCs w:val="14"/>
          <w:color w:val="auto"/>
        </w:rPr>
        <w:t>Note: For 409A reasons, vesting of the deferred stock units awarded in 2019 may not occur until 12 months after deferral elections are made by the directors. For future deferred stock unit awards,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4"/>
          <w:szCs w:val="14"/>
          <w:color w:val="auto"/>
        </w:rPr>
        <w:t>however, the quarterly vesting described in the bullet will be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-239395</wp:posOffset>
            </wp:positionV>
            <wp:extent cx="1455420"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1455420" cy="698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243205</wp:posOffset>
            </wp:positionV>
            <wp:extent cx="731520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315200" cy="38735"/>
                    </a:xfrm>
                    <a:prstGeom prst="rect">
                      <a:avLst/>
                    </a:prstGeom>
                    <a:noFill/>
                  </pic:spPr>
                </pic:pic>
              </a:graphicData>
            </a:graphic>
          </wp:anchor>
        </w:drawing>
      </w:r>
    </w:p>
    <w:p>
      <w:pPr>
        <w:sectPr>
          <w:pgSz w:w="11900" w:h="16838" w:orient="portrait"/>
          <w:cols w:equalWidth="0" w:num="1">
            <w:col w:w="11460"/>
          </w:cols>
          <w:pgMar w:left="220" w:top="116" w:right="21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Reimbursement of expenses</w:t>
      </w:r>
      <w:r>
        <w:rPr>
          <w:rFonts w:ascii="Times New Roman" w:cs="Times New Roman" w:eastAsia="Times New Roman" w:hAnsi="Times New Roman"/>
          <w:sz w:val="14"/>
          <w:szCs w:val="14"/>
          <w:color w:val="auto"/>
        </w:rPr>
        <w:t>: The Company shall reimburse directors for reasonable expenses incurred in connection with attending board and committee meetings.</w:t>
      </w:r>
    </w:p>
    <w:p>
      <w:pPr>
        <w:sectPr>
          <w:pgSz w:w="11900" w:h="16838" w:orient="portrait"/>
          <w:cols w:equalWidth="0" w:num="1">
            <w:col w:w="11460"/>
          </w:cols>
          <w:pgMar w:left="220" w:top="116" w:right="21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6"/>
          <w:szCs w:val="16"/>
          <w:b w:val="1"/>
          <w:bCs w:val="1"/>
          <w:color w:val="auto"/>
        </w:rPr>
        <w:t>Exhibit 10.2</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SPS COMMERCE, INC.</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Deferred Stock Unit Agreement</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Under the 2010 Equity Incentive Plan (Director)</w:t>
      </w:r>
    </w:p>
    <w:p>
      <w:pPr>
        <w:spacing w:after="0" w:line="162" w:lineRule="exact"/>
        <w:rPr>
          <w:sz w:val="20"/>
          <w:szCs w:val="20"/>
          <w:color w:val="auto"/>
        </w:rPr>
      </w:pPr>
    </w:p>
    <w:p>
      <w:pPr>
        <w:jc w:val="both"/>
        <w:ind w:firstLine="881"/>
        <w:spacing w:after="0" w:line="265" w:lineRule="auto"/>
        <w:rPr>
          <w:sz w:val="20"/>
          <w:szCs w:val="20"/>
          <w:color w:val="auto"/>
        </w:rPr>
      </w:pPr>
      <w:r>
        <w:rPr>
          <w:rFonts w:ascii="Times New Roman" w:cs="Times New Roman" w:eastAsia="Times New Roman" w:hAnsi="Times New Roman"/>
          <w:sz w:val="16"/>
          <w:szCs w:val="16"/>
          <w:color w:val="auto"/>
        </w:rPr>
        <w:t>This Deferred Stock Unit Agreement (the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is made and entered into as of the grant date indicated below (the “</w:t>
      </w:r>
      <w:r>
        <w:rPr>
          <w:rFonts w:ascii="Times New Roman" w:cs="Times New Roman" w:eastAsia="Times New Roman" w:hAnsi="Times New Roman"/>
          <w:sz w:val="16"/>
          <w:szCs w:val="16"/>
          <w:u w:val="single" w:color="auto"/>
          <w:color w:val="auto"/>
        </w:rPr>
        <w:t>Grant Date</w:t>
      </w:r>
      <w:r>
        <w:rPr>
          <w:rFonts w:ascii="Times New Roman" w:cs="Times New Roman" w:eastAsia="Times New Roman" w:hAnsi="Times New Roman"/>
          <w:sz w:val="16"/>
          <w:szCs w:val="16"/>
          <w:color w:val="auto"/>
        </w:rPr>
        <w:t>”), by and between SPS Commerce, Inc.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and you, the participant whose name appears below. The Agreement consists of this cover page and the Terms and Conditions on the following pages.</w:t>
      </w:r>
    </w:p>
    <w:p>
      <w:pPr>
        <w:spacing w:after="0" w:line="130" w:lineRule="exact"/>
        <w:rPr>
          <w:sz w:val="20"/>
          <w:szCs w:val="20"/>
          <w:color w:val="auto"/>
        </w:rPr>
      </w:pPr>
    </w:p>
    <w:p>
      <w:pPr>
        <w:jc w:val="both"/>
        <w:ind w:firstLine="881"/>
        <w:spacing w:after="0" w:line="255" w:lineRule="auto"/>
        <w:rPr>
          <w:sz w:val="20"/>
          <w:szCs w:val="20"/>
          <w:color w:val="auto"/>
        </w:rPr>
      </w:pPr>
      <w:r>
        <w:rPr>
          <w:rFonts w:ascii="Times New Roman" w:cs="Times New Roman" w:eastAsia="Times New Roman" w:hAnsi="Times New Roman"/>
          <w:sz w:val="16"/>
          <w:szCs w:val="16"/>
          <w:color w:val="auto"/>
        </w:rPr>
        <w:t>The Company has established the 2010 Equity Incentive Plan (the “</w:t>
      </w:r>
      <w:r>
        <w:rPr>
          <w:rFonts w:ascii="Times New Roman" w:cs="Times New Roman" w:eastAsia="Times New Roman" w:hAnsi="Times New Roman"/>
          <w:sz w:val="16"/>
          <w:szCs w:val="16"/>
          <w:u w:val="single" w:color="auto"/>
          <w:color w:val="auto"/>
        </w:rPr>
        <w:t>Plan</w:t>
      </w:r>
      <w:r>
        <w:rPr>
          <w:rFonts w:ascii="Times New Roman" w:cs="Times New Roman" w:eastAsia="Times New Roman" w:hAnsi="Times New Roman"/>
          <w:sz w:val="16"/>
          <w:szCs w:val="16"/>
          <w:color w:val="auto"/>
        </w:rPr>
        <w:t>”), pursuant to which the Company’s Board of Directors (the “</w:t>
      </w:r>
      <w:r>
        <w:rPr>
          <w:rFonts w:ascii="Times New Roman" w:cs="Times New Roman" w:eastAsia="Times New Roman" w:hAnsi="Times New Roman"/>
          <w:sz w:val="16"/>
          <w:szCs w:val="16"/>
          <w:u w:val="single" w:color="auto"/>
          <w:color w:val="auto"/>
        </w:rPr>
        <w:t>Board</w:t>
      </w:r>
      <w:r>
        <w:rPr>
          <w:rFonts w:ascii="Times New Roman" w:cs="Times New Roman" w:eastAsia="Times New Roman" w:hAnsi="Times New Roman"/>
          <w:sz w:val="16"/>
          <w:szCs w:val="16"/>
          <w:color w:val="auto"/>
        </w:rPr>
        <w:t>”) has authority to grant Awards to Non-Employee Directors. The Board determined that for fiscal year 20__, Non-Employee Directors would receive annual equity-based awards under the Plan with an aggregate grant date fair value of $________. Each Non-Employee Director was entitled to elect to receive restricted stock or deferred stock units, or some combination of the</w:t>
      </w:r>
    </w:p>
    <w:p>
      <w:pPr>
        <w:spacing w:after="0" w:line="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foregoing. You elected to receive some or all of your equity-based award for fiscal 20__ in the form of deferred stock units, which are granted to you pursuant to this Agreement. To the extent any capitalized term used in this Agreement is not defined, it shall have the meaning assigned to it in the Plan as it currently exists or, to the extent it does not violate Code section 409A, as it is amended in the future.</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In consideration of the foregoing, the Company and you hereby agree as follows:</w:t>
      </w:r>
    </w:p>
    <w:p>
      <w:pPr>
        <w:spacing w:after="0" w:line="175" w:lineRule="exact"/>
        <w:rPr>
          <w:sz w:val="20"/>
          <w:szCs w:val="20"/>
          <w:color w:val="auto"/>
        </w:rPr>
      </w:pPr>
    </w:p>
    <w:p>
      <w:pPr>
        <w:jc w:val="both"/>
        <w:ind w:firstLine="886"/>
        <w:spacing w:after="0" w:line="265" w:lineRule="auto"/>
        <w:tabs>
          <w:tab w:leader="none" w:pos="1107"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Grant</w:t>
      </w:r>
      <w:r>
        <w:rPr>
          <w:rFonts w:ascii="Times New Roman" w:cs="Times New Roman" w:eastAsia="Times New Roman" w:hAnsi="Times New Roman"/>
          <w:sz w:val="16"/>
          <w:szCs w:val="16"/>
          <w:color w:val="auto"/>
        </w:rPr>
        <w:t>. Pursuant to the Plan, the Company hereby grants to you, subject to your acceptance hereof, the number of deferred stock units (the “</w:t>
      </w:r>
      <w:r>
        <w:rPr>
          <w:rFonts w:ascii="Times New Roman" w:cs="Times New Roman" w:eastAsia="Times New Roman" w:hAnsi="Times New Roman"/>
          <w:sz w:val="16"/>
          <w:szCs w:val="16"/>
          <w:u w:val="single" w:color="auto"/>
          <w:color w:val="auto"/>
        </w:rPr>
        <w:t>Units</w:t>
      </w:r>
      <w:r>
        <w:rPr>
          <w:rFonts w:ascii="Times New Roman" w:cs="Times New Roman" w:eastAsia="Times New Roman" w:hAnsi="Times New Roman"/>
          <w:sz w:val="16"/>
          <w:szCs w:val="16"/>
          <w:color w:val="auto"/>
        </w:rPr>
        <w:t>”) indicated below. Each Unit represents the right to receive one Share of the Company’s common stock upon settlement of the Unit. The terms and conditions of this deferred stock unit award (this “</w:t>
      </w:r>
      <w:r>
        <w:rPr>
          <w:rFonts w:ascii="Times New Roman" w:cs="Times New Roman" w:eastAsia="Times New Roman" w:hAnsi="Times New Roman"/>
          <w:sz w:val="16"/>
          <w:szCs w:val="16"/>
          <w:u w:val="single" w:color="auto"/>
          <w:color w:val="auto"/>
        </w:rPr>
        <w:t>Award</w:t>
      </w:r>
      <w:r>
        <w:rPr>
          <w:rFonts w:ascii="Times New Roman" w:cs="Times New Roman" w:eastAsia="Times New Roman" w:hAnsi="Times New Roman"/>
          <w:sz w:val="16"/>
          <w:szCs w:val="16"/>
          <w:color w:val="auto"/>
        </w:rPr>
        <w:t>”) are set forth in this Agreement and in the Plan document which is attached.</w:t>
      </w:r>
    </w:p>
    <w:p>
      <w:pPr>
        <w:spacing w:after="0" w:line="129" w:lineRule="exact"/>
        <w:rPr>
          <w:rFonts w:ascii="Times New Roman" w:cs="Times New Roman" w:eastAsia="Times New Roman" w:hAnsi="Times New Roman"/>
          <w:sz w:val="16"/>
          <w:szCs w:val="16"/>
          <w:color w:val="auto"/>
        </w:rPr>
      </w:pPr>
    </w:p>
    <w:p>
      <w:pPr>
        <w:ind w:left="1080" w:hanging="194"/>
        <w:spacing w:after="0"/>
        <w:tabs>
          <w:tab w:leader="none" w:pos="10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Vesting</w:t>
      </w:r>
      <w:r>
        <w:rPr>
          <w:rFonts w:ascii="Times New Roman" w:cs="Times New Roman" w:eastAsia="Times New Roman" w:hAnsi="Times New Roman"/>
          <w:sz w:val="16"/>
          <w:szCs w:val="16"/>
          <w:color w:val="auto"/>
        </w:rPr>
        <w:t>. Except as otherwise provided in the Terms and Conditions, the Units shall vest according to the schedule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4298950" cy="7378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4298950" cy="737870"/>
                    </a:xfrm>
                    <a:prstGeom prst="rect">
                      <a:avLst/>
                    </a:prstGeom>
                    <a:noFill/>
                  </pic:spPr>
                </pic:pic>
              </a:graphicData>
            </a:graphic>
          </wp:anchor>
        </w:drawing>
      </w:r>
    </w:p>
    <w:p>
      <w:pPr>
        <w:spacing w:after="0" w:line="2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Name of Participant:</w:t>
      </w:r>
    </w:p>
    <w:p>
      <w:pPr>
        <w:spacing w:after="0" w:line="85" w:lineRule="exact"/>
        <w:rPr>
          <w:sz w:val="20"/>
          <w:szCs w:val="20"/>
          <w:color w:val="auto"/>
        </w:rPr>
      </w:pPr>
    </w:p>
    <w:tbl>
      <w:tblPr>
        <w:tblLayout w:type="fixed"/>
        <w:tblInd w:w="20" w:type="dxa"/>
        <w:tblCellMar>
          <w:top w:w="0" w:type="dxa"/>
          <w:left w:w="0" w:type="dxa"/>
          <w:bottom w:w="0" w:type="dxa"/>
          <w:right w:w="0" w:type="dxa"/>
        </w:tblCellMar>
      </w:tblPr>
      <w:tr>
        <w:trPr>
          <w:trHeight w:val="291"/>
        </w:trPr>
        <w:tc>
          <w:tcPr>
            <w:tcW w:w="33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Number of Deferred Stock Units:</w:t>
            </w:r>
          </w:p>
        </w:tc>
        <w:tc>
          <w:tcPr>
            <w:tcW w:w="3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Grant Date:</w:t>
            </w:r>
          </w:p>
        </w:tc>
      </w:tr>
      <w:tr>
        <w:trPr>
          <w:trHeight w:val="79"/>
        </w:trPr>
        <w:tc>
          <w:tcPr>
            <w:tcW w:w="3380" w:type="dxa"/>
            <w:vAlign w:val="bottom"/>
            <w:tcBorders>
              <w:bottom w:val="single" w:sz="8" w:color="auto"/>
              <w:right w:val="single" w:sz="8" w:color="auto"/>
            </w:tcBorders>
          </w:tcPr>
          <w:p>
            <w:pPr>
              <w:spacing w:after="0"/>
              <w:rPr>
                <w:sz w:val="6"/>
                <w:szCs w:val="6"/>
                <w:color w:val="auto"/>
              </w:rPr>
            </w:pPr>
          </w:p>
        </w:tc>
        <w:tc>
          <w:tcPr>
            <w:tcW w:w="3340" w:type="dxa"/>
            <w:vAlign w:val="bottom"/>
            <w:tcBorders>
              <w:bottom w:val="single" w:sz="8" w:color="auto"/>
            </w:tcBorders>
          </w:tcPr>
          <w:p>
            <w:pPr>
              <w:spacing w:after="0"/>
              <w:rPr>
                <w:sz w:val="6"/>
                <w:szCs w:val="6"/>
                <w:color w:val="auto"/>
              </w:rPr>
            </w:pPr>
          </w:p>
        </w:tc>
      </w:tr>
      <w:tr>
        <w:trPr>
          <w:trHeight w:val="271"/>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Vesting Schedule: ______________</w:t>
            </w:r>
          </w:p>
        </w:tc>
        <w:tc>
          <w:tcPr>
            <w:tcW w:w="3340" w:type="dxa"/>
            <w:vAlign w:val="bottom"/>
          </w:tcPr>
          <w:p>
            <w:pPr>
              <w:spacing w:after="0"/>
              <w:rPr>
                <w:sz w:val="23"/>
                <w:szCs w:val="23"/>
                <w:color w:val="auto"/>
              </w:rPr>
            </w:pPr>
          </w:p>
        </w:tc>
      </w:tr>
    </w:tbl>
    <w:p>
      <w:pPr>
        <w:spacing w:after="0" w:line="265" w:lineRule="exact"/>
        <w:rPr>
          <w:sz w:val="20"/>
          <w:szCs w:val="20"/>
          <w:color w:val="auto"/>
        </w:rPr>
      </w:pPr>
    </w:p>
    <w:p>
      <w:pPr>
        <w:ind w:firstLine="881"/>
        <w:spacing w:after="0" w:line="282" w:lineRule="auto"/>
        <w:rPr>
          <w:sz w:val="20"/>
          <w:szCs w:val="20"/>
          <w:color w:val="auto"/>
        </w:rPr>
      </w:pPr>
      <w:r>
        <w:rPr>
          <w:rFonts w:ascii="Times New Roman" w:cs="Times New Roman" w:eastAsia="Times New Roman" w:hAnsi="Times New Roman"/>
          <w:sz w:val="16"/>
          <w:szCs w:val="16"/>
          <w:color w:val="auto"/>
        </w:rPr>
        <w:t>By signing below, you agree to all of the terms and conditions contained in this Agreement and in the Plan document. You acknowledge that you have reviewed these documents and that they set forth the entire agreement between you and the Company regarding this Award.</w:t>
      </w:r>
    </w:p>
    <w:p>
      <w:pPr>
        <w:spacing w:after="0" w:line="138" w:lineRule="exact"/>
        <w:rPr>
          <w:sz w:val="20"/>
          <w:szCs w:val="20"/>
          <w:color w:val="auto"/>
        </w:rPr>
      </w:pPr>
    </w:p>
    <w:p>
      <w:pPr>
        <w:spacing w:after="0"/>
        <w:tabs>
          <w:tab w:leader="none" w:pos="4520" w:val="left"/>
        </w:tabs>
        <w:rPr>
          <w:sz w:val="20"/>
          <w:szCs w:val="20"/>
          <w:color w:val="auto"/>
        </w:rPr>
      </w:pPr>
      <w:r>
        <w:rPr>
          <w:rFonts w:ascii="Times New Roman" w:cs="Times New Roman" w:eastAsia="Times New Roman" w:hAnsi="Times New Roman"/>
          <w:sz w:val="16"/>
          <w:szCs w:val="16"/>
          <w:color w:val="auto"/>
        </w:rPr>
        <w:t>PARTICIPANT</w:t>
      </w:r>
      <w:r>
        <w:rPr>
          <w:sz w:val="20"/>
          <w:szCs w:val="20"/>
          <w:color w:val="auto"/>
        </w:rPr>
        <w:tab/>
      </w:r>
      <w:r>
        <w:rPr>
          <w:rFonts w:ascii="Times New Roman" w:cs="Times New Roman" w:eastAsia="Times New Roman" w:hAnsi="Times New Roman"/>
          <w:sz w:val="16"/>
          <w:szCs w:val="16"/>
          <w:color w:val="auto"/>
        </w:rPr>
        <w:t>SPS COMMERCE,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523240</wp:posOffset>
            </wp:positionV>
            <wp:extent cx="731520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315200" cy="38735"/>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7"/>
          <w:szCs w:val="17"/>
          <w:b w:val="1"/>
          <w:bCs w:val="1"/>
          <w:color w:val="auto"/>
        </w:rPr>
        <w:t>SPS Commerce,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2010 Equity Incentive Plan</w:t>
      </w:r>
    </w:p>
    <w:p>
      <w:pPr>
        <w:jc w:val="center"/>
        <w:spacing w:after="0"/>
        <w:rPr>
          <w:sz w:val="20"/>
          <w:szCs w:val="20"/>
          <w:color w:val="auto"/>
        </w:rPr>
      </w:pPr>
      <w:r>
        <w:rPr>
          <w:rFonts w:ascii="Times New Roman" w:cs="Times New Roman" w:eastAsia="Times New Roman" w:hAnsi="Times New Roman"/>
          <w:sz w:val="17"/>
          <w:szCs w:val="17"/>
          <w:b w:val="1"/>
          <w:bCs w:val="1"/>
          <w:color w:val="auto"/>
        </w:rPr>
        <w:t>Deferred Stock Unit Agreement</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Terms and Conditions</w:t>
      </w:r>
    </w:p>
    <w:p>
      <w:pPr>
        <w:spacing w:after="0" w:line="164" w:lineRule="exact"/>
        <w:rPr>
          <w:sz w:val="20"/>
          <w:szCs w:val="20"/>
          <w:color w:val="auto"/>
        </w:rPr>
      </w:pPr>
    </w:p>
    <w:p>
      <w:pPr>
        <w:ind w:left="880" w:hanging="876"/>
        <w:spacing w:after="0"/>
        <w:tabs>
          <w:tab w:leader="none" w:pos="8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Vesting and Forfeiture</w:t>
      </w:r>
      <w:r>
        <w:rPr>
          <w:rFonts w:ascii="Times New Roman" w:cs="Times New Roman" w:eastAsia="Times New Roman" w:hAnsi="Times New Roman"/>
          <w:sz w:val="17"/>
          <w:szCs w:val="17"/>
          <w:color w:val="auto"/>
        </w:rPr>
        <w:t>.</w:t>
      </w:r>
    </w:p>
    <w:p>
      <w:pPr>
        <w:spacing w:after="0" w:line="167" w:lineRule="exact"/>
        <w:rPr>
          <w:rFonts w:ascii="Times New Roman" w:cs="Times New Roman" w:eastAsia="Times New Roman" w:hAnsi="Times New Roman"/>
          <w:sz w:val="17"/>
          <w:szCs w:val="17"/>
          <w:color w:val="auto"/>
        </w:rPr>
      </w:pPr>
    </w:p>
    <w:p>
      <w:pPr>
        <w:jc w:val="both"/>
        <w:ind w:left="1760" w:hanging="879"/>
        <w:spacing w:after="0" w:line="242" w:lineRule="auto"/>
        <w:tabs>
          <w:tab w:leader="none" w:pos="176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hereby confirms the grant to you, as of the Grant Date and subject to the terms and conditions of this Agreement and the Plan, the Award of Units in the amount specified on the cover page to this Agreement. Subject to Section 1(b), each Unit will vest as to the portion of Units and on the dates specified in the Vesting Schedule on the cover page to this Agreement, so long as your Service to the Company or any Affiliate does not end prior to such dates.</w:t>
      </w:r>
    </w:p>
    <w:p>
      <w:pPr>
        <w:spacing w:after="0" w:line="140" w:lineRule="exact"/>
        <w:rPr>
          <w:rFonts w:ascii="Times New Roman" w:cs="Times New Roman" w:eastAsia="Times New Roman" w:hAnsi="Times New Roman"/>
          <w:sz w:val="17"/>
          <w:szCs w:val="17"/>
          <w:color w:val="auto"/>
        </w:rPr>
      </w:pPr>
    </w:p>
    <w:p>
      <w:pPr>
        <w:jc w:val="both"/>
        <w:ind w:left="1760" w:hanging="879"/>
        <w:spacing w:after="0" w:line="247" w:lineRule="auto"/>
        <w:tabs>
          <w:tab w:leader="none" w:pos="176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Vesting of the Units will be accelerated on the date a Change in Control (within the meaning of Section 2(f)(3) of the Plan, including the last sentence thereof) occurs, so long as you have continuously provided Service to the Company or any Affiliate between the Grant Date and the date of such Change in Control.</w:t>
      </w:r>
    </w:p>
    <w:p>
      <w:pPr>
        <w:spacing w:after="0" w:line="135" w:lineRule="exact"/>
        <w:rPr>
          <w:rFonts w:ascii="Times New Roman" w:cs="Times New Roman" w:eastAsia="Times New Roman" w:hAnsi="Times New Roman"/>
          <w:sz w:val="17"/>
          <w:szCs w:val="17"/>
          <w:color w:val="auto"/>
        </w:rPr>
      </w:pPr>
    </w:p>
    <w:p>
      <w:pPr>
        <w:ind w:left="1760" w:hanging="879"/>
        <w:spacing w:after="0" w:line="261" w:lineRule="auto"/>
        <w:tabs>
          <w:tab w:leader="none" w:pos="176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expressly provided in this Agreement or the Plan, if you cease to continue providing Service to the Company or any Affiliate, then this Award shall terminate and all Units subject to this Award that have not yet vested shall be forfeited.</w:t>
      </w:r>
    </w:p>
    <w:p>
      <w:pPr>
        <w:spacing w:after="0" w:line="124" w:lineRule="exact"/>
        <w:rPr>
          <w:rFonts w:ascii="Times New Roman" w:cs="Times New Roman" w:eastAsia="Times New Roman" w:hAnsi="Times New Roman"/>
          <w:sz w:val="17"/>
          <w:szCs w:val="17"/>
          <w:color w:val="auto"/>
        </w:rPr>
      </w:pPr>
    </w:p>
    <w:p>
      <w:pPr>
        <w:ind w:left="1760" w:hanging="879"/>
        <w:spacing w:after="0"/>
        <w:tabs>
          <w:tab w:leader="none" w:pos="176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Unit that vests will entitle you to receive one Share.</w:t>
      </w:r>
    </w:p>
    <w:p>
      <w:pPr>
        <w:spacing w:after="0" w:line="159" w:lineRule="exact"/>
        <w:rPr>
          <w:rFonts w:ascii="Times New Roman" w:cs="Times New Roman" w:eastAsia="Times New Roman" w:hAnsi="Times New Roman"/>
          <w:sz w:val="17"/>
          <w:szCs w:val="17"/>
          <w:color w:val="auto"/>
        </w:rPr>
      </w:pPr>
    </w:p>
    <w:p>
      <w:pPr>
        <w:jc w:val="both"/>
        <w:ind w:left="880" w:hanging="876"/>
        <w:spacing w:after="0" w:line="250" w:lineRule="auto"/>
        <w:tabs>
          <w:tab w:leader="none" w:pos="8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Nature of Units</w:t>
      </w:r>
      <w:r>
        <w:rPr>
          <w:rFonts w:ascii="Times New Roman" w:cs="Times New Roman" w:eastAsia="Times New Roman" w:hAnsi="Times New Roman"/>
          <w:sz w:val="17"/>
          <w:szCs w:val="17"/>
          <w:color w:val="auto"/>
        </w:rPr>
        <w:t>. The Units granted pursuant to this Award are bookkeeping entries only and do not provide you with voting or other rights of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shareholder of the Company except as set forth in Section 4. The Units shall remain forfeitable at all times unless and to the extent the vesting conditions set forth in this Agreement are satisfied.</w:t>
      </w:r>
    </w:p>
    <w:p>
      <w:pPr>
        <w:spacing w:after="0" w:line="128" w:lineRule="exact"/>
        <w:rPr>
          <w:rFonts w:ascii="Times New Roman" w:cs="Times New Roman" w:eastAsia="Times New Roman" w:hAnsi="Times New Roman"/>
          <w:sz w:val="17"/>
          <w:szCs w:val="17"/>
          <w:color w:val="auto"/>
        </w:rPr>
      </w:pPr>
    </w:p>
    <w:p>
      <w:pPr>
        <w:ind w:left="880" w:hanging="876"/>
        <w:spacing w:after="0"/>
        <w:tabs>
          <w:tab w:leader="none" w:pos="8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Settlement of Units</w:t>
      </w:r>
      <w:r>
        <w:rPr>
          <w:rFonts w:ascii="Times New Roman" w:cs="Times New Roman" w:eastAsia="Times New Roman" w:hAnsi="Times New Roman"/>
          <w:sz w:val="17"/>
          <w:szCs w:val="17"/>
          <w:i w:val="1"/>
          <w:iCs w:val="1"/>
          <w:color w:val="auto"/>
        </w:rPr>
        <w:t>.</w:t>
      </w:r>
    </w:p>
    <w:p>
      <w:pPr>
        <w:spacing w:after="0" w:line="163" w:lineRule="exact"/>
        <w:rPr>
          <w:rFonts w:ascii="Times New Roman" w:cs="Times New Roman" w:eastAsia="Times New Roman" w:hAnsi="Times New Roman"/>
          <w:sz w:val="17"/>
          <w:szCs w:val="17"/>
          <w:color w:val="auto"/>
        </w:rPr>
      </w:pPr>
    </w:p>
    <w:p>
      <w:pPr>
        <w:jc w:val="both"/>
        <w:ind w:left="1760" w:hanging="879"/>
        <w:spacing w:after="0" w:line="244" w:lineRule="auto"/>
        <w:tabs>
          <w:tab w:leader="none" w:pos="176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Settlement Dates</w:t>
      </w:r>
      <w:r>
        <w:rPr>
          <w:rFonts w:ascii="Times New Roman" w:cs="Times New Roman" w:eastAsia="Times New Roman" w:hAnsi="Times New Roman"/>
          <w:sz w:val="17"/>
          <w:szCs w:val="17"/>
          <w:color w:val="auto"/>
        </w:rPr>
        <w:t>. The Company shall cause to be issued to you (or your beneficiary or personal representative) one Share in payment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settlement of each vested Unit. All Shares so issued will be fully paid and nonassessable. The issuance of Shares in settlement of vested Units under this Agreement will be made in whole Shares with any fractional shares paid in cash during whichever of the following periods ends first:</w:t>
      </w:r>
    </w:p>
    <w:p>
      <w:pPr>
        <w:spacing w:after="0" w:line="159" w:lineRule="exact"/>
        <w:rPr>
          <w:rFonts w:ascii="Times New Roman" w:cs="Times New Roman" w:eastAsia="Times New Roman" w:hAnsi="Times New Roman"/>
          <w:sz w:val="17"/>
          <w:szCs w:val="17"/>
          <w:color w:val="auto"/>
        </w:rPr>
      </w:pPr>
    </w:p>
    <w:p>
      <w:pPr>
        <w:ind w:left="2640" w:hanging="882"/>
        <w:spacing w:after="0" w:line="261" w:lineRule="auto"/>
        <w:tabs>
          <w:tab w:leader="none" w:pos="2640" w:val="left"/>
        </w:tabs>
        <w:numPr>
          <w:ilvl w:val="2"/>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month of February following the calendar year of your separation from service, as defined under Code Section 409A, unless you have elected to defer settlement in accordance with Section 3(b) below;</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50800</wp:posOffset>
            </wp:positionV>
            <wp:extent cx="731520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315200" cy="38735"/>
                    </a:xfrm>
                    <a:prstGeom prst="rect">
                      <a:avLst/>
                    </a:prstGeom>
                    <a:noFill/>
                  </pic:spPr>
                </pic:pic>
              </a:graphicData>
            </a:graphic>
          </wp:anchor>
        </w:drawing>
      </w:r>
    </w:p>
    <w:p>
      <w:pPr>
        <w:sectPr>
          <w:pgSz w:w="11900" w:h="16838" w:orient="portrait"/>
          <w:cols w:equalWidth="0" w:num="1">
            <w:col w:w="11460"/>
          </w:cols>
          <w:pgMar w:left="220" w:top="284" w:right="219" w:bottom="1440" w:gutter="0" w:footer="0" w:header="0"/>
        </w:sectPr>
      </w:pPr>
    </w:p>
    <w:bookmarkStart w:id="32" w:name="page33"/>
    <w:bookmarkEnd w:id="32"/>
    <w:p>
      <w:pPr>
        <w:ind w:left="2640" w:hanging="882"/>
        <w:spacing w:after="0"/>
        <w:tabs>
          <w:tab w:leader="none" w:pos="2640" w:val="left"/>
        </w:tabs>
        <w:numPr>
          <w:ilvl w:val="2"/>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90 days of the date of your death; and</w:t>
      </w:r>
    </w:p>
    <w:p>
      <w:pPr>
        <w:spacing w:after="0" w:line="163" w:lineRule="exact"/>
        <w:rPr>
          <w:rFonts w:ascii="Times New Roman" w:cs="Times New Roman" w:eastAsia="Times New Roman" w:hAnsi="Times New Roman"/>
          <w:sz w:val="17"/>
          <w:szCs w:val="17"/>
          <w:color w:val="auto"/>
        </w:rPr>
      </w:pPr>
    </w:p>
    <w:p>
      <w:pPr>
        <w:ind w:left="2640" w:hanging="882"/>
        <w:spacing w:after="0" w:line="261" w:lineRule="auto"/>
        <w:tabs>
          <w:tab w:leader="none" w:pos="2640" w:val="left"/>
        </w:tabs>
        <w:numPr>
          <w:ilvl w:val="2"/>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30 days of the date of a Change in Control within the meaning of Section 2(f)(3) of the Plan, including the last sentence thereof.</w:t>
      </w:r>
    </w:p>
    <w:p>
      <w:pPr>
        <w:spacing w:after="0" w:line="120" w:lineRule="exact"/>
        <w:rPr>
          <w:rFonts w:ascii="Times New Roman" w:cs="Times New Roman" w:eastAsia="Times New Roman" w:hAnsi="Times New Roman"/>
          <w:sz w:val="17"/>
          <w:szCs w:val="17"/>
          <w:color w:val="auto"/>
        </w:rPr>
      </w:pPr>
    </w:p>
    <w:p>
      <w:pPr>
        <w:jc w:val="both"/>
        <w:ind w:left="1760" w:hanging="879"/>
        <w:spacing w:after="0" w:line="241" w:lineRule="auto"/>
        <w:tabs>
          <w:tab w:leader="none" w:pos="176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Settlement Payout Options</w:t>
      </w:r>
      <w:r>
        <w:rPr>
          <w:rFonts w:ascii="Times New Roman" w:cs="Times New Roman" w:eastAsia="Times New Roman" w:hAnsi="Times New Roman"/>
          <w:sz w:val="17"/>
          <w:szCs w:val="17"/>
          <w:color w:val="auto"/>
        </w:rPr>
        <w:t>. You were given the opportunity to elect to receive Shares upon settlement of the vested Units in a single lump sum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 in a series of substantially equal annual payouts of Shares over up to 10 years, beginning during the period established in Section 3(a) and on each anniversary thereafter until paid in full. Your payout election made pursuant to this Section 3(b) was irrevocable and must have been made by executing and submitting the appropriate election form to the Company’s Corporate Secretary prior to the [Grant Date][start of the calendar year in which this grant was made].</w:t>
      </w:r>
    </w:p>
    <w:p>
      <w:pPr>
        <w:spacing w:after="0" w:line="138" w:lineRule="exact"/>
        <w:rPr>
          <w:rFonts w:ascii="Times New Roman" w:cs="Times New Roman" w:eastAsia="Times New Roman" w:hAnsi="Times New Roman"/>
          <w:sz w:val="17"/>
          <w:szCs w:val="17"/>
          <w:color w:val="auto"/>
        </w:rPr>
      </w:pPr>
    </w:p>
    <w:p>
      <w:pPr>
        <w:jc w:val="both"/>
        <w:ind w:left="1760" w:hanging="879"/>
        <w:spacing w:after="0" w:line="241" w:lineRule="auto"/>
        <w:tabs>
          <w:tab w:leader="none" w:pos="176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Death or Change in Control During Settlement Period</w:t>
      </w:r>
      <w:r>
        <w:rPr>
          <w:rFonts w:ascii="Times New Roman" w:cs="Times New Roman" w:eastAsia="Times New Roman" w:hAnsi="Times New Roman"/>
          <w:sz w:val="17"/>
          <w:szCs w:val="17"/>
          <w:color w:val="auto"/>
        </w:rPr>
        <w:t>. Upon your death or upon a Change in Control (within the meaning of Section 2(f)(3)</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the Plan, including the last sentence thereof) prior to or during the installment period set forth in Section 3(b), issuance of any remaining Shares in settlement of your vested Units under this Agreement will be made in a lump sum payment during the period specified in Section 3(a)(ii) in the case of death, or during the period specified in Section 3(a)(iii) in the case of a Change in Control, notwithstanding any election to the contrary.</w:t>
      </w:r>
    </w:p>
    <w:p>
      <w:pPr>
        <w:spacing w:after="0" w:line="138" w:lineRule="exact"/>
        <w:rPr>
          <w:rFonts w:ascii="Times New Roman" w:cs="Times New Roman" w:eastAsia="Times New Roman" w:hAnsi="Times New Roman"/>
          <w:sz w:val="17"/>
          <w:szCs w:val="17"/>
          <w:color w:val="auto"/>
        </w:rPr>
      </w:pPr>
    </w:p>
    <w:p>
      <w:pPr>
        <w:jc w:val="both"/>
        <w:ind w:left="880" w:hanging="876"/>
        <w:spacing w:after="0"/>
        <w:tabs>
          <w:tab w:leader="none" w:pos="8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Dividend Equivalents</w:t>
      </w:r>
      <w:r>
        <w:rPr>
          <w:rFonts w:ascii="Times New Roman" w:cs="Times New Roman" w:eastAsia="Times New Roman" w:hAnsi="Times New Roman"/>
          <w:sz w:val="17"/>
          <w:szCs w:val="17"/>
          <w:color w:val="auto"/>
        </w:rPr>
        <w:t>. If cash dividends are declared and paid by the Company with respect to its common stock, then the Company will credit to your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account, as of each dividend payment date, a number of additional Units (the “</w:t>
      </w:r>
      <w:r>
        <w:rPr>
          <w:rFonts w:ascii="Times New Roman" w:cs="Times New Roman" w:eastAsia="Times New Roman" w:hAnsi="Times New Roman"/>
          <w:sz w:val="17"/>
          <w:szCs w:val="17"/>
          <w:u w:val="single" w:color="auto"/>
          <w:color w:val="auto"/>
        </w:rPr>
        <w:t>Dividend Units</w:t>
      </w:r>
      <w:r>
        <w:rPr>
          <w:rFonts w:ascii="Times New Roman" w:cs="Times New Roman" w:eastAsia="Times New Roman" w:hAnsi="Times New Roman"/>
          <w:sz w:val="17"/>
          <w:szCs w:val="17"/>
          <w:color w:val="auto"/>
        </w:rPr>
        <w:t>”). The number of Dividend Units so credited as of any dividend payment date will be equal to (i) the total cash dividends you would have received on that dividend payment date if your outstanding Units as of the record date for such dividend payment (including any previously credited Dividend Units) had been actual Shares, divided by (ii) the Fair Market Value of a Share on the dividend payment date (with the quotient rounded down to the nearest whole number). Once credited to your account, Dividend Units will be considered Units for all purposes of this Agreement.</w:t>
      </w:r>
    </w:p>
    <w:p>
      <w:pPr>
        <w:spacing w:after="0" w:line="136" w:lineRule="exact"/>
        <w:rPr>
          <w:rFonts w:ascii="Times New Roman" w:cs="Times New Roman" w:eastAsia="Times New Roman" w:hAnsi="Times New Roman"/>
          <w:sz w:val="17"/>
          <w:szCs w:val="17"/>
          <w:color w:val="auto"/>
        </w:rPr>
      </w:pPr>
    </w:p>
    <w:p>
      <w:pPr>
        <w:jc w:val="both"/>
        <w:ind w:left="880" w:hanging="876"/>
        <w:spacing w:after="0" w:line="244" w:lineRule="auto"/>
        <w:tabs>
          <w:tab w:leader="none" w:pos="8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Transfer of Units</w:t>
      </w:r>
      <w:r>
        <w:rPr>
          <w:rFonts w:ascii="Times New Roman" w:cs="Times New Roman" w:eastAsia="Times New Roman" w:hAnsi="Times New Roman"/>
          <w:sz w:val="17"/>
          <w:szCs w:val="17"/>
          <w:color w:val="auto"/>
        </w:rPr>
        <w:t>. You may not assign or transfer the Units other than a transfer upon your death in accordance with your will, by the laws of descent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distribution or pursuant to a beneficiary designation submitted in accordance with Section 6(d) of the Plan. If no beneficiary designation is on file, or if all named beneficiaries fail to survive you, your beneficiary will be your estate. Following any such transfer, the Units shall continue to be subject to the same terms and conditions that were applicable to the Units immediately prior to their transfer.</w:t>
      </w:r>
    </w:p>
    <w:p>
      <w:pPr>
        <w:spacing w:after="0" w:line="134" w:lineRule="exact"/>
        <w:rPr>
          <w:rFonts w:ascii="Times New Roman" w:cs="Times New Roman" w:eastAsia="Times New Roman" w:hAnsi="Times New Roman"/>
          <w:sz w:val="17"/>
          <w:szCs w:val="17"/>
          <w:color w:val="auto"/>
        </w:rPr>
      </w:pPr>
    </w:p>
    <w:p>
      <w:pPr>
        <w:jc w:val="both"/>
        <w:ind w:left="880" w:hanging="876"/>
        <w:spacing w:after="0" w:line="250" w:lineRule="auto"/>
        <w:tabs>
          <w:tab w:leader="none" w:pos="8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Governing Plan Document</w:t>
      </w:r>
      <w:r>
        <w:rPr>
          <w:rFonts w:ascii="Times New Roman" w:cs="Times New Roman" w:eastAsia="Times New Roman" w:hAnsi="Times New Roman"/>
          <w:sz w:val="17"/>
          <w:szCs w:val="17"/>
          <w:color w:val="auto"/>
        </w:rPr>
        <w:t>. This Agreement and the Units are subject to all the provisions of the Plan, and to all interpretations, rules and regulations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which may, from time to time, be adopted and promulgated by the Committee pursuant to the Plan. If there is any conflict between the provisions of this Agreement and the Plan, the provisions of the Plan will govern. All decisions and interpretations made by the Committee with regard to any</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50800</wp:posOffset>
            </wp:positionV>
            <wp:extent cx="731520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315200" cy="38735"/>
                    </a:xfrm>
                    <a:prstGeom prst="rect">
                      <a:avLst/>
                    </a:prstGeom>
                    <a:noFill/>
                  </pic:spPr>
                </pic:pic>
              </a:graphicData>
            </a:graphic>
          </wp:anchor>
        </w:drawing>
      </w:r>
    </w:p>
    <w:p>
      <w:pPr>
        <w:sectPr>
          <w:pgSz w:w="11900" w:h="16838" w:orient="portrait"/>
          <w:cols w:equalWidth="0" w:num="1">
            <w:col w:w="11460"/>
          </w:cols>
          <w:pgMar w:left="220" w:top="288" w:right="219" w:bottom="1440" w:gutter="0" w:footer="0" w:header="0"/>
        </w:sectPr>
      </w:pPr>
    </w:p>
    <w:bookmarkStart w:id="33" w:name="page34"/>
    <w:bookmarkEnd w:id="33"/>
    <w:p>
      <w:pPr>
        <w:ind w:left="880"/>
        <w:spacing w:after="0"/>
        <w:rPr>
          <w:sz w:val="20"/>
          <w:szCs w:val="20"/>
          <w:color w:val="auto"/>
        </w:rPr>
      </w:pPr>
      <w:r>
        <w:rPr>
          <w:rFonts w:ascii="Times New Roman" w:cs="Times New Roman" w:eastAsia="Times New Roman" w:hAnsi="Times New Roman"/>
          <w:sz w:val="17"/>
          <w:szCs w:val="17"/>
          <w:color w:val="auto"/>
        </w:rPr>
        <w:t>question arising hereunder or under the Plan shall be binding and conclusive upon the Company and you.</w:t>
      </w:r>
    </w:p>
    <w:p>
      <w:pPr>
        <w:spacing w:after="0" w:line="160" w:lineRule="exact"/>
        <w:rPr>
          <w:sz w:val="20"/>
          <w:szCs w:val="20"/>
          <w:color w:val="auto"/>
        </w:rPr>
      </w:pPr>
    </w:p>
    <w:p>
      <w:pPr>
        <w:ind w:left="880" w:hanging="876"/>
        <w:spacing w:after="0" w:line="266" w:lineRule="auto"/>
        <w:tabs>
          <w:tab w:leader="none" w:pos="8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Choice of Law</w:t>
      </w:r>
      <w:r>
        <w:rPr>
          <w:rFonts w:ascii="Times New Roman" w:cs="Times New Roman" w:eastAsia="Times New Roman" w:hAnsi="Times New Roman"/>
          <w:sz w:val="17"/>
          <w:szCs w:val="17"/>
          <w:color w:val="auto"/>
        </w:rPr>
        <w:t>. This Agreement will be interpreted and enforced under the laws of the state of Minnesota (without regard to its conflicts or choice of law</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principles).</w:t>
      </w:r>
    </w:p>
    <w:p>
      <w:pPr>
        <w:spacing w:after="0" w:line="115" w:lineRule="exact"/>
        <w:rPr>
          <w:rFonts w:ascii="Times New Roman" w:cs="Times New Roman" w:eastAsia="Times New Roman" w:hAnsi="Times New Roman"/>
          <w:sz w:val="17"/>
          <w:szCs w:val="17"/>
          <w:color w:val="auto"/>
        </w:rPr>
      </w:pPr>
    </w:p>
    <w:p>
      <w:pPr>
        <w:ind w:left="880" w:hanging="876"/>
        <w:spacing w:after="0" w:line="266" w:lineRule="auto"/>
        <w:tabs>
          <w:tab w:leader="none" w:pos="8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Binding Effect</w:t>
      </w:r>
      <w:r>
        <w:rPr>
          <w:rFonts w:ascii="Times New Roman" w:cs="Times New Roman" w:eastAsia="Times New Roman" w:hAnsi="Times New Roman"/>
          <w:sz w:val="17"/>
          <w:szCs w:val="17"/>
          <w:color w:val="auto"/>
        </w:rPr>
        <w:t>. This Agreement will be binding in all respects on your heirs, representatives, successors and assigns, and on the successors and assigns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Company.</w:t>
      </w:r>
    </w:p>
    <w:p>
      <w:pPr>
        <w:spacing w:after="0" w:line="115" w:lineRule="exact"/>
        <w:rPr>
          <w:rFonts w:ascii="Times New Roman" w:cs="Times New Roman" w:eastAsia="Times New Roman" w:hAnsi="Times New Roman"/>
          <w:sz w:val="17"/>
          <w:szCs w:val="17"/>
          <w:color w:val="auto"/>
        </w:rPr>
      </w:pPr>
    </w:p>
    <w:p>
      <w:pPr>
        <w:ind w:left="880" w:hanging="876"/>
        <w:spacing w:after="0" w:line="266" w:lineRule="auto"/>
        <w:tabs>
          <w:tab w:leader="none" w:pos="8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Continued Service</w:t>
      </w:r>
      <w:r>
        <w:rPr>
          <w:rFonts w:ascii="Times New Roman" w:cs="Times New Roman" w:eastAsia="Times New Roman" w:hAnsi="Times New Roman"/>
          <w:sz w:val="17"/>
          <w:szCs w:val="17"/>
          <w:color w:val="auto"/>
        </w:rPr>
        <w:t>. Neither this Agreement nor the Award gives you a right to continued Service with the Company, nor interferes in any way with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right of the Company to terminate such Service.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By signing the cover page of this Agreement, you agree to all the terms and conditions described above and in the Plan document.</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460"/>
          </w:cols>
          <w:pgMar w:left="220" w:top="288" w:right="21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 SECTION 302 OF THE SARBANES-OXLEY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Archie C. Black, certify that:</w:t>
      </w:r>
    </w:p>
    <w:p>
      <w:pPr>
        <w:spacing w:after="0" w:line="177" w:lineRule="exact"/>
        <w:rPr>
          <w:sz w:val="20"/>
          <w:szCs w:val="20"/>
          <w:color w:val="auto"/>
        </w:rPr>
      </w:pPr>
    </w:p>
    <w:p>
      <w:pPr>
        <w:ind w:left="1040" w:hanging="518"/>
        <w:spacing w:after="0"/>
        <w:tabs>
          <w:tab w:leader="none" w:pos="10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SPS Commerce, Inc.;</w:t>
      </w:r>
    </w:p>
    <w:p>
      <w:pPr>
        <w:spacing w:after="0" w:line="176" w:lineRule="exact"/>
        <w:rPr>
          <w:rFonts w:ascii="Times New Roman" w:cs="Times New Roman" w:eastAsia="Times New Roman" w:hAnsi="Times New Roman"/>
          <w:sz w:val="14"/>
          <w:szCs w:val="14"/>
          <w:color w:val="auto"/>
        </w:rPr>
      </w:pPr>
    </w:p>
    <w:p>
      <w:pPr>
        <w:ind w:left="1040" w:right="420" w:hanging="518"/>
        <w:spacing w:after="0" w:line="285" w:lineRule="auto"/>
        <w:tabs>
          <w:tab w:leader="none" w:pos="10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1040" w:right="520" w:hanging="518"/>
        <w:spacing w:after="0" w:line="285" w:lineRule="auto"/>
        <w:tabs>
          <w:tab w:leader="none" w:pos="10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1040" w:right="40" w:hanging="518"/>
        <w:spacing w:after="0" w:line="285" w:lineRule="auto"/>
        <w:tabs>
          <w:tab w:leader="none" w:pos="10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ind w:left="1560" w:hanging="521"/>
        <w:spacing w:after="0" w:line="268" w:lineRule="auto"/>
        <w:tabs>
          <w:tab w:leader="none" w:pos="156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Times New Roman" w:cs="Times New Roman" w:eastAsia="Times New Roman" w:hAnsi="Times New Roman"/>
          <w:sz w:val="14"/>
          <w:szCs w:val="14"/>
          <w:color w:val="auto"/>
        </w:rPr>
      </w:pPr>
    </w:p>
    <w:p>
      <w:pPr>
        <w:jc w:val="both"/>
        <w:ind w:left="1560" w:right="260" w:hanging="521"/>
        <w:spacing w:after="0" w:line="268" w:lineRule="auto"/>
        <w:tabs>
          <w:tab w:leader="none" w:pos="156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6" w:lineRule="exact"/>
        <w:rPr>
          <w:rFonts w:ascii="Times New Roman" w:cs="Times New Roman" w:eastAsia="Times New Roman" w:hAnsi="Times New Roman"/>
          <w:sz w:val="14"/>
          <w:szCs w:val="14"/>
          <w:color w:val="auto"/>
        </w:rPr>
      </w:pPr>
    </w:p>
    <w:p>
      <w:pPr>
        <w:ind w:left="1560" w:right="40" w:hanging="521"/>
        <w:spacing w:after="0" w:line="285" w:lineRule="auto"/>
        <w:tabs>
          <w:tab w:leader="none" w:pos="156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1560" w:right="80" w:hanging="521"/>
        <w:spacing w:after="0" w:line="268" w:lineRule="auto"/>
        <w:tabs>
          <w:tab w:leader="none" w:pos="156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Times New Roman" w:cs="Times New Roman" w:eastAsia="Times New Roman" w:hAnsi="Times New Roman"/>
          <w:sz w:val="14"/>
          <w:szCs w:val="14"/>
          <w:color w:val="auto"/>
        </w:rPr>
      </w:pPr>
    </w:p>
    <w:p>
      <w:pPr>
        <w:ind w:left="1040" w:right="140" w:hanging="518"/>
        <w:spacing w:after="0" w:line="285" w:lineRule="auto"/>
        <w:tabs>
          <w:tab w:leader="none" w:pos="10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1560" w:right="200" w:hanging="521"/>
        <w:spacing w:after="0" w:line="285" w:lineRule="auto"/>
        <w:tabs>
          <w:tab w:leader="none" w:pos="156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1560" w:hanging="521"/>
        <w:spacing w:after="0"/>
        <w:tabs>
          <w:tab w:leader="none" w:pos="156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ARCHIE C. BLACK</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-101600</wp:posOffset>
            </wp:positionV>
            <wp:extent cx="2172970"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2172970" cy="69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i w:val="1"/>
          <w:iCs w:val="1"/>
          <w:color w:val="auto"/>
        </w:rPr>
        <w:t>President and Chief Executive Officer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April 26, 2019</w:t>
      </w:r>
    </w:p>
    <w:p>
      <w:pPr>
        <w:sectPr>
          <w:pgSz w:w="11900" w:h="16838" w:orient="portrait"/>
          <w:cols w:equalWidth="0" w:num="1">
            <w:col w:w="11460"/>
          </w:cols>
          <w:pgMar w:left="220" w:top="292" w:right="21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 SECTION 302 OF THE SARBANES-OXLEY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Kimberly K. Nelson, certify that:</w:t>
      </w:r>
    </w:p>
    <w:p>
      <w:pPr>
        <w:spacing w:after="0" w:line="177" w:lineRule="exact"/>
        <w:rPr>
          <w:sz w:val="20"/>
          <w:szCs w:val="20"/>
          <w:color w:val="auto"/>
        </w:rPr>
      </w:pPr>
    </w:p>
    <w:p>
      <w:pPr>
        <w:ind w:left="1040" w:hanging="518"/>
        <w:spacing w:after="0"/>
        <w:tabs>
          <w:tab w:leader="none" w:pos="10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SPS Commerce, Inc.;</w:t>
      </w:r>
    </w:p>
    <w:p>
      <w:pPr>
        <w:spacing w:after="0" w:line="176" w:lineRule="exact"/>
        <w:rPr>
          <w:rFonts w:ascii="Times New Roman" w:cs="Times New Roman" w:eastAsia="Times New Roman" w:hAnsi="Times New Roman"/>
          <w:sz w:val="14"/>
          <w:szCs w:val="14"/>
          <w:color w:val="auto"/>
        </w:rPr>
      </w:pPr>
    </w:p>
    <w:p>
      <w:pPr>
        <w:ind w:left="1040" w:right="420" w:hanging="518"/>
        <w:spacing w:after="0" w:line="285" w:lineRule="auto"/>
        <w:tabs>
          <w:tab w:leader="none" w:pos="10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1040" w:right="520" w:hanging="518"/>
        <w:spacing w:after="0" w:line="285" w:lineRule="auto"/>
        <w:tabs>
          <w:tab w:leader="none" w:pos="10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1040" w:right="40" w:hanging="518"/>
        <w:spacing w:after="0" w:line="285" w:lineRule="auto"/>
        <w:tabs>
          <w:tab w:leader="none" w:pos="10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ind w:left="1560" w:hanging="521"/>
        <w:spacing w:after="0" w:line="268" w:lineRule="auto"/>
        <w:tabs>
          <w:tab w:leader="none" w:pos="156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Times New Roman" w:cs="Times New Roman" w:eastAsia="Times New Roman" w:hAnsi="Times New Roman"/>
          <w:sz w:val="14"/>
          <w:szCs w:val="14"/>
          <w:color w:val="auto"/>
        </w:rPr>
      </w:pPr>
    </w:p>
    <w:p>
      <w:pPr>
        <w:jc w:val="both"/>
        <w:ind w:left="1560" w:right="260" w:hanging="521"/>
        <w:spacing w:after="0" w:line="268" w:lineRule="auto"/>
        <w:tabs>
          <w:tab w:leader="none" w:pos="156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6" w:lineRule="exact"/>
        <w:rPr>
          <w:rFonts w:ascii="Times New Roman" w:cs="Times New Roman" w:eastAsia="Times New Roman" w:hAnsi="Times New Roman"/>
          <w:sz w:val="14"/>
          <w:szCs w:val="14"/>
          <w:color w:val="auto"/>
        </w:rPr>
      </w:pPr>
    </w:p>
    <w:p>
      <w:pPr>
        <w:ind w:left="1560" w:right="40" w:hanging="521"/>
        <w:spacing w:after="0" w:line="285" w:lineRule="auto"/>
        <w:tabs>
          <w:tab w:leader="none" w:pos="156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1560" w:right="80" w:hanging="521"/>
        <w:spacing w:after="0" w:line="268" w:lineRule="auto"/>
        <w:tabs>
          <w:tab w:leader="none" w:pos="156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Times New Roman" w:cs="Times New Roman" w:eastAsia="Times New Roman" w:hAnsi="Times New Roman"/>
          <w:sz w:val="14"/>
          <w:szCs w:val="14"/>
          <w:color w:val="auto"/>
        </w:rPr>
      </w:pPr>
    </w:p>
    <w:p>
      <w:pPr>
        <w:ind w:left="1040" w:right="140" w:hanging="518"/>
        <w:spacing w:after="0" w:line="285" w:lineRule="auto"/>
        <w:tabs>
          <w:tab w:leader="none" w:pos="10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1560" w:right="200" w:hanging="521"/>
        <w:spacing w:after="0" w:line="285" w:lineRule="auto"/>
        <w:tabs>
          <w:tab w:leader="none" w:pos="156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1560" w:hanging="521"/>
        <w:spacing w:after="0"/>
        <w:tabs>
          <w:tab w:leader="none" w:pos="156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KIMBERLY K. NELSON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-101600</wp:posOffset>
            </wp:positionV>
            <wp:extent cx="3272790"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3272790" cy="69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i w:val="1"/>
          <w:iCs w:val="1"/>
          <w:color w:val="auto"/>
        </w:rPr>
        <w:t>Executive Vice President and Chief Financial Officer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(principal financial and accounting officer)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April 26, 2019</w:t>
      </w:r>
    </w:p>
    <w:p>
      <w:pPr>
        <w:sectPr>
          <w:pgSz w:w="11900" w:h="16838" w:orient="portrait"/>
          <w:cols w:equalWidth="0" w:num="1">
            <w:col w:w="11460"/>
          </w:cols>
          <w:pgMar w:left="220" w:top="292" w:right="21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§1350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63" w:lineRule="exact"/>
        <w:rPr>
          <w:sz w:val="20"/>
          <w:szCs w:val="20"/>
          <w:color w:val="auto"/>
        </w:rPr>
      </w:pPr>
    </w:p>
    <w:p>
      <w:pPr>
        <w:ind w:right="60" w:firstLine="520"/>
        <w:spacing w:after="0" w:line="268" w:lineRule="auto"/>
        <w:rPr>
          <w:sz w:val="20"/>
          <w:szCs w:val="20"/>
          <w:color w:val="auto"/>
        </w:rPr>
      </w:pPr>
      <w:r>
        <w:rPr>
          <w:rFonts w:ascii="Times New Roman" w:cs="Times New Roman" w:eastAsia="Times New Roman" w:hAnsi="Times New Roman"/>
          <w:sz w:val="14"/>
          <w:szCs w:val="14"/>
          <w:color w:val="auto"/>
        </w:rPr>
        <w:t>In connection with the Quarterly Report on Form 10-Q of SPS Commerce, Inc. (the “Company”) for the period ended March 31, 2019, as filed with the Securities and Exchange Commission on the date hereof (the “Report”), the undersigned, the Chief Executive Officer and the Chief Financial Officer of the Company, hereby certify, pursuant to and for purposes of 18 U.S.C. §1350, as adopted pursuant to Section 906 of the Sarbanes-Oxley Act of 2002, that:</w:t>
      </w:r>
    </w:p>
    <w:p>
      <w:pPr>
        <w:spacing w:after="0" w:line="52" w:lineRule="exact"/>
        <w:rPr>
          <w:sz w:val="20"/>
          <w:szCs w:val="20"/>
          <w:color w:val="auto"/>
        </w:rPr>
      </w:pPr>
    </w:p>
    <w:p>
      <w:pPr>
        <w:ind w:left="1040" w:hanging="518"/>
        <w:spacing w:after="0"/>
        <w:tabs>
          <w:tab w:leader="none" w:pos="10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92" w:lineRule="exact"/>
        <w:rPr>
          <w:rFonts w:ascii="Times New Roman" w:cs="Times New Roman" w:eastAsia="Times New Roman" w:hAnsi="Times New Roman"/>
          <w:sz w:val="14"/>
          <w:szCs w:val="14"/>
          <w:color w:val="auto"/>
        </w:rPr>
      </w:pPr>
    </w:p>
    <w:p>
      <w:pPr>
        <w:ind w:left="1040" w:hanging="518"/>
        <w:spacing w:after="0"/>
        <w:tabs>
          <w:tab w:leader="none" w:pos="10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ARCHIE C. BLACK</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-101600</wp:posOffset>
            </wp:positionV>
            <wp:extent cx="3272790"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3272790" cy="69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i w:val="1"/>
          <w:iCs w:val="1"/>
          <w:color w:val="auto"/>
        </w:rPr>
        <w:t>President and Chief Executive Officer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KIMBERLY K. NELSON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-101600</wp:posOffset>
            </wp:positionV>
            <wp:extent cx="3272790"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3272790" cy="69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i w:val="1"/>
          <w:iCs w:val="1"/>
          <w:color w:val="auto"/>
        </w:rPr>
        <w:t>Executive Vice President and Chief Financial Officer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(principal financial and accounting officer)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April 26, 2019</w:t>
      </w:r>
    </w:p>
    <w:sectPr>
      <w:pgSz w:w="11900" w:h="16838" w:orient="portrait"/>
      <w:cols w:equalWidth="0" w:num="1">
        <w:col w:w="11460"/>
      </w:cols>
      <w:pgMar w:left="220" w:top="292"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0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1"/>
      <w:numFmt w:val="decimal"/>
      <w:start w:val="1"/>
    </w:lvl>
    <w:lvl w:ilvl="1">
      <w:lvlJc w:val="left"/>
      <w:lvlText w:val="•"/>
      <w:numFmt w:val="bullet"/>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3">
    <w:nsid w:val="25E45D3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4">
    <w:nsid w:val="519B500D"/>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5">
    <w:nsid w:val="431BD7B7"/>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6">
    <w:nsid w:val="3F2DBA31"/>
    <w:multiLevelType w:val="hybridMultilevel"/>
    <w:lvl w:ilvl="0">
      <w:lvlJc w:val="left"/>
      <w:lvlText w:val="%1."/>
      <w:numFmt w:val="decimal"/>
      <w:start w:val="7"/>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51" Type="http://schemas.openxmlformats.org/officeDocument/2006/relationships/hyperlink" Target="http://www.sec.gov/Archives/edgar/data/1092699/000119312512269607/d365652dex41.htm" TargetMode="External"/><Relationship Id="rId52" Type="http://schemas.openxmlformats.org/officeDocument/2006/relationships/hyperlink" Target="http://www.sec.gov/Archives/edgar/data/1092699/000119312517311896/d430310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2019-12-28T13:36:07Z</dcterms:created>
  <dcterms:modified xsi:type="dcterms:W3CDTF">2019-12-28T13:36:07Z</dcterms:modified>
</cp:coreProperties>
</file>