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48"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3923030</wp:posOffset>
            </wp:positionH>
            <wp:positionV relativeFrom="paragraph">
              <wp:posOffset>-7620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30480</wp:posOffset>
            </wp:positionV>
            <wp:extent cx="574675"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7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ectPr>
          <w:pgSz w:w="11900" w:h="16838" w:orient="portrait"/>
          <w:cols w:equalWidth="0" w:num="1">
            <w:col w:w="11240"/>
          </w:cols>
          <w:pgMar w:left="320" w:top="206" w:right="339" w:bottom="1440" w:gutter="0" w:footer="0" w:header="0"/>
        </w:sectPr>
      </w:pPr>
    </w:p>
    <w:p>
      <w:pPr>
        <w:spacing w:after="0" w:line="127"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31" w:lineRule="exact"/>
        <w:rPr>
          <w:sz w:val="24"/>
          <w:szCs w:val="24"/>
          <w:color w:val="auto"/>
        </w:rPr>
      </w:pPr>
    </w:p>
    <w:p>
      <w:pPr>
        <w:sectPr>
          <w:pgSz w:w="11900" w:h="16838" w:orient="portrait"/>
          <w:cols w:equalWidth="0" w:num="2">
            <w:col w:w="7280" w:space="720"/>
            <w:col w:w="3240"/>
          </w:cols>
          <w:pgMar w:left="320" w:top="206" w:right="339" w:bottom="1440" w:gutter="0" w:footer="0" w:header="0"/>
          <w:type w:val="continuous"/>
        </w:sectPr>
      </w:pP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i w:val="1"/>
          <w:iCs w:val="1"/>
          <w:color w:val="auto"/>
        </w:rPr>
        <w:t>(State or other jurisdiction of</w:t>
      </w:r>
    </w:p>
    <w:p>
      <w:pPr>
        <w:spacing w:after="0" w:line="4" w:lineRule="exact"/>
        <w:rPr>
          <w:sz w:val="24"/>
          <w:szCs w:val="24"/>
          <w:color w:val="auto"/>
        </w:rPr>
      </w:pPr>
    </w:p>
    <w:p>
      <w:pPr>
        <w:ind w:left="1900"/>
        <w:spacing w:after="0"/>
        <w:rPr>
          <w:sz w:val="20"/>
          <w:szCs w:val="20"/>
          <w:color w:val="auto"/>
        </w:rPr>
      </w:pPr>
      <w:r>
        <w:rPr>
          <w:rFonts w:ascii="Arial" w:cs="Arial" w:eastAsia="Arial" w:hAnsi="Arial"/>
          <w:sz w:val="12"/>
          <w:szCs w:val="12"/>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4"/>
          <w:szCs w:val="14"/>
          <w:b w:val="1"/>
          <w:bCs w:val="1"/>
          <w:i w:val="1"/>
          <w:iCs w:val="1"/>
          <w:color w:val="auto"/>
        </w:rPr>
        <w:t>(I.R.S. Employer</w:t>
      </w:r>
    </w:p>
    <w:p>
      <w:pPr>
        <w:jc w:val="center"/>
        <w:ind w:right="2260"/>
        <w:spacing w:after="0"/>
        <w:rPr>
          <w:sz w:val="20"/>
          <w:szCs w:val="20"/>
          <w:color w:val="auto"/>
        </w:rPr>
      </w:pPr>
      <w:r>
        <w:rPr>
          <w:rFonts w:ascii="Arial" w:cs="Arial" w:eastAsia="Arial" w:hAnsi="Arial"/>
          <w:sz w:val="13"/>
          <w:szCs w:val="13"/>
          <w:b w:val="1"/>
          <w:bCs w:val="1"/>
          <w:i w:val="1"/>
          <w:iCs w:val="1"/>
          <w:color w:val="auto"/>
        </w:rPr>
        <w:t>Identification No.)</w:t>
      </w:r>
    </w:p>
    <w:p>
      <w:pPr>
        <w:spacing w:after="0" w:line="109" w:lineRule="exact"/>
        <w:rPr>
          <w:sz w:val="24"/>
          <w:szCs w:val="24"/>
          <w:color w:val="auto"/>
        </w:rPr>
      </w:pPr>
    </w:p>
    <w:p>
      <w:pPr>
        <w:sectPr>
          <w:pgSz w:w="11900" w:h="16838" w:orient="portrait"/>
          <w:cols w:equalWidth="0" w:num="2">
            <w:col w:w="7160" w:space="720"/>
            <w:col w:w="3360"/>
          </w:cols>
          <w:pgMar w:left="320" w:top="20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333 South Seventh Street, Suite 1000, Minneapolis, MN 55402</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ectPr>
          <w:pgSz w:w="11900" w:h="16838" w:orient="portrait"/>
          <w:cols w:equalWidth="0" w:num="1">
            <w:col w:w="11240"/>
          </w:cols>
          <w:pgMar w:left="320" w:top="206" w:right="339" w:bottom="1440" w:gutter="0" w:footer="0" w:header="0"/>
          <w:type w:val="continuous"/>
        </w:sectPr>
      </w:pP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Trading Symbol</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SPSC</w:t>
            </w:r>
          </w:p>
        </w:tc>
        <w:tc>
          <w:tcPr>
            <w:tcW w:w="120" w:type="dxa"/>
            <w:vAlign w:val="bottom"/>
          </w:tcPr>
          <w:p>
            <w:pPr>
              <w:spacing w:after="0"/>
              <w:rPr>
                <w:sz w:val="15"/>
                <w:szCs w:val="15"/>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060" w:type="dxa"/>
            <w:vAlign w:val="bottom"/>
          </w:tcPr>
          <w:p>
            <w:pPr>
              <w:ind w:left="294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580"/>
        <w:spacing w:after="0" w:line="27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par value $0.001 per share, outstanding at April 23, 2021 was 35,863,210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100" w:type="dxa"/>
            <w:vAlign w:val="bottom"/>
            <w:gridSpan w:val="10"/>
            <w:vMerge w:val="restart"/>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10"/>
            <w:vMerge w:val="continue"/>
          </w:tcPr>
          <w:p>
            <w:pPr>
              <w:spacing w:after="0"/>
              <w:rPr>
                <w:sz w:val="15"/>
                <w:szCs w:val="15"/>
                <w:color w:val="auto"/>
              </w:rPr>
            </w:pPr>
          </w:p>
        </w:tc>
        <w:tc>
          <w:tcPr>
            <w:tcW w:w="6100" w:type="dxa"/>
            <w:vAlign w:val="bottom"/>
            <w:gridSpan w:val="10"/>
            <w:vMerge w:val="continue"/>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 xml:space="preserve">Financial Statements </w:t>
              </w:r>
            </w:hyperlink>
            <w:r>
              <w:rPr>
                <w:rFonts w:ascii="Arial" w:cs="Arial" w:eastAsia="Arial" w:hAnsi="Arial"/>
                <w:sz w:val="18"/>
                <w:szCs w:val="18"/>
                <w:color w:val="000000"/>
              </w:rPr>
              <w:t>(unaudited)</w:t>
            </w: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220" w:type="dxa"/>
            <w:vAlign w:val="bottom"/>
            <w:gridSpan w:val="8"/>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Stockholders’ Equity</w:t>
              </w:r>
            </w:hyperlink>
          </w:p>
        </w:tc>
        <w:tc>
          <w:tcPr>
            <w:tcW w:w="280" w:type="dxa"/>
            <w:vAlign w:val="bottom"/>
            <w:tcBorders>
              <w:top w:val="single" w:sz="8" w:color="0000EE"/>
            </w:tcBorders>
            <w:gridSpan w:val="3"/>
          </w:tcPr>
          <w:p>
            <w:pPr>
              <w:spacing w:after="0"/>
              <w:rPr>
                <w:sz w:val="24"/>
                <w:szCs w:val="24"/>
                <w:color w:val="auto"/>
              </w:rPr>
            </w:pPr>
          </w:p>
        </w:tc>
        <w:tc>
          <w:tcPr>
            <w:tcW w:w="3580" w:type="dxa"/>
            <w:vAlign w:val="bottom"/>
            <w:gridSpan w:val="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440" w:type="dxa"/>
            <w:vAlign w:val="bottom"/>
            <w:gridSpan w:val="7"/>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160" w:type="dxa"/>
            <w:vAlign w:val="bottom"/>
            <w:gridSpan w:val="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17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3800" w:type="dxa"/>
            <w:vAlign w:val="bottom"/>
            <w:gridSpan w:val="3"/>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6380" w:type="dxa"/>
            <w:vAlign w:val="bottom"/>
            <w:gridSpan w:val="11"/>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6400" w:type="dxa"/>
            <w:vAlign w:val="bottom"/>
            <w:gridSpan w:val="12"/>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6820" w:type="dxa"/>
            <w:vAlign w:val="bottom"/>
            <w:gridSpan w:val="1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16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6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3820" w:type="dxa"/>
            <w:vAlign w:val="bottom"/>
            <w:gridSpan w:val="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5840" w:type="dxa"/>
            <w:vAlign w:val="bottom"/>
            <w:gridSpan w:val="9"/>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Other Information</w:t>
              </w:r>
            </w:hyperlink>
          </w:p>
        </w:tc>
        <w:tc>
          <w:tcPr>
            <w:tcW w:w="6840" w:type="dxa"/>
            <w:vAlign w:val="bottom"/>
            <w:gridSpan w:val="1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6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05740"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8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 – FINANCIAL INFORMATION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 except shares)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10"/>
        </w:trPr>
        <w:tc>
          <w:tcPr>
            <w:tcW w:w="7720" w:type="dxa"/>
            <w:vAlign w:val="bottom"/>
            <w:shd w:val="clear" w:color="auto" w:fill="CFF0FC"/>
          </w:tcPr>
          <w:p>
            <w:pPr>
              <w:ind w:left="34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ind w:right="520"/>
              <w:spacing w:after="0"/>
              <w:rPr>
                <w:sz w:val="20"/>
                <w:szCs w:val="20"/>
                <w:color w:val="auto"/>
              </w:rPr>
            </w:pPr>
            <w:r>
              <w:rPr>
                <w:rFonts w:ascii="Arial" w:cs="Arial" w:eastAsia="Arial" w:hAnsi="Arial"/>
                <w:sz w:val="16"/>
                <w:szCs w:val="16"/>
                <w:color w:val="auto"/>
                <w:w w:val="93"/>
              </w:rPr>
              <w:t>(unaudited)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169,274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149,692</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39,174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37,786</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37,811</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380"/>
              <w:spacing w:after="0"/>
              <w:rPr>
                <w:sz w:val="20"/>
                <w:szCs w:val="20"/>
                <w:color w:val="auto"/>
              </w:rPr>
            </w:pPr>
            <w:r>
              <w:rPr>
                <w:rFonts w:ascii="Arial" w:cs="Arial" w:eastAsia="Arial" w:hAnsi="Arial"/>
                <w:sz w:val="16"/>
                <w:szCs w:val="16"/>
                <w:color w:val="auto"/>
              </w:rPr>
              <w:t>Allowance for credit losses</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(4,001)</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(4,233)</w:t>
            </w:r>
          </w:p>
        </w:tc>
      </w:tr>
      <w:tr>
        <w:trPr>
          <w:trHeight w:val="21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35,270</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33,578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38,666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37,988</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14,490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12,312</w:t>
            </w: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296,874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271,356</w:t>
            </w: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less accumulated depreciation of $62,947 and $59,152, respectively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26,432</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15,581</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134,853</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57,594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60,230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costs, non-current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12,607</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income tax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 non-current</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2,705</w:t>
            </w:r>
          </w:p>
        </w:tc>
        <w:tc>
          <w:tcPr>
            <w:tcW w:w="120" w:type="dxa"/>
            <w:vAlign w:val="bottom"/>
            <w:shd w:val="clear" w:color="auto" w:fill="CFF0FC"/>
          </w:tcPr>
          <w:p>
            <w:pPr>
              <w:spacing w:after="0"/>
              <w:rPr>
                <w:sz w:val="19"/>
                <w:szCs w:val="19"/>
                <w:color w:val="auto"/>
              </w:rPr>
            </w:pPr>
          </w:p>
        </w:tc>
      </w:tr>
      <w:tr>
        <w:trPr>
          <w:trHeight w:val="24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549,837</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526,458</w:t>
            </w:r>
          </w:p>
        </w:tc>
        <w:tc>
          <w:tcPr>
            <w:tcW w:w="120" w:type="dxa"/>
            <w:vAlign w:val="bottom"/>
            <w:tcBorders>
              <w:bottom w:val="single" w:sz="8" w:color="CFF0FC"/>
            </w:tcBorders>
          </w:tcPr>
          <w:p>
            <w:pPr>
              <w:spacing w:after="0"/>
              <w:rPr>
                <w:sz w:val="21"/>
                <w:szCs w:val="21"/>
                <w:color w:val="auto"/>
              </w:rPr>
            </w:pPr>
          </w:p>
        </w:tc>
      </w:tr>
      <w:tr>
        <w:trPr>
          <w:trHeight w:val="200"/>
        </w:trPr>
        <w:tc>
          <w:tcPr>
            <w:tcW w:w="7720" w:type="dxa"/>
            <w:vAlign w:val="bottom"/>
            <w:shd w:val="clear" w:color="auto" w:fill="CFF0FC"/>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5,354</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20,428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22,872</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11,161</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44,481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37,947</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2,798</w:t>
            </w:r>
          </w:p>
        </w:tc>
        <w:tc>
          <w:tcPr>
            <w:tcW w:w="120" w:type="dxa"/>
            <w:vAlign w:val="bottom"/>
            <w:shd w:val="clear" w:color="auto" w:fill="CFF0FC"/>
          </w:tcPr>
          <w:p>
            <w:pPr>
              <w:spacing w:after="0"/>
              <w:rPr>
                <w:sz w:val="19"/>
                <w:szCs w:val="19"/>
                <w:color w:val="auto"/>
              </w:rPr>
            </w:pPr>
          </w:p>
        </w:tc>
      </w:tr>
      <w:tr>
        <w:trPr>
          <w:trHeight w:val="206"/>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83,432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80,132</w:t>
            </w: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revenue, non-current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2,996</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19,672</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Deferred income tax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109,314</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105,737</w:t>
            </w:r>
          </w:p>
        </w:tc>
        <w:tc>
          <w:tcPr>
            <w:tcW w:w="120" w:type="dxa"/>
            <w:vAlign w:val="bottom"/>
            <w:shd w:val="clear" w:color="auto" w:fill="CFF0FC"/>
          </w:tcPr>
          <w:p>
            <w:pPr>
              <w:spacing w:after="0"/>
              <w:rPr>
                <w:sz w:val="18"/>
                <w:szCs w:val="18"/>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2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2"/>
              </w:rPr>
              <w:t>Common stock, $0.001 par value; 110,000,000 shares authorized; 37,474,834 and 37,100,467 shares issued;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35,861,584 and 35,487,217 outstanding, respectively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Treasury stock, at cost; 1,613,250 shares</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(65,247)</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(65,247)</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402,860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393,462</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103,690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93,490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(817)</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(1,021)</w:t>
            </w:r>
          </w:p>
        </w:tc>
      </w:tr>
      <w:tr>
        <w:trPr>
          <w:trHeight w:val="20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440,523</w:t>
            </w:r>
          </w:p>
        </w:tc>
        <w:tc>
          <w:tcPr>
            <w:tcW w:w="28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420,721</w:t>
            </w:r>
          </w:p>
        </w:tc>
        <w:tc>
          <w:tcPr>
            <w:tcW w:w="120" w:type="dxa"/>
            <w:vAlign w:val="bottom"/>
            <w:tcBorders>
              <w:bottom w:val="single" w:sz="8" w:color="CFF0FC"/>
            </w:tcBorders>
          </w:tcPr>
          <w:p>
            <w:pPr>
              <w:spacing w:after="0"/>
              <w:rPr>
                <w:sz w:val="17"/>
                <w:szCs w:val="17"/>
                <w:color w:val="auto"/>
              </w:rPr>
            </w:pPr>
          </w:p>
        </w:tc>
      </w:tr>
      <w:tr>
        <w:trPr>
          <w:trHeight w:val="210"/>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549,837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526,458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 w:name="page4"/>
    <w:bookmarkEnd w:id="3"/>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 (Unaudited)</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90,094</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29,970</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60,124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8,706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47,462</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12,662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(325)</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10,200</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investments, net of tax of ($15) and $24</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Reclassification of (gain) loss on investments into earnings, net of tax of $19 and ($26)</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comprehensive income (expense)</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2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36,722</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0574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80"/>
        <w:spacing w:after="0"/>
        <w:tabs>
          <w:tab w:leader="none" w:pos="558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 w:name="page5"/>
    <w:bookmarkEnd w:id="4"/>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7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Retained</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980" w:type="dxa"/>
            <w:vAlign w:val="bottom"/>
            <w:gridSpan w:val="4"/>
          </w:tcPr>
          <w:p>
            <w:pPr>
              <w:ind w:left="8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3780" w:type="dxa"/>
            <w:vAlign w:val="bottom"/>
            <w:tcBorders>
              <w:bottom w:val="single" w:sz="8" w:color="CCF0FC"/>
            </w:tcBorders>
          </w:tcPr>
          <w:p>
            <w:pPr>
              <w:spacing w:after="0"/>
              <w:rPr>
                <w:sz w:val="20"/>
                <w:szCs w:val="20"/>
                <w:color w:val="auto"/>
              </w:rPr>
            </w:pPr>
            <w:r>
              <w:rPr>
                <w:rFonts w:ascii="Arial" w:cs="Arial" w:eastAsia="Arial" w:hAnsi="Arial"/>
                <w:sz w:val="13"/>
                <w:szCs w:val="13"/>
                <w:b w:val="1"/>
                <w:bCs w:val="1"/>
                <w:color w:val="auto"/>
              </w:rPr>
              <w:t>(In thousands, except shares) (Unaudited)</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Borders>
              <w:bottom w:val="single" w:sz="8" w:color="CCF0FC"/>
            </w:tcBorders>
          </w:tcPr>
          <w:p>
            <w:pPr>
              <w:spacing w:after="0"/>
              <w:rPr>
                <w:sz w:val="13"/>
                <w:szCs w:val="13"/>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200" w:type="dxa"/>
            <w:vAlign w:val="bottom"/>
            <w:tcBorders>
              <w:bottom w:val="single" w:sz="8" w:color="CC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3"/>
              </w:rPr>
              <w:t>Earnings</w:t>
            </w:r>
          </w:p>
        </w:tc>
        <w:tc>
          <w:tcPr>
            <w:tcW w:w="180" w:type="dxa"/>
            <w:vAlign w:val="bottom"/>
            <w:tcBorders>
              <w:bottom w:val="single" w:sz="8" w:color="CC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Equity</w:t>
            </w:r>
          </w:p>
        </w:tc>
        <w:tc>
          <w:tcPr>
            <w:tcW w:w="10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CF0FC"/>
          </w:tcPr>
          <w:p>
            <w:pPr>
              <w:spacing w:after="0"/>
              <w:rPr>
                <w:sz w:val="20"/>
                <w:szCs w:val="20"/>
                <w:color w:val="auto"/>
              </w:rPr>
            </w:pPr>
            <w:r>
              <w:rPr>
                <w:rFonts w:ascii="Arial" w:cs="Arial" w:eastAsia="Arial" w:hAnsi="Arial"/>
                <w:sz w:val="13"/>
                <w:szCs w:val="13"/>
                <w:color w:val="auto"/>
              </w:rPr>
              <w:t>Balances, December 31, 2019</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34,863,271</w:t>
            </w:r>
          </w:p>
        </w:tc>
        <w:tc>
          <w:tcPr>
            <w:tcW w:w="1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20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1,241,348</w:t>
            </w:r>
          </w:p>
        </w:tc>
        <w:tc>
          <w:tcPr>
            <w:tcW w:w="1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(46,297)</w:t>
            </w: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354,115</w:t>
            </w:r>
          </w:p>
        </w:tc>
        <w:tc>
          <w:tcPr>
            <w:tcW w:w="200" w:type="dxa"/>
            <w:vAlign w:val="bottom"/>
            <w:shd w:val="clear" w:color="auto" w:fill="CCF0FC"/>
          </w:tcPr>
          <w:p>
            <w:pPr>
              <w:spacing w:after="0"/>
              <w:rPr>
                <w:sz w:val="13"/>
                <w:szCs w:val="13"/>
                <w:color w:val="auto"/>
              </w:rPr>
            </w:pPr>
          </w:p>
        </w:tc>
        <w:tc>
          <w:tcPr>
            <w:tcW w:w="6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48,973</w:t>
            </w:r>
          </w:p>
        </w:tc>
        <w:tc>
          <w:tcPr>
            <w:tcW w:w="180" w:type="dxa"/>
            <w:vAlign w:val="bottom"/>
            <w:shd w:val="clear" w:color="auto" w:fill="CCF0FC"/>
          </w:tcPr>
          <w:p>
            <w:pPr>
              <w:spacing w:after="0"/>
              <w:rPr>
                <w:sz w:val="13"/>
                <w:szCs w:val="13"/>
                <w:color w:val="auto"/>
              </w:rPr>
            </w:pPr>
          </w:p>
        </w:tc>
        <w:tc>
          <w:tcPr>
            <w:tcW w:w="18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(1,951)</w:t>
            </w:r>
          </w:p>
        </w:tc>
        <w:tc>
          <w:tcPr>
            <w:tcW w:w="200" w:type="dxa"/>
            <w:vAlign w:val="bottom"/>
            <w:gridSpan w:val="2"/>
            <w:shd w:val="clear" w:color="auto" w:fill="CCF0FC"/>
          </w:tcPr>
          <w:p>
            <w:pPr>
              <w:ind w:lef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354,876</w:t>
            </w:r>
          </w:p>
        </w:tc>
        <w:tc>
          <w:tcPr>
            <w:tcW w:w="10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F0FC"/>
              <w:bottom w:val="single" w:sz="8" w:color="CCF0FC"/>
            </w:tcBorders>
            <w:vMerge w:val="restart"/>
          </w:tcPr>
          <w:p>
            <w:pPr>
              <w:ind w:left="140"/>
              <w:spacing w:after="0"/>
              <w:rPr>
                <w:sz w:val="20"/>
                <w:szCs w:val="20"/>
                <w:color w:val="auto"/>
              </w:rPr>
            </w:pPr>
            <w:r>
              <w:rPr>
                <w:rFonts w:ascii="Arial" w:cs="Arial" w:eastAsia="Arial" w:hAnsi="Arial"/>
                <w:sz w:val="13"/>
                <w:szCs w:val="13"/>
                <w:color w:val="auto"/>
              </w:rPr>
              <w:t>Stock-based compensation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vMerge w:val="continue"/>
          </w:tcPr>
          <w:p>
            <w:pPr>
              <w:spacing w:after="0"/>
              <w:rPr>
                <w:sz w:val="12"/>
                <w:szCs w:val="12"/>
                <w:color w:val="auto"/>
              </w:rPr>
            </w:pPr>
          </w:p>
        </w:tc>
        <w:tc>
          <w:tcPr>
            <w:tcW w:w="10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3,968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3,968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Shares issued pursuant to stock awards</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367,814</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3,683</w:t>
            </w:r>
          </w:p>
        </w:tc>
        <w:tc>
          <w:tcPr>
            <w:tcW w:w="20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40" w:type="dxa"/>
            <w:vAlign w:val="bottom"/>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3,683</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Employee stock purchase plan</w:t>
            </w:r>
          </w:p>
        </w:tc>
        <w:tc>
          <w:tcPr>
            <w:tcW w:w="820" w:type="dxa"/>
            <w:vAlign w:val="bottom"/>
          </w:tcPr>
          <w:p>
            <w:pPr>
              <w:jc w:val="right"/>
              <w:spacing w:after="0"/>
              <w:rPr>
                <w:sz w:val="20"/>
                <w:szCs w:val="20"/>
                <w:color w:val="auto"/>
              </w:rPr>
            </w:pPr>
            <w:r>
              <w:rPr>
                <w:rFonts w:ascii="Arial" w:cs="Arial" w:eastAsia="Arial" w:hAnsi="Arial"/>
                <w:sz w:val="13"/>
                <w:szCs w:val="13"/>
                <w:color w:val="auto"/>
              </w:rPr>
              <w:t>2,015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Repurchases of common stock</w:t>
            </w:r>
          </w:p>
        </w:tc>
        <w:tc>
          <w:tcPr>
            <w:tcW w:w="100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(240,275)</w:t>
            </w: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spacing w:after="0"/>
              <w:rPr>
                <w:sz w:val="14"/>
                <w:szCs w:val="14"/>
                <w:color w:val="auto"/>
              </w:rPr>
            </w:pPr>
          </w:p>
        </w:tc>
        <w:tc>
          <w:tcPr>
            <w:tcW w:w="200" w:type="dxa"/>
            <w:vAlign w:val="bottom"/>
            <w:shd w:val="clear" w:color="auto" w:fill="CCF0FC"/>
          </w:tcPr>
          <w:p>
            <w:pPr>
              <w:spacing w:after="0"/>
              <w:rPr>
                <w:sz w:val="14"/>
                <w:szCs w:val="14"/>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240,275</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(12,000)</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40" w:type="dxa"/>
            <w:vAlign w:val="bottom"/>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(12,000)</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9,515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10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4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(3,864)</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(3,864)</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Unrealized gain on investments, net of tax</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F0FC"/>
          </w:tcPr>
          <w:p>
            <w:pPr>
              <w:ind w:left="140"/>
              <w:spacing w:after="0"/>
              <w:rPr>
                <w:sz w:val="20"/>
                <w:szCs w:val="20"/>
                <w:color w:val="auto"/>
              </w:rPr>
            </w:pPr>
            <w:r>
              <w:rPr>
                <w:rFonts w:ascii="Arial" w:cs="Arial" w:eastAsia="Arial" w:hAnsi="Arial"/>
                <w:sz w:val="13"/>
                <w:szCs w:val="13"/>
                <w:color w:val="auto"/>
                <w:w w:val="99"/>
              </w:rPr>
              <w:t>Reclassification of gain on investments into earnings, net of tax</w:t>
            </w:r>
          </w:p>
        </w:tc>
        <w:tc>
          <w:tcPr>
            <w:tcW w:w="10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4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Adoption of ASU 2016-13</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(1,069)</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(1,069)</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F0FC"/>
          </w:tcPr>
          <w:p>
            <w:pPr>
              <w:spacing w:after="0"/>
              <w:rPr>
                <w:sz w:val="20"/>
                <w:szCs w:val="20"/>
                <w:color w:val="auto"/>
              </w:rPr>
            </w:pPr>
            <w:r>
              <w:rPr>
                <w:rFonts w:ascii="Arial" w:cs="Arial" w:eastAsia="Arial" w:hAnsi="Arial"/>
                <w:sz w:val="13"/>
                <w:szCs w:val="13"/>
                <w:color w:val="auto"/>
              </w:rPr>
              <w:t>Balances, March 31, 2020</w:t>
            </w: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0FC"/>
          </w:tcPr>
          <w:p>
            <w:pPr>
              <w:spacing w:after="0" w:line="20" w:lineRule="exact"/>
              <w:rPr>
                <w:sz w:val="1"/>
                <w:szCs w:val="1"/>
                <w:color w:val="auto"/>
              </w:rPr>
            </w:pPr>
          </w:p>
        </w:tc>
        <w:tc>
          <w:tcPr>
            <w:tcW w:w="80" w:type="dxa"/>
            <w:vAlign w:val="bottom"/>
            <w:shd w:val="clear" w:color="auto" w:fill="CC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vMerge w:val="continue"/>
            <w:shd w:val="clear" w:color="auto" w:fill="CCF0FC"/>
          </w:tcPr>
          <w:p>
            <w:pPr>
              <w:spacing w:after="0"/>
              <w:rPr>
                <w:sz w:val="13"/>
                <w:szCs w:val="13"/>
                <w:color w:val="auto"/>
              </w:rPr>
            </w:pP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34,992,825</w:t>
            </w:r>
          </w:p>
        </w:tc>
        <w:tc>
          <w:tcPr>
            <w:tcW w:w="1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20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1,481,623</w:t>
            </w:r>
          </w:p>
        </w:tc>
        <w:tc>
          <w:tcPr>
            <w:tcW w:w="1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(58,297)</w:t>
            </w: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361,853</w:t>
            </w:r>
          </w:p>
        </w:tc>
        <w:tc>
          <w:tcPr>
            <w:tcW w:w="200" w:type="dxa"/>
            <w:vAlign w:val="bottom"/>
            <w:shd w:val="clear" w:color="auto" w:fill="CCF0FC"/>
          </w:tcPr>
          <w:p>
            <w:pPr>
              <w:spacing w:after="0"/>
              <w:rPr>
                <w:sz w:val="13"/>
                <w:szCs w:val="13"/>
                <w:color w:val="auto"/>
              </w:rPr>
            </w:pPr>
          </w:p>
        </w:tc>
        <w:tc>
          <w:tcPr>
            <w:tcW w:w="6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57,419</w:t>
            </w:r>
          </w:p>
        </w:tc>
        <w:tc>
          <w:tcPr>
            <w:tcW w:w="180" w:type="dxa"/>
            <w:vAlign w:val="bottom"/>
            <w:shd w:val="clear" w:color="auto" w:fill="CCF0FC"/>
          </w:tcPr>
          <w:p>
            <w:pPr>
              <w:spacing w:after="0"/>
              <w:rPr>
                <w:sz w:val="13"/>
                <w:szCs w:val="13"/>
                <w:color w:val="auto"/>
              </w:rPr>
            </w:pPr>
          </w:p>
        </w:tc>
        <w:tc>
          <w:tcPr>
            <w:tcW w:w="18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(5,823)</w:t>
            </w:r>
          </w:p>
        </w:tc>
        <w:tc>
          <w:tcPr>
            <w:tcW w:w="200" w:type="dxa"/>
            <w:vAlign w:val="bottom"/>
            <w:gridSpan w:val="2"/>
            <w:shd w:val="clear" w:color="auto" w:fill="CCF0FC"/>
          </w:tcPr>
          <w:p>
            <w:pPr>
              <w:ind w:lef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355,188</w:t>
            </w:r>
          </w:p>
        </w:tc>
        <w:tc>
          <w:tcPr>
            <w:tcW w:w="10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F0FC"/>
          </w:tcPr>
          <w:p>
            <w:pPr>
              <w:spacing w:after="0"/>
              <w:rPr>
                <w:sz w:val="20"/>
                <w:szCs w:val="20"/>
                <w:color w:val="auto"/>
              </w:rPr>
            </w:pPr>
            <w:r>
              <w:rPr>
                <w:rFonts w:ascii="Arial" w:cs="Arial" w:eastAsia="Arial" w:hAnsi="Arial"/>
                <w:sz w:val="13"/>
                <w:szCs w:val="13"/>
                <w:color w:val="auto"/>
              </w:rPr>
              <w:t>Balances, December 31, 2020</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35,487,217</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F0FC"/>
          </w:tcPr>
          <w:p>
            <w:pPr>
              <w:spacing w:after="0"/>
              <w:rPr>
                <w:sz w:val="14"/>
                <w:szCs w:val="14"/>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1,613,250</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(65,247)</w:t>
            </w: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393,462</w:t>
            </w:r>
          </w:p>
        </w:tc>
        <w:tc>
          <w:tcPr>
            <w:tcW w:w="200" w:type="dxa"/>
            <w:vAlign w:val="bottom"/>
            <w:shd w:val="clear" w:color="auto" w:fill="CCF0FC"/>
          </w:tcPr>
          <w:p>
            <w:pPr>
              <w:spacing w:after="0"/>
              <w:rPr>
                <w:sz w:val="14"/>
                <w:szCs w:val="14"/>
                <w:color w:val="auto"/>
              </w:rPr>
            </w:pPr>
          </w:p>
        </w:tc>
        <w:tc>
          <w:tcPr>
            <w:tcW w:w="6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93,490</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(1,021)</w:t>
            </w:r>
          </w:p>
        </w:tc>
        <w:tc>
          <w:tcPr>
            <w:tcW w:w="200" w:type="dxa"/>
            <w:vAlign w:val="bottom"/>
            <w:gridSpan w:val="2"/>
            <w:shd w:val="clear" w:color="auto" w:fill="CCF0FC"/>
          </w:tcPr>
          <w:p>
            <w:pPr>
              <w:ind w:lef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420,721</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F0FC"/>
              <w:bottom w:val="single" w:sz="8" w:color="CCF0FC"/>
            </w:tcBorders>
            <w:vMerge w:val="restart"/>
          </w:tcPr>
          <w:p>
            <w:pPr>
              <w:ind w:left="140"/>
              <w:spacing w:after="0"/>
              <w:rPr>
                <w:sz w:val="20"/>
                <w:szCs w:val="20"/>
                <w:color w:val="auto"/>
              </w:rPr>
            </w:pPr>
            <w:r>
              <w:rPr>
                <w:rFonts w:ascii="Arial" w:cs="Arial" w:eastAsia="Arial" w:hAnsi="Arial"/>
                <w:sz w:val="13"/>
                <w:szCs w:val="13"/>
                <w:color w:val="auto"/>
              </w:rPr>
              <w:t>Stock-based compensation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vMerge w:val="continue"/>
          </w:tcPr>
          <w:p>
            <w:pPr>
              <w:spacing w:after="0"/>
              <w:rPr>
                <w:sz w:val="12"/>
                <w:szCs w:val="12"/>
                <w:color w:val="auto"/>
              </w:rPr>
            </w:pPr>
          </w:p>
        </w:tc>
        <w:tc>
          <w:tcPr>
            <w:tcW w:w="10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6,491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6,491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Shares issued pursuant to stock awards</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372,746</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2,802</w:t>
            </w:r>
          </w:p>
        </w:tc>
        <w:tc>
          <w:tcPr>
            <w:tcW w:w="200" w:type="dxa"/>
            <w:vAlign w:val="bottom"/>
            <w:shd w:val="clear" w:color="auto" w:fill="CCF0FC"/>
          </w:tcPr>
          <w:p>
            <w:pPr>
              <w:spacing w:after="0"/>
              <w:rPr>
                <w:sz w:val="14"/>
                <w:szCs w:val="14"/>
                <w:color w:val="auto"/>
              </w:rPr>
            </w:pPr>
          </w:p>
        </w:tc>
        <w:tc>
          <w:tcPr>
            <w:tcW w:w="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40" w:type="dxa"/>
            <w:vAlign w:val="bottom"/>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2,802</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Employee stock purchase plan</w:t>
            </w:r>
          </w:p>
        </w:tc>
        <w:tc>
          <w:tcPr>
            <w:tcW w:w="820" w:type="dxa"/>
            <w:vAlign w:val="bottom"/>
          </w:tcPr>
          <w:p>
            <w:pPr>
              <w:jc w:val="right"/>
              <w:spacing w:after="0"/>
              <w:rPr>
                <w:sz w:val="20"/>
                <w:szCs w:val="20"/>
                <w:color w:val="auto"/>
              </w:rPr>
            </w:pPr>
            <w:r>
              <w:rPr>
                <w:rFonts w:ascii="Arial" w:cs="Arial" w:eastAsia="Arial" w:hAnsi="Arial"/>
                <w:sz w:val="13"/>
                <w:szCs w:val="13"/>
                <w:color w:val="auto"/>
              </w:rPr>
              <w:t>1,621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10,200</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840" w:type="dxa"/>
            <w:vAlign w:val="bottom"/>
            <w:gridSpan w:val="2"/>
            <w:shd w:val="clear" w:color="auto" w:fill="CC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10,200</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F0FC"/>
          </w:tcPr>
          <w:p>
            <w:pPr>
              <w:ind w:left="140"/>
              <w:spacing w:after="0"/>
              <w:rPr>
                <w:sz w:val="20"/>
                <w:szCs w:val="20"/>
                <w:color w:val="auto"/>
              </w:rPr>
            </w:pPr>
            <w:r>
              <w:rPr>
                <w:rFonts w:ascii="Arial" w:cs="Arial" w:eastAsia="Arial" w:hAnsi="Arial"/>
                <w:sz w:val="13"/>
                <w:szCs w:val="13"/>
                <w:color w:val="auto"/>
              </w:rPr>
              <w:t>Unrealized loss on investments, net of tax</w:t>
            </w:r>
          </w:p>
        </w:tc>
        <w:tc>
          <w:tcPr>
            <w:tcW w:w="10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F0FC"/>
          </w:tcPr>
          <w:p>
            <w:pPr>
              <w:spacing w:after="0"/>
              <w:rPr>
                <w:sz w:val="14"/>
                <w:szCs w:val="14"/>
                <w:color w:val="auto"/>
              </w:rPr>
            </w:pPr>
          </w:p>
        </w:tc>
        <w:tc>
          <w:tcPr>
            <w:tcW w:w="84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F0FC"/>
            </w:tcBorders>
          </w:tcPr>
          <w:p>
            <w:pPr>
              <w:ind w:left="140"/>
              <w:spacing w:after="0"/>
              <w:rPr>
                <w:sz w:val="20"/>
                <w:szCs w:val="20"/>
                <w:color w:val="auto"/>
              </w:rPr>
            </w:pPr>
            <w:r>
              <w:rPr>
                <w:rFonts w:ascii="Arial" w:cs="Arial" w:eastAsia="Arial" w:hAnsi="Arial"/>
                <w:sz w:val="13"/>
                <w:szCs w:val="13"/>
                <w:color w:val="auto"/>
              </w:rPr>
              <w:t>Reclassification of loss on investments into earnings, net of tax</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20" w:type="dxa"/>
            <w:vAlign w:val="bottom"/>
            <w:tcBorders>
              <w:bottom w:val="single" w:sz="8" w:color="CCF0FC"/>
            </w:tcBorders>
          </w:tcPr>
          <w:p>
            <w:pPr>
              <w:spacing w:after="0"/>
              <w:rPr>
                <w:sz w:val="14"/>
                <w:szCs w:val="14"/>
                <w:color w:val="auto"/>
              </w:rPr>
            </w:pPr>
          </w:p>
        </w:tc>
        <w:tc>
          <w:tcPr>
            <w:tcW w:w="80" w:type="dxa"/>
            <w:vAlign w:val="bottom"/>
            <w:tcBorders>
              <w:bottom w:val="single" w:sz="8" w:color="CC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Borders>
              <w:bottom w:val="single" w:sz="8" w:color="CC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CF0FC"/>
          </w:tcPr>
          <w:p>
            <w:pPr>
              <w:spacing w:after="0"/>
              <w:rPr>
                <w:sz w:val="20"/>
                <w:szCs w:val="20"/>
                <w:color w:val="auto"/>
              </w:rPr>
            </w:pPr>
            <w:r>
              <w:rPr>
                <w:rFonts w:ascii="Arial" w:cs="Arial" w:eastAsia="Arial" w:hAnsi="Arial"/>
                <w:sz w:val="13"/>
                <w:szCs w:val="13"/>
                <w:color w:val="auto"/>
              </w:rPr>
              <w:t>Balances, March 31, 2021</w:t>
            </w:r>
          </w:p>
        </w:tc>
        <w:tc>
          <w:tcPr>
            <w:tcW w:w="8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35,861,584</w:t>
            </w:r>
          </w:p>
        </w:tc>
        <w:tc>
          <w:tcPr>
            <w:tcW w:w="1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1,613,250</w:t>
            </w:r>
          </w:p>
        </w:tc>
        <w:tc>
          <w:tcPr>
            <w:tcW w:w="1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(65,247)</w:t>
            </w:r>
          </w:p>
        </w:tc>
        <w:tc>
          <w:tcPr>
            <w:tcW w:w="10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402,860</w:t>
            </w:r>
          </w:p>
        </w:tc>
        <w:tc>
          <w:tcPr>
            <w:tcW w:w="200" w:type="dxa"/>
            <w:vAlign w:val="bottom"/>
            <w:shd w:val="clear" w:color="auto" w:fill="CCF0FC"/>
          </w:tcPr>
          <w:p>
            <w:pPr>
              <w:spacing w:after="0"/>
              <w:rPr>
                <w:sz w:val="13"/>
                <w:szCs w:val="13"/>
                <w:color w:val="auto"/>
              </w:rPr>
            </w:pPr>
          </w:p>
        </w:tc>
        <w:tc>
          <w:tcPr>
            <w:tcW w:w="6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103,690</w:t>
            </w:r>
          </w:p>
        </w:tc>
        <w:tc>
          <w:tcPr>
            <w:tcW w:w="180" w:type="dxa"/>
            <w:vAlign w:val="bottom"/>
            <w:shd w:val="clear" w:color="auto" w:fill="CCF0FC"/>
          </w:tcPr>
          <w:p>
            <w:pPr>
              <w:spacing w:after="0"/>
              <w:rPr>
                <w:sz w:val="13"/>
                <w:szCs w:val="13"/>
                <w:color w:val="auto"/>
              </w:rPr>
            </w:pPr>
          </w:p>
        </w:tc>
        <w:tc>
          <w:tcPr>
            <w:tcW w:w="180" w:type="dxa"/>
            <w:vAlign w:val="bottom"/>
            <w:shd w:val="clear" w:color="auto" w:fill="CCF0FC"/>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0FC"/>
          </w:tcPr>
          <w:p>
            <w:pPr>
              <w:jc w:val="right"/>
              <w:ind w:right="60"/>
              <w:spacing w:after="0"/>
              <w:rPr>
                <w:sz w:val="20"/>
                <w:szCs w:val="20"/>
                <w:color w:val="auto"/>
              </w:rPr>
            </w:pPr>
            <w:r>
              <w:rPr>
                <w:rFonts w:ascii="Arial" w:cs="Arial" w:eastAsia="Arial" w:hAnsi="Arial"/>
                <w:sz w:val="13"/>
                <w:szCs w:val="13"/>
                <w:color w:val="auto"/>
              </w:rPr>
              <w:t>(817)</w:t>
            </w:r>
          </w:p>
        </w:tc>
        <w:tc>
          <w:tcPr>
            <w:tcW w:w="200" w:type="dxa"/>
            <w:vAlign w:val="bottom"/>
            <w:gridSpan w:val="2"/>
            <w:shd w:val="clear" w:color="auto" w:fill="CCF0FC"/>
          </w:tcPr>
          <w:p>
            <w:pPr>
              <w:ind w:lef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440,523</w:t>
            </w:r>
          </w:p>
        </w:tc>
        <w:tc>
          <w:tcPr>
            <w:tcW w:w="10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0574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80"/>
        <w:spacing w:after="0"/>
        <w:tabs>
          <w:tab w:leader="none" w:pos="558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 w:name="page6"/>
    <w:bookmarkEnd w:id="5"/>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(Unaudited)</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10,200</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earn-out liability</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(2,828)</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(986)</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Other current and non-current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(2,257)</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(828)</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(2,988)</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(1,052)</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7,565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21,605</w:t>
            </w:r>
          </w:p>
        </w:tc>
        <w:tc>
          <w:tcPr>
            <w:tcW w:w="2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(3,263)</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(14,039)</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(12,460)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(4,802)</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stock purchase plan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for earn-out liability</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exchange rate changes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149,692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169,274</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184,484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20574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tabs>
          <w:tab w:leader="none" w:pos="558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 w:name="page7"/>
    <w:bookmarkEnd w:id="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Description</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grocers, distributors, and logistics firms to orchestrate the management of item data, order fulfillment, inventory control and sales analytics across all channels. For many businesses, implementing and maintaining a suite of supply chain management capabilities is resource-intensive and not a core competency. The solutions offered by SPS Commerce eliminate the need for on-premise software and support staff by taking on that capability on the customer’s behalf. These solutions also enable our customers to increase their supply cycle agility, optimize their inventory levels and sell-through, reduce operational costs and gain increased visibility into customer orders, helping ensure that suppliers, grocers, distributors, and logistics firms can satisfy retailer requirements.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Basis of Presentation</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w:t>
      </w:r>
    </w:p>
    <w:p>
      <w:pPr>
        <w:spacing w:after="0" w:line="76"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This interim financial information has been prepared under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stockholders’ equity, and cash flows for the interim periods shown. Operating results for these interim periods are not necessarily indicative of the results to be expected for the full year. For further information, refer to the consolidated financial statements and accompanying notes included in our Annual Report on Form 10-K for the year ended December 31, 2020, as filed with the Securities and Exchange Commission (“SEC”).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Combinations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7"/>
          <w:szCs w:val="17"/>
          <w:color w:val="auto"/>
        </w:rPr>
        <w:t>In December 2020, we acquired all of the outstanding equity ownership interests of D Masons Software, LLC (“Data Masons”). As of December 31, 2020 and March 31, 2021, the purchase accounting for the acquisition is not finalized. Provisional amounts are primarily related to intangible assets, net working capital, and tax positions. We expect to finalize the allocation of the purchase price within the one-year measurement period following the acquisition. During the three months ended March 31, 2021, the only change in the purchase accounting was a $0.3 million reduction of amounts due from the seller as part of the initial net working capital adjustment and a corresponding increase to goodwill. Subsequent to March 31, 2021, the net working capital amount was finalized without change from the amounts recorded at March 31,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Use of Estimates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Recently Issued and Adopted Accounting Pronouncements</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For the three months ended March 31, 2021, there were no newly adopted accounting pronouncements. As of March 31, 2021, there are no recently issued but not yet adopted accounting pronouncements that are expected to materially impact our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Significant Accounting Policies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There were no material changes in our significant accounting policies during the three months ended March 31, 2021. See Note A to the consolidated financial statements included in our Annual Report on Form 10-K for the year ended December 31, 2020, as filed with the SEC, for additional information regarding our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8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bottom w:val="single" w:sz="8" w:color="0000EE"/>
            </w:tcBorders>
            <w:gridSpan w:val="2"/>
          </w:tcPr>
          <w:p>
            <w:pPr>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0" w:type="dxa"/>
            <w:vAlign w:val="bottom"/>
          </w:tcPr>
          <w:p>
            <w:pPr>
              <w:spacing w:after="0"/>
              <w:rPr>
                <w:sz w:val="1"/>
                <w:szCs w:val="1"/>
                <w:color w:val="auto"/>
              </w:rPr>
            </w:pPr>
          </w:p>
        </w:tc>
      </w:tr>
      <w:tr>
        <w:trPr>
          <w:trHeight w:val="790"/>
        </w:trPr>
        <w:tc>
          <w:tcPr>
            <w:tcW w:w="7720" w:type="dxa"/>
            <w:vAlign w:val="bottom"/>
          </w:tcPr>
          <w:p>
            <w:pPr>
              <w:spacing w:after="0"/>
              <w:rPr>
                <w:sz w:val="20"/>
                <w:szCs w:val="20"/>
                <w:color w:val="auto"/>
              </w:rPr>
            </w:pPr>
            <w:r>
              <w:rPr>
                <w:rFonts w:ascii="Arial" w:cs="Arial" w:eastAsia="Arial" w:hAnsi="Arial"/>
                <w:sz w:val="18"/>
                <w:szCs w:val="18"/>
                <w:b w:val="1"/>
                <w:bCs w:val="1"/>
                <w:color w:val="00AAE5"/>
              </w:rPr>
              <w:t>NOTE B – Revenue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20" w:type="dxa"/>
            <w:vAlign w:val="bottom"/>
          </w:tcPr>
          <w:p>
            <w:pPr>
              <w:ind w:left="520"/>
              <w:spacing w:after="0"/>
              <w:rPr>
                <w:sz w:val="20"/>
                <w:szCs w:val="20"/>
                <w:color w:val="auto"/>
              </w:rPr>
            </w:pPr>
            <w:r>
              <w:rPr>
                <w:rFonts w:ascii="Arial" w:cs="Arial" w:eastAsia="Arial" w:hAnsi="Arial"/>
                <w:sz w:val="18"/>
                <w:szCs w:val="18"/>
                <w:color w:val="auto"/>
              </w:rPr>
              <w:t>We derive our revenues from the following revenue streams: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71,404</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82,801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90,094</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74,192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Revenues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deferred revenue liability for recurring revenue contracts are for one year or less and recognized on a ratable basis over the contract term. We have applied the optional exemption to not disclose information about the remaining performance obligations for contracts which have original durations of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225" w:lineRule="exact"/>
        <w:rPr>
          <w:sz w:val="20"/>
          <w:szCs w:val="20"/>
          <w:color w:val="auto"/>
        </w:rPr>
      </w:pPr>
    </w:p>
    <w:p>
      <w:pPr>
        <w:jc w:val="both"/>
        <w:ind w:right="460" w:firstLine="510"/>
        <w:spacing w:after="0" w:line="286" w:lineRule="auto"/>
        <w:rPr>
          <w:sz w:val="20"/>
          <w:szCs w:val="20"/>
          <w:color w:val="auto"/>
        </w:rPr>
      </w:pPr>
      <w:r>
        <w:rPr>
          <w:rFonts w:ascii="Arial" w:cs="Arial" w:eastAsia="Arial" w:hAnsi="Arial"/>
          <w:sz w:val="17"/>
          <w:szCs w:val="17"/>
          <w:color w:val="212529"/>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165"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212529"/>
        </w:rPr>
        <w:t>Certain contracts contain set-up fees that constitute a material renewal option right. This material right provides customers a significant future incentive that would not otherwise be available to them unless they entered into the contract, as the set-up fees will not be incurred again upon contract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8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212529"/>
        </w:rPr>
        <w:t xml:space="preserve">For our Fulfillment solution, we have determined that the set-up fees and related costs represent a material renewal option right to our customers as they will not be incurred again upon renewal. These set-up fees and related costs are deferred and recognized ratably over </w:t>
      </w:r>
      <w:r>
        <w:rPr>
          <w:rFonts w:ascii="Arial" w:cs="Arial" w:eastAsia="Arial" w:hAnsi="Arial"/>
          <w:sz w:val="18"/>
          <w:szCs w:val="18"/>
          <w:color w:val="000000"/>
        </w:rPr>
        <w:t>two years</w:t>
      </w:r>
      <w:r>
        <w:rPr>
          <w:rFonts w:ascii="Arial" w:cs="Arial" w:eastAsia="Arial" w:hAnsi="Arial"/>
          <w:sz w:val="18"/>
          <w:szCs w:val="18"/>
          <w:color w:val="212529"/>
        </w:rPr>
        <w:t>, which is the estimated period for which a material right is present for our customers.</w:t>
      </w:r>
    </w:p>
    <w:p>
      <w:pPr>
        <w:spacing w:after="0" w:line="184"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212529"/>
        </w:rPr>
        <w:t xml:space="preserve">For our Analytics solution, we have determined that the set-up fees do not represent a material customer renewal right and, as such, are deferred and recognized ratably over the estimated initial contract term, which is generally </w:t>
      </w:r>
      <w:r>
        <w:rPr>
          <w:rFonts w:ascii="Arial" w:cs="Arial" w:eastAsia="Arial" w:hAnsi="Arial"/>
          <w:sz w:val="18"/>
          <w:szCs w:val="18"/>
          <w:color w:val="000000"/>
        </w:rPr>
        <w:t>one year</w:t>
      </w:r>
      <w:r>
        <w:rPr>
          <w:rFonts w:ascii="Arial" w:cs="Arial" w:eastAsia="Arial" w:hAnsi="Arial"/>
          <w:sz w:val="18"/>
          <w:szCs w:val="18"/>
          <w:color w:val="212529"/>
        </w:rPr>
        <w: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(2,883)</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12,102</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170"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Miscellaneous one-time fees consist of professional services and testing and certification. The deferred revenue liability for these one-time fees are for one year or less and recognized at the time service is provided. We have applied the optional exemption to not disclose information about the remaining performance obligations for contracts which have original durations of one year or less.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Deferred Costs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deferred costs and amortization of deferred costs activity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13,427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(12,482)</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(12,726)</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51,540</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Financial Instruments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invest primarily in money market funds, certificates of deposit, highly liquid debt instruments of the United States (“U.S.”) government and U.S. corporate debt securities. All investments with remaining maturities of less than one year from the balance sheet date are classified as short-term investments. Investments with remaining maturities of more than one year from the balance sheet date are classified as long-term investments. Our short-term marketable securities are classified as available-for-sale. We intend to hold marketable securities until maturity; however, we may sell these securities at any time for use in current operations or for other purposes.</w:t>
      </w:r>
    </w:p>
    <w:p>
      <w:pPr>
        <w:spacing w:after="0" w:line="188" w:lineRule="exact"/>
        <w:rPr>
          <w:sz w:val="20"/>
          <w:szCs w:val="20"/>
          <w:color w:val="auto"/>
        </w:rPr>
      </w:pPr>
    </w:p>
    <w:p>
      <w:pPr>
        <w:ind w:right="280" w:firstLine="510"/>
        <w:spacing w:after="0" w:line="293" w:lineRule="auto"/>
        <w:rPr>
          <w:sz w:val="20"/>
          <w:szCs w:val="20"/>
          <w:color w:val="auto"/>
        </w:rPr>
      </w:pPr>
      <w:r>
        <w:rPr>
          <w:rFonts w:ascii="Arial" w:cs="Arial" w:eastAsia="Arial" w:hAnsi="Arial"/>
          <w:sz w:val="16"/>
          <w:szCs w:val="16"/>
          <w:color w:val="auto"/>
        </w:rPr>
        <w:t>Our marketable securities are carried at fair value and unrealized gains and losses on these investments, net of taxes, are included in accumulated other comprehensive loss in the condensed consolidated balance sheets. Realized gains or losses are included in other expense, net in the condensed consolidated statements of comprehensive income. Certain securities accrue interest that is included in other expense, net. The unrealized gains (losses) noted below are exclusive of previously recognized interest income. When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expense, net in the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20574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80"/>
        <w:spacing w:after="0"/>
        <w:tabs>
          <w:tab w:leader="none" w:pos="558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 w:name="page10"/>
    <w:bookmarkEnd w:id="9"/>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investments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6"/>
              </w:rPr>
              <w:t>March 31, 2021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Gains (Losses),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Amortized Cost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Losses, net</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4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7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118,485</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118,485</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112,907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24,094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FF0FC"/>
            </w:tcBorders>
          </w:tcPr>
          <w:p>
            <w:pPr>
              <w:spacing w:after="0"/>
              <w:rPr>
                <w:sz w:val="22"/>
                <w:szCs w:val="22"/>
                <w:color w:val="auto"/>
              </w:rPr>
            </w:pPr>
          </w:p>
        </w:tc>
        <w:tc>
          <w:tcPr>
            <w:tcW w:w="4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160,254</w:t>
            </w:r>
          </w:p>
        </w:tc>
        <w:tc>
          <w:tcPr>
            <w:tcW w:w="2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160,159</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153,304</w:t>
            </w:r>
          </w:p>
        </w:tc>
        <w:tc>
          <w:tcPr>
            <w:tcW w:w="2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153,193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Maturing within one year</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157,659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Maturing within one to two years</w:t>
            </w:r>
          </w:p>
        </w:tc>
        <w:tc>
          <w:tcPr>
            <w:tcW w:w="4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160,159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Fair Value Measurements</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79"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1000" w:right="20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obtain the fair values of our Level 2 available-for-sale securities from a professional pricing service.</w:t>
      </w:r>
    </w:p>
    <w:p>
      <w:pPr>
        <w:spacing w:after="0" w:line="22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For the contingent consideration liability, related to the Data Masons acquisition, we are required to pay the former owners of Data Masons $1.9 million in the event the Paycheck Protection Program (“PPP”) Loan (“PPP Loan”) acquired in the acquisition is forgiven in full. In November 2020, Data Masons applied for full forgiveness of the PPP Loan. At March 31, 2021, although unknown, we determined that it is probable that Data Masons’ use of the</w:t>
      </w:r>
    </w:p>
    <w:p>
      <w:pPr>
        <w:spacing w:after="0" w:line="2" w:lineRule="exact"/>
        <w:rPr>
          <w:sz w:val="20"/>
          <w:szCs w:val="20"/>
          <w:color w:val="auto"/>
        </w:rPr>
      </w:pPr>
    </w:p>
    <w:p>
      <w:pPr>
        <w:ind w:firstLine="8"/>
        <w:spacing w:after="0" w:line="302" w:lineRule="auto"/>
        <w:tabs>
          <w:tab w:leader="none" w:pos="345" w:val="left"/>
        </w:tabs>
        <w:numPr>
          <w:ilvl w:val="0"/>
          <w:numId w:val="5"/>
        </w:numPr>
        <w:rPr>
          <w:rFonts w:ascii="Arial" w:cs="Arial" w:eastAsia="Arial" w:hAnsi="Arial"/>
          <w:sz w:val="16"/>
          <w:szCs w:val="16"/>
          <w:color w:val="auto"/>
        </w:rPr>
      </w:pPr>
      <w:r>
        <w:rPr>
          <w:rFonts w:ascii="Arial" w:cs="Arial" w:eastAsia="Arial" w:hAnsi="Arial"/>
          <w:sz w:val="16"/>
          <w:szCs w:val="16"/>
          <w:color w:val="auto"/>
        </w:rPr>
        <w:t>Loan proceeds will meet the conditions for full forgiveness under the PPP. Subsequent to March 31, 2021, the Small Business Administration approved the full forgiveness of the PPP Loan and as such, the payment of the $1.9 million contingent liability is anticipated to be made in the three months ending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20574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 w:name="page11"/>
    <w:bookmarkEnd w:id="10"/>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8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64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8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50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60"/>
              <w:spacing w:after="0"/>
              <w:rPr>
                <w:sz w:val="20"/>
                <w:szCs w:val="20"/>
                <w:color w:val="auto"/>
              </w:rPr>
            </w:pPr>
            <w:r>
              <w:rPr>
                <w:rFonts w:ascii="Arial" w:cs="Arial" w:eastAsia="Arial" w:hAnsi="Arial"/>
                <w:sz w:val="14"/>
                <w:szCs w:val="14"/>
                <w:color w:val="auto"/>
              </w:rPr>
              <w:t>Cash equivalents: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118,485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118,485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112,907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112,907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60"/>
              <w:spacing w:after="0"/>
              <w:rPr>
                <w:sz w:val="20"/>
                <w:szCs w:val="20"/>
                <w:color w:val="auto"/>
              </w:rPr>
            </w:pPr>
            <w:r>
              <w:rPr>
                <w:rFonts w:ascii="Arial" w:cs="Arial" w:eastAsia="Arial" w:hAnsi="Arial"/>
                <w:sz w:val="14"/>
                <w:szCs w:val="14"/>
                <w:color w:val="auto"/>
              </w:rPr>
              <w:t>Certificates of deposit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Marketable securities:</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50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7,514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7,514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500"/>
              <w:spacing w:after="0"/>
              <w:rPr>
                <w:sz w:val="20"/>
                <w:szCs w:val="20"/>
                <w:color w:val="auto"/>
              </w:rPr>
            </w:pPr>
            <w:r>
              <w:rPr>
                <w:rFonts w:ascii="Arial" w:cs="Arial" w:eastAsia="Arial" w:hAnsi="Arial"/>
                <w:sz w:val="14"/>
                <w:szCs w:val="14"/>
                <w:color w:val="auto"/>
              </w:rPr>
              <w:t>U.S. treasury securities</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24,032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24,032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126,103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34,056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160,159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120,615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32,578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153,193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60"/>
              <w:spacing w:after="0"/>
              <w:rPr>
                <w:sz w:val="20"/>
                <w:szCs w:val="20"/>
                <w:color w:val="auto"/>
              </w:rPr>
            </w:pPr>
            <w:r>
              <w:rPr>
                <w:rFonts w:ascii="Arial" w:cs="Arial" w:eastAsia="Arial" w:hAnsi="Arial"/>
                <w:sz w:val="14"/>
                <w:szCs w:val="14"/>
                <w:color w:val="auto"/>
              </w:rPr>
              <w:t>Contingent consideration</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1,878</w:t>
            </w:r>
          </w:p>
        </w:tc>
        <w:tc>
          <w:tcPr>
            <w:tcW w:w="22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1,878</w:t>
            </w:r>
          </w:p>
        </w:tc>
        <w:tc>
          <w:tcPr>
            <w:tcW w:w="2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1,878</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1,878</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There were no transfers in or out of our Level 1, 2, or 3 assets or liabilities during the three months ended March 31,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Nonrecurring Fair Value Measurements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529"/>
        </w:rPr>
        <w:t>measure certain assets and liabilities at fair value on a nonrecurring basis. Assets that are measured at fair value on a nonrecurring basis include</w:t>
      </w:r>
      <w:r>
        <w:rPr>
          <w:rFonts w:ascii="Arial" w:cs="Arial" w:eastAsia="Arial" w:hAnsi="Arial"/>
          <w:sz w:val="18"/>
          <w:szCs w:val="18"/>
          <w:color w:val="auto"/>
        </w:rPr>
        <w:t xml:space="preserve"> </w:t>
      </w:r>
      <w:r>
        <w:rPr>
          <w:rFonts w:ascii="Arial" w:cs="Arial" w:eastAsia="Arial" w:hAnsi="Arial"/>
          <w:sz w:val="18"/>
          <w:szCs w:val="18"/>
          <w:color w:val="212529"/>
        </w:rPr>
        <w:t>long-lived assets, goodwill, and indefinite-lived intangible assets, which would generally be recorded at fair value as a result of an impairment charge. Assets acquired and liabilities assumed as part of business combinations are measured at fair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Other Fair Value Disclosures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carrying amounts of our short-term financial instruments, including cash and cash equivalents, accounts receivable, and accounts payable, when applicable, approximate their respective fair values due to their short-term nature.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E – Allowance for Credit Losses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center"/>
              <w:ind w:left="678"/>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CFF0FC"/>
            </w:tcBorders>
            <w:vMerge w:val="continue"/>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Adoption of ASU 2016-13</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credit losses</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Write-offs, net of recoveries</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(1,437)</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00AAE5"/>
              </w:rPr>
              <w:t>NOTE F – Goodwill and Intangible Assets, net</w:t>
            </w: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48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1F282C"/>
              </w:rPr>
              <w:t>Goodwill</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ind w:left="520"/>
              <w:spacing w:after="0"/>
              <w:rPr>
                <w:sz w:val="20"/>
                <w:szCs w:val="20"/>
                <w:color w:val="auto"/>
              </w:rPr>
            </w:pPr>
            <w:r>
              <w:rPr>
                <w:rFonts w:ascii="Arial" w:cs="Arial" w:eastAsia="Arial" w:hAnsi="Arial"/>
                <w:sz w:val="18"/>
                <w:szCs w:val="18"/>
                <w:color w:val="auto"/>
                <w:w w:val="92"/>
              </w:rPr>
              <w:t>The changes in the net carrying amount of goodwill was as follows:</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3"/>
          </w:tcPr>
          <w:p>
            <w:pPr>
              <w:jc w:val="center"/>
              <w:ind w:left="678"/>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CFF0FC"/>
            </w:tcBorders>
            <w:vMerge w:val="continue"/>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134,853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60"/>
              <w:spacing w:after="0"/>
              <w:rPr>
                <w:sz w:val="20"/>
                <w:szCs w:val="20"/>
                <w:color w:val="auto"/>
              </w:rPr>
            </w:pPr>
            <w:r>
              <w:rPr>
                <w:rFonts w:ascii="Arial" w:cs="Arial" w:eastAsia="Arial" w:hAnsi="Arial"/>
                <w:sz w:val="18"/>
                <w:szCs w:val="18"/>
                <w:color w:val="auto"/>
              </w:rPr>
              <w:t>Remeasurement from provisional purchase accounting amount</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end of period</w:t>
            </w:r>
          </w:p>
        </w:tc>
        <w:tc>
          <w:tcPr>
            <w:tcW w:w="2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135,263</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240" w:type="dxa"/>
            <w:vAlign w:val="bottom"/>
            <w:vMerge w:val="restart"/>
          </w:tcPr>
          <w:p>
            <w:pPr>
              <w:jc w:val="right"/>
              <w:ind w:right="194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5480" w:type="dxa"/>
            <w:vAlign w:val="bottom"/>
            <w:vMerge w:val="continue"/>
          </w:tcPr>
          <w:p>
            <w:pPr>
              <w:spacing w:after="0"/>
              <w:rPr>
                <w:sz w:val="24"/>
                <w:szCs w:val="24"/>
                <w:color w:val="auto"/>
              </w:rPr>
            </w:pPr>
          </w:p>
        </w:tc>
        <w:tc>
          <w:tcPr>
            <w:tcW w:w="2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5"/>
          </w:tcPr>
          <w:p>
            <w:pPr>
              <w:jc w:val="right"/>
              <w:spacing w:after="0"/>
              <w:rPr>
                <w:sz w:val="20"/>
                <w:szCs w:val="20"/>
                <w:color w:val="auto"/>
              </w:rPr>
            </w:pPr>
            <w:r>
              <w:rPr>
                <w:rFonts w:ascii="Arial" w:cs="Arial" w:eastAsia="Arial" w:hAnsi="Arial"/>
                <w:sz w:val="13"/>
                <w:szCs w:val="13"/>
                <w:b w:val="1"/>
                <w:bCs w:val="1"/>
                <w:color w:val="auto"/>
                <w:w w:val="93"/>
              </w:rPr>
              <w:t>Form 10-Q for the Quarterly Period ended March 31, 2021</w:t>
            </w:r>
          </w:p>
        </w:tc>
        <w:tc>
          <w:tcPr>
            <w:tcW w:w="0" w:type="dxa"/>
            <w:vAlign w:val="bottom"/>
          </w:tcPr>
          <w:p>
            <w:pPr>
              <w:spacing w:after="0"/>
              <w:rPr>
                <w:sz w:val="1"/>
                <w:szCs w:val="1"/>
                <w:color w:val="auto"/>
              </w:rPr>
            </w:pPr>
          </w:p>
        </w:tc>
      </w:tr>
      <w:tr>
        <w:trPr>
          <w:trHeight w:val="167"/>
        </w:trPr>
        <w:tc>
          <w:tcPr>
            <w:tcW w:w="5480" w:type="dxa"/>
            <w:vAlign w:val="bottom"/>
            <w:tcBorders>
              <w:bottom w:val="single" w:sz="8" w:color="9A9A9A"/>
            </w:tcBorders>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 w:name="page12"/>
    <w:bookmarkEnd w:id="1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Intangible Assets</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Intangible assets subject to amortization are amortized over their respective useful lives (ranging from three to ten years). Intangible assets, net included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(4,370)</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28,846</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57,594</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(2,724)</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30,471</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88,340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60,230</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annual amortization expense related to intangible assets subject to amortization for the next five years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6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17,877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00AAE5"/>
              </w:rPr>
              <w:t>NOTE G – Other Assets</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560" w:type="dxa"/>
            <w:vAlign w:val="bottom"/>
            <w:gridSpan w:val="5"/>
          </w:tcPr>
          <w:p>
            <w:pPr>
              <w:ind w:left="520"/>
              <w:spacing w:after="0"/>
              <w:rPr>
                <w:sz w:val="20"/>
                <w:szCs w:val="20"/>
                <w:color w:val="auto"/>
              </w:rPr>
            </w:pPr>
            <w:r>
              <w:rPr>
                <w:rFonts w:ascii="Arial" w:cs="Arial" w:eastAsia="Arial" w:hAnsi="Arial"/>
                <w:sz w:val="18"/>
                <w:szCs w:val="18"/>
                <w:color w:val="auto"/>
                <w:w w:val="96"/>
              </w:rPr>
              <w:t>The changes in the net amount of capitalized implementation costs for software hosting arrangements was as follows: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36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(57)</w:t>
            </w:r>
          </w:p>
        </w:tc>
        <w:tc>
          <w:tcPr>
            <w:tcW w:w="5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1,170</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H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574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2" w:name="page13"/>
    <w:bookmarkEnd w:id="1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under non-cancellable operating leases, primarily for office space,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2021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 2020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remaining term)</w:t>
            </w:r>
          </w:p>
        </w:tc>
        <w:tc>
          <w:tcPr>
            <w:tcW w:w="128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8"/>
              </w:rPr>
              <w:t>Remaining Term</w:t>
            </w:r>
          </w:p>
        </w:tc>
        <w:tc>
          <w:tcPr>
            <w:tcW w:w="3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Right-of-Use Asset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4"/>
              </w:rPr>
              <w:t>Remaining Term</w:t>
            </w:r>
          </w:p>
        </w:tc>
        <w:tc>
          <w:tcPr>
            <w:tcW w:w="20" w:type="dxa"/>
            <w:vAlign w:val="bottom"/>
          </w:tcPr>
          <w:p>
            <w:pPr>
              <w:spacing w:after="0"/>
              <w:rPr>
                <w:sz w:val="11"/>
                <w:szCs w:val="11"/>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Right-of-Use Asset</w:t>
            </w:r>
          </w:p>
        </w:tc>
        <w:tc>
          <w:tcPr>
            <w:tcW w:w="0" w:type="dxa"/>
            <w:vAlign w:val="bottom"/>
          </w:tcPr>
          <w:p>
            <w:pPr>
              <w:spacing w:after="0"/>
              <w:rPr>
                <w:sz w:val="1"/>
                <w:szCs w:val="1"/>
                <w:color w:val="auto"/>
              </w:rPr>
            </w:pPr>
          </w:p>
        </w:tc>
      </w:tr>
      <w:tr>
        <w:trPr>
          <w:trHeight w:val="171"/>
        </w:trPr>
        <w:tc>
          <w:tcPr>
            <w:tcW w:w="5360" w:type="dxa"/>
            <w:vAlign w:val="bottom"/>
            <w:vMerge w:val="continue"/>
          </w:tcPr>
          <w:p>
            <w:pPr>
              <w:spacing w:after="0"/>
              <w:rPr>
                <w:sz w:val="14"/>
                <w:szCs w:val="14"/>
                <w:color w:val="auto"/>
              </w:rPr>
            </w:pPr>
          </w:p>
        </w:tc>
        <w:tc>
          <w:tcPr>
            <w:tcW w:w="1280" w:type="dxa"/>
            <w:vAlign w:val="bottom"/>
          </w:tcPr>
          <w:p>
            <w:pPr>
              <w:jc w:val="right"/>
              <w:ind w:right="399"/>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(years)</w:t>
            </w: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Minneapolis, MN lease</w:t>
            </w: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w:t>
            </w:r>
          </w:p>
        </w:tc>
        <w:tc>
          <w:tcPr>
            <w:tcW w:w="3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Kyiv, Ukraine lease</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leases</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&lt;1 - 5</w:t>
            </w:r>
          </w:p>
        </w:tc>
        <w:tc>
          <w:tcPr>
            <w:tcW w:w="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&lt;1 - 5</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Some of our leases may include options to extend the leases for up to five years. The options to extend our leases are not recognized as part of our Right-of-Use (“ROU”) assets and lease liabilities as it is not reasonably certain that we will exercise those options. Additionally, our agreements do not include options to terminate the leases.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6"/>
          </w:tcPr>
          <w:p>
            <w:pPr>
              <w:jc w:val="center"/>
              <w:ind w:left="557"/>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ind w:right="196"/>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4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4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768</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gridSpan w:val="6"/>
          </w:tcPr>
          <w:p>
            <w:pPr>
              <w:jc w:val="center"/>
              <w:ind w:left="557"/>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ind w:right="196"/>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4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operating lease liabilities</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4"/>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240" w:type="dxa"/>
            <w:vAlign w:val="bottom"/>
          </w:tcPr>
          <w:p>
            <w:pPr>
              <w:ind w:left="52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4"/>
                <w:szCs w:val="24"/>
                <w:color w:val="auto"/>
              </w:rPr>
            </w:pPr>
          </w:p>
        </w:tc>
        <w:tc>
          <w:tcPr>
            <w:tcW w:w="23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March 31, 2021</w:t>
            </w:r>
          </w:p>
        </w:tc>
        <w:tc>
          <w:tcPr>
            <w:tcW w:w="16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4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 years</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 years</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62"/>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72"/>
        </w:trPr>
        <w:tc>
          <w:tcPr>
            <w:tcW w:w="7240" w:type="dxa"/>
            <w:vAlign w:val="bottom"/>
          </w:tcPr>
          <w:p>
            <w:pPr>
              <w:ind w:left="520"/>
              <w:spacing w:after="0"/>
              <w:rPr>
                <w:sz w:val="20"/>
                <w:szCs w:val="20"/>
                <w:color w:val="auto"/>
              </w:rPr>
            </w:pPr>
            <w:r>
              <w:rPr>
                <w:rFonts w:ascii="Arial" w:cs="Arial" w:eastAsia="Arial" w:hAnsi="Arial"/>
                <w:sz w:val="18"/>
                <w:szCs w:val="18"/>
                <w:color w:val="auto"/>
                <w:w w:val="93"/>
              </w:rPr>
              <w:t>At March 31, 2021, our future minimum payments under operating leases were as follows: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5"/>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3"/>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22,167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Purchase Commitments</w:t>
      </w:r>
    </w:p>
    <w:p>
      <w:pPr>
        <w:spacing w:after="0" w:line="117"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We have entered into separate noncancelable agreements with computing infrastructure and customer relationship management vendors for services through 2023. At March 31, 2021, the total remaining purchase commitments were $16.2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3" w:name="page14"/>
    <w:bookmarkEnd w:id="1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Repurchase Program</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12529"/>
        </w:rPr>
        <w:t>On November 2, 2019, our board of directors authorized a program to repurchase up to $50 million of common stock. Under the program, purchases may be made from time to time in the open market over two years. For the three months ended March 31, 2021, we did not repurchase any shares. As of March 31, 2021, $31.1 million of the share repurchase program was available for future share repurchases.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Stock-Based Compensation</w:t>
      </w:r>
    </w:p>
    <w:p>
      <w:pPr>
        <w:spacing w:after="0" w:line="229"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performance share units (“PSUs”), restricted stock awards (“RSAs”), restricted stock units (“RSUs”), and deferred stock units (“DSUs”). We also have an employee stock purchase plan (“ESPP”). We recognize stock-based compensation expense based on grant date award fair value. This cost is recognized over the period for which the employee is required to provide service in exchange for the award or the award performance period, except for expense relating to retirement-eligible employees that have not given their required notice, which is recognized on a pro-rata basis over the notice period prior to retirement. At March 31, 2021, there were 13.6 million shares available for grant under approved equity compensation plans.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in the condensed consolidated statements of comprehensive income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20"/>
              <w:spacing w:after="0"/>
              <w:rPr>
                <w:sz w:val="20"/>
                <w:szCs w:val="20"/>
                <w:color w:val="auto"/>
              </w:rPr>
            </w:pPr>
            <w:r>
              <w:rPr>
                <w:rFonts w:ascii="Arial" w:cs="Arial" w:eastAsia="Arial" w:hAnsi="Arial"/>
                <w:sz w:val="18"/>
                <w:szCs w:val="18"/>
                <w:color w:val="auto"/>
              </w:rPr>
              <w:t>Stock-based compensation expense by plan type was as follows: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PSUs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RSAs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401(k) stock match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of March 31, 2021, there was $40.6 million of unrecognized stock-based compensation expense under our equity compensation plans, which is expected to be recognized on a straight-line basis over a weighted average period of 2.8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stock option activity was as follows:</w:t>
      </w:r>
    </w:p>
    <w:p>
      <w:pPr>
        <w:spacing w:after="0" w:line="95"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Three Months Ended March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6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jc w:val="center"/>
              <w:ind w:right="95"/>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2"/>
                <w:szCs w:val="12"/>
                <w:color w:val="auto"/>
              </w:rPr>
            </w:pPr>
          </w:p>
        </w:tc>
      </w:tr>
      <w:tr>
        <w:trPr>
          <w:trHeight w:val="171"/>
        </w:trPr>
        <w:tc>
          <w:tcPr>
            <w:tcW w:w="6680" w:type="dxa"/>
            <w:vAlign w:val="bottom"/>
          </w:tcPr>
          <w:p>
            <w:pPr>
              <w:spacing w:after="0"/>
              <w:rPr>
                <w:sz w:val="14"/>
                <w:szCs w:val="14"/>
                <w:color w:val="auto"/>
              </w:rPr>
            </w:pPr>
          </w:p>
        </w:tc>
        <w:tc>
          <w:tcPr>
            <w:tcW w:w="1420" w:type="dxa"/>
            <w:vAlign w:val="bottom"/>
          </w:tcPr>
          <w:p>
            <w:pPr>
              <w:ind w:left="680"/>
              <w:spacing w:after="0"/>
              <w:rPr>
                <w:sz w:val="20"/>
                <w:szCs w:val="20"/>
                <w:color w:val="auto"/>
              </w:rPr>
            </w:pPr>
            <w:r>
              <w:rPr>
                <w:rFonts w:ascii="Arial" w:cs="Arial" w:eastAsia="Arial" w:hAnsi="Arial"/>
                <w:sz w:val="14"/>
                <w:szCs w:val="14"/>
                <w:b w:val="1"/>
                <w:bCs w:val="1"/>
                <w:color w:val="auto"/>
                <w:w w:val="97"/>
              </w:rPr>
              <w:t>Options (#)</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 (per share)</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944,886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rPr>
              <w:t>34,395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tcPr>
          <w:p>
            <w:pPr>
              <w:spacing w:after="0"/>
              <w:rPr>
                <w:sz w:val="19"/>
                <w:szCs w:val="19"/>
                <w:color w:val="auto"/>
              </w:rPr>
            </w:pPr>
          </w:p>
        </w:tc>
      </w:tr>
      <w:tr>
        <w:trPr>
          <w:trHeight w:val="229"/>
        </w:trPr>
        <w:tc>
          <w:tcPr>
            <w:tcW w:w="81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(87,658)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FF0FC"/>
          </w:tcPr>
          <w:p>
            <w:pPr>
              <w:spacing w:after="0"/>
              <w:rPr>
                <w:sz w:val="19"/>
                <w:szCs w:val="19"/>
                <w:color w:val="auto"/>
              </w:rPr>
            </w:pPr>
          </w:p>
        </w:tc>
      </w:tr>
      <w:tr>
        <w:trPr>
          <w:trHeight w:val="23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19"/>
                <w:szCs w:val="19"/>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4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890,063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Of the total outstanding options at March 31, 2021, 0.7 million were exercisable. The outstanding and exercisable options had a weighted average exercise price of $33.82 per share and a weighted average remaining contractual life of 3.4 years.</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three months of 2021 was $31.16 per share. This was estimated on the date of grant using the Black-Scholes option 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4.0</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Performance Share Units, Restricted Stock Units and Awards, and Deferred Stock Units</w:t>
      </w:r>
    </w:p>
    <w:p>
      <w:pPr>
        <w:spacing w:after="0" w:line="225"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In each of the quarters ended March 31, 2021, 2020, 2019, and 2018 we granted PSU awards with a target performance level. These awards are earned based upon the Company’s total shareholder return as compared to an indexed total shareholder return over the course of a fiscal based three-year performance period, starting in the year of grant. Awards vest in the quarter following the conclusion of the performance period. In the three months ended March 31, 2021, PSU awards granted in 2018 vested at the maximum performance level and 0.1 million shares of common stock were issued.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PSU, RSU, RSA, and DSU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8"/>
              </w:rPr>
              <w:t>Three Months Ended March 31, 2021</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Weighted 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36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Date Fair Value (per unit)</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2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738,422</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Granted</w:t>
            </w:r>
          </w:p>
        </w:tc>
        <w:tc>
          <w:tcPr>
            <w:tcW w:w="2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236,504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2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(286,888)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681,961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i w:val="1"/>
                <w:iCs w:val="1"/>
                <w:color w:val="1F282C"/>
              </w:rPr>
              <w:t>Employee Stock Purchase Plan</w:t>
            </w:r>
          </w:p>
        </w:tc>
        <w:tc>
          <w:tcPr>
            <w:tcW w:w="2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8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ind w:left="520"/>
              <w:spacing w:after="0"/>
              <w:rPr>
                <w:sz w:val="20"/>
                <w:szCs w:val="20"/>
                <w:color w:val="auto"/>
              </w:rPr>
            </w:pPr>
            <w:r>
              <w:rPr>
                <w:rFonts w:ascii="Arial" w:cs="Arial" w:eastAsia="Arial" w:hAnsi="Arial"/>
                <w:sz w:val="18"/>
                <w:szCs w:val="18"/>
                <w:color w:val="auto"/>
              </w:rPr>
              <w:t>Our ESPP activity was as follows:</w:t>
            </w:r>
          </w:p>
        </w:tc>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Borders>
              <w:bottom w:val="single" w:sz="8" w:color="CFF0FC"/>
            </w:tcBorders>
            <w:vMerge w:val="continue"/>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Amounts for shares purchased</w:t>
            </w:r>
          </w:p>
        </w:tc>
        <w:tc>
          <w:tcPr>
            <w:tcW w:w="3440" w:type="dxa"/>
            <w:vAlign w:val="bottom"/>
            <w:gridSpan w:val="2"/>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Shares purchased</w:t>
            </w:r>
          </w:p>
        </w:tc>
        <w:tc>
          <w:tcPr>
            <w:tcW w:w="2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1,621</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3"/>
        </w:trPr>
        <w:tc>
          <w:tcPr>
            <w:tcW w:w="428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2400" w:type="dxa"/>
            <w:vAlign w:val="bottom"/>
          </w:tcPr>
          <w:p>
            <w:pPr>
              <w:jc w:val="right"/>
              <w:ind w:right="908"/>
              <w:spacing w:after="0"/>
              <w:rPr>
                <w:sz w:val="20"/>
                <w:szCs w:val="20"/>
                <w:color w:val="auto"/>
              </w:rPr>
            </w:pPr>
            <w:r>
              <w:rPr>
                <w:rFonts w:ascii="Arial" w:cs="Arial" w:eastAsia="Arial" w:hAnsi="Arial"/>
                <w:sz w:val="14"/>
                <w:szCs w:val="14"/>
                <w:color w:val="auto"/>
              </w:rPr>
              <w:t>15</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9"/>
          </w:tcPr>
          <w:p>
            <w:pPr>
              <w:ind w:left="140"/>
              <w:spacing w:after="0"/>
              <w:rPr>
                <w:sz w:val="20"/>
                <w:szCs w:val="20"/>
                <w:color w:val="auto"/>
              </w:rPr>
            </w:pPr>
            <w:r>
              <w:rPr>
                <w:rFonts w:ascii="Arial" w:cs="Arial" w:eastAsia="Arial" w:hAnsi="Arial"/>
                <w:sz w:val="13"/>
                <w:szCs w:val="13"/>
                <w:b w:val="1"/>
                <w:bCs w:val="1"/>
                <w:color w:val="auto"/>
                <w:w w:val="89"/>
              </w:rPr>
              <w:t>Form 10-Q for the Quarterly Period ended March 31, 2021</w:t>
            </w:r>
          </w:p>
        </w:tc>
        <w:tc>
          <w:tcPr>
            <w:tcW w:w="0" w:type="dxa"/>
            <w:vAlign w:val="bottom"/>
          </w:tcPr>
          <w:p>
            <w:pPr>
              <w:spacing w:after="0"/>
              <w:rPr>
                <w:sz w:val="1"/>
                <w:szCs w:val="1"/>
                <w:color w:val="auto"/>
              </w:rPr>
            </w:pPr>
          </w:p>
        </w:tc>
      </w:tr>
      <w:tr>
        <w:trPr>
          <w:trHeight w:val="167"/>
        </w:trPr>
        <w:tc>
          <w:tcPr>
            <w:tcW w:w="4280" w:type="dxa"/>
            <w:vAlign w:val="bottom"/>
            <w:tcBorders>
              <w:bottom w:val="single" w:sz="8" w:color="9A9A9A"/>
            </w:tcBorders>
          </w:tcPr>
          <w:p>
            <w:pPr>
              <w:spacing w:after="0"/>
              <w:rPr>
                <w:sz w:val="14"/>
                <w:szCs w:val="14"/>
                <w:color w:val="auto"/>
              </w:rPr>
            </w:pPr>
          </w:p>
        </w:tc>
        <w:tc>
          <w:tcPr>
            <w:tcW w:w="24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total of 1.9 million shares of common stock are reserved for issuance under the ESPP as of March 31, 2021.</w:t>
      </w:r>
    </w:p>
    <w:p>
      <w:pPr>
        <w:spacing w:after="0" w:line="26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Income Taxes</w:t>
      </w:r>
    </w:p>
    <w:p>
      <w:pPr>
        <w:spacing w:after="0" w:line="12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includes current federal, state, and foreign income tax expense, as well as deferred tax expense.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we did not have any unrecognized tax benefits, accrued interest, or tax penalties.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Other Income and Expense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net included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20" w:type="dxa"/>
            <w:vAlign w:val="bottom"/>
            <w:tcBorders>
              <w:bottom w:val="single" w:sz="8" w:color="CFF0FC"/>
            </w:tcBorders>
            <w:vMerge w:val="continue"/>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4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Realized loss from foreign currency on cash and investments held</w:t>
            </w: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Change in earn-out liability</w:t>
            </w: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Effective January 1, 2021, all realized gains or losses and interest income on our investments are included in investment income. Previously, realized gains and losses were included in other income (expense), net and interest income was included in interest income, net. Additionally, realized gains or losses from foreign currency on cash and investments held were previously included in other income (expense), net. Amounts for the three months ended March 31, 2020 have been reclassified to be consistent with the classifications 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0574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M –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Diluted net income per share also includes the impact of our outstanding potential common shares, including options, PSUs, RSUs, RSAs, and DSUs.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 common shares that are anti-dilutive are excluded from the calculation of diluted net income per share.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10,200</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35,751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RSAs, and DSUs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36,722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0"/>
        <w:spacing w:after="0" w:line="293" w:lineRule="auto"/>
        <w:rPr>
          <w:sz w:val="20"/>
          <w:szCs w:val="20"/>
          <w:color w:val="auto"/>
        </w:rPr>
      </w:pPr>
      <w:r>
        <w:rPr>
          <w:rFonts w:ascii="Arial" w:cs="Arial" w:eastAsia="Arial" w:hAnsi="Arial"/>
          <w:sz w:val="18"/>
          <w:szCs w:val="18"/>
          <w:color w:val="auto"/>
        </w:rPr>
        <w:t>The following table presents the effect of the outstanding potential common shares that were excluded from the calculation of diluted net income per share as they were anti-dilutive: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720" w:type="dxa"/>
            <w:vAlign w:val="bottom"/>
            <w:gridSpan w:val="3"/>
          </w:tcPr>
          <w:p>
            <w:pPr>
              <w:jc w:val="center"/>
              <w:ind w:left="1024"/>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Borders>
              <w:bottom w:val="single" w:sz="8" w:color="auto"/>
            </w:tcBorders>
            <w:gridSpan w:val="3"/>
          </w:tcPr>
          <w:p>
            <w:pPr>
              <w:jc w:val="center"/>
              <w:ind w:left="1024"/>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0" w:type="dxa"/>
            <w:vAlign w:val="bottom"/>
            <w:tcBorders>
              <w:bottom w:val="single" w:sz="8" w:color="CFF0FC"/>
            </w:tcBorders>
            <w:vMerge w:val="continue"/>
          </w:tcPr>
          <w:p>
            <w:pPr>
              <w:spacing w:after="0"/>
              <w:rPr>
                <w:sz w:val="13"/>
                <w:szCs w:val="13"/>
                <w:color w:val="auto"/>
              </w:rPr>
            </w:pPr>
          </w:p>
        </w:tc>
        <w:tc>
          <w:tcPr>
            <w:tcW w:w="1640" w:type="dxa"/>
            <w:vAlign w:val="bottom"/>
            <w:tcBorders>
              <w:bottom w:val="single" w:sz="8" w:color="auto"/>
            </w:tcBorders>
          </w:tcPr>
          <w:p>
            <w:pPr>
              <w:jc w:val="right"/>
              <w:ind w:right="604"/>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Antidilutive shares</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Geographic Information</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For the three months ended March 31, 2021 and 2020, 84% and 85% of our revenue, respectively, was attributable to customers based within the U.S. No single jurisdiction outside of the U.S. had revenues in excess of 10%.</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 March 31, 2021 and 2020, 15% and 8%, respectively, of property and equipment, net was located at subsidiary and office locations outside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0574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7" w:name="page18"/>
    <w:bookmarkEnd w:id="17"/>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U.S. Private Securities Litigation Reform Act of 1995. Forward-looking statements regarding us, our business prospects and our results of operations are subject to certain risks and uncertainties posed by many factors and events, many of which may be amplified by the coronavirus (COVID-19) pandemic,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2020, as may be updated in our subsequent Quarterly Reports on Form 10-Q from time to time, including the updates in this Quarterly Report on Form 10-Q.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17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680" w:firstLine="510"/>
        <w:spacing w:after="0" w:line="342" w:lineRule="auto"/>
        <w:rPr>
          <w:sz w:val="20"/>
          <w:szCs w:val="20"/>
          <w:color w:val="auto"/>
        </w:rPr>
      </w:pPr>
      <w:r>
        <w:rPr>
          <w:rFonts w:ascii="Arial" w:cs="Arial" w:eastAsia="Arial" w:hAnsi="Arial"/>
          <w:sz w:val="16"/>
          <w:szCs w:val="16"/>
          <w:color w:val="auto"/>
        </w:rPr>
        <w:t>For the three months ended March 31, 2021, our revenues were $90.1 million, an increase of 21% from the comparable period in 2020, and represented our 81st consecutive quarter of increased revenues. Total operating expenses increased 21% for the same period in 2021 from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and Metrics</w:t>
      </w:r>
    </w:p>
    <w:p>
      <w:pPr>
        <w:spacing w:after="0" w:line="121"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During the three months ended March 31, 2021, we added Adjusted EBITDA Margin as a financial metric. There were no additional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included in our Annual Report on Form 10-K for the year ended December 31, 2020, as filed with the SEC.</w:t>
      </w:r>
    </w:p>
    <w:p>
      <w:pPr>
        <w:spacing w:after="0" w:line="15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To supplement our financial statements, we also provide investors with Adjusted EBITDA, Adjusted EBITDA Margin, and non-GAAP income per share, all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6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0574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8" w:name="page19"/>
    <w:bookmarkEnd w:id="18"/>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320" w:firstLine="514"/>
        <w:spacing w:after="0" w:line="255" w:lineRule="auto"/>
        <w:rPr>
          <w:sz w:val="20"/>
          <w:szCs w:val="20"/>
          <w:color w:val="auto"/>
        </w:rPr>
      </w:pPr>
      <w:r>
        <w:rPr>
          <w:rFonts w:ascii="Arial" w:cs="Arial" w:eastAsia="Arial" w:hAnsi="Arial"/>
          <w:sz w:val="18"/>
          <w:szCs w:val="18"/>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financial statements requires us to make estimates, judgments and assumptions that affect the reported amounts of assets, liabilities, revenues,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92" w:lineRule="exact"/>
        <w:rPr>
          <w:sz w:val="20"/>
          <w:szCs w:val="20"/>
          <w:color w:val="auto"/>
        </w:rPr>
      </w:pPr>
    </w:p>
    <w:p>
      <w:pPr>
        <w:ind w:right="40" w:firstLine="514"/>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internal-use software, and business combinations are the most critical to fully understand and evaluate our financial condition and results of operations.</w:t>
      </w:r>
    </w:p>
    <w:p>
      <w:pPr>
        <w:spacing w:after="0" w:line="187" w:lineRule="exact"/>
        <w:rPr>
          <w:sz w:val="20"/>
          <w:szCs w:val="20"/>
          <w:color w:val="auto"/>
        </w:rPr>
      </w:pPr>
    </w:p>
    <w:p>
      <w:pPr>
        <w:ind w:right="60" w:firstLine="514"/>
        <w:spacing w:after="0" w:line="263" w:lineRule="auto"/>
        <w:rPr>
          <w:sz w:val="20"/>
          <w:szCs w:val="20"/>
          <w:color w:val="auto"/>
        </w:rPr>
      </w:pPr>
      <w:r>
        <w:rPr>
          <w:rFonts w:ascii="Arial" w:cs="Arial" w:eastAsia="Arial" w:hAnsi="Arial"/>
          <w:sz w:val="18"/>
          <w:szCs w:val="18"/>
          <w:color w:val="auto"/>
        </w:rPr>
        <w:t>During the three months ended March 31, 2021, there were no changes in our critical accounting policies or estimates. See Note A to our condensed consolidated financial statements included in this Quarterly Report on Form 10-Q and in our Annual Report on Form 10-K for the year ended December 31, 2020, as filed with the SEC, for additional information regarding our accounting policies.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Three Months Ended March 31, 2021 Compared to Three Months Ended March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 March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68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90,094</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74,192</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15,902</w:t>
            </w:r>
          </w:p>
        </w:tc>
        <w:tc>
          <w:tcPr>
            <w:tcW w:w="4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29,970</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23,544</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60,124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50,648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9,476</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8,706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1,138</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99.4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47,462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39,112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12,662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11,536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(325)</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(673)</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10,200</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4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revenues resulted from two primary factors: the increase in recurring revenue customers and an increase in annualized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average recurring revenues per recurring revenue customer, which we also refer to as wallet share.</w:t>
      </w:r>
    </w:p>
    <w:p>
      <w:pPr>
        <w:spacing w:after="0" w:line="62"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9% to 33,850 at March 31, 2021 from 31,000 at March 31, 2020.</w:t>
      </w:r>
    </w:p>
    <w:p>
      <w:pPr>
        <w:spacing w:after="0" w:line="130"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Wallet share increased 9% to $9,900 for the three months ended March 31, 2021 from $9,050 for the same period in 2020. The increase was primarily attributable to increased usage of our solutions by our recurring revenue customers.</w:t>
      </w:r>
    </w:p>
    <w:p>
      <w:pPr>
        <w:spacing w:after="0" w:line="170"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Recurring revenues from recurring revenue customers accounted for 92% and 94% of our total revenues for the three months ended March 31, 2021 and 2020, respectively. We anticipate that the number of recurring revenue customers and wallet share will increase as we increase the number of solutions we offer and increase the penetration of those solutions across our customer base.</w:t>
      </w:r>
    </w:p>
    <w:p>
      <w:pPr>
        <w:spacing w:after="0" w:line="184"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b w:val="1"/>
          <w:bCs w:val="1"/>
          <w:i w:val="1"/>
          <w:iCs w:val="1"/>
          <w:color w:val="1F282C"/>
        </w:rPr>
        <w:t xml:space="preserve">Cost of Revenues - </w:t>
      </w:r>
      <w:r>
        <w:rPr>
          <w:rFonts w:ascii="Arial" w:cs="Arial" w:eastAsia="Arial" w:hAnsi="Arial"/>
          <w:sz w:val="17"/>
          <w:szCs w:val="17"/>
          <w:color w:val="000000"/>
        </w:rPr>
        <w:t>The increase in cost of revenues for the three months ended March 31, 2021 was primarily due to increased headcount which</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resulted in an increase of $5.3 million in personnel-related costs and an increase of $0.7 million in stock-based compensation. Additionally, as we continued to invest in the infrastructure supporting our platform, depreciation expense increased by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574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9" w:name="page20"/>
    <w:bookmarkEnd w:id="19"/>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b w:val="1"/>
          <w:bCs w:val="1"/>
          <w:i w:val="1"/>
          <w:iCs w:val="1"/>
          <w:color w:val="1F282C"/>
        </w:rPr>
        <w:t xml:space="preserve">Sales and Marketing Expenses - </w:t>
      </w:r>
      <w:r>
        <w:rPr>
          <w:rFonts w:ascii="Arial" w:cs="Arial" w:eastAsia="Arial" w:hAnsi="Arial"/>
          <w:sz w:val="16"/>
          <w:szCs w:val="16"/>
          <w:color w:val="000000"/>
        </w:rPr>
        <w:t>The increase in sales and marketing expense for the three months ended March 31, 2021 was primarily due to</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increased headcount which resulted in an increase of $1.1 million in personnel-related costs and an increase of $0.6 million in stock-based compensation. Additionally, the increase was due to an increase of $0.9 million in variable compensation earned by sales personnel and referral partners.</w:t>
      </w:r>
    </w:p>
    <w:p>
      <w:pPr>
        <w:spacing w:after="0" w:line="149"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for the three months ended March 31, 2021 was</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primarily due to increased headcount which resulted in an increase in personnel costs of $0.9 million and an increase in software subscription expense of $0.2 million.</w:t>
      </w:r>
    </w:p>
    <w:p>
      <w:pPr>
        <w:spacing w:after="0" w:line="18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general and administrative expense for the three months ended March 31, 2021 was driven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by an increase in stock-based compensation of $1.3 million. Additionally, increases of $0.6 million in charitable donations and $0.5 million in personal costs contributed to the overall increase.</w:t>
      </w:r>
    </w:p>
    <w:p>
      <w:pPr>
        <w:spacing w:after="0" w:line="184"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increase in amortization of intangible assets was driven by the amortization of the acquired intangible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assets related to Data Masons.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1F282C"/>
        </w:rPr>
        <w:t xml:space="preserve">Other Expense, Net - </w:t>
      </w:r>
      <w:r>
        <w:rPr>
          <w:rFonts w:ascii="Arial" w:cs="Arial" w:eastAsia="Arial" w:hAnsi="Arial"/>
          <w:sz w:val="16"/>
          <w:szCs w:val="16"/>
          <w:color w:val="1F282C"/>
        </w:rPr>
        <w:t>Total other expenses decreased primarily due to better investment performance as well as smaller foreign currency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1F282C"/>
        </w:rPr>
        <w:t>losses.</w:t>
      </w:r>
    </w:p>
    <w:p>
      <w:pPr>
        <w:spacing w:after="0" w:line="21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Income Tax Expense - </w:t>
      </w:r>
      <w:r>
        <w:rPr>
          <w:rFonts w:ascii="Arial" w:cs="Arial" w:eastAsia="Arial" w:hAnsi="Arial"/>
          <w:sz w:val="18"/>
          <w:szCs w:val="18"/>
          <w:color w:val="000000"/>
        </w:rPr>
        <w:t>The increase in income tax expense was primarily due to a decrease in discrete tax benefits from stock activity in addition to</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an increase in pre-tax income. Excess tax benefits generated upon the settlement or exercise of stock awards are recognized as a reduction to income tax expense and, as a result, we expect that our annual effective income tax rate will fluctuate.</w:t>
      </w:r>
    </w:p>
    <w:p>
      <w:pPr>
        <w:spacing w:after="0" w:line="1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which is a non-GAAP measure of financial performance, consists of net income adjusted for depreciation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and amortization expense, investment income or loss, realized gain or loss from foreign currency on cash and investments held, income tax expense, stock-based compensation expense, and other adjustments as necessary for a fair presentation. Other adjustments included the impact of the fair value adjustment for the EDIAdmin earn-out liability. As part of executing a lease amendment, we incurred accelerated depreciation, included within Depreciation and amortization of property and equipment, and offsetting accelerated tenant improvement benefit, which is included within Other. The following table provides a reconciliation of net income to Adjusted EBITDA: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Borders>
              <w:bottom w:val="single" w:sz="8" w:color="CFF0FC"/>
            </w:tcBorders>
            <w:vMerge w:val="continue"/>
          </w:tcPr>
          <w:p>
            <w:pPr>
              <w:spacing w:after="0"/>
              <w:rPr>
                <w:sz w:val="13"/>
                <w:szCs w:val="13"/>
                <w:color w:val="auto"/>
              </w:rPr>
            </w:pPr>
          </w:p>
        </w:tc>
        <w:tc>
          <w:tcPr>
            <w:tcW w:w="24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Investment income</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Realized loss from foreign currency on cash and investments held</w:t>
            </w:r>
          </w:p>
        </w:tc>
        <w:tc>
          <w:tcPr>
            <w:tcW w:w="2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2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4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2440" w:type="dxa"/>
            <w:vAlign w:val="bottom"/>
            <w:vMerge w:val="restart"/>
          </w:tcPr>
          <w:p>
            <w:pPr>
              <w:jc w:val="right"/>
              <w:ind w:right="194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528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5"/>
          </w:tcPr>
          <w:p>
            <w:pPr>
              <w:jc w:val="right"/>
              <w:spacing w:after="0"/>
              <w:rPr>
                <w:sz w:val="20"/>
                <w:szCs w:val="20"/>
                <w:color w:val="auto"/>
              </w:rPr>
            </w:pPr>
            <w:r>
              <w:rPr>
                <w:rFonts w:ascii="Arial" w:cs="Arial" w:eastAsia="Arial" w:hAnsi="Arial"/>
                <w:sz w:val="13"/>
                <w:szCs w:val="13"/>
                <w:b w:val="1"/>
                <w:bCs w:val="1"/>
                <w:color w:val="auto"/>
                <w:w w:val="93"/>
              </w:rPr>
              <w:t>Form 10-Q for the Quarterly Period ended March 31, 2021</w:t>
            </w:r>
          </w:p>
        </w:tc>
        <w:tc>
          <w:tcPr>
            <w:tcW w:w="0" w:type="dxa"/>
            <w:vAlign w:val="bottom"/>
          </w:tcPr>
          <w:p>
            <w:pPr>
              <w:spacing w:after="0"/>
              <w:rPr>
                <w:sz w:val="1"/>
                <w:szCs w:val="1"/>
                <w:color w:val="auto"/>
              </w:rPr>
            </w:pPr>
          </w:p>
        </w:tc>
      </w:tr>
      <w:tr>
        <w:trPr>
          <w:trHeight w:val="168"/>
        </w:trPr>
        <w:tc>
          <w:tcPr>
            <w:tcW w:w="5280" w:type="dxa"/>
            <w:vAlign w:val="bottom"/>
            <w:tcBorders>
              <w:bottom w:val="single" w:sz="8" w:color="9A9A9A"/>
            </w:tcBorders>
          </w:tcPr>
          <w:p>
            <w:pPr>
              <w:spacing w:after="0"/>
              <w:rPr>
                <w:sz w:val="14"/>
                <w:szCs w:val="14"/>
                <w:color w:val="auto"/>
              </w:rPr>
            </w:pPr>
          </w:p>
        </w:tc>
        <w:tc>
          <w:tcPr>
            <w:tcW w:w="24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Margin. </w:t>
      </w:r>
      <w:r>
        <w:rPr>
          <w:rFonts w:ascii="Arial" w:cs="Arial" w:eastAsia="Arial" w:hAnsi="Arial"/>
          <w:sz w:val="18"/>
          <w:szCs w:val="18"/>
          <w:color w:val="000000"/>
        </w:rPr>
        <w:t>Adjusted EBITDA Margin, which is a non-GAAP measure of financial performance, consists of Adjusted EBITDA</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divided by revenue. Margin, the comparable GAAP measure of financial performance, consists of net income divided by revenue. The following table provides a comparison of Margin to Adjusted EBITDA Margin: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6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 except Margin and Adjusted EBITDA Margin)</w:t>
            </w:r>
          </w:p>
        </w:tc>
        <w:tc>
          <w:tcPr>
            <w:tcW w:w="1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90,094</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74,192</w:t>
            </w:r>
          </w:p>
        </w:tc>
        <w:tc>
          <w:tcPr>
            <w:tcW w:w="18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10,200</w:t>
            </w:r>
          </w:p>
        </w:tc>
        <w:tc>
          <w:tcPr>
            <w:tcW w:w="3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9,515</w:t>
            </w:r>
          </w:p>
        </w:tc>
        <w:tc>
          <w:tcPr>
            <w:tcW w:w="180" w:type="dxa"/>
            <w:vAlign w:val="bottom"/>
            <w:shd w:val="clear" w:color="auto" w:fill="CFF0FC"/>
          </w:tcPr>
          <w:p>
            <w:pPr>
              <w:spacing w:after="0"/>
              <w:rPr>
                <w:sz w:val="19"/>
                <w:szCs w:val="19"/>
                <w:color w:val="auto"/>
              </w:rPr>
            </w:pPr>
          </w:p>
        </w:tc>
      </w:tr>
      <w:tr>
        <w:trPr>
          <w:trHeight w:val="263"/>
        </w:trPr>
        <w:tc>
          <w:tcPr>
            <w:tcW w:w="6180" w:type="dxa"/>
            <w:vAlign w:val="bottom"/>
          </w:tcPr>
          <w:p>
            <w:pPr>
              <w:spacing w:after="0"/>
              <w:rPr>
                <w:sz w:val="20"/>
                <w:szCs w:val="20"/>
                <w:color w:val="auto"/>
              </w:rPr>
            </w:pPr>
            <w:r>
              <w:rPr>
                <w:rFonts w:ascii="Arial" w:cs="Arial" w:eastAsia="Arial" w:hAnsi="Arial"/>
                <w:sz w:val="18"/>
                <w:szCs w:val="18"/>
                <w:color w:val="auto"/>
              </w:rPr>
              <w:t>Margin</w:t>
            </w: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0"/>
        </w:trPr>
        <w:tc>
          <w:tcPr>
            <w:tcW w:w="618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29"/>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1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25,457</w:t>
            </w:r>
          </w:p>
        </w:tc>
        <w:tc>
          <w:tcPr>
            <w:tcW w:w="3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20,356</w:t>
            </w:r>
          </w:p>
        </w:tc>
        <w:tc>
          <w:tcPr>
            <w:tcW w:w="180" w:type="dxa"/>
            <w:vAlign w:val="bottom"/>
            <w:tcBorders>
              <w:bottom w:val="single" w:sz="8" w:color="CFF0FC"/>
            </w:tcBorders>
          </w:tcPr>
          <w:p>
            <w:pPr>
              <w:spacing w:after="0"/>
              <w:rPr>
                <w:sz w:val="19"/>
                <w:szCs w:val="19"/>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61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b w:val="1"/>
          <w:bCs w:val="1"/>
          <w:i w:val="1"/>
          <w:iCs w:val="1"/>
          <w:color w:val="1F282C"/>
        </w:rPr>
        <w:t xml:space="preserve">Non-GAAP Income per Share. </w:t>
      </w:r>
      <w:r>
        <w:rPr>
          <w:rFonts w:ascii="Arial" w:cs="Arial" w:eastAsia="Arial" w:hAnsi="Arial"/>
          <w:sz w:val="18"/>
          <w:szCs w:val="18"/>
          <w:color w:val="000000"/>
        </w:rPr>
        <w:t>Non-GAAP income per share, which is a non-GAAP measure of financial performance, consists of net income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adjusted for stock-based compensation expense, amortization expense related to intangible assets, realized gain or loss from foreign currency on cash and investments held, and other adjustments as necessary for a fair presentation, divided by the weighted average number of shares of common stock outstanding during each period. Other adjustments included the impact of the fair value adjustment for the EDIAdmin earn-out liability and accelerated tenant improvement benefit as part of executing a lease amendment.</w:t>
      </w:r>
    </w:p>
    <w:p>
      <w:pPr>
        <w:spacing w:after="0" w:line="25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(426)</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(3,975)</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35,751</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36,722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At March 31, 2021, our principal sources of liquidity were cash and cash equivalents, certificates of deposit and short-term investments totaling $208.4 million and accounts receivable, net of provision for credit losses, of $35.3 million. Certificates of deposit and investments are invested in accordance with our investment policy, with a goal of maintaining liquidity and capital preservation. Our cash equivalents and short-term investments are held in highly liquid money market funds, commercial paper, federal agency securities and corporate debt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below table summarizes the activity within the condensed consolidated statements of cash flows: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(4,802)</w:t>
            </w:r>
          </w:p>
        </w:tc>
        <w:tc>
          <w:tcPr>
            <w:tcW w:w="5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Operating Activities</w:t>
      </w:r>
    </w:p>
    <w:p>
      <w:pPr>
        <w:spacing w:after="0" w:line="117" w:lineRule="exact"/>
        <w:rPr>
          <w:sz w:val="20"/>
          <w:szCs w:val="20"/>
          <w:color w:val="auto"/>
        </w:rPr>
      </w:pPr>
    </w:p>
    <w:p>
      <w:pPr>
        <w:jc w:val="both"/>
        <w:ind w:right="480" w:firstLine="510"/>
        <w:spacing w:after="0" w:line="311" w:lineRule="auto"/>
        <w:rPr>
          <w:sz w:val="20"/>
          <w:szCs w:val="20"/>
          <w:color w:val="auto"/>
        </w:rPr>
      </w:pPr>
      <w:r>
        <w:rPr>
          <w:rFonts w:ascii="Arial" w:cs="Arial" w:eastAsia="Arial" w:hAnsi="Arial"/>
          <w:sz w:val="16"/>
          <w:szCs w:val="16"/>
          <w:color w:val="auto"/>
        </w:rPr>
        <w:t>The increase in cash provided by operating activities was primarily driven by business expansion which resulted in increased depreciation and amortization of property and equipment, amortization of intangibles assets, and stock-based compensation expense. Also, the increase was driven by continued business growth resulting in increased net income. Additionally, the changes in assets and liabilities contributed to the overall increase.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Investing Activities</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increase in net cash used in investing activities was primarily due to an increase of net purchases of investments as well as increased capital expenditures, due to our business growth and continued investment in our technology.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Financing Activities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change in net cash provided by (used in) financing activities was primarily due to the decreases in cash used for share repurchases and net proceeds from stock option exercises.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Effect of Foreign Currency Exchange Rate Changes</w:t>
      </w:r>
    </w:p>
    <w:p>
      <w:pPr>
        <w:spacing w:after="0" w:line="11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“Foreign Currency Exchange Risk,” included in Part I, Item 3, “Quantitative and Qualitative Disclosures About Market Risk” of this Quarterly Report on Form 10-Q.</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3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we anticipate that our expenditures will continue to increase as we expand our business.</w:t>
      </w:r>
    </w:p>
    <w:p>
      <w:pPr>
        <w:spacing w:after="0" w:line="170"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We believe our cash, cash equivalents, investments and our cash flows from operations will be sufficient to meet our working capital and capital expenditure requirements for at least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2021 and we do not expect that inflation or changing prices will materially affect our business in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Off-Balance Sheet Arrangements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March 31, 2021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Payments Due by Period (in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99"/>
              <w:spacing w:after="0" w:line="147" w:lineRule="exact"/>
              <w:rPr>
                <w:sz w:val="20"/>
                <w:szCs w:val="20"/>
                <w:color w:val="auto"/>
              </w:rPr>
            </w:pPr>
            <w:r>
              <w:rPr>
                <w:rFonts w:ascii="Arial" w:cs="Arial" w:eastAsia="Arial" w:hAnsi="Arial"/>
                <w:sz w:val="14"/>
                <w:szCs w:val="14"/>
                <w:b w:val="1"/>
                <w:bCs w:val="1"/>
                <w:color w:val="auto"/>
                <w:w w:val="95"/>
              </w:rPr>
              <w:t>Less Than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8"/>
              </w:rPr>
              <w:t>More Than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5"/>
                <w:szCs w:val="15"/>
                <w:color w:val="auto"/>
              </w:rPr>
            </w:pPr>
          </w:p>
        </w:tc>
        <w:tc>
          <w:tcPr>
            <w:tcW w:w="86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w w:val="99"/>
              </w:rPr>
              <w:t>3-5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5"/>
                <w:szCs w:val="15"/>
                <w:color w:val="auto"/>
              </w:rPr>
            </w:pPr>
          </w:p>
        </w:tc>
        <w:tc>
          <w:tcPr>
            <w:tcW w:w="92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 including imputed interest</w:t>
            </w:r>
          </w:p>
        </w:tc>
        <w:tc>
          <w:tcPr>
            <w:tcW w:w="6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9,022</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3,961</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rPr>
                <w:sz w:val="20"/>
                <w:szCs w:val="20"/>
                <w:color w:val="auto"/>
              </w:rPr>
            </w:pPr>
            <w:r>
              <w:rPr>
                <w:rFonts w:ascii="Arial" w:cs="Arial" w:eastAsia="Arial" w:hAnsi="Arial"/>
                <w:sz w:val="18"/>
                <w:szCs w:val="18"/>
                <w:color w:val="auto"/>
              </w:rPr>
              <w:t>Purchase commitment</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458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8"/>
          </w:tcPr>
          <w:p>
            <w:pPr>
              <w:ind w:left="280"/>
              <w:spacing w:after="0"/>
              <w:rPr>
                <w:sz w:val="20"/>
                <w:szCs w:val="20"/>
                <w:color w:val="auto"/>
              </w:rPr>
            </w:pPr>
            <w:r>
              <w:rPr>
                <w:rFonts w:ascii="Arial" w:cs="Arial" w:eastAsia="Arial" w:hAnsi="Arial"/>
                <w:sz w:val="13"/>
                <w:szCs w:val="13"/>
                <w:b w:val="1"/>
                <w:bCs w:val="1"/>
                <w:color w:val="auto"/>
                <w:w w:val="89"/>
              </w:rPr>
              <w:t>Form 10-Q for the Quarterly Period ended March 31, 2021</w:t>
            </w:r>
          </w:p>
        </w:tc>
        <w:tc>
          <w:tcPr>
            <w:tcW w:w="0" w:type="dxa"/>
            <w:vAlign w:val="bottom"/>
          </w:tcPr>
          <w:p>
            <w:pPr>
              <w:spacing w:after="0"/>
              <w:rPr>
                <w:sz w:val="1"/>
                <w:szCs w:val="1"/>
                <w:color w:val="auto"/>
              </w:rPr>
            </w:pPr>
          </w:p>
        </w:tc>
      </w:tr>
      <w:tr>
        <w:trPr>
          <w:trHeight w:val="168"/>
        </w:trPr>
        <w:tc>
          <w:tcPr>
            <w:tcW w:w="150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Interest Rate Sensitivity Risk</w:t>
      </w:r>
    </w:p>
    <w:p>
      <w:pPr>
        <w:spacing w:after="0" w:line="117" w:lineRule="exact"/>
        <w:rPr>
          <w:sz w:val="20"/>
          <w:szCs w:val="20"/>
          <w:color w:val="auto"/>
        </w:rPr>
      </w:pPr>
    </w:p>
    <w:p>
      <w:pPr>
        <w:jc w:val="both"/>
        <w:ind w:right="260" w:firstLine="510"/>
        <w:spacing w:after="0" w:line="311" w:lineRule="auto"/>
        <w:rPr>
          <w:sz w:val="20"/>
          <w:szCs w:val="20"/>
          <w:color w:val="auto"/>
        </w:rPr>
      </w:pPr>
      <w:r>
        <w:rPr>
          <w:rFonts w:ascii="Arial" w:cs="Arial" w:eastAsia="Arial" w:hAnsi="Arial"/>
          <w:sz w:val="16"/>
          <w:szCs w:val="16"/>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of exposure. We do not enter into investments for trading or speculative purposes.</w:t>
      </w:r>
    </w:p>
    <w:p>
      <w:pPr>
        <w:spacing w:after="0" w:line="149"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We did not have any variable interest rate outstanding debt as of March 31, 2021. Therefore, we do not have any material risk to interest rate fluctuations.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Risk</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have revenue, expenses, assets, and liabilities that are denominated in currencies other than the U.S. dollar, primarily the Australian dollar and Canadian dollar. As of March 31, 2021, we maintained approximately 7% of our total cash and cash equivalents outside of the U.S. in foreign currencies. We believe that a hypothetical 10% change in foreign currency exchange rates or an inability to access foreign funds would not affect our ability to meet our operational needs or result in a material foreign currency loss.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Evaluation of Disclosure Controls and Procedures</w:t>
      </w:r>
    </w:p>
    <w:p>
      <w:pPr>
        <w:spacing w:after="0" w:line="117"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Changes in Internal Control over Financial Reporting</w:t>
      </w:r>
    </w:p>
    <w:p>
      <w:pPr>
        <w:spacing w:after="0" w:line="225"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color w:val="auto"/>
        </w:rPr>
        <w:t>In December 2020, we acquired the Data Masons business. Pursuant to the SEC’s general guidance that an assessment of a recently acquired business may be omitted from our scope for a period not to exceed one year from the date of acquisition, the scope of our most recent assessment did not include Data Masons. We are currently in the process of incorporating internal controls specific to Data Masons that we believe are appropriate and necessary to consolidate and report upon our financial results. Our assessment of the effectiveness of internal control over financial reporting as of December 31, 2021 will include Data Masons. As of and for the three months ended March 31, 2021, excluding net intangible assets and goodwill, Data Masons represented approximately 3% of our consolidated assets and 6% of our consolidated revenues.</w:t>
      </w:r>
    </w:p>
    <w:p>
      <w:pPr>
        <w:spacing w:after="0" w:line="70"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With the exception of the internal control related to integration activities associated with our acquisition of Data Masons, there were no changes in our internal control over financial reporting during the quarter ended March 31, 2021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2020, as filed with the SEC.</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5"/>
          <w:szCs w:val="15"/>
          <w:b w:val="1"/>
          <w:bCs w:val="1"/>
          <w:color w:val="00AAE5"/>
        </w:rPr>
        <w:t>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1F282C"/>
        </w:rPr>
        <w:t>(c) Share Repurchases</w:t>
      </w:r>
    </w:p>
    <w:p>
      <w:pPr>
        <w:spacing w:after="0" w:line="12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Under a share repurchase program announced by our board of directors on November 2, 2019, from time to time we can repurchase up to a total of $50 million of our stock in the open market through November 2, 2021. We did not make any purchases in the first quarter of 2021. At March 31, 2021, we had approximately $31.1 million remaining for shares that can be repurchased under the plan.</w:t>
      </w:r>
    </w:p>
    <w:p>
      <w:pPr>
        <w:spacing w:after="0" w:line="3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574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960" w:type="dxa"/>
            <w:vAlign w:val="bottom"/>
            <w:tcBorders>
              <w:bottom w:val="single" w:sz="8" w:color="0000EE"/>
            </w:tcBorders>
            <w:gridSpan w:val="6"/>
          </w:tcPr>
          <w:p>
            <w:pPr>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20" w:type="dxa"/>
            <w:vAlign w:val="bottom"/>
          </w:tcPr>
          <w:p>
            <w:pPr>
              <w:spacing w:after="0"/>
              <w:rPr>
                <w:sz w:val="13"/>
                <w:szCs w:val="13"/>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b w:val="1"/>
                <w:bCs w:val="1"/>
                <w:color w:val="00AAE5"/>
              </w:rPr>
              <w:t>Item 6.</w:t>
            </w:r>
          </w:p>
        </w:tc>
        <w:tc>
          <w:tcPr>
            <w:tcW w:w="10480" w:type="dxa"/>
            <w:vAlign w:val="bottom"/>
            <w:gridSpan w:val="14"/>
          </w:tcPr>
          <w:p>
            <w:pPr>
              <w:ind w:left="240"/>
              <w:spacing w:after="0"/>
              <w:rPr>
                <w:sz w:val="20"/>
                <w:szCs w:val="20"/>
                <w:color w:val="auto"/>
              </w:rPr>
            </w:pPr>
            <w:r>
              <w:rPr>
                <w:rFonts w:ascii="Arial" w:cs="Arial" w:eastAsia="Arial" w:hAnsi="Arial"/>
                <w:sz w:val="18"/>
                <w:szCs w:val="18"/>
                <w:b w:val="1"/>
                <w:bCs w:val="1"/>
                <w:color w:val="00AAE5"/>
              </w:rPr>
              <w:t>Exhibits</w:t>
            </w:r>
          </w:p>
        </w:tc>
      </w:tr>
      <w:tr>
        <w:trPr>
          <w:trHeight w:val="270"/>
        </w:trPr>
        <w:tc>
          <w:tcPr>
            <w:tcW w:w="7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2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7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tcBorders>
              <w:top w:val="single" w:sz="8" w:color="auto"/>
            </w:tcBorders>
            <w:gridSpan w:val="11"/>
          </w:tcPr>
          <w:p>
            <w:pPr>
              <w:spacing w:after="0" w:line="169"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Ninth Amended and Restated Certificate of Incorporation (incorporated by reference to Exhibit 3.2 to our Current Report on Form 8-K</w:t>
              </w:r>
            </w:hyperlink>
          </w:p>
        </w:tc>
        <w:tc>
          <w:tcPr>
            <w:tcW w:w="20" w:type="dxa"/>
            <w:vAlign w:val="bottom"/>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filed with the SEC on May 21, 2020).</w:t>
              </w:r>
            </w:hyperlink>
          </w:p>
        </w:tc>
        <w:tc>
          <w:tcPr>
            <w:tcW w:w="220" w:type="dxa"/>
            <w:vAlign w:val="bottom"/>
            <w:gridSpan w:val="3"/>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20" w:type="dxa"/>
            <w:vAlign w:val="bottom"/>
            <w:tcBorders>
              <w:bottom w:val="single" w:sz="8" w:color="0000EE"/>
            </w:tcBorders>
            <w:gridSpan w:val="6"/>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Amended and Restated Bylaws (incorporated by reference to Exhibit 3.1 to our Current Report on Form 8-K filed with the SEC on</w:t>
              </w:r>
            </w:hyperlink>
          </w:p>
        </w:tc>
        <w:tc>
          <w:tcPr>
            <w:tcW w:w="500" w:type="dxa"/>
            <w:vAlign w:val="bottom"/>
            <w:gridSpan w:val="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October 17, 2017).</w:t>
              </w:r>
            </w:hyperlink>
          </w:p>
        </w:tc>
        <w:tc>
          <w:tcPr>
            <w:tcW w:w="8560" w:type="dxa"/>
            <w:vAlign w:val="bottom"/>
            <w:gridSpan w:val="10"/>
          </w:tcPr>
          <w:p>
            <w:pPr>
              <w:spacing w:after="0"/>
              <w:rPr>
                <w:sz w:val="17"/>
                <w:szCs w:val="17"/>
                <w:color w:val="auto"/>
              </w:rPr>
            </w:pPr>
          </w:p>
        </w:tc>
      </w:tr>
      <w:tr>
        <w:trPr>
          <w:trHeight w:val="317"/>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Certification of Principal Executive Officer pursuant to Rules 13a-14(a) under the Securities Exchange Act of 1934, as amended (filed</w:t>
              </w:r>
            </w:hyperlink>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herewith).</w:t>
              </w:r>
            </w:hyperlink>
          </w:p>
        </w:tc>
        <w:tc>
          <w:tcPr>
            <w:tcW w:w="260" w:type="dxa"/>
            <w:vAlign w:val="bottom"/>
            <w:gridSpan w:val="4"/>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Principal Financial Officer pursuant to Rules 13a-14(a) under the Securities Exchange Act of 1934, as amended (filed</w:t>
              </w:r>
            </w:hyperlink>
          </w:p>
        </w:tc>
        <w:tc>
          <w:tcPr>
            <w:tcW w:w="300" w:type="dxa"/>
            <w:vAlign w:val="bottom"/>
            <w:gridSpan w:val="5"/>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herewith).</w:t>
              </w:r>
            </w:hyperlink>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Chief Executive Officer and Chief Financial Officer pursuant to 18 U.S.C. Sec. 1350, as adopted pursuant to Section 906</w:t>
              </w:r>
            </w:hyperlink>
          </w:p>
        </w:tc>
        <w:tc>
          <w:tcPr>
            <w:tcW w:w="60" w:type="dxa"/>
            <w:vAlign w:val="bottom"/>
            <w:gridSpan w:val="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of the Sarbanes-Oxley Act of 2002 (filed herewith).</w:t>
              </w:r>
            </w:hyperlink>
          </w:p>
        </w:tc>
        <w:tc>
          <w:tcPr>
            <w:tcW w:w="6200" w:type="dxa"/>
            <w:vAlign w:val="bottom"/>
            <w:gridSpan w:val="8"/>
          </w:tcPr>
          <w:p>
            <w:pPr>
              <w:spacing w:after="0"/>
              <w:rPr>
                <w:sz w:val="17"/>
                <w:szCs w:val="17"/>
                <w:color w:val="auto"/>
              </w:rPr>
            </w:pPr>
          </w:p>
        </w:tc>
      </w:tr>
    </w:tbl>
    <w:p>
      <w:pPr>
        <w:spacing w:after="0" w:line="148" w:lineRule="exact"/>
        <w:rPr>
          <w:sz w:val="20"/>
          <w:szCs w:val="20"/>
          <w:color w:val="auto"/>
        </w:rPr>
      </w:pPr>
    </w:p>
    <w:p>
      <w:pPr>
        <w:ind w:left="1340" w:right="380" w:hanging="1332"/>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7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Quarterly Report on Form 10-Q for the quarter ended March 31, 2021,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0574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0"/>
          <w:szCs w:val="10"/>
          <w:b w:val="1"/>
          <w:bCs w:val="1"/>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color w:val="auto"/>
        </w:rPr>
        <w:t>Dated: April 29, 2021</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20574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
        <w:spacing w:after="0"/>
        <w:tabs>
          <w:tab w:leader="none" w:pos="5540" w:val="left"/>
          <w:tab w:leader="none" w:pos="806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0"/>
          <w:szCs w:val="10"/>
          <w:b w:val="1"/>
          <w:bCs w:val="1"/>
          <w:color w:val="auto"/>
        </w:rPr>
        <w:t>Form 10-Q for the Quarterly Period ended March 31, 2021</w:t>
      </w:r>
    </w:p>
    <w:p>
      <w:pPr>
        <w:sectPr>
          <w:pgSz w:w="11900" w:h="16838" w:orient="portrait"/>
          <w:cols w:equalWidth="0" w:num="1">
            <w:col w:w="11240"/>
          </w:cols>
          <w:pgMar w:left="320" w:top="129"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3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3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2021,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upperLetter"/>
      <w:start w:val="68"/>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5" Type="http://schemas.openxmlformats.org/officeDocument/2006/relationships/image" Target="media/image56.jpe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63" Type="http://schemas.openxmlformats.org/officeDocument/2006/relationships/hyperlink" Target="http://www.sec.gov/Archives/edgar/data/1092699/000119312512269607/d365652dex41.htm" TargetMode="External"/><Relationship Id="rId64"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2021-04-29T16:40:06Z</dcterms:created>
  <dcterms:modified xsi:type="dcterms:W3CDTF">2021-04-29T16:40:06Z</dcterms:modified>
</cp:coreProperties>
</file>