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Chima Fumbi F.</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SPS 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SPSC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SOUTH SEVENTH STREET</w:t>
            </w:r>
          </w:p>
        </w:tc>
        <w:tc>
          <w:tcPr>
            <w:tcW w:w="1220" w:type="dxa"/>
            <w:vAlign w:val="bottom"/>
          </w:tcPr>
          <w:p>
            <w:pPr>
              <w:spacing w:after="0"/>
              <w:rPr>
                <w:sz w:val="11"/>
                <w:szCs w:val="11"/>
                <w:color w:val="auto"/>
              </w:rPr>
            </w:pP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7,187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reflects a restricted stock unit award. The shares subject to this award will vest in four equal installments on the last day of each fiscal quarter with the first vesting occurring on June 30, 2026, provided the recipient remains a member of the board as of the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R.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9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Funmibi</w:t>
        <w:tab/>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 Chima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0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2507" TargetMode="External"/><Relationship Id="rId14" Type="http://schemas.openxmlformats.org/officeDocument/2006/relationships/hyperlink" Target="http://www.sec.gov/cgi-bin/browse-edgar?action=getcompany&amp;CIK=00010926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2026-06-01T16:45:13Z</dcterms:created>
  <dcterms:modified xsi:type="dcterms:W3CDTF">2026-06-01T16:45:13Z</dcterms:modified>
</cp:coreProperties>
</file>