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40" w:hanging="532"/>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8"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430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b w:val="1"/>
                <w:bCs w:val="1"/>
                <w:color w:val="auto"/>
                <w:w w:val="89"/>
              </w:rPr>
              <w:t>For the Transition Period from</w:t>
            </w:r>
          </w:p>
        </w:tc>
        <w:tc>
          <w:tcPr>
            <w:tcW w:w="420" w:type="dxa"/>
            <w:vAlign w:val="bottom"/>
            <w:tcBorders>
              <w:bottom w:val="single" w:sz="8" w:color="auto"/>
            </w:tcBorders>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400" w:type="dxa"/>
            <w:vAlign w:val="bottom"/>
            <w:tcBorders>
              <w:bottom w:val="single" w:sz="8" w:color="auto"/>
            </w:tcBorders>
          </w:tcPr>
          <w:p>
            <w:pPr>
              <w:spacing w:after="0"/>
              <w:rPr>
                <w:sz w:val="14"/>
                <w:szCs w:val="14"/>
                <w:color w:val="auto"/>
              </w:rPr>
            </w:pPr>
          </w:p>
        </w:tc>
      </w:tr>
      <w:tr>
        <w:trPr>
          <w:trHeight w:val="223"/>
        </w:trPr>
        <w:tc>
          <w:tcPr>
            <w:tcW w:w="2820" w:type="dxa"/>
            <w:vAlign w:val="bottom"/>
            <w:gridSpan w:val="4"/>
          </w:tcPr>
          <w:p>
            <w:pPr>
              <w:ind w:left="400"/>
              <w:spacing w:after="0"/>
              <w:rPr>
                <w:sz w:val="20"/>
                <w:szCs w:val="20"/>
                <w:color w:val="auto"/>
              </w:rPr>
            </w:pPr>
            <w:r>
              <w:rPr>
                <w:rFonts w:ascii="Arial" w:cs="Arial" w:eastAsia="Arial" w:hAnsi="Arial"/>
                <w:sz w:val="14"/>
                <w:szCs w:val="14"/>
                <w:b w:val="1"/>
                <w:bCs w:val="1"/>
                <w:color w:val="auto"/>
              </w:rPr>
              <w:t>Commission file number 001-34702</w:t>
            </w:r>
          </w:p>
        </w:tc>
      </w:tr>
    </w:tbl>
    <w:p>
      <w:pPr>
        <w:spacing w:after="0" w:line="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SPS COMMERCE,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(Exact Name of Registrant as Specified in its Charter)</w:t>
      </w:r>
    </w:p>
    <w:p>
      <w:pPr>
        <w:sectPr>
          <w:pgSz w:w="11900" w:h="16838" w:orient="portrait"/>
          <w:cols w:equalWidth="0" w:num="1">
            <w:col w:w="11420"/>
          </w:cols>
          <w:pgMar w:left="240" w:top="216" w:right="239" w:bottom="1440" w:gutter="0" w:footer="0" w:header="0"/>
        </w:sectPr>
      </w:pPr>
    </w:p>
    <w:p>
      <w:pPr>
        <w:spacing w:after="0" w:line="58" w:lineRule="exact"/>
        <w:rPr>
          <w:sz w:val="24"/>
          <w:szCs w:val="24"/>
          <w:color w:val="auto"/>
        </w:rPr>
      </w:pPr>
    </w:p>
    <w:p>
      <w:pPr>
        <w:ind w:left="254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41-2015127</w:t>
      </w:r>
    </w:p>
    <w:p>
      <w:pPr>
        <w:spacing w:after="0" w:line="16" w:lineRule="exact"/>
        <w:rPr>
          <w:sz w:val="24"/>
          <w:szCs w:val="24"/>
          <w:color w:val="auto"/>
        </w:rPr>
      </w:pPr>
    </w:p>
    <w:p>
      <w:pPr>
        <w:sectPr>
          <w:pgSz w:w="11900" w:h="16838" w:orient="portrait"/>
          <w:cols w:equalWidth="0" w:num="2">
            <w:col w:w="7580" w:space="720"/>
            <w:col w:w="3120"/>
          </w:cols>
          <w:pgMar w:left="240" w:top="216" w:right="239" w:bottom="1440" w:gutter="0" w:footer="0" w:header="0"/>
          <w:type w:val="continuous"/>
        </w:sectPr>
      </w:pPr>
    </w:p>
    <w:p>
      <w:pPr>
        <w:spacing w:after="0" w:line="12" w:lineRule="exact"/>
        <w:rPr>
          <w:sz w:val="24"/>
          <w:szCs w:val="24"/>
          <w:color w:val="auto"/>
        </w:rPr>
      </w:pPr>
    </w:p>
    <w:p>
      <w:pPr>
        <w:ind w:left="2020"/>
        <w:spacing w:after="0"/>
        <w:rPr>
          <w:sz w:val="20"/>
          <w:szCs w:val="20"/>
          <w:color w:val="auto"/>
        </w:rPr>
      </w:pPr>
      <w:r>
        <w:rPr>
          <w:rFonts w:ascii="Arial" w:cs="Arial" w:eastAsia="Arial" w:hAnsi="Arial"/>
          <w:sz w:val="11"/>
          <w:szCs w:val="11"/>
          <w:b w:val="1"/>
          <w:bCs w:val="1"/>
          <w:i w:val="1"/>
          <w:iCs w:val="1"/>
          <w:color w:val="auto"/>
        </w:rPr>
        <w:t>(State or Other Jurisdiction of</w:t>
      </w:r>
    </w:p>
    <w:p>
      <w:pPr>
        <w:ind w:left="2000"/>
        <w:spacing w:after="0"/>
        <w:rPr>
          <w:sz w:val="20"/>
          <w:szCs w:val="20"/>
          <w:color w:val="auto"/>
        </w:rPr>
      </w:pPr>
      <w:r>
        <w:rPr>
          <w:rFonts w:ascii="Arial" w:cs="Arial" w:eastAsia="Arial" w:hAnsi="Arial"/>
          <w:sz w:val="11"/>
          <w:szCs w:val="11"/>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Arial" w:cs="Arial" w:eastAsia="Arial" w:hAnsi="Arial"/>
          <w:sz w:val="12"/>
          <w:szCs w:val="12"/>
          <w:b w:val="1"/>
          <w:bCs w:val="1"/>
          <w:i w:val="1"/>
          <w:iCs w:val="1"/>
          <w:color w:val="auto"/>
        </w:rPr>
        <w:t>(I.R.S. Employer</w:t>
      </w:r>
    </w:p>
    <w:p>
      <w:pPr>
        <w:jc w:val="center"/>
        <w:ind w:right="2320"/>
        <w:spacing w:after="0"/>
        <w:rPr>
          <w:sz w:val="20"/>
          <w:szCs w:val="20"/>
          <w:color w:val="auto"/>
        </w:rPr>
      </w:pPr>
      <w:r>
        <w:rPr>
          <w:rFonts w:ascii="Arial" w:cs="Arial" w:eastAsia="Arial" w:hAnsi="Arial"/>
          <w:sz w:val="11"/>
          <w:szCs w:val="11"/>
          <w:b w:val="1"/>
          <w:bCs w:val="1"/>
          <w:i w:val="1"/>
          <w:iCs w:val="1"/>
          <w:color w:val="auto"/>
        </w:rPr>
        <w:t>Identification No.)</w:t>
      </w:r>
    </w:p>
    <w:p>
      <w:pPr>
        <w:spacing w:after="0" w:line="68" w:lineRule="exact"/>
        <w:rPr>
          <w:sz w:val="24"/>
          <w:szCs w:val="24"/>
          <w:color w:val="auto"/>
        </w:rPr>
      </w:pPr>
    </w:p>
    <w:p>
      <w:pPr>
        <w:sectPr>
          <w:pgSz w:w="11900" w:h="16838" w:orient="portrait"/>
          <w:cols w:equalWidth="0" w:num="2">
            <w:col w:w="7420" w:space="720"/>
            <w:col w:w="3280"/>
          </w:cols>
          <w:pgMar w:left="240" w:top="216" w:right="23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333 South Seventh Street, Suite 1000, Minneapolis, MN 55402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i w:val="1"/>
          <w:iCs w:val="1"/>
          <w:color w:val="auto"/>
        </w:rPr>
        <w:t>(Address of Principal Executive Offices, Including Zip Code)</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(612) 435-9400</w:t>
      </w:r>
    </w:p>
    <w:p>
      <w:pPr>
        <w:jc w:val="center"/>
        <w:spacing w:after="0"/>
        <w:rPr>
          <w:sz w:val="20"/>
          <w:szCs w:val="20"/>
          <w:color w:val="auto"/>
        </w:rPr>
      </w:pPr>
      <w:r>
        <w:rPr>
          <w:rFonts w:ascii="Arial" w:cs="Arial" w:eastAsia="Arial" w:hAnsi="Arial"/>
          <w:sz w:val="13"/>
          <w:szCs w:val="13"/>
          <w:b w:val="1"/>
          <w:bCs w:val="1"/>
          <w:i w:val="1"/>
          <w:iCs w:val="1"/>
          <w:color w:val="auto"/>
        </w:rPr>
        <w:t>(Registrant’s Telephone Number, Including Area Code)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420"/>
          </w:cols>
          <w:pgMar w:left="240" w:top="216" w:right="239" w:bottom="1440" w:gutter="0" w:footer="0" w:header="0"/>
          <w:type w:val="continuous"/>
        </w:sectPr>
      </w:pPr>
    </w:p>
    <w:p>
      <w:pPr>
        <w:spacing w:after="0" w:line="215" w:lineRule="exact"/>
        <w:rPr>
          <w:sz w:val="24"/>
          <w:szCs w:val="24"/>
          <w:color w:val="auto"/>
        </w:rPr>
      </w:pPr>
    </w:p>
    <w:p>
      <w:pPr>
        <w:ind w:left="1660"/>
        <w:spacing w:after="0"/>
        <w:rPr>
          <w:sz w:val="20"/>
          <w:szCs w:val="20"/>
          <w:color w:val="auto"/>
        </w:rPr>
      </w:pPr>
      <w:r>
        <w:rPr>
          <w:rFonts w:ascii="Arial" w:cs="Arial" w:eastAsia="Arial" w:hAnsi="Arial"/>
          <w:sz w:val="11"/>
          <w:szCs w:val="11"/>
          <w:color w:val="auto"/>
        </w:rPr>
        <w:t>Common stock, par value $0.001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jc w:val="center"/>
        <w:ind w:right="1940"/>
        <w:spacing w:after="0"/>
        <w:rPr>
          <w:sz w:val="20"/>
          <w:szCs w:val="20"/>
          <w:color w:val="auto"/>
        </w:rPr>
      </w:pPr>
      <w:r>
        <w:rPr>
          <w:rFonts w:ascii="Arial" w:cs="Arial" w:eastAsia="Arial" w:hAnsi="Arial"/>
          <w:sz w:val="12"/>
          <w:szCs w:val="12"/>
          <w:color w:val="auto"/>
        </w:rPr>
        <w:t>The Nasdaq Stock Market LLC</w:t>
      </w:r>
    </w:p>
    <w:p>
      <w:pPr>
        <w:spacing w:after="0" w:line="22" w:lineRule="exact"/>
        <w:rPr>
          <w:sz w:val="24"/>
          <w:szCs w:val="24"/>
          <w:color w:val="auto"/>
        </w:rPr>
      </w:pPr>
    </w:p>
    <w:p>
      <w:pPr>
        <w:jc w:val="center"/>
        <w:ind w:right="1940"/>
        <w:spacing w:after="0"/>
        <w:rPr>
          <w:sz w:val="20"/>
          <w:szCs w:val="20"/>
          <w:color w:val="auto"/>
        </w:rPr>
      </w:pPr>
      <w:r>
        <w:rPr>
          <w:rFonts w:ascii="Arial" w:cs="Arial" w:eastAsia="Arial" w:hAnsi="Arial"/>
          <w:sz w:val="14"/>
          <w:szCs w:val="14"/>
          <w:color w:val="auto"/>
        </w:rPr>
        <w:t>(Nasdaq Global Market)</w:t>
      </w:r>
    </w:p>
    <w:p>
      <w:pPr>
        <w:spacing w:after="0" w:line="1" w:lineRule="exact"/>
        <w:rPr>
          <w:sz w:val="24"/>
          <w:szCs w:val="24"/>
          <w:color w:val="auto"/>
        </w:rPr>
      </w:pPr>
    </w:p>
    <w:p>
      <w:pPr>
        <w:sectPr>
          <w:pgSz w:w="11900" w:h="16838" w:orient="portrait"/>
          <w:cols w:equalWidth="0" w:num="2">
            <w:col w:w="7060" w:space="720"/>
            <w:col w:w="3640"/>
          </w:cols>
          <w:pgMar w:left="240" w:top="216" w:right="239" w:bottom="1440" w:gutter="0" w:footer="0" w:header="0"/>
          <w:type w:val="continuous"/>
        </w:sectPr>
      </w:pPr>
    </w:p>
    <w:p>
      <w:pPr>
        <w:ind w:left="2300"/>
        <w:spacing w:after="0"/>
        <w:rPr>
          <w:sz w:val="20"/>
          <w:szCs w:val="20"/>
          <w:color w:val="auto"/>
        </w:rPr>
      </w:pPr>
      <w:r>
        <w:rPr>
          <w:rFonts w:ascii="Arial" w:cs="Arial" w:eastAsia="Arial" w:hAnsi="Arial"/>
          <w:sz w:val="9"/>
          <w:szCs w:val="9"/>
          <w:b w:val="1"/>
          <w:bCs w:val="1"/>
          <w:i w:val="1"/>
          <w:i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i w:val="1"/>
          <w:iCs w:val="1"/>
          <w:color w:val="auto"/>
        </w:rPr>
        <w:t>(Name of each exchange on which registered)</w:t>
      </w:r>
    </w:p>
    <w:p>
      <w:pPr>
        <w:spacing w:after="0" w:line="73" w:lineRule="exact"/>
        <w:rPr>
          <w:sz w:val="24"/>
          <w:szCs w:val="24"/>
          <w:color w:val="auto"/>
        </w:rPr>
      </w:pPr>
    </w:p>
    <w:p>
      <w:pPr>
        <w:sectPr>
          <w:pgSz w:w="11900" w:h="16838" w:orient="portrait"/>
          <w:cols w:equalWidth="0" w:num="2">
            <w:col w:w="6720" w:space="720"/>
            <w:col w:w="3980"/>
          </w:cols>
          <w:pgMar w:left="240" w:top="216" w:right="23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ectPr>
          <w:pgSz w:w="11900" w:h="16838" w:orient="portrait"/>
          <w:cols w:equalWidth="0" w:num="1">
            <w:col w:w="11420"/>
          </w:cols>
          <w:pgMar w:left="240" w:top="216"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4">
            <w:col w:w="6340" w:space="140"/>
            <w:col w:w="200" w:space="60"/>
            <w:col w:w="120" w:space="140"/>
            <w:col w:w="4420"/>
          </w:cols>
          <w:pgMar w:left="240" w:top="216"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9" w:lineRule="exact"/>
        <w:rPr>
          <w:sz w:val="24"/>
          <w:szCs w:val="24"/>
          <w:color w:val="auto"/>
        </w:rPr>
      </w:pPr>
    </w:p>
    <w:p>
      <w:pPr>
        <w:sectPr>
          <w:pgSz w:w="11900" w:h="16838" w:orient="portrait"/>
          <w:cols w:equalWidth="0" w:num="4">
            <w:col w:w="6040" w:space="120"/>
            <w:col w:w="200" w:space="60"/>
            <w:col w:w="120" w:space="140"/>
            <w:col w:w="4740"/>
          </w:cols>
          <w:pgMar w:left="240" w:top="216" w:right="239" w:bottom="1440" w:gutter="0" w:footer="0" w:header="0"/>
          <w:type w:val="continuous"/>
        </w:sect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360"/>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(§229.405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right="640"/>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1" w:lineRule="exact"/>
        <w:rPr>
          <w:sz w:val="24"/>
          <w:szCs w:val="24"/>
          <w:color w:val="auto"/>
        </w:rPr>
      </w:pPr>
    </w:p>
    <w:p>
      <w:pPr>
        <w:ind w:right="1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3260" w:type="dxa"/>
        <w:tblCellMar>
          <w:top w:w="0" w:type="dxa"/>
          <w:left w:w="0" w:type="dxa"/>
          <w:bottom w:w="0" w:type="dxa"/>
          <w:right w:w="0" w:type="dxa"/>
        </w:tblCellMar>
      </w:tblP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5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0" w:lineRule="exact"/>
        <w:rPr>
          <w:sz w:val="24"/>
          <w:szCs w:val="24"/>
          <w:color w:val="auto"/>
        </w:rPr>
      </w:pPr>
    </w:p>
    <w:p>
      <w:pPr>
        <w:ind w:right="260"/>
        <w:spacing w:after="0" w:line="168"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4"/>
          <w:szCs w:val="14"/>
          <w:color w:val="auto"/>
        </w:rPr>
        <w:t>☐</w:t>
      </w:r>
    </w:p>
    <w:p>
      <w:pPr>
        <w:spacing w:after="0" w:line="125" w:lineRule="exact"/>
        <w:rPr>
          <w:sz w:val="24"/>
          <w:szCs w:val="24"/>
          <w:color w:val="auto"/>
        </w:rPr>
      </w:pPr>
    </w:p>
    <w:p>
      <w:pPr>
        <w:ind w:right="34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61" w:lineRule="exact"/>
        <w:tabs>
          <w:tab w:leader="none" w:pos="6260" w:val="left"/>
          <w:tab w:leader="none" w:pos="67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0" w:lineRule="exact"/>
        <w:rPr>
          <w:sz w:val="24"/>
          <w:szCs w:val="24"/>
          <w:color w:val="auto"/>
        </w:rPr>
      </w:pPr>
    </w:p>
    <w:p>
      <w:pPr>
        <w:ind w:right="280"/>
        <w:spacing w:after="0" w:line="239" w:lineRule="auto"/>
        <w:rPr>
          <w:sz w:val="20"/>
          <w:szCs w:val="20"/>
          <w:color w:val="auto"/>
        </w:rPr>
      </w:pPr>
      <w:r>
        <w:rPr>
          <w:rFonts w:ascii="Arial" w:cs="Arial" w:eastAsia="Arial" w:hAnsi="Arial"/>
          <w:sz w:val="14"/>
          <w:szCs w:val="14"/>
          <w:color w:val="auto"/>
        </w:rPr>
        <w:t>As of June 29, 2018, the last business day of the registrant’s most recently completed second fiscal quarter, the aggregate market value of shares of the registrant’s common stock held by non-affiliates of the registrant (based upon the closing sale price of $73.48 per share on the Nasdaq Global Market on such date) was approximately $1.3 billion.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par value $0.001 per share, outstanding as of February 8, 2019 was 17,760,003 shares.</w:t>
      </w:r>
    </w:p>
    <w:p>
      <w:pPr>
        <w:spacing w:after="0" w:line="69"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140"/>
        <w:spacing w:after="0" w:line="239" w:lineRule="auto"/>
        <w:rPr>
          <w:sz w:val="20"/>
          <w:szCs w:val="20"/>
          <w:color w:val="auto"/>
        </w:rPr>
      </w:pPr>
      <w:r>
        <w:rPr>
          <w:rFonts w:ascii="Arial" w:cs="Arial" w:eastAsia="Arial" w:hAnsi="Arial"/>
          <w:sz w:val="14"/>
          <w:szCs w:val="14"/>
          <w:color w:val="auto"/>
        </w:rPr>
        <w:t>Portions of the Company’s definitive Proxy Statement for the Annual Meeting of Stockholders to be held on May 14, 2019 (the “2019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9"/>
              </w:rPr>
              <w:t>SPS COMMERCE, INC.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11"/>
          </w:tcPr>
          <w:p>
            <w:pPr>
              <w:jc w:val="center"/>
              <w:ind w:right="2340"/>
              <w:spacing w:after="0"/>
              <w:rPr>
                <w:sz w:val="20"/>
                <w:szCs w:val="20"/>
                <w:color w:val="auto"/>
              </w:rPr>
            </w:pPr>
            <w:r>
              <w:rPr>
                <w:rFonts w:ascii="Arial" w:cs="Arial" w:eastAsia="Arial" w:hAnsi="Arial"/>
                <w:sz w:val="18"/>
                <w:szCs w:val="18"/>
                <w:b w:val="1"/>
                <w:bCs w:val="1"/>
                <w:color w:val="auto"/>
                <w:w w:val="99"/>
              </w:rPr>
              <w:t>ANNUAL REPORT ON FORM 10-K</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9520" w:type="dxa"/>
            <w:vAlign w:val="bottom"/>
            <w:gridSpan w:val="2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9520" w:type="dxa"/>
            <w:vAlign w:val="bottom"/>
            <w:gridSpan w:val="23"/>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87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81"/>
              </w:rPr>
            </w:pPr>
            <w:hyperlink w:anchor="page11">
              <w:r>
                <w:rPr>
                  <w:rFonts w:ascii="Arial" w:cs="Arial" w:eastAsia="Arial" w:hAnsi="Arial"/>
                  <w:sz w:val="18"/>
                  <w:szCs w:val="18"/>
                  <w:color w:val="0000EE"/>
                  <w:w w:val="81"/>
                </w:rPr>
                <w:t>Risk Factors</w:t>
              </w:r>
            </w:hyperlink>
          </w:p>
        </w:tc>
        <w:tc>
          <w:tcPr>
            <w:tcW w:w="7940" w:type="dxa"/>
            <w:vAlign w:val="bottom"/>
            <w:gridSpan w:val="1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Unresolved Staff Comments</w:t>
              </w:r>
            </w:hyperlink>
          </w:p>
        </w:tc>
        <w:tc>
          <w:tcPr>
            <w:tcW w:w="6800" w:type="dxa"/>
            <w:vAlign w:val="bottom"/>
            <w:gridSpan w:val="11"/>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77"/>
              </w:rPr>
            </w:pPr>
            <w:hyperlink w:anchor="page26">
              <w:r>
                <w:rPr>
                  <w:rFonts w:ascii="Arial" w:cs="Arial" w:eastAsia="Arial" w:hAnsi="Arial"/>
                  <w:sz w:val="18"/>
                  <w:szCs w:val="18"/>
                  <w:color w:val="0000EE"/>
                  <w:w w:val="77"/>
                </w:rPr>
                <w:t>Properties</w:t>
              </w:r>
            </w:hyperlink>
          </w:p>
        </w:tc>
        <w:tc>
          <w:tcPr>
            <w:tcW w:w="8120" w:type="dxa"/>
            <w:vAlign w:val="bottom"/>
            <w:gridSpan w:val="1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1700" w:type="dxa"/>
            <w:vAlign w:val="bottom"/>
            <w:tcBorders>
              <w:top w:val="single" w:sz="8" w:color="0000EE"/>
            </w:tcBorders>
            <w:gridSpan w:val="7"/>
          </w:tcPr>
          <w:p>
            <w:pPr>
              <w:spacing w:after="0"/>
              <w:rPr>
                <w:sz w:val="24"/>
                <w:szCs w:val="24"/>
                <w:color w:val="auto"/>
              </w:rPr>
            </w:pPr>
          </w:p>
        </w:tc>
        <w:tc>
          <w:tcPr>
            <w:tcW w:w="708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780" w:type="dxa"/>
            <w:vAlign w:val="bottom"/>
            <w:gridSpan w:val="20"/>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Market for Registrant’s Common Equity, Related Stockholder Matters and Issuer Purchases of Equity Securities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240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50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Changes in and Disagreements With Accountants on Accounting and Financial Disclosure</w:t>
              </w:r>
            </w:hyperlink>
          </w:p>
        </w:tc>
        <w:tc>
          <w:tcPr>
            <w:tcW w:w="234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bottom w:val="single" w:sz="8" w:color="0000EE"/>
            </w:tcBorders>
            <w:gridSpan w:val="7"/>
          </w:tcPr>
          <w:p>
            <w:pPr>
              <w:spacing w:after="0" w:line="196" w:lineRule="exact"/>
              <w:rPr>
                <w:rFonts w:ascii="Arial" w:cs="Arial" w:eastAsia="Arial" w:hAnsi="Arial"/>
                <w:sz w:val="18"/>
                <w:szCs w:val="18"/>
                <w:color w:val="0000EE"/>
                <w:w w:val="84"/>
              </w:rPr>
            </w:pPr>
            <w:hyperlink w:anchor="page76">
              <w:r>
                <w:rPr>
                  <w:rFonts w:ascii="Arial" w:cs="Arial" w:eastAsia="Arial" w:hAnsi="Arial"/>
                  <w:sz w:val="18"/>
                  <w:szCs w:val="18"/>
                  <w:color w:val="0000EE"/>
                  <w:w w:val="84"/>
                </w:rPr>
                <w:t>Controls and Procedures</w:t>
              </w:r>
            </w:hyperlink>
          </w:p>
        </w:tc>
        <w:tc>
          <w:tcPr>
            <w:tcW w:w="7080" w:type="dxa"/>
            <w:vAlign w:val="bottom"/>
            <w:gridSpan w:val="1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8780" w:type="dxa"/>
            <w:vAlign w:val="bottom"/>
            <w:gridSpan w:val="20"/>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8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Directors, Executive Officers and Corporate Governance</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76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Security Ownership of Certain Beneficial Owners and Management and Related Stockholder Matters</w:t>
              </w:r>
            </w:hyperlink>
          </w:p>
        </w:tc>
        <w:tc>
          <w:tcPr>
            <w:tcW w:w="156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Certain Relationships and Related Transactions, and Director Independence</w:t>
              </w:r>
            </w:hyperlink>
          </w:p>
        </w:tc>
        <w:tc>
          <w:tcPr>
            <w:tcW w:w="340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Principal Accounting Fees and Services</w:t>
              </w:r>
            </w:hyperlink>
          </w:p>
        </w:tc>
        <w:tc>
          <w:tcPr>
            <w:tcW w:w="5980" w:type="dxa"/>
            <w:vAlign w:val="bottom"/>
            <w:gridSpan w:val="1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8"/>
              </w:rPr>
            </w:pPr>
            <w:hyperlink w:anchor="page79">
              <w:r>
                <w:rPr>
                  <w:rFonts w:ascii="Arial" w:cs="Arial" w:eastAsia="Arial" w:hAnsi="Arial"/>
                  <w:sz w:val="18"/>
                  <w:szCs w:val="18"/>
                  <w:b w:val="1"/>
                  <w:bCs w:val="1"/>
                  <w:color w:val="0000EE"/>
                  <w:w w:val="98"/>
                </w:rPr>
                <w:t>PART IV</w:t>
              </w:r>
            </w:hyperlink>
          </w:p>
        </w:tc>
        <w:tc>
          <w:tcPr>
            <w:tcW w:w="8780" w:type="dxa"/>
            <w:vAlign w:val="bottom"/>
            <w:gridSpan w:val="20"/>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Exhibits, Financial Statement Schedules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Form 10-K Summary</w:t>
              </w:r>
            </w:hyperlink>
          </w:p>
        </w:tc>
        <w:tc>
          <w:tcPr>
            <w:tcW w:w="596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12"/>
        </w:trPr>
        <w:tc>
          <w:tcPr>
            <w:tcW w:w="1500" w:type="dxa"/>
            <w:vAlign w:val="bottom"/>
            <w:gridSpan w:val="4"/>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SIGNATURES</w:t>
              </w:r>
            </w:hyperlink>
          </w:p>
        </w:tc>
        <w:tc>
          <w:tcPr>
            <w:tcW w:w="1480" w:type="dxa"/>
            <w:vAlign w:val="bottom"/>
            <w:tcBorders>
              <w:top w:val="single" w:sz="8" w:color="0000EE"/>
            </w:tcBorders>
            <w:gridSpan w:val="5"/>
          </w:tcPr>
          <w:p>
            <w:pPr>
              <w:spacing w:after="0"/>
              <w:rPr>
                <w:sz w:val="24"/>
                <w:szCs w:val="24"/>
                <w:color w:val="auto"/>
              </w:rPr>
            </w:pPr>
          </w:p>
        </w:tc>
        <w:tc>
          <w:tcPr>
            <w:tcW w:w="7300" w:type="dxa"/>
            <w:vAlign w:val="bottom"/>
            <w:gridSpan w:val="1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Annual Report on Form 10-K, the words “we,” “us,” “our,” the “Company,” and “SPS” refer to SPS Commerce,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4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 xml:space="preserve">This Annual Report on Form 10-K contains forward-looking statements 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7"/>
          <w:szCs w:val="17"/>
          <w:i w:val="1"/>
          <w:iCs w:val="1"/>
          <w:color w:val="auto"/>
        </w:rPr>
        <w:t xml:space="preserve">“Risk Factors” </w:t>
      </w:r>
      <w:r>
        <w:rPr>
          <w:rFonts w:ascii="Arial" w:cs="Arial" w:eastAsia="Arial" w:hAnsi="Arial"/>
          <w:sz w:val="17"/>
          <w:szCs w:val="17"/>
          <w:color w:val="auto"/>
        </w:rPr>
        <w:t>included in this Annual Report on Form 10-K. Readers are cautioned not to place undue reliance on these forward-looking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(“SEC”) that advise interested parties of the risks and factors that may affect our business.</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SPS Commerce is a leading provider of cloud-based supply chain management services that make it easier for retailers, suppliers, grocers, distributors and logistics firms to orchestrate the management of item data, order fulfillment, inventory control and sales analytics across all channels. Implementing and maintaining a suite of supply chain management capabilities is resource intensive and is not a core competency for most businesses. The services offered by SPS Commerce eliminate the need for on-premise software and support staff by taking on that capability on the customer’s behalf. The services SPS Commerce provides allow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81" w:lineRule="exact"/>
        <w:rPr>
          <w:sz w:val="20"/>
          <w:szCs w:val="20"/>
          <w:color w:val="auto"/>
        </w:rPr>
      </w:pPr>
    </w:p>
    <w:p>
      <w:pPr>
        <w:jc w:val="both"/>
        <w:ind w:right="240" w:firstLine="598"/>
        <w:spacing w:after="0" w:line="279" w:lineRule="auto"/>
        <w:rPr>
          <w:sz w:val="20"/>
          <w:szCs w:val="20"/>
          <w:color w:val="auto"/>
        </w:rPr>
      </w:pPr>
      <w:r>
        <w:rPr>
          <w:rFonts w:ascii="Arial" w:cs="Arial" w:eastAsia="Arial" w:hAnsi="Arial"/>
          <w:sz w:val="17"/>
          <w:szCs w:val="17"/>
          <w:color w:val="auto"/>
        </w:rPr>
        <w:t>As of December 31, 2018, we had approximately 29,000 customers with contracts to pay us monthly fees, which we refer to as recurring revenue customers. We have also generated revenues by providing our cloud-based supply chain management services to an additional 51,000 organizations that, together with our recurring revenue customers, we refer to as our customers. Once connected to the SPS Commerce Platform, our customers often require integrations to new organizations that represent an expansion of our Platform and new sources of revenues for us.</w:t>
      </w:r>
    </w:p>
    <w:p>
      <w:pPr>
        <w:spacing w:after="0" w:line="63" w:lineRule="exact"/>
        <w:rPr>
          <w:sz w:val="20"/>
          <w:szCs w:val="20"/>
          <w:color w:val="auto"/>
        </w:rPr>
      </w:pPr>
    </w:p>
    <w:p>
      <w:pPr>
        <w:ind w:right="300" w:firstLine="598"/>
        <w:spacing w:after="0" w:line="276" w:lineRule="auto"/>
        <w:rPr>
          <w:sz w:val="20"/>
          <w:szCs w:val="20"/>
          <w:color w:val="auto"/>
        </w:rPr>
      </w:pPr>
      <w:r>
        <w:rPr>
          <w:rFonts w:ascii="Arial" w:cs="Arial" w:eastAsia="Arial" w:hAnsi="Arial"/>
          <w:sz w:val="17"/>
          <w:szCs w:val="17"/>
          <w:color w:val="auto"/>
        </w:rPr>
        <w:t>For the years ended December 31, 2018, 2017 and 2016, we generated revenues of $248.2 million, $220.1 million and $193.2 million, respectively. Our fiscal quarter ended December 31, 2018 represented our 72nd consecutive quarter of increased revenues. Recurring revenues from recurring revenue customers accounted for 93%, 93% and 92% of our total revenues for the years ended December 31, 2018, 2017 and 2016, respectively. Our revenues are not concentrated with any customer, as our largest customer represented less than 1% of total revenues for the years ended December 31, 2018, and 2017 and less than 2% of total revenues for the year ended December 31,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180" w:firstLine="598"/>
        <w:spacing w:after="0" w:line="312" w:lineRule="auto"/>
        <w:rPr>
          <w:sz w:val="20"/>
          <w:szCs w:val="20"/>
          <w:color w:val="auto"/>
        </w:rPr>
      </w:pPr>
      <w:r>
        <w:rPr>
          <w:rFonts w:ascii="Arial" w:cs="Arial" w:eastAsia="Arial" w:hAnsi="Arial"/>
          <w:sz w:val="16"/>
          <w:szCs w:val="16"/>
          <w:color w:val="auto"/>
        </w:rPr>
        <w:t>SPS Commerce operates one of the largest retail trading partner networks through cloud-based services that improve the way retailers, suppliers, grocers, distributors and logistics firms manage and fulfill orders, administer sell-through performance and source new items. Today, approximately 80,000 customers across more than 60 countries are using SPS Commerce solutions to expand and optimize the performance of their trading relationships.</w:t>
      </w:r>
    </w:p>
    <w:p>
      <w:pPr>
        <w:spacing w:after="0" w:line="39"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SPS Commerce business model fundamentally changes how organizations use electronic communication to manage their omnichannel, supply chain, and other business requirements by replacing the collection of traditional, custom-built, point-to-point integrations with a model that facilitates a single automated connection to the entire SPS Commerce network of trading partners.</w:t>
      </w:r>
    </w:p>
    <w:p>
      <w:pPr>
        <w:spacing w:after="0" w:line="73"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From that single connection, a member of our network can make use of the full suite of our services, from fulfillment automation, to the analysis and optimization of item sell-through performance, to sourcing new items, retailing relationships, logistics providers, or other services. These cloud services deliver value as stand-alone offerings but can also provide greater value when used collectively. This represents a fundamental change to fulfillment automation and enables inherent adaptability and flexibility not possible with traditional supply chain management system architectures.</w:t>
      </w:r>
    </w:p>
    <w:p>
      <w:pPr>
        <w:spacing w:after="0" w:line="63"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Our fulfillment service allows customers to comply with numerous rulebooks for retailers, grocers and distributors. Maintaining current connections with retailers, grocers, and distributors removes the need for their trading partners to continually stay up-to-date with their required rulebook change. The utilization of a cloud services model eliminates or greatly reduces the burden on trading partners to support and maintain an on-premise software application, thereby reducing ongoing operating costs. As the transaction hub for trading partners, we can provide increased performance visibility and data analytics capabilities across their supply chains, each of which is difficult to gain from traditional, point-to-point integration solutions.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 w:name="page5"/>
    <w:bookmarkEnd w:id="4"/>
    <w:p>
      <w:pPr>
        <w:ind w:left="600"/>
        <w:spacing w:after="0"/>
        <w:rPr>
          <w:sz w:val="20"/>
          <w:szCs w:val="20"/>
          <w:color w:val="auto"/>
        </w:rPr>
      </w:pPr>
      <w:r>
        <w:rPr>
          <w:rFonts w:ascii="Arial" w:cs="Arial" w:eastAsia="Arial" w:hAnsi="Arial"/>
          <w:sz w:val="18"/>
          <w:szCs w:val="18"/>
          <w:color w:val="auto"/>
        </w:rPr>
        <w:t>The following services are enabled through the SPS Commerce cloud services Platform:</w:t>
      </w:r>
    </w:p>
    <w:p>
      <w:pPr>
        <w:spacing w:after="0" w:line="117" w:lineRule="exact"/>
        <w:rPr>
          <w:sz w:val="20"/>
          <w:szCs w:val="20"/>
          <w:color w:val="auto"/>
        </w:rPr>
      </w:pPr>
    </w:p>
    <w:p>
      <w:pPr>
        <w:ind w:left="1200" w:right="320" w:hanging="598"/>
        <w:spacing w:after="0" w:line="308"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Trading Partner Community. </w:t>
      </w:r>
      <w:r>
        <w:rPr>
          <w:rFonts w:ascii="Arial" w:cs="Arial" w:eastAsia="Arial" w:hAnsi="Arial"/>
          <w:sz w:val="17"/>
          <w:szCs w:val="17"/>
          <w:color w:val="auto"/>
        </w:rPr>
        <w:t>The Community solution empowers retailers, grocers, and distributors to introduce changes to their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chain requirements to their trading partner community, and onboard new vendors quickly to receive their first orders.</w:t>
      </w:r>
    </w:p>
    <w:p>
      <w:pPr>
        <w:spacing w:after="0" w:line="38" w:lineRule="exact"/>
        <w:rPr>
          <w:rFonts w:ascii="Arial" w:cs="Arial" w:eastAsia="Arial" w:hAnsi="Arial"/>
          <w:sz w:val="17"/>
          <w:szCs w:val="17"/>
          <w:color w:val="auto"/>
        </w:rPr>
      </w:pPr>
    </w:p>
    <w:p>
      <w:pPr>
        <w:jc w:val="both"/>
        <w:ind w:left="1200" w:right="80" w:hanging="598"/>
        <w:spacing w:after="0" w:line="312"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Trading Partner Fulfillment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Fulfillment solution provides fulfillment automation and replaces or augments an organization’s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staff and trading partner electronic communication infrastructure by enabling easy compliance with retailers’ rulebooks, electronic exchange of information among numerous trading partners through various protocols, and greater visibility into the journey of an order.</w:t>
      </w:r>
    </w:p>
    <w:p>
      <w:pPr>
        <w:spacing w:after="0" w:line="38" w:lineRule="exact"/>
        <w:rPr>
          <w:rFonts w:ascii="Arial" w:cs="Arial" w:eastAsia="Arial" w:hAnsi="Arial"/>
          <w:sz w:val="16"/>
          <w:szCs w:val="16"/>
          <w:color w:val="auto"/>
        </w:rPr>
      </w:pPr>
    </w:p>
    <w:p>
      <w:pPr>
        <w:ind w:left="1200" w:right="280" w:hanging="598"/>
        <w:spacing w:after="0" w:line="25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Trading Partner Assortment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Today’s retail marketplace requires the management of tens and even hundreds of individual attributes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each item a retailer or supplier sells. This information can include supply chain descriptions and measurements, store and shelf dimensions, warehouse dimensions, digital images/video, customer facing descriptions and measurements, and warehouse information. The Assortment solution provides robust, extensible, management of this information, enabling accurate orders and rapid fulfillment.</w:t>
      </w:r>
    </w:p>
    <w:p>
      <w:pPr>
        <w:spacing w:after="0" w:line="80" w:lineRule="exact"/>
        <w:rPr>
          <w:rFonts w:ascii="Arial" w:cs="Arial" w:eastAsia="Arial" w:hAnsi="Arial"/>
          <w:sz w:val="18"/>
          <w:szCs w:val="18"/>
          <w:color w:val="auto"/>
        </w:rPr>
      </w:pPr>
    </w:p>
    <w:p>
      <w:pPr>
        <w:ind w:left="1200" w:right="20" w:hanging="598"/>
        <w:spacing w:after="0" w:line="259"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Trading Partner Analytics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Analytics solution consists of data analytics applications that allow our customers to improve their visibility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and analysis of, their supply chains. When focused on point-of-sale data, for example, retailers and suppliers can ensure inventory is located where demand is highest. Additionally, retailers improve their visibility into supplier performance and their understanding of product sell-through.</w:t>
      </w:r>
    </w:p>
    <w:p>
      <w:pPr>
        <w:spacing w:after="0" w:line="78" w:lineRule="exact"/>
        <w:rPr>
          <w:rFonts w:ascii="Arial" w:cs="Arial" w:eastAsia="Arial" w:hAnsi="Arial"/>
          <w:sz w:val="18"/>
          <w:szCs w:val="18"/>
          <w:color w:val="auto"/>
        </w:rPr>
      </w:pPr>
    </w:p>
    <w:p>
      <w:pPr>
        <w:ind w:left="1200" w:right="100" w:hanging="598"/>
        <w:spacing w:after="0" w:line="264"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Trading Partner Sourcing. </w:t>
      </w:r>
      <w:r>
        <w:rPr>
          <w:rFonts w:ascii="Arial" w:cs="Arial" w:eastAsia="Arial" w:hAnsi="Arial"/>
          <w:sz w:val="18"/>
          <w:szCs w:val="18"/>
          <w:color w:val="auto"/>
        </w:rPr>
        <w:t>Through the Sourcing Solution, retailers can leverage our social network for the retail industry, and 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of new items, suppliers can connect with new retailers, and the broader retailing community can make connections to expand their business networks and grow.</w:t>
      </w:r>
    </w:p>
    <w:p>
      <w:pPr>
        <w:spacing w:after="0" w:line="73" w:lineRule="exact"/>
        <w:rPr>
          <w:rFonts w:ascii="Arial" w:cs="Arial" w:eastAsia="Arial" w:hAnsi="Arial"/>
          <w:sz w:val="18"/>
          <w:szCs w:val="18"/>
          <w:color w:val="auto"/>
        </w:rPr>
      </w:pPr>
    </w:p>
    <w:p>
      <w:pPr>
        <w:ind w:left="1200" w:right="180" w:hanging="598"/>
        <w:spacing w:after="0" w:line="308"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Other Trading Partner Solutions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a number of peripheral solutions such as barcode labeling, planogram services and our scan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pack application, which helps trading partners process information to streamline the picking and packaging process.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Sales Sources</w:t>
      </w:r>
    </w:p>
    <w:p>
      <w:pPr>
        <w:spacing w:after="0" w:line="121"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As one of the largest providers of cloud services for retail supply chain management, the trading partner relationships that we enable among our retailer, supplier, grocer, distributor, and logistics customers naturally lead to new customer acquisition opportunities.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Effect”</w:t>
      </w:r>
    </w:p>
    <w:p>
      <w:pPr>
        <w:spacing w:after="0" w:line="11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Once connected to our network, trading partners can exchange electronic supply chain information with each other. The value of our network increases with the number of trading partners connected to it. The addition of each new customer enables that new customer to communicate with our existing customers and permits our existing customers to do business with the new customer. Additionally, through our Sourcing service, our community now has a social network focused on facilitating connections and business interactions among retailers and suppliers. This “network effect” of adding additional customers to our solutions infrastructure creates a significant opportunity for existing customers to realize incremental sales by working with our new trading partners and vice versa. As a result of this increased volume of activity among our network participants, we earn additional revenues from these participants.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i w:val="1"/>
          <w:iCs w:val="1"/>
          <w:color w:val="auto"/>
        </w:rPr>
        <w:t xml:space="preserve">Community. </w:t>
      </w:r>
      <w:r>
        <w:rPr>
          <w:rFonts w:ascii="Arial" w:cs="Arial" w:eastAsia="Arial" w:hAnsi="Arial"/>
          <w:sz w:val="16"/>
          <w:szCs w:val="16"/>
          <w:color w:val="auto"/>
        </w:rPr>
        <w:t>As retailers and suppliers reshape how they do business in an omnichannel landscape, they need to bring new capabilities and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their trading partner networks. For instance, a supplier may wish to collaborate with their retailers around point-of-sale analytics data, or a retailer may decide to change the workflow or protocol by which it interacts with its suppliers. In each case, the supplier and retailer may engage us to work with its trading partner base to enable the new capability. Performing these programs on behalf of retailers and suppliers often generates supplier sales leads for us.</w:t>
      </w:r>
    </w:p>
    <w:p>
      <w:pPr>
        <w:spacing w:after="0" w:line="46"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i w:val="1"/>
          <w:iCs w:val="1"/>
          <w:color w:val="auto"/>
        </w:rPr>
        <w:t xml:space="preserve">Referrals from Our Customers. </w:t>
      </w:r>
      <w:r>
        <w:rPr>
          <w:rFonts w:ascii="Arial" w:cs="Arial" w:eastAsia="Arial" w:hAnsi="Arial"/>
          <w:sz w:val="18"/>
          <w:szCs w:val="18"/>
          <w:color w:val="auto"/>
        </w:rPr>
        <w:t>We also receive sales leads from our customers seeking to communicate electronically with their trading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 supplier may refer to us its third-party logistics provider or manufacturer which is not in our network.</w:t>
      </w:r>
    </w:p>
    <w:p>
      <w:pPr>
        <w:spacing w:after="0" w:line="6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solutions through a variety of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sell our solutions through a global sales force which is organized as follows:</w:t>
      </w:r>
    </w:p>
    <w:p>
      <w:pPr>
        <w:spacing w:after="0" w:line="117"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Retailer Sales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employ a team of sales representatives who focus on selling our cloud services suite to retailers and distributors.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Supplier Sales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employ a team of supplier sales representatives focused on selling our cloud services suite to suppliers.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Logistic Sales. </w:t>
      </w:r>
      <w:r>
        <w:rPr>
          <w:rFonts w:ascii="Arial" w:cs="Arial" w:eastAsia="Arial" w:hAnsi="Arial"/>
          <w:sz w:val="16"/>
          <w:szCs w:val="16"/>
          <w:color w:val="auto"/>
        </w:rPr>
        <w:t>We employ a team of logistic sales representatives focused on selling our cloud services suite to logistic service providers.</w:t>
      </w:r>
    </w:p>
    <w:p>
      <w:pPr>
        <w:spacing w:after="0" w:line="140" w:lineRule="exact"/>
        <w:rPr>
          <w:rFonts w:ascii="Arial" w:cs="Arial" w:eastAsia="Arial" w:hAnsi="Arial"/>
          <w:sz w:val="16"/>
          <w:szCs w:val="16"/>
          <w:color w:val="auto"/>
        </w:rPr>
      </w:pPr>
    </w:p>
    <w:p>
      <w:pPr>
        <w:ind w:left="1200" w:right="24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Business Development Efforts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development organization is tasked with finding new sources of revenue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business opportunities through channel partners and other areas that present an opportunity for growth.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objective is to be the leading global provider of supply chain management solutions. Key elements of our strategy include:</w:t>
      </w:r>
    </w:p>
    <w:p>
      <w:pPr>
        <w:spacing w:after="0" w:line="117" w:lineRule="exact"/>
        <w:rPr>
          <w:sz w:val="20"/>
          <w:szCs w:val="20"/>
          <w:color w:val="auto"/>
        </w:rPr>
      </w:pPr>
    </w:p>
    <w:p>
      <w:pPr>
        <w:ind w:left="1200" w:right="140" w:hanging="598"/>
        <w:spacing w:after="0" w:line="25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Further Penetrate Our Current Market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the global supply chain management market is underpenetrated and, as the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continues to respond to the changing requirements of the omnichannel marketplace, and as the supply chain ecosystem 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80" w:lineRule="exact"/>
        <w:rPr>
          <w:rFonts w:ascii="Arial" w:cs="Arial" w:eastAsia="Arial" w:hAnsi="Arial"/>
          <w:sz w:val="18"/>
          <w:szCs w:val="18"/>
          <w:color w:val="auto"/>
        </w:rPr>
      </w:pPr>
    </w:p>
    <w:p>
      <w:pPr>
        <w:ind w:left="1200" w:right="40" w:hanging="598"/>
        <w:spacing w:after="0" w:line="297"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Increase Revenues from Our Customer Base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our overall customer satisfaction is strong and will lead our customers to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 their use of the solutions they have purchased, as well as purchase additional services to continue improving the performance of their trading partner relationships, generating additional revenues for us. We also expect to introduce new solutions to sell to 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50" w:lineRule="exact"/>
        <w:rPr>
          <w:rFonts w:ascii="Arial" w:cs="Arial" w:eastAsia="Arial" w:hAnsi="Arial"/>
          <w:sz w:val="16"/>
          <w:szCs w:val="16"/>
          <w:color w:val="auto"/>
        </w:rPr>
      </w:pPr>
    </w:p>
    <w:p>
      <w:pPr>
        <w:ind w:left="1200" w:right="540" w:hanging="598"/>
        <w:spacing w:after="0" w:line="308"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Distribution Channels. </w:t>
      </w:r>
      <w:r>
        <w:rPr>
          <w:rFonts w:ascii="Arial" w:cs="Arial" w:eastAsia="Arial" w:hAnsi="Arial"/>
          <w:sz w:val="17"/>
          <w:szCs w:val="17"/>
          <w:color w:val="auto"/>
        </w:rPr>
        <w:t>We intend to grow our business by expanding our sales capacity to gain new customers. We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there are valuable opportunities to promote and sell our solutions through collaboration with other providers.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ind w:left="1200" w:right="20" w:hanging="598"/>
        <w:spacing w:after="0" w:line="259"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International Presence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presence in the Asia Pacific, as well as in Europe, represents a significant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We plan to increase our global sales efforts to obtain new customers around the world. We intend to leverage our current global presence to increase the number of integrations we have with retailers in foreign markets to make our solutions more valuable to their trading partners based overseas.</w:t>
      </w:r>
    </w:p>
    <w:p>
      <w:pPr>
        <w:spacing w:after="0" w:line="78"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Expand Our Services. </w:t>
      </w:r>
      <w:r>
        <w:rPr>
          <w:rFonts w:ascii="Arial" w:cs="Arial" w:eastAsia="Arial" w:hAnsi="Arial"/>
          <w:sz w:val="18"/>
          <w:szCs w:val="18"/>
          <w:color w:val="auto"/>
        </w:rPr>
        <w:t>We intend to further improve and develop the functionality and features of our Platform,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time to time, developing new solutions and applications.</w:t>
      </w:r>
    </w:p>
    <w:p>
      <w:pPr>
        <w:spacing w:after="0" w:line="62" w:lineRule="exact"/>
        <w:rPr>
          <w:rFonts w:ascii="Arial" w:cs="Arial" w:eastAsia="Arial" w:hAnsi="Arial"/>
          <w:sz w:val="18"/>
          <w:szCs w:val="18"/>
          <w:color w:val="auto"/>
        </w:rPr>
      </w:pPr>
    </w:p>
    <w:p>
      <w:pPr>
        <w:ind w:left="1200" w:hanging="598"/>
        <w:spacing w:after="0" w:line="276" w:lineRule="auto"/>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Acquisitions. </w:t>
      </w:r>
      <w:r>
        <w:rPr>
          <w:rFonts w:ascii="Arial" w:cs="Arial" w:eastAsia="Arial" w:hAnsi="Arial"/>
          <w:sz w:val="17"/>
          <w:szCs w:val="17"/>
          <w:color w:val="auto"/>
        </w:rPr>
        <w:t>The fragmented nature of our market provides an opportunity for selective acquisitions. We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evaluate potential acquisitions based on the number of new customers, revenue, functionality, or geographic reach the acquisition would provide relative to the purchase price and our ability to integrate and operate the acquired business. In 2018, we acquired EDIAdmin, a leading provider of supply chain integration technology. Also, in 2018, we acquired CovalentWorks, a provider of cloud-based EDI solutions to small- and medium-sized businesses. These acquisitions further extended the power of our network.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SPS Commerce was an early provider of cloud services to the retail supply chain management industry, launching the first version of what would become our current services in 1997. We use commercially available hardware and cloud services with a combination of proprietary and commercially available software.</w:t>
      </w:r>
    </w:p>
    <w:p>
      <w:pPr>
        <w:spacing w:after="0" w:line="73"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Our cloud service model treats all customers as logically separate tenants within a shared virtual infrastructure.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Our research and development efforts focus on maintaining, improving and enhancing our existing solutions, as well as developing new solutions and applications. Our multi-tenant solutions serve all of our customers, which allows us to maintain relatively low research and development expenses and release software updates more frequently compared to traditional on-premise licensed software solutions that support multiple versions. Our development efforts take place at our U.S. locations in Minnesota and New Jersey; as well as in Melbourne, Australia; Toronto, Canada; and Kiev, Ukraine.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We operate our infrastructure in third-party data centers located in Minnesota, New Jersey, and Melbourne, Australia, as well as provisioned services in public cloud providers. In all cases, infrastructure and services are managed by us.</w:t>
      </w:r>
    </w:p>
    <w:p>
      <w:pPr>
        <w:spacing w:after="0" w:line="62"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We have internal and third-party monitoring software that continually checks our network and key underlying components for continuous availability and performance, ensuring the network is always available and providing adequate service levels. We have a technology operations team that provides system provisioning, management, maintenance, monitoring and back-up.</w:t>
      </w:r>
    </w:p>
    <w:p>
      <w:pPr>
        <w:spacing w:after="0" w:line="73"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operate a service architecture using industry best practices to ensure multiple points of redundancy, high availability and scale as needed. Our databases are replicated between locations with a defined recovery point objective.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As of December 31, 2018, we had approximately 29,000 recurring revenue customers and approximately 80,000 total customers. Our primary source of revenue is from small- to mid-sized suppliers. We also generate revenues from other members of the supply chain ecosystem, including retailers, distributors, third-party logistics providers and other trading partners. Our revenues are not concentrated with any customer, as our largest customer represented less than 1% of total revenues for both the years ended December 31, 2018 and 2017 and less than 2% of total revenues for the year ended December 31,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Vendors in the supply chain management industry offer solutions through three delivery methods: traditional on-premise software, cloud-based managed services and cloud-based full-service solutions.</w:t>
      </w:r>
    </w:p>
    <w:p>
      <w:pPr>
        <w:spacing w:after="0" w:line="6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market for cloud-based supply chain management solutions is fragmented and rapidly evolving. Cloud service vendors compete directly with each other based on the following:</w:t>
      </w:r>
    </w:p>
    <w:p>
      <w:pPr>
        <w:spacing w:after="0" w:line="62"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breadth of pre-built connections to retailers, third-party logistics providers, and other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history of establishing and maintaining reliable connections with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reputation of the cloud service vendor in the supply chain management industry;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speed and quality with which the cloud service vendor can integrate its customers to their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functionality of the cloud service solution, such as the ability to integrate the solution with a customer’s business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complementary supply chain management solutions the cloud service vendor offers;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cloud service vendors could create a direct competitor that can compete with us more effectively than the numerous, smaller vendors currently offering cloud service supply chain management solutions. Increased competition from cloud service vendors could reduce our market share, revenues, and operating margins or otherwise adversely affect our business.</w:t>
      </w:r>
    </w:p>
    <w:p>
      <w:pPr>
        <w:spacing w:after="0" w:line="79"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Cloud service vendors also compete with traditional on-premise software companies. Traditional on-premise software companies focused on supply chain integration management include IBM Sterling Commerce and OpenText-GXS. These companies offer a “do-it-yourself” approach in which customers purchase, install, and manage specialized software, hardware and value-added networks for their supply chain integration needs. This approach requires customers to invest in staff to operate and maintain the software. Traditional on-premise software companies use a single-tenant approach in which information maps to retailers are built for and used by one supplier, as compared to cloud service solutions that allow multiple customers to share information maps with a retailer.</w:t>
      </w:r>
    </w:p>
    <w:p>
      <w:pPr>
        <w:spacing w:after="0" w:line="85" w:lineRule="exact"/>
        <w:rPr>
          <w:sz w:val="20"/>
          <w:szCs w:val="20"/>
          <w:color w:val="auto"/>
        </w:rPr>
      </w:pPr>
    </w:p>
    <w:p>
      <w:pPr>
        <w:ind w:right="440" w:firstLine="598"/>
        <w:spacing w:after="0" w:line="312" w:lineRule="auto"/>
        <w:rPr>
          <w:sz w:val="20"/>
          <w:szCs w:val="20"/>
          <w:color w:val="auto"/>
        </w:rPr>
      </w:pPr>
      <w:r>
        <w:rPr>
          <w:rFonts w:ascii="Arial" w:cs="Arial" w:eastAsia="Arial" w:hAnsi="Arial"/>
          <w:sz w:val="16"/>
          <w:szCs w:val="16"/>
          <w:color w:val="auto"/>
        </w:rPr>
        <w:t>Managed service providers focused on the supply chain management market include IBM Sterling Commerce, OpenText GXS, TrueCommerce, DiCentral, B2B Gateway and many other small providers. These companies offer a cloud-based solution in which they develop and maintain the core technology, while the customer’s internal staff is responsible for the day-to-day customization, optimization, and operations of the technology.</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contrast, full-service providers, including SPS Commerce, offer cloud-based solutions and that customize, optimize and operate the technology.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approach offloads the time-intensive process of managing these solutions, which is not a core competency for most businesses.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right="180" w:firstLine="598"/>
        <w:spacing w:after="0" w:line="286" w:lineRule="auto"/>
        <w:rPr>
          <w:sz w:val="20"/>
          <w:szCs w:val="20"/>
          <w:color w:val="auto"/>
        </w:rPr>
      </w:pPr>
      <w:r>
        <w:rPr>
          <w:rFonts w:ascii="Arial" w:cs="Arial" w:eastAsia="Arial" w:hAnsi="Arial"/>
          <w:sz w:val="17"/>
          <w:szCs w:val="17"/>
          <w:color w:val="auto"/>
        </w:rPr>
        <w:t>Customers of traditional on-premise software providers must typically make significant upfront investments in the supply chain management solutions these competitors provide, which can decrease the customers’ willingness to abandon their investments in favor of a cloud service solution. Cloud service vendors compete with these traditional software solutions based on total cost of ownership and flexibility.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Content</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SPS Commerce relies on a combination of copyright, trademark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have registered trademarks and pending trademark applications in the U.S. and certain foreign countries.</w:t>
      </w:r>
    </w:p>
    <w:p>
      <w:pPr>
        <w:spacing w:after="0" w:line="7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do not have any patents, but we have pending patent applications. Our trade secrets consist primarily of the software we have developed for our SPS Commerce Network. Our software is also protected under copyright law, but we do not have any registered copyrights.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As of December 31, 2018, we had 1,231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Arial" w:cs="Arial" w:eastAsia="Arial" w:hAnsi="Arial"/>
          <w:sz w:val="17"/>
          <w:szCs w:val="17"/>
          <w:i w:val="1"/>
          <w:iCs w:val="1"/>
          <w:color w:val="auto"/>
        </w:rPr>
        <w:t>www.spscommerce.com</w:t>
      </w:r>
      <w:r>
        <w:rPr>
          <w:rFonts w:ascii="Arial" w:cs="Arial" w:eastAsia="Arial" w:hAnsi="Arial"/>
          <w:sz w:val="17"/>
          <w:szCs w:val="17"/>
          <w:color w:val="auto"/>
        </w:rPr>
        <w:t xml:space="preserve">. Information on our website does not constitute part of this Annual Report on Form 10-K or any other report we file or furnish with the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Stockholders may also request copies of these documents from:</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Set forth below are the names, ages and titles of the persons serving as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Age</w:t>
            </w:r>
          </w:p>
        </w:tc>
        <w:tc>
          <w:tcPr>
            <w:tcW w:w="6720" w:type="dxa"/>
            <w:vAlign w:val="bottom"/>
          </w:tcPr>
          <w:p>
            <w:pPr>
              <w:ind w:left="3040"/>
              <w:spacing w:after="0"/>
              <w:rPr>
                <w:sz w:val="20"/>
                <w:szCs w:val="20"/>
                <w:color w:val="auto"/>
              </w:rPr>
            </w:pPr>
            <w:r>
              <w:rPr>
                <w:rFonts w:ascii="Arial" w:cs="Arial" w:eastAsia="Arial" w:hAnsi="Arial"/>
                <w:sz w:val="18"/>
                <w:szCs w:val="18"/>
                <w:b w:val="1"/>
                <w:bCs w:val="1"/>
                <w:color w:val="auto"/>
              </w:rPr>
              <w:t>Position</w:t>
            </w:r>
          </w:p>
        </w:tc>
        <w:tc>
          <w:tcPr>
            <w:tcW w:w="20" w:type="dxa"/>
            <w:vAlign w:val="bottom"/>
          </w:tcPr>
          <w:p>
            <w:pPr>
              <w:spacing w:after="0"/>
              <w:rPr>
                <w:sz w:val="20"/>
                <w:szCs w:val="20"/>
                <w:color w:val="auto"/>
              </w:rPr>
            </w:pPr>
          </w:p>
        </w:tc>
      </w:tr>
      <w:tr>
        <w:trPr>
          <w:trHeight w:val="223"/>
        </w:trPr>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Archie C. Black</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56</w:t>
            </w:r>
          </w:p>
        </w:tc>
        <w:tc>
          <w:tcPr>
            <w:tcW w:w="260" w:type="dxa"/>
            <w:vAlign w:val="bottom"/>
            <w:tcBorders>
              <w:top w:val="single" w:sz="8" w:color="CFF0FC"/>
            </w:tcBorders>
            <w:shd w:val="clear" w:color="auto" w:fill="CFF0FC"/>
          </w:tcPr>
          <w:p>
            <w:pPr>
              <w:spacing w:after="0"/>
              <w:rPr>
                <w:sz w:val="19"/>
                <w:szCs w:val="19"/>
                <w:color w:val="auto"/>
              </w:rPr>
            </w:pPr>
          </w:p>
        </w:tc>
        <w:tc>
          <w:tcPr>
            <w:tcW w:w="6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and President</w:t>
            </w:r>
          </w:p>
        </w:tc>
        <w:tc>
          <w:tcPr>
            <w:tcW w:w="20" w:type="dxa"/>
            <w:vAlign w:val="bottom"/>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19"/>
                <w:szCs w:val="19"/>
                <w:color w:val="auto"/>
              </w:rPr>
            </w:pP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J. Frome</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54</w:t>
            </w:r>
          </w:p>
        </w:tc>
        <w:tc>
          <w:tcPr>
            <w:tcW w:w="260" w:type="dxa"/>
            <w:vAlign w:val="bottom"/>
            <w:shd w:val="clear" w:color="auto" w:fill="CFF0FC"/>
          </w:tcPr>
          <w:p>
            <w:pPr>
              <w:spacing w:after="0"/>
              <w:rPr>
                <w:sz w:val="19"/>
                <w:szCs w:val="19"/>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20" w:type="dxa"/>
            <w:vAlign w:val="bottom"/>
          </w:tcPr>
          <w:p>
            <w:pPr>
              <w:spacing w:after="0"/>
              <w:rPr>
                <w:sz w:val="19"/>
                <w:szCs w:val="19"/>
                <w:color w:val="auto"/>
              </w:rPr>
            </w:pPr>
          </w:p>
        </w:tc>
      </w:tr>
      <w:tr>
        <w:trPr>
          <w:trHeight w:val="554"/>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20" w:type="dxa"/>
            <w:vAlign w:val="bottom"/>
          </w:tcPr>
          <w:p>
            <w:pPr>
              <w:ind w:left="9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9" w:name="page10"/>
    <w:bookmarkEnd w:id="9"/>
    <w:p>
      <w:pPr>
        <w:ind w:right="100" w:firstLine="598"/>
        <w:spacing w:after="0" w:line="264" w:lineRule="auto"/>
        <w:rPr>
          <w:sz w:val="20"/>
          <w:szCs w:val="20"/>
          <w:color w:val="auto"/>
        </w:rPr>
      </w:pPr>
      <w:r>
        <w:rPr>
          <w:rFonts w:ascii="Arial" w:cs="Arial" w:eastAsia="Arial" w:hAnsi="Arial"/>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73"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Kimberly K. Nelson has served as our Executive Vice President and Chief Financial Officer since 2007. Prior to joining us, Ms. Nelson served as the Finance Director, Investor Relations for Amazon.com from 2005 through 2007 and as the Finance Director, Worldwide Application for Amazon.com’s Technology group from 2003 until 2005. Ms. Nelson also served as Amazon.com’s Finance Director, Financial Planning and Analysis from 2000 until 2003.</w:t>
      </w:r>
    </w:p>
    <w:p>
      <w:pPr>
        <w:spacing w:after="0" w:line="39"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James J. Frome has served as our Executive Vice President and Chief Operating Officer since 2012. Previously, Mr. Frome served as our Executive Vice President and Chief Strategy Officer from 2001 to 2012 and as our Vice President of Marketing from 2000 to 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 w:name="page11"/>
    <w:bookmarkEnd w:id="10"/>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Set forth below and elsewhere in this Annual Report on Form 10-K, and in other documents we file with the SEC, are risks and uncertainties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could cause our actual results to differ materially from the results contemplated by the forward-looking statements contained in this Annual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10-K and in other written and oral communications from time to time. You should carefully consider all of the following risks and the other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this Report and our other filings with the SEC before you decide to invest in our Company or to maintain or increase your investment. Our business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 harmed by any of these risks. The trading price of our common stock could decline due to any of these risks. In assessing these risks, you should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the other information contained in this Annual Report on Form 10-K, including our financial statements and related notes.</w:t>
      </w:r>
    </w:p>
    <w:p>
      <w:pPr>
        <w:spacing w:after="0" w:line="103"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i w:val="1"/>
          <w:iCs w:val="1"/>
          <w:color w:val="auto"/>
        </w:rPr>
        <w:t>The risks included in this section are not the only ones we face. We operate in a very competitive and rapidly changing environment. New risk factors emerge from time-to-time, and it is not possible for management to predict all such risk factors, nor can it assess the potential impact of all such risk factors on our business or the extent to which any factor, or combination of factors, may cause actual results to differ materially from those in any forward-looking statements. If any of the following risks actually occur, our business, results of operations, financial condition and future prospects would likely suffer. In that case, the trading price of our common stock could decline, and you may lose all or part of your investment.</w:t>
      </w:r>
    </w:p>
    <w:p>
      <w:pPr>
        <w:spacing w:after="0" w:line="27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we are unable to attract new customers, or sell additional solutions, or if our customers do not increase their use of our solutions, our revenue growth and profitability will be adversely affected.</w:t>
      </w:r>
    </w:p>
    <w:p>
      <w:pPr>
        <w:spacing w:after="0" w:line="58"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To increase our revenues and achieve and maintain profitability, we must regularly add new customers, sell additional solutions and our customers must increase their use of the solutions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If we fail to sell our new solutions to existing or new customers, we will not generate anticipated revenues from these solutions, our operating results will suffer and we might be unable to grow our revenues or maintain profitability.</w:t>
      </w:r>
    </w:p>
    <w:p>
      <w:pPr>
        <w:spacing w:after="0" w:line="29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do not have long-term contracts with most of our recurring revenue customers, and our success therefore depends on our ability to maintain a high level of customer satisfaction and a strong reputation in the supply chain management industry.</w:t>
      </w:r>
    </w:p>
    <w:p>
      <w:pPr>
        <w:spacing w:after="0" w:line="58"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contracts with our recurring revenue customers typically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can be adversely affected in a short period of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quarterly results of operations may fluctuate in the future, which could result in volatility in our stock price.</w:t>
      </w:r>
    </w:p>
    <w:p>
      <w:pPr>
        <w:spacing w:after="0" w:line="121" w:lineRule="exact"/>
        <w:rPr>
          <w:sz w:val="20"/>
          <w:szCs w:val="20"/>
          <w:color w:val="auto"/>
        </w:rPr>
      </w:pPr>
    </w:p>
    <w:p>
      <w:pPr>
        <w:ind w:right="280" w:firstLine="598"/>
        <w:spacing w:after="0" w:line="274" w:lineRule="auto"/>
        <w:rPr>
          <w:sz w:val="20"/>
          <w:szCs w:val="20"/>
          <w:color w:val="auto"/>
        </w:rPr>
      </w:pPr>
      <w:r>
        <w:rPr>
          <w:rFonts w:ascii="Arial" w:cs="Arial" w:eastAsia="Arial" w:hAnsi="Arial"/>
          <w:sz w:val="17"/>
          <w:szCs w:val="17"/>
          <w:color w:val="auto"/>
        </w:rPr>
        <w:t>Our quarterly revenues and results of operations have varied in the past and may fluctuate as a result of a variety of factors, including our Trading Partner Analytics solution. If our quarterly revenues or results of operations fluctuate, the price of our common stock could decline</w:t>
      </w:r>
    </w:p>
    <w:p>
      <w:pPr>
        <w:ind w:right="440"/>
        <w:spacing w:after="0" w:line="261" w:lineRule="auto"/>
        <w:rPr>
          <w:sz w:val="20"/>
          <w:szCs w:val="20"/>
          <w:color w:val="auto"/>
        </w:rPr>
      </w:pPr>
      <w:r>
        <w:rPr>
          <w:rFonts w:ascii="Arial" w:cs="Arial" w:eastAsia="Arial" w:hAnsi="Arial"/>
          <w:sz w:val="18"/>
          <w:szCs w:val="18"/>
          <w:color w:val="auto"/>
        </w:rPr>
        <w:t>substantially. Fluctuations in our results of operations may be due to a number of factors, including, but not limited to, those listed below and identified throughout this “Risk Factors” section:</w:t>
      </w:r>
    </w:p>
    <w:p>
      <w:pPr>
        <w:spacing w:after="0" w:line="76" w:lineRule="exact"/>
        <w:rPr>
          <w:sz w:val="20"/>
          <w:szCs w:val="20"/>
          <w:color w:val="auto"/>
        </w:rPr>
      </w:pPr>
    </w:p>
    <w:p>
      <w:pPr>
        <w:ind w:left="1200" w:right="16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introductions of new solutions or upgrades by us or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strength of the economy, in particular as it affects the retail sector;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condition of our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 and new offerings by existing competitors;</w:t>
      </w:r>
    </w:p>
    <w:p>
      <w:pPr>
        <w:spacing w:after="0" w:line="117" w:lineRule="exact"/>
        <w:rPr>
          <w:rFonts w:ascii="Arial" w:cs="Arial" w:eastAsia="Arial" w:hAnsi="Arial"/>
          <w:sz w:val="18"/>
          <w:szCs w:val="18"/>
          <w:color w:val="auto"/>
        </w:rPr>
      </w:pPr>
    </w:p>
    <w:p>
      <w:pPr>
        <w:ind w:left="1200" w:right="76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solutions;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compliance costs and unforeseen legal expenses, including litigation and settlement costs;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size, and integration success of potential future acquisitions;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payment terms for our solutions;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 or service failures, security breaches or network downtime.</w:t>
      </w:r>
    </w:p>
    <w:p>
      <w:pPr>
        <w:spacing w:after="0" w:line="117" w:lineRule="exact"/>
        <w:rPr>
          <w:sz w:val="20"/>
          <w:szCs w:val="20"/>
          <w:color w:val="auto"/>
        </w:rPr>
      </w:pPr>
    </w:p>
    <w:p>
      <w:pPr>
        <w:ind w:right="300" w:firstLine="598"/>
        <w:spacing w:after="0" w:line="302" w:lineRule="auto"/>
        <w:rPr>
          <w:sz w:val="20"/>
          <w:szCs w:val="20"/>
          <w:color w:val="auto"/>
        </w:rPr>
      </w:pPr>
      <w:r>
        <w:rPr>
          <w:rFonts w:ascii="Arial" w:cs="Arial" w:eastAsia="Arial" w:hAnsi="Arial"/>
          <w:sz w:val="16"/>
          <w:szCs w:val="16"/>
          <w:color w:val="auto"/>
        </w:rPr>
        <w:t>Due to the foregoing factors, and other risks including those discussed in this Annual Report on Form 10-K, comparing our operation results on a period-to-period basis may not be meaningful. You should not rely on these comparisons of our past results of operations as an indication of our future performance. It is possible that our operating results in one or more future quarters may fall below the expectations of securities analysts and investors or below any guidance we may provide to the market. If this occurs, the trading price of our common stock could decline significantly.</w:t>
      </w:r>
    </w:p>
    <w:p>
      <w:pPr>
        <w:spacing w:after="0" w:line="2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Interruptions or delays from third-party data centers or to the telecommunications infrastructure could impair the delivery of our solutions and our business could suffer.</w:t>
      </w:r>
    </w:p>
    <w:p>
      <w:pPr>
        <w:spacing w:after="0" w:line="58"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We use third-party data centers, located in Minnesota, New Jersey and Australia, as well as provision services in public cloud providers, to conduct our operations. In all cases, infrastructure and services on which our Platform runs is managed by us. In addition, our ability to deliver our services depends on the development and maintenance of telecommunications infrastructure by third parties. This includes maintenance of a reliable network backbone with the necessary speed, data capacity, bandwidth capacity, and security. Our operations depend on the protection of the equipment and information we store in these third-party centers, or utilize from third-party telecommunications providers, against damage or service interruptions that may be caused by fire, flood, severe storm, power loss, telecommunications failures, natural disasters, war, criminal act, military action, terrorist attack, financial failure of the service provider, and other events beyond our control. In addition, third party malfeasance, such as intentional misconduct by computer hackers, unauthorized intrusions, computer viruses or denial of service attacks, may also cause substantial service disruptions.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2" w:name="page13"/>
    <w:bookmarkEnd w:id="12"/>
    <w:p>
      <w:pPr>
        <w:ind w:right="100" w:firstLine="598"/>
        <w:spacing w:after="0" w:line="255" w:lineRule="auto"/>
        <w:rPr>
          <w:sz w:val="20"/>
          <w:szCs w:val="20"/>
          <w:color w:val="auto"/>
        </w:rPr>
      </w:pPr>
      <w:r>
        <w:rPr>
          <w:rFonts w:ascii="Arial" w:cs="Arial" w:eastAsia="Arial" w:hAnsi="Arial"/>
          <w:sz w:val="18"/>
          <w:szCs w:val="18"/>
          <w:color w:val="auto"/>
        </w:rPr>
        <w:t>Our cloud-based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 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29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Our industry is a prime target for those that seek to steal confidential information and computer malware, viruses, hacking, phishing attacks, spamming, and other cyber-threats could harm our business and cause us to lose the confidence of our users, which could significantly impact our business and results of operations.</w:t>
      </w:r>
    </w:p>
    <w:p>
      <w:pPr>
        <w:spacing w:after="0" w:line="72" w:lineRule="exact"/>
        <w:rPr>
          <w:sz w:val="20"/>
          <w:szCs w:val="20"/>
          <w:color w:val="auto"/>
        </w:rPr>
      </w:pPr>
    </w:p>
    <w:p>
      <w:pPr>
        <w:ind w:right="40" w:firstLine="598"/>
        <w:spacing w:after="0" w:line="283" w:lineRule="auto"/>
        <w:rPr>
          <w:sz w:val="20"/>
          <w:szCs w:val="20"/>
          <w:color w:val="auto"/>
        </w:rPr>
      </w:pPr>
      <w:r>
        <w:rPr>
          <w:rFonts w:ascii="Arial" w:cs="Arial" w:eastAsia="Arial" w:hAnsi="Arial"/>
          <w:sz w:val="16"/>
          <w:szCs w:val="16"/>
          <w:color w:val="auto"/>
        </w:rPr>
        <w:t>As demonstrated by recent material and high-profile data security breaches within the retail industry, computer malware, viruses, computer hacking, phishing attacks, social engineering, and other electronic threats have become more prevalent in our industry, have occurred on our systems in the past, and may occur on our systems in the future. While we continue to expand our focus on this issue and are taking measures to safeguard our solutions and services from cybersecurity threats and vulnerabilities, cyber-attacks and other security incidents continue to evolve in sophistication and frequency. Furthermore, given the interconnected nature of the retail supply chain and our significant presence in the retail industry, we believe that we are a particularly attractive target for such attacks. In addition, our connection to the retail industry could present the opportunity for an attack on our system to serve as a way to obtain access into our users’ systems, which could have a material adverse effect on our financial condition and growth prospectus. Our security measures may also be breached due to employee or other error, intentional malfeasance and other third-party acts, and system errors or vulnerabilities, including vulnerabilities of our third party vendors, customers, or otherwise. Businesses in our industry have experienced material sales declines after discovering data breaches, and our business could be similarly impacted. The security costs to reduce the likelihood of an attack are high and may continue to increase. Furthermore, some US states and international jurisdictions have enacted laws requiring companies to notify consumers of data security breaches involving their personal</w:t>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data. These mandatory disclosures regarding a security breach often lead to widespread negative publicity, which may cause our customers to lose confidence in the effectiveness of our data security measures. Reputational value is based in large part on perceptions of subjective qualities. While reputations may take decades to build, any negative incidents can quickly erode trust and confidence, particularly if they result in adverse mainstream and social media publicity, governmental investigations or litigation.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impair our ability to retain existing customers and attract new customers and expose us to legal claims and government action, each of which could have a material adverse impact on our financial condition, results of operations and growth prospects.</w:t>
      </w:r>
    </w:p>
    <w:p>
      <w:pPr>
        <w:spacing w:after="0" w:line="27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A failure to protect the integrity and security of our customers’ information and access to our customers’ information systems could expose us to litigation, materially damage our reputation and harm our business, or lead to service disruptions, and the costs of preventing such a failure could adversely affect our results of operations.</w:t>
      </w:r>
    </w:p>
    <w:p>
      <w:pPr>
        <w:spacing w:after="0" w:line="72" w:lineRule="exact"/>
        <w:rPr>
          <w:sz w:val="20"/>
          <w:szCs w:val="20"/>
          <w:color w:val="auto"/>
        </w:rPr>
      </w:pPr>
    </w:p>
    <w:p>
      <w:pPr>
        <w:ind w:right="240" w:firstLine="598"/>
        <w:spacing w:after="0" w:line="289" w:lineRule="auto"/>
        <w:rPr>
          <w:sz w:val="20"/>
          <w:szCs w:val="20"/>
          <w:color w:val="auto"/>
        </w:rPr>
      </w:pPr>
      <w:r>
        <w:rPr>
          <w:rFonts w:ascii="Arial" w:cs="Arial" w:eastAsia="Arial" w:hAnsi="Arial"/>
          <w:sz w:val="16"/>
          <w:szCs w:val="16"/>
          <w:color w:val="auto"/>
        </w:rPr>
        <w:t>Our business involves the collection and use of confidential information of our customers and their trading partners. The collection and use of this information sometimes requires our direct access to our customers’ information systems. We cannot assure you that our efforts to protect this confidential information and access will be successful. Our security measures may be breached as a result of third-party action, including intentional misconduct by computer hackers, employee error, malfeasance or otherwise and result in someone obtaining unauthorized access to our customers’ data or our data, including our intellectual property and other confidential business information, or our IT systems. Additionally, third parties may attempt to fraudulently induce employees or customers into disclosing sensitive information such as user 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third-parties may also conduct attacks designed to temporarily deny customers access to our services.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ind w:right="20" w:firstLine="598"/>
        <w:spacing w:after="0" w:line="255" w:lineRule="auto"/>
        <w:rPr>
          <w:sz w:val="20"/>
          <w:szCs w:val="20"/>
          <w:color w:val="auto"/>
        </w:rPr>
      </w:pPr>
      <w:r>
        <w:rPr>
          <w:rFonts w:ascii="Arial" w:cs="Arial" w:eastAsia="Arial" w:hAnsi="Arial"/>
          <w:sz w:val="18"/>
          <w:szCs w:val="18"/>
          <w:color w:val="auto"/>
        </w:rPr>
        <w:t>If any compromise of this information security were to occur, or if we fail to detect and appropriately respond to a significant data security breach, we could face service disruptions, be subject to legal claims and government action, experience an adverse effect on our reputation and need to incur significant additional costs to protect against similar information security breaches in the future, each of which could adversely impact our financial condition, results of operations and growth prospects. Litigation resulting from such claims may be costly, time-consuming and distracting to management. In addition, because of the critical nature of data security, any perceived breach of our security measures could cause existing or potential customers not to use our solutions and could harm our reputation.</w:t>
      </w:r>
    </w:p>
    <w:p>
      <w:pPr>
        <w:spacing w:after="0" w:line="29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Technology solutions as complex as ours may contain undetected defects in the hardware, software, infrastructure, third party components or processes that are part of the solutions we provide. If these defects lead to service failures, we could experience delays or lost revenues, diversion of software engineering resources, material non-monetary concessions, negative media attention or increased service costs as a result of performance claims during the period required to correct the cause of the 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50"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Because customers use our cloud-based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 pay significant settlements or damages. We do not currently maintain any warranty reserves. Defending a lawsuit, regardless of its merit, could be costly and divert management’s attention and could cause our business to suffer.</w:t>
      </w:r>
    </w:p>
    <w:p>
      <w:pPr>
        <w:spacing w:after="0" w:line="5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29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Our business is dependent on our ability to maintain and scale our technical infrastructure, and any failure to effectively maintain and grow our technical infrastructure service could damage our reputation, result in a potential loss of users and engagement, and adversely affect our financial results.</w:t>
      </w:r>
    </w:p>
    <w:p>
      <w:pPr>
        <w:spacing w:after="0" w:line="72"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Our reputation and ability to attract, retain and serve our customers is dependent upon the reliable performance of our Platform and our underlying technical infrastructure. As our user base and the amount and types of information shared on our Platform continue to grow, we will need an increasing amount of technical infrastructure, including network capacity and computing power, to continue to satisfy the needs of our users. It is possible that we may fail to effectively scale and grow our technical infrastructure to accommodate these increased demands. Any failure to effectively maintain and grow our technical infrastructure could damage our reputation, result in a potential loss of users and engagement, and adversely affect our financial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Our inability to adapt to rapid technological change could impair our ability to remain competitive.</w:t>
      </w:r>
    </w:p>
    <w:p>
      <w:pPr>
        <w:spacing w:after="0" w:line="12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estimate the life cycles of our products.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If any of our competitors or new market entrants implement new technologies or upgrades to existing technologies before we are able to implement them, they may be able to provide more effective solutions than ours at lower prices. Any delay or failure in the introduction of new or enhanced solutions could adversely affect our business, results of operations and financial condition. Moreover, the development of new technologies requires substantial investment and we have no assurance that such investments will achieve their expected benefits on a timely manner or at all, either of which could have a material adverse effect on our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protect our intellectual property and proprietary rights adequately, our business could be adversely affected.</w:t>
      </w:r>
    </w:p>
    <w:p>
      <w:pPr>
        <w:spacing w:after="0" w:line="121"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or registered copyrights.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7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addition, if we resort to legal proceedings to enforce our intellectual property rights or to determine the validity and scope of the intellectual property or other proprietary rights of others, the proceedings could be burdensome and expensive, even if we were to prevail. Any litigation that is necessary in the future could result in substantial costs and diversion of resources and could have a material adverse effect on our business, operating results or financial condition.</w:t>
      </w:r>
    </w:p>
    <w:p>
      <w:pPr>
        <w:spacing w:after="0" w:line="29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An assertion by a third party that we are infringing its intellectual property, whether or not correct, could subject us to costly and time-consuming litigation or expensive licenses and our business might be harmed.</w:t>
      </w:r>
    </w:p>
    <w:p>
      <w:pPr>
        <w:spacing w:after="0" w:line="58"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5" w:name="page16"/>
    <w:bookmarkEnd w:id="15"/>
    <w:p>
      <w:pPr>
        <w:ind w:right="100" w:firstLine="598"/>
        <w:spacing w:after="0" w:line="289" w:lineRule="auto"/>
        <w:rPr>
          <w:sz w:val="20"/>
          <w:szCs w:val="20"/>
          <w:color w:val="auto"/>
        </w:rPr>
      </w:pPr>
      <w:r>
        <w:rPr>
          <w:rFonts w:ascii="Arial" w:cs="Arial" w:eastAsia="Arial" w:hAnsi="Arial"/>
          <w:sz w:val="16"/>
          <w:szCs w:val="16"/>
          <w:color w:val="auto"/>
        </w:rPr>
        <w:t>We might not prevail in any intellectual property infringement litigation given the complex technical issues and inherent uncertainties in such litigation.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operating results. Withdrawal of any of our solutions from the market might harm our business, financial condition and operating results. We face additional risk of infringement or misappropriation claims if we hire an employee who possess third party proprietary information who decides to use such information in connection with our solution, services, or business processes without such third party’s authorization.</w:t>
      </w:r>
    </w:p>
    <w:p>
      <w:pPr>
        <w:spacing w:after="0" w:line="59"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adversely affect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new products and changes to existing products could fail to attract or retain users or generate revenue.</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Our ability to retain, increase and engage our customers and to increase our revenues will depend heavily on our ability to create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engage customers, we may fail to attract or retain customers or to generate sufficient revenues, operating margin, or other value to justify our investments and our business may be adversely affected. In the future, we may invest in new products and initiatives to generate revenue, but there is no guarantee these approaches will be successful. If we are not successful with new approaches to monetization, we may not be able to maintain or grow our revenues as anticipated or recover any associated development costs and our financial results could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software is highly technical, and if it contains undetected errors, our business could be adversely affected.</w:t>
      </w:r>
    </w:p>
    <w:p>
      <w:pPr>
        <w:spacing w:after="0" w:line="121"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Our products incorporate software that is highly technical and complex. Our software has contained, and may now or in the future contain, undetected errors, bugs or vulnerabilities. Some errors in our software code may only be discovered after the code has been released. Any defects or errors discovered in our code after release could result in damage to our reputation, loss of customers, loss of revenue or liability for damages, any of which could adversely affect our business and financial results.</w:t>
      </w:r>
    </w:p>
    <w:p>
      <w:pPr>
        <w:spacing w:after="0" w:line="29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market for cloud-based supply chain management solutions is at an early stage of development. If this market does not develop or develops more slowly than we expect, our revenues may decline or fail to grow and we may incur operating losses.</w:t>
      </w:r>
    </w:p>
    <w:p>
      <w:pPr>
        <w:spacing w:after="0" w:line="58"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derive, and expect to continue to derive, substantially all of our revenues from providing cloud-based supply chain management solutions to suppliers, retailers, distributors and logistics firms. The market for cloud-based supply chain management solutions is in an early stage of development, and it is uncertain whether these solutions will achieve and sustain high levels of demand and market acceptance. Our success will depend on the willingness of retailers and their trading partners to accept our cloud-based supply chain management solutions as an alternative to traditional licensed hardware and software solutions.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ind w:right="20" w:firstLine="598"/>
        <w:spacing w:after="0" w:line="276" w:lineRule="auto"/>
        <w:rPr>
          <w:sz w:val="20"/>
          <w:szCs w:val="20"/>
          <w:color w:val="auto"/>
        </w:rPr>
      </w:pPr>
      <w:r>
        <w:rPr>
          <w:rFonts w:ascii="Arial" w:cs="Arial" w:eastAsia="Arial" w:hAnsi="Arial"/>
          <w:sz w:val="17"/>
          <w:szCs w:val="17"/>
          <w:color w:val="auto"/>
        </w:rPr>
        <w:t>Some suppliers, retailers, distributors, or logistics firms may be reluctant or unwilling to use our cloud-based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cloud-based supply chain management solutions.</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factors that may limit market acceptance of our cloud-based supply chain management solutions include:</w:t>
      </w:r>
    </w:p>
    <w:p>
      <w:pPr>
        <w:spacing w:after="0" w:line="117"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Platform;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solutions;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assuage suppliers’ confidentiality concerns about information stored outside of their controlled computing environments.</w:t>
      </w:r>
    </w:p>
    <w:p>
      <w:pPr>
        <w:spacing w:after="0" w:line="129" w:lineRule="exact"/>
        <w:rPr>
          <w:sz w:val="20"/>
          <w:szCs w:val="20"/>
          <w:color w:val="auto"/>
        </w:rPr>
      </w:pPr>
    </w:p>
    <w:p>
      <w:pPr>
        <w:ind w:right="140" w:firstLine="598"/>
        <w:spacing w:after="0" w:line="286" w:lineRule="auto"/>
        <w:rPr>
          <w:sz w:val="20"/>
          <w:szCs w:val="20"/>
          <w:color w:val="auto"/>
        </w:rPr>
      </w:pPr>
      <w:r>
        <w:rPr>
          <w:rFonts w:ascii="Arial" w:cs="Arial" w:eastAsia="Arial" w:hAnsi="Arial"/>
          <w:sz w:val="17"/>
          <w:szCs w:val="17"/>
          <w:color w:val="auto"/>
        </w:rPr>
        <w:t>If retailers and their trading partners do not perceive the benefits of our cloud-based supply chain management solutions, or if retailers and their trading partners are unwilling to accept our Platform as an alternative to the traditional approach, the market for our solutions might not continue to develop or might develop more slowly than we expect, either of which would significantly adversely affect our revenues and growth prospects.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Privacy concerns and laws, evolving regulation of cloud computing, cross-border data transfer restrictions and other domestic or foreign regulations may limit the use and adoption of our solutions and adversely affect our business.</w:t>
      </w:r>
    </w:p>
    <w:p>
      <w:pPr>
        <w:spacing w:after="0" w:line="58"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Regulation related to the provision of services on the Internet is increasing, as federal, state and foreign governments continue to adopt new laws and regulations addressing data privacy and the collection, processing, storage and use of personal information. In some cases, foreign data privacy laws and regulations, such as the European Union’s Data Protection Directive, and the country-specific regulations that implement that directive, also govern the processing of personal information. Further, laws are increasingly aimed at the use of personal information for marketing purposes, such as the European Union’s e-Privacy Directive, and the country-specific regulations that implement that directive. Such laws and regulations are subject to differing interpretations and may be inconsistent among jurisdictions. These and other requirements could reduce demand for our solutions or restrict our ability to store and process data or, in some cases, impact our ability to offer our services and solutions in certain locations.</w:t>
      </w:r>
    </w:p>
    <w:p>
      <w:pPr>
        <w:spacing w:after="0" w:line="59"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solutions to certain customers and could harm our business.</w:t>
      </w:r>
    </w:p>
    <w:p>
      <w:pPr>
        <w:spacing w:after="0" w:line="79"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The costs of compliance with and other burdens imposed by laws, regulations and standards may limit the use and adoption of our services and reduce overall demand for them, or lead to significant fines, penalties or liabilities for any noncompliance.</w:t>
      </w:r>
    </w:p>
    <w:p>
      <w:pPr>
        <w:spacing w:after="0" w:line="62"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of our products or services and could limit adoption of our cloud-based solutions.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Evolving regulation of the Internet may increase our expenditures related to compliance efforts, which may adversely affect our financial condition.</w:t>
      </w:r>
    </w:p>
    <w:p>
      <w:pPr>
        <w:spacing w:after="0" w:line="144"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As Internet commerce continues to evolve, increasing regulation by federal, state or foreign agencies becomes more likely. We are particularly sensitive to these risks because the Internet is a critical component of our cloud-based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Industry-specific regulation is evolving and unfavorable industry-specific laws, regulations or interpretive positions could harm our business.</w:t>
      </w:r>
    </w:p>
    <w:p>
      <w:pPr>
        <w:spacing w:after="0" w:line="144"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70"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third party infrastructure, software and services that could take a significant time to replace or upgrade.</w:t>
      </w:r>
    </w:p>
    <w:p>
      <w:pPr>
        <w:spacing w:after="0" w:line="1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rely on infrastructure, software and services licensed from third parties to offer our cloud-based supply chain management solutions. This infrastructure, software and services, as well as maintenance rights for this infrastructure, software and services,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infrastructure, software and services that we currently license. Any such alternatives could be more difficult or costly to replace than the third-party infrastructure, software and services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2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pursue acquisitions and our potential inability to successfully integrate newly acquired companies or businesses could adversely affect our financial results.</w:t>
      </w:r>
    </w:p>
    <w:p>
      <w:pPr>
        <w:spacing w:after="0" w:line="58"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We may pursue acquisitions of other companies or their businesses in the future. If we complete acquisitions, we face many risks commonly encountered with growth through acquisitions. These risks include:</w:t>
      </w:r>
    </w:p>
    <w:p>
      <w:pPr>
        <w:spacing w:after="0" w:line="62"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assimilate the operations, customers, and personnel of the acquired company or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dissipating our management resources;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8" w:name="page19"/>
    <w:bookmarkEnd w:id="18"/>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dilution to existing stockholders from the issuance of equity securities;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liabilities or other problems associated with the acquired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debt on terms unfavorable to us or that we are unable to repay;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becoming subject to adverse tax consequences, substantial depreciation or deferred compensation charges;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improper compliance with laws and regulations;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Fully integrating an acquired company or business into our operations may take a significant amount of time. In addition, we may only be able to conduct limited due diligence on an acquired company’s operations. Following an acquisition, we may be subject to liabilities arising from an acquired company’s past or present operations, including liabilities related to data security, encryption and privacy of customer data, and these liabilities may be greater than the warranty and indemnity limitations that we negotiate.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Because our long-term success depends, in part, on our ability to expand the sales of our solutions to customers located outside of North America, our business will be susceptible to risks associated with international operations.</w:t>
      </w:r>
    </w:p>
    <w:p>
      <w:pPr>
        <w:spacing w:after="0" w:line="58" w:lineRule="exact"/>
        <w:rPr>
          <w:sz w:val="20"/>
          <w:szCs w:val="20"/>
          <w:color w:val="auto"/>
        </w:rPr>
      </w:pPr>
    </w:p>
    <w:p>
      <w:pPr>
        <w:ind w:right="60" w:firstLine="598"/>
        <w:spacing w:after="0" w:line="308" w:lineRule="auto"/>
        <w:rPr>
          <w:sz w:val="20"/>
          <w:szCs w:val="20"/>
          <w:color w:val="auto"/>
        </w:rPr>
      </w:pPr>
      <w:r>
        <w:rPr>
          <w:rFonts w:ascii="Arial" w:cs="Arial" w:eastAsia="Arial" w:hAnsi="Arial"/>
          <w:sz w:val="17"/>
          <w:szCs w:val="17"/>
          <w:color w:val="auto"/>
        </w:rPr>
        <w:t>Our inexperience in operating our business outside of North America increases the risk that our current and any future international expansion efforts will not be successful. Conducting international operations subjects us to new risks that, generally, we have not faced in the U.S., including:</w:t>
      </w:r>
    </w:p>
    <w:p>
      <w:pPr>
        <w:spacing w:after="0" w:line="38"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misjudging the markets and competitive landscape of foreign jurisdictions;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17"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and restrictions on the repatriation of earnings;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associated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potential for corruption and bribery;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left="600"/>
        <w:spacing w:after="0"/>
        <w:rPr>
          <w:sz w:val="20"/>
          <w:szCs w:val="20"/>
          <w:color w:val="auto"/>
        </w:rPr>
      </w:pPr>
      <w:r>
        <w:rPr>
          <w:rFonts w:ascii="Arial" w:cs="Arial" w:eastAsia="Arial" w:hAnsi="Arial"/>
          <w:sz w:val="18"/>
          <w:szCs w:val="18"/>
          <w:color w:val="auto"/>
        </w:rPr>
        <w:t>The occurrence of any one of these risks could negatively affect our international business and, consequently, our results of operations</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82"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In addition, we operate in parts of the world, such as Ukraine, that are recognized as having governmental corruption problems to some degree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including by third parties we utilize in foreign jurisdictions.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criminal or civil sanctions, which could disrupt our business and result in a material adverse effect on our reputation, business,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use of open source software in our products may expose us to additional risks and harm our intellectual property.</w:t>
      </w:r>
    </w:p>
    <w:p>
      <w:pPr>
        <w:spacing w:after="0" w:line="121"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Some of our products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unfavorable terms or at no cost. This can subject previously proprietary software to open source license terms. Furthermore, if we fail to comply with these licenses, we may be subject to certain unfavorable requirements. These requirements may include, but are not limited to, offering our services that incorporate the open source software for no cost, making available any of our modifications to the source code, making available any derivative works we create based upon, incorporating, or using the open source software, or licensing such modifications or derivative works under the terms of the particular open source license. If an author or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65"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While we monitor the use of all open source software in our products, processes and technology and try to ensure that no open source software is used in such a way as to require us to disclose the source code to the related product or solution, such use could inadvertently occur. Additionally, if a third-party software provider has incorporated certain types of open source software into software we license from such third party for our products and solutions, we could, under certain circumstances, be required to disclose the source code to our products and solutions. This could harm our intellectual property position and have a material adverse effect on our business, results of operations, cash flow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adversely affected by ongoing developments in Ukraine.</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political and civil situation in Ukraine cannot be accurately predicted since the removal of President Yanukovych from power by the Ukrainian parliament in late February 2014, which was followed by reports of Russian military activity in the Crimean region. Ukraine’s political activities remain fluid and beyond our control. We also cannot predict the outcome of developments there or the reaction to such developments by U.S., European, U.N. or other international authorities.</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currently engage in software development activities in the Ukraine and have an office in Kiev. We continue to monitor the situation</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closely. Prolonged or expanded unrest, military activities, or broad-based sanctions, should they be implemented, could have a material adverse effect on our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We have incurred operating losses in the past and may incur operating losses in the future.</w:t>
      </w:r>
    </w:p>
    <w:p>
      <w:pPr>
        <w:spacing w:after="0" w:line="1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began operating our supply chain management solution business in 1997. Throughout most of our history, we have experienced net losses and negative cash flows from operations. As of December 31, 2018, we had retained earnings of $15.3 million compared to an accumulated deficit of $8.6 million as of December 31, 2017. We expect our operating expenses to continue to increase in the future as we expand our operations and increase our customer base due to expected increased sales and marketing expenses, operations costs, research and development costs and general and administration costs.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 In addition, our ability to achieve profitability is subject to a number of the risks and uncertainties, including those discussed herein, many of which are beyond our control.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our U.S. net operating loss carryforwards might be limited.</w:t>
      </w:r>
    </w:p>
    <w:p>
      <w:pPr>
        <w:spacing w:after="0" w:line="121" w:lineRule="exact"/>
        <w:rPr>
          <w:sz w:val="20"/>
          <w:szCs w:val="20"/>
          <w:color w:val="auto"/>
        </w:rPr>
      </w:pPr>
    </w:p>
    <w:p>
      <w:pPr>
        <w:ind w:right="120" w:firstLine="598"/>
        <w:spacing w:after="0" w:line="286" w:lineRule="auto"/>
        <w:rPr>
          <w:sz w:val="20"/>
          <w:szCs w:val="20"/>
          <w:color w:val="auto"/>
        </w:rPr>
      </w:pPr>
      <w:r>
        <w:rPr>
          <w:rFonts w:ascii="Arial" w:cs="Arial" w:eastAsia="Arial" w:hAnsi="Arial"/>
          <w:sz w:val="16"/>
          <w:szCs w:val="16"/>
          <w:color w:val="auto"/>
        </w:rPr>
        <w:t>As of December 31, 2018, we had net operating loss carryforwards of $37.5 million for U.S. federal tax purposes. We also had $3.2 million of various state net operating loss carryforwards. The net operating loss carryforwards for federal tax purposes will expire between 2020 and 2038 if not utilized. The net operating loss carryforwards for state tax purposes will expire between 2019 and 2031 if not utilized. To the extent these net operating loss carryforwards are available, we intend to use them to reduce the corporate income tax liability associated with our operations. Section 382 of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$1.0 million. This limitation could be further restricted if any ownership 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31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Unanticipated changes in effective tax rates or adverse outcomes resulting from examination of our income or other tax returns could adversely affect our operating results and financial condition.</w:t>
      </w:r>
    </w:p>
    <w:p>
      <w:pPr>
        <w:spacing w:after="0" w:line="58"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We are subject to income taxes in the U.S. and various foreign jurisdictions, and our domestic and international tax liabilities will be subject to the allocation of expenses in differing jurisdictions. Our future effective tax rates could be subject to volatility or adversely affected by a number of factors, including:</w:t>
      </w:r>
    </w:p>
    <w:p>
      <w:pPr>
        <w:ind w:left="1200" w:hanging="598"/>
        <w:spacing w:after="0" w:line="218" w:lineRule="auto"/>
        <w:tabs>
          <w:tab w:leader="none" w:pos="120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changes in the valuation of our deferred tax assets and liabilities ;</w:t>
      </w:r>
    </w:p>
    <w:p>
      <w:pPr>
        <w:spacing w:after="0" w:line="110" w:lineRule="exact"/>
        <w:rPr>
          <w:rFonts w:ascii="Arial" w:cs="Arial" w:eastAsia="Arial" w:hAnsi="Arial"/>
          <w:sz w:val="29"/>
          <w:szCs w:val="29"/>
          <w:color w:val="auto"/>
          <w:vertAlign w:val="superscript"/>
        </w:rPr>
      </w:pPr>
    </w:p>
    <w:p>
      <w:pPr>
        <w:ind w:left="1200" w:hanging="598"/>
        <w:spacing w:after="0" w:line="186" w:lineRule="auto"/>
        <w:tabs>
          <w:tab w:leader="none" w:pos="120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expected timing and amount of the release of tax valuation allowances ;</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expiration of, or detrimental changes in, research and development tax credit laws;</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tax effects of stock-based compensation;</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costs related to intercompany restructurings;</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changes in tax laws, regulations, accounting principles or interpretations thereof; and</w:t>
      </w:r>
    </w:p>
    <w:p>
      <w:pPr>
        <w:spacing w:after="0" w:line="110" w:lineRule="exact"/>
        <w:rPr>
          <w:rFonts w:ascii="Arial" w:cs="Arial" w:eastAsia="Arial" w:hAnsi="Arial"/>
          <w:sz w:val="24"/>
          <w:szCs w:val="24"/>
          <w:color w:val="auto"/>
          <w:vertAlign w:val="superscript"/>
        </w:rPr>
      </w:pPr>
    </w:p>
    <w:p>
      <w:pPr>
        <w:ind w:left="1200" w:right="420" w:hanging="598"/>
        <w:spacing w:after="0" w:line="191" w:lineRule="auto"/>
        <w:tabs>
          <w:tab w:leader="none" w:pos="120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addition, we may be subject to audits of our income and sales taxes by the Internal Revenue Service and other foreign and state tax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operating results and financial condition.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ind w:right="100"/>
        <w:spacing w:after="0" w:line="282" w:lineRule="auto"/>
        <w:rPr>
          <w:sz w:val="20"/>
          <w:szCs w:val="20"/>
          <w:color w:val="auto"/>
        </w:rPr>
      </w:pPr>
      <w:r>
        <w:rPr>
          <w:rFonts w:ascii="Arial" w:cs="Arial" w:eastAsia="Arial" w:hAnsi="Arial"/>
          <w:sz w:val="18"/>
          <w:szCs w:val="18"/>
          <w:b w:val="1"/>
          <w:b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8" w:lineRule="exact"/>
        <w:rPr>
          <w:sz w:val="20"/>
          <w:szCs w:val="20"/>
          <w:color w:val="auto"/>
        </w:rPr>
      </w:pPr>
    </w:p>
    <w:p>
      <w:pPr>
        <w:ind w:right="240" w:firstLine="598"/>
        <w:spacing w:after="0" w:line="286" w:lineRule="auto"/>
        <w:rPr>
          <w:sz w:val="20"/>
          <w:szCs w:val="20"/>
          <w:color w:val="auto"/>
        </w:rPr>
      </w:pPr>
      <w:r>
        <w:rPr>
          <w:rFonts w:ascii="Arial" w:cs="Arial" w:eastAsia="Arial" w:hAnsi="Arial"/>
          <w:sz w:val="17"/>
          <w:szCs w:val="17"/>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7"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cloud service providers that deliver business-to-business information systems using a multi-tenant approach;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Mergers or other strategic transactions involving our competitors could weaken our competitive position, which could harm our operating results.</w:t>
      </w:r>
    </w:p>
    <w:p>
      <w:pPr>
        <w:spacing w:after="0" w:line="144"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New entrants not currently considered to be competitors may also enter the market through acquisitions, partnerships, or strategic relationships. Any such consolidation, acquisition, alliance or cooperative relationship could lead to pricing pressure, loss of customers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28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Economic weakness and uncertainty could adversely affect our revenue, lengthen our sales cycles and make it difficult for us to forecast operating results accurately.</w:t>
      </w:r>
    </w:p>
    <w:p>
      <w:pPr>
        <w:spacing w:after="0" w:line="58"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2" w:name="page23"/>
    <w:bookmarkEnd w:id="22"/>
    <w:p>
      <w:pPr>
        <w:ind w:right="720"/>
        <w:spacing w:after="0" w:line="313" w:lineRule="auto"/>
        <w:rPr>
          <w:sz w:val="20"/>
          <w:szCs w:val="20"/>
          <w:color w:val="auto"/>
        </w:rPr>
      </w:pPr>
      <w:r>
        <w:rPr>
          <w:rFonts w:ascii="Arial" w:cs="Arial" w:eastAsia="Arial" w:hAnsi="Arial"/>
          <w:sz w:val="17"/>
          <w:szCs w:val="17"/>
          <w:b w:val="1"/>
          <w:b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34"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We have experienced a period of rapid growth in our headcount and operations. To the extent that we are able to sustain such growth, it might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if we are unsuccessful in hiring, training, managing and integrating these new employees, if we are not successful in retaining our existing employees, or if our culture is adversely affected by any of the foregoing,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2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fail to retain our Chief Executive Officer and other key personnel, our business would be harmed and we might not be able to implement our business plan successfully.</w:t>
      </w:r>
    </w:p>
    <w:p>
      <w:pPr>
        <w:spacing w:after="0" w:line="58"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The loss of any member of our senior management team or key personnel might significantly delay or prevent the achievement of our business objectives and could materially harm our business and our customer relationships. In addition, because of the nature of our business, the loss of any significant number of our existing engineering, project management and sales personnel could have an adverse effect on our business, results of operations and financial condition.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29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 and stock price.</w:t>
      </w:r>
    </w:p>
    <w:p>
      <w:pPr>
        <w:spacing w:after="0" w:line="7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the market price of our common stock could decline.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ind w:right="320"/>
        <w:spacing w:after="0" w:line="282" w:lineRule="auto"/>
        <w:rPr>
          <w:sz w:val="20"/>
          <w:szCs w:val="20"/>
          <w:color w:val="auto"/>
        </w:rPr>
      </w:pPr>
      <w:r>
        <w:rPr>
          <w:rFonts w:ascii="Arial" w:cs="Arial" w:eastAsia="Arial" w:hAnsi="Arial"/>
          <w:sz w:val="18"/>
          <w:szCs w:val="18"/>
          <w:b w:val="1"/>
          <w:b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8"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80" w:lineRule="exact"/>
        <w:rPr>
          <w:sz w:val="20"/>
          <w:szCs w:val="20"/>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enhance our solutions;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open source, or other no-cost products and services, expand into enterprise application and supply chain software, our fee revenues may decline.</w:t>
      </w:r>
    </w:p>
    <w:p>
      <w:pPr>
        <w:spacing w:after="0" w:line="14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Open source software, such as the Linux operating system, has been gaining in popularity among business users. If developers contribute enterprise and supply chain application software to the open source community, or if competitors make such software available at no cost, and that software has competitive features and scale to support business users in our markets, we may need to change our product pricing and distribution strategy to compete successfully, and our fee revenues may decline as a result.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Shares of our common stock were sold in our April 2010 initial public offering at a price of $12.00 per share and through December 31, 2018, our common stock has traded as high as $100.68 per share and as low as $8.45 per share. An active, liquid and orderly market for our common stock may not be sustained, which could depress the trading price of our common stock. Some of the factors that may cause the market price of our common stock to fluctuate include:</w:t>
      </w:r>
    </w:p>
    <w:p>
      <w:pPr>
        <w:spacing w:after="0" w:line="79"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volume;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any of our solutions to achieve or maintain market acceptance;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solutions, contracts, acquisitions or strategic alliances;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foreign countries or both;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17"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25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securities or industry analysts cease publishing research or reports about us, our business or our market, or if they publish negative evaluations of our stock, the price of our stock and trading volume could decline.</w:t>
      </w:r>
    </w:p>
    <w:p>
      <w:pPr>
        <w:spacing w:after="0" w:line="5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incorrect or unfavorable research about our business, our stock price would likely decline. In addition, if one or more of these analysts ceases coverage of our company or fails to publish reports on us regularly, demand for our stock could decrease, which could cause our stock price or trading volume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by our existing stockholders could cause our stock price to decline.</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2018, we had approximately 5.3 million shares of our common stock issuable under approved equity compensation plans which are covered by effective registration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delay, discourage, or inhibit a takeover that stockholders consider favorable.</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Provisions of our certificate of incorporation and bylaws and applicable provisions of Delaware law may delay, discourage, or inhibit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79" w:lineRule="exact"/>
        <w:rPr>
          <w:sz w:val="20"/>
          <w:szCs w:val="20"/>
          <w:color w:val="auto"/>
        </w:rPr>
      </w:pPr>
    </w:p>
    <w:p>
      <w:pPr>
        <w:ind w:left="1200" w:right="12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2" w:lineRule="exact"/>
        <w:rPr>
          <w:rFonts w:ascii="Arial" w:cs="Arial" w:eastAsia="Arial" w:hAnsi="Arial"/>
          <w:sz w:val="18"/>
          <w:szCs w:val="18"/>
          <w:color w:val="auto"/>
        </w:rPr>
      </w:pPr>
    </w:p>
    <w:p>
      <w:pPr>
        <w:ind w:left="1200" w:right="100" w:hanging="598"/>
        <w:spacing w:after="0" w:line="264"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right="80" w:firstLine="598"/>
        <w:spacing w:after="0" w:line="257" w:lineRule="auto"/>
        <w:rPr>
          <w:sz w:val="20"/>
          <w:szCs w:val="20"/>
          <w:color w:val="auto"/>
        </w:rPr>
      </w:pPr>
      <w:r>
        <w:rPr>
          <w:rFonts w:ascii="Arial" w:cs="Arial" w:eastAsia="Arial" w:hAnsi="Arial"/>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declare dividends on our stock in the foreseeable future.</w:t>
      </w:r>
    </w:p>
    <w:p>
      <w:pPr>
        <w:spacing w:after="0" w:line="12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Our corporate headquarters, including our principal administrative, marketing, sales, technical support and research and development facilities, are located in Minneapolis, Minnesota where we lease approximately 189,000 square feet under an agreement that expires on April 30, 2025. We have agreed to expand our headquarters premises by approximately 25,000 square feet during 2020. Our lease agreement also includes a further expansion right and a right of first offer to lease certain additional space and two options to extend the term of the lease for five years at a market rate determined in accordance with the lease.</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have operations in or near:</w:t>
      </w:r>
    </w:p>
    <w:p>
      <w:pPr>
        <w:spacing w:after="0" w:line="117" w:lineRule="exact"/>
        <w:rPr>
          <w:sz w:val="20"/>
          <w:szCs w:val="20"/>
          <w:color w:val="auto"/>
        </w:rPr>
      </w:pPr>
    </w:p>
    <w:p>
      <w:pPr>
        <w:ind w:left="1200" w:right="34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Little Falls, New Jersey, where we lease approximately 26,000 square feet under an agreement that expires on June 30, 2023. The lease includes a right of first offer to lease certain additional space and one option to extend the term of the lease for five years at a market rate determined in accordance with the lease.</w:t>
      </w:r>
    </w:p>
    <w:p>
      <w:pPr>
        <w:spacing w:after="0" w:line="73" w:lineRule="exact"/>
        <w:rPr>
          <w:rFonts w:ascii="Arial" w:cs="Arial" w:eastAsia="Arial" w:hAnsi="Arial"/>
          <w:sz w:val="18"/>
          <w:szCs w:val="18"/>
          <w:color w:val="auto"/>
        </w:rPr>
      </w:pPr>
    </w:p>
    <w:p>
      <w:pPr>
        <w:ind w:left="1200" w:right="34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Toronto, Ontario, where we lease approximately 17,000 square feet under an agreement that expires on December 31, 2021. The lease includes a right of first offer to lease certain additional space and one option to extend the term of the lease for five years at a market rate determined in accordance with the lease.</w:t>
      </w:r>
    </w:p>
    <w:p>
      <w:pPr>
        <w:spacing w:after="0" w:line="73" w:lineRule="exact"/>
        <w:rPr>
          <w:rFonts w:ascii="Arial" w:cs="Arial" w:eastAsia="Arial" w:hAnsi="Arial"/>
          <w:sz w:val="18"/>
          <w:szCs w:val="18"/>
          <w:color w:val="auto"/>
        </w:rPr>
      </w:pPr>
    </w:p>
    <w:p>
      <w:pPr>
        <w:ind w:left="1200" w:right="340" w:hanging="598"/>
        <w:spacing w:after="0" w:line="342" w:lineRule="auto"/>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Melbourne, Australia, where we lease approximately 11,000 square feet under an agreement that expires on October 15, 2021. The lease includes one option to extend the term of the lease for three years at a market rate determined in accordance with the lease.</w:t>
      </w:r>
    </w:p>
    <w:p>
      <w:pPr>
        <w:spacing w:after="0" w:line="15" w:lineRule="exact"/>
        <w:rPr>
          <w:rFonts w:ascii="Arial" w:cs="Arial" w:eastAsia="Arial" w:hAnsi="Arial"/>
          <w:sz w:val="16"/>
          <w:szCs w:val="16"/>
          <w:color w:val="auto"/>
        </w:rPr>
      </w:pPr>
    </w:p>
    <w:p>
      <w:pPr>
        <w:ind w:left="1200" w:right="14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Houston, Texas, where we lease approximately 4,600 square feet under an agreement that expires on January 31, 2022. The lease includes a right of first offer to lease certain additional spaces and one option to extend the term of the lease for up to three years at a market rate determined in accordance with the lease.</w:t>
      </w:r>
    </w:p>
    <w:p>
      <w:pPr>
        <w:spacing w:after="0" w:line="73"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Sydney, Australia, where we lease approximately 4,000 square feet under an agreement that expires on April 30, 2020. The lease includes a right of first offer to lease certain additional space and one option to extend the term of the lease for three years at a market rate determined in accordance with the lease.</w:t>
      </w:r>
    </w:p>
    <w:p>
      <w:pPr>
        <w:spacing w:after="0" w:line="73" w:lineRule="exact"/>
        <w:rPr>
          <w:rFonts w:ascii="Arial" w:cs="Arial" w:eastAsia="Arial" w:hAnsi="Arial"/>
          <w:sz w:val="18"/>
          <w:szCs w:val="18"/>
          <w:color w:val="auto"/>
        </w:rPr>
      </w:pPr>
    </w:p>
    <w:p>
      <w:pPr>
        <w:ind w:left="1200" w:right="200" w:hanging="598"/>
        <w:spacing w:after="0" w:line="342" w:lineRule="auto"/>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Kiev, Ukraine, where we lease approximately 3,000 square feet under an agreement that expires on April 26, 2020. The lease includes one option to extend the term of the lease for two years and 11 months at a market rate determined in accordance with the lease.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right="400" w:firstLine="598"/>
        <w:spacing w:after="0" w:line="277"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The following table sets forth, for the periods indicated, the high and low sales prices for our common stock as reported on the Nasdaq Global Market.</w:t>
      </w:r>
    </w:p>
    <w:p>
      <w:pPr>
        <w:spacing w:after="0" w:line="73"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8, 2019, we had 76 stockholders of record of our common stock, excluding holders whose stock is held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nominee name and/or street name brokerage accounts.</w:t>
      </w:r>
    </w:p>
    <w:p>
      <w:pPr>
        <w:spacing w:after="0" w:line="62"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historically paid dividends on our common stock. We currently intend to retain our future earnings, if any, to finance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121"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i w:val="1"/>
          <w:iCs w:val="1"/>
          <w:color w:val="auto"/>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or the Securities Act, or the Exchange Act, except to the extent we specifically incorporate it by reference into such filing.</w:t>
      </w:r>
    </w:p>
    <w:p>
      <w:pPr>
        <w:spacing w:after="0" w:line="63"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The graph below compares the cumulative total stockholder return of our common stock with that of the Nasdaq US Benchmark TR Index and the Nasdaq US Benchmark Computer Services TR Index from December 31, 2013 through December 31, 2018, utilizing the last trading day of each respective year. The graph assumes that $100 was invested in shares of our common stock, the Nasdaq US Benchmark TR Index and the Nasdaq US Benchmark Computer Services TR Index at the close of market on December 31, 2013, and that dividends, if any, were reinvested. The comparisons in this graph are based on historical data and are not intended to forecast or be indicative of future performance of our common stock.</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Comparison of Cumulative Total Returns of SPS Commerce, Inc., Nasdaq US Benchmark TR Index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US Benchmark Computer Services TR Index</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Nasdaq US</w:t>
            </w:r>
          </w:p>
        </w:tc>
        <w:tc>
          <w:tcPr>
            <w:tcW w:w="2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Nasdaq US</w:t>
            </w:r>
          </w:p>
        </w:tc>
      </w:tr>
      <w:tr>
        <w:trPr>
          <w:trHeight w:val="162"/>
        </w:trPr>
        <w:tc>
          <w:tcPr>
            <w:tcW w:w="5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Benchmark</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Benchmark Computer</w:t>
            </w:r>
          </w:p>
        </w:tc>
      </w:tr>
      <w:tr>
        <w:trPr>
          <w:trHeight w:val="171"/>
        </w:trPr>
        <w:tc>
          <w:tcPr>
            <w:tcW w:w="5080" w:type="dxa"/>
            <w:vAlign w:val="bottom"/>
          </w:tcPr>
          <w:p>
            <w:pPr>
              <w:spacing w:after="0"/>
              <w:rPr>
                <w:sz w:val="14"/>
                <w:szCs w:val="14"/>
                <w:color w:val="auto"/>
              </w:rPr>
            </w:pPr>
          </w:p>
        </w:tc>
        <w:tc>
          <w:tcPr>
            <w:tcW w:w="2160" w:type="dxa"/>
            <w:vAlign w:val="bottom"/>
            <w:gridSpan w:val="2"/>
          </w:tcPr>
          <w:p>
            <w:pPr>
              <w:ind w:left="460"/>
              <w:spacing w:after="0"/>
              <w:rPr>
                <w:sz w:val="20"/>
                <w:szCs w:val="20"/>
                <w:color w:val="auto"/>
              </w:rPr>
            </w:pPr>
            <w:r>
              <w:rPr>
                <w:rFonts w:ascii="Arial" w:cs="Arial" w:eastAsia="Arial" w:hAnsi="Arial"/>
                <w:sz w:val="14"/>
                <w:szCs w:val="14"/>
                <w:b w:val="1"/>
                <w:bCs w:val="1"/>
                <w:color w:val="auto"/>
              </w:rPr>
              <w:t>SPS Commerce</w:t>
            </w: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TR Index</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Services TR Index</w:t>
            </w:r>
          </w:p>
        </w:tc>
      </w:tr>
      <w:tr>
        <w:trPr>
          <w:trHeight w:val="223"/>
        </w:trPr>
        <w:tc>
          <w:tcPr>
            <w:tcW w:w="5080" w:type="dxa"/>
            <w:vAlign w:val="bottom"/>
            <w:tcBorders>
              <w:top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12/31/2013</w:t>
            </w:r>
          </w:p>
        </w:tc>
        <w:tc>
          <w:tcPr>
            <w:tcW w:w="1900" w:type="dxa"/>
            <w:vAlign w:val="bottom"/>
            <w:tcBorders>
              <w:top w:val="single" w:sz="8" w:color="auto"/>
            </w:tcBorders>
            <w:shd w:val="clear" w:color="auto" w:fill="CFF0FC"/>
          </w:tcPr>
          <w:p>
            <w:pPr>
              <w:jc w:val="center"/>
              <w:ind w:left="13"/>
              <w:spacing w:after="0"/>
              <w:rPr>
                <w:sz w:val="20"/>
                <w:szCs w:val="20"/>
                <w:color w:val="auto"/>
              </w:rPr>
            </w:pPr>
            <w:r>
              <w:rPr>
                <w:rFonts w:ascii="Arial" w:cs="Arial" w:eastAsia="Arial" w:hAnsi="Arial"/>
                <w:sz w:val="18"/>
                <w:szCs w:val="18"/>
                <w:color w:val="auto"/>
                <w:w w:val="88"/>
              </w:rPr>
              <w:t>100.0</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12/31/2014</w:t>
            </w:r>
          </w:p>
        </w:tc>
        <w:tc>
          <w:tcPr>
            <w:tcW w:w="1900" w:type="dxa"/>
            <w:vAlign w:val="bottom"/>
          </w:tcPr>
          <w:p>
            <w:pPr>
              <w:jc w:val="center"/>
              <w:ind w:left="13"/>
              <w:spacing w:after="0"/>
              <w:rPr>
                <w:sz w:val="20"/>
                <w:szCs w:val="20"/>
                <w:color w:val="auto"/>
              </w:rPr>
            </w:pPr>
            <w:r>
              <w:rPr>
                <w:rFonts w:ascii="Arial" w:cs="Arial" w:eastAsia="Arial" w:hAnsi="Arial"/>
                <w:sz w:val="18"/>
                <w:szCs w:val="18"/>
                <w:color w:val="auto"/>
                <w:w w:val="91"/>
              </w:rPr>
              <w:t>86.7</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112.5</w:t>
            </w:r>
          </w:p>
        </w:tc>
        <w:tc>
          <w:tcPr>
            <w:tcW w:w="260" w:type="dxa"/>
            <w:vAlign w:val="bottom"/>
          </w:tcPr>
          <w:p>
            <w:pPr>
              <w:spacing w:after="0"/>
              <w:rPr>
                <w:sz w:val="19"/>
                <w:szCs w:val="19"/>
                <w:color w:val="auto"/>
              </w:rPr>
            </w:pPr>
          </w:p>
        </w:tc>
        <w:tc>
          <w:tcPr>
            <w:tcW w:w="1900" w:type="dxa"/>
            <w:vAlign w:val="bottom"/>
          </w:tcPr>
          <w:p>
            <w:pPr>
              <w:jc w:val="center"/>
              <w:ind w:left="16"/>
              <w:spacing w:after="0"/>
              <w:rPr>
                <w:sz w:val="20"/>
                <w:szCs w:val="20"/>
                <w:color w:val="auto"/>
              </w:rPr>
            </w:pPr>
            <w:r>
              <w:rPr>
                <w:rFonts w:ascii="Arial" w:cs="Arial" w:eastAsia="Arial" w:hAnsi="Arial"/>
                <w:sz w:val="18"/>
                <w:szCs w:val="18"/>
                <w:color w:val="auto"/>
                <w:w w:val="91"/>
              </w:rPr>
              <w:t>95.2</w:t>
            </w:r>
          </w:p>
        </w:tc>
        <w:tc>
          <w:tcPr>
            <w:tcW w:w="120" w:type="dxa"/>
            <w:vAlign w:val="bottom"/>
          </w:tcPr>
          <w:p>
            <w:pPr>
              <w:spacing w:after="0"/>
              <w:rPr>
                <w:sz w:val="19"/>
                <w:szCs w:val="19"/>
                <w:color w:val="auto"/>
              </w:rPr>
            </w:pPr>
          </w:p>
        </w:tc>
      </w:tr>
      <w:tr>
        <w:trPr>
          <w:trHeight w:val="230"/>
        </w:trPr>
        <w:tc>
          <w:tcPr>
            <w:tcW w:w="508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12/31/2015</w:t>
            </w:r>
          </w:p>
        </w:tc>
        <w:tc>
          <w:tcPr>
            <w:tcW w:w="19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8"/>
              </w:rPr>
              <w:t>107.5</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113.0</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91"/>
              </w:rPr>
              <w:t>93.2</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12/30/2016</w:t>
            </w:r>
          </w:p>
        </w:tc>
        <w:tc>
          <w:tcPr>
            <w:tcW w:w="1900" w:type="dxa"/>
            <w:vAlign w:val="bottom"/>
          </w:tcPr>
          <w:p>
            <w:pPr>
              <w:jc w:val="center"/>
              <w:ind w:left="13"/>
              <w:spacing w:after="0"/>
              <w:rPr>
                <w:sz w:val="20"/>
                <w:szCs w:val="20"/>
                <w:color w:val="auto"/>
              </w:rPr>
            </w:pPr>
            <w:r>
              <w:rPr>
                <w:rFonts w:ascii="Arial" w:cs="Arial" w:eastAsia="Arial" w:hAnsi="Arial"/>
                <w:sz w:val="18"/>
                <w:szCs w:val="18"/>
                <w:color w:val="auto"/>
                <w:w w:val="88"/>
              </w:rPr>
              <w:t>107.0</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127.7</w:t>
            </w:r>
          </w:p>
        </w:tc>
        <w:tc>
          <w:tcPr>
            <w:tcW w:w="260" w:type="dxa"/>
            <w:vAlign w:val="bottom"/>
          </w:tcPr>
          <w:p>
            <w:pPr>
              <w:spacing w:after="0"/>
              <w:rPr>
                <w:sz w:val="19"/>
                <w:szCs w:val="19"/>
                <w:color w:val="auto"/>
              </w:rPr>
            </w:pPr>
          </w:p>
        </w:tc>
        <w:tc>
          <w:tcPr>
            <w:tcW w:w="1900" w:type="dxa"/>
            <w:vAlign w:val="bottom"/>
          </w:tcPr>
          <w:p>
            <w:pPr>
              <w:jc w:val="center"/>
              <w:ind w:left="16"/>
              <w:spacing w:after="0"/>
              <w:rPr>
                <w:sz w:val="20"/>
                <w:szCs w:val="20"/>
                <w:color w:val="auto"/>
              </w:rPr>
            </w:pPr>
            <w:r>
              <w:rPr>
                <w:rFonts w:ascii="Arial" w:cs="Arial" w:eastAsia="Arial" w:hAnsi="Arial"/>
                <w:sz w:val="18"/>
                <w:szCs w:val="18"/>
                <w:color w:val="auto"/>
                <w:w w:val="88"/>
              </w:rPr>
              <w:t>149.3</w:t>
            </w:r>
          </w:p>
        </w:tc>
        <w:tc>
          <w:tcPr>
            <w:tcW w:w="120" w:type="dxa"/>
            <w:vAlign w:val="bottom"/>
          </w:tcPr>
          <w:p>
            <w:pPr>
              <w:spacing w:after="0"/>
              <w:rPr>
                <w:sz w:val="19"/>
                <w:szCs w:val="19"/>
                <w:color w:val="auto"/>
              </w:rPr>
            </w:pPr>
          </w:p>
        </w:tc>
      </w:tr>
      <w:tr>
        <w:trPr>
          <w:trHeight w:val="230"/>
        </w:trPr>
        <w:tc>
          <w:tcPr>
            <w:tcW w:w="508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12/29/2017</w:t>
            </w:r>
          </w:p>
        </w:tc>
        <w:tc>
          <w:tcPr>
            <w:tcW w:w="19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1"/>
              </w:rPr>
              <w:t>74.4</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155.0</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88"/>
              </w:rPr>
              <w:t>120.9</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12/31/2018</w:t>
            </w:r>
          </w:p>
        </w:tc>
        <w:tc>
          <w:tcPr>
            <w:tcW w:w="1900" w:type="dxa"/>
            <w:vAlign w:val="bottom"/>
          </w:tcPr>
          <w:p>
            <w:pPr>
              <w:jc w:val="center"/>
              <w:ind w:left="13"/>
              <w:spacing w:after="0"/>
              <w:rPr>
                <w:sz w:val="20"/>
                <w:szCs w:val="20"/>
                <w:color w:val="auto"/>
              </w:rPr>
            </w:pPr>
            <w:r>
              <w:rPr>
                <w:rFonts w:ascii="Arial" w:cs="Arial" w:eastAsia="Arial" w:hAnsi="Arial"/>
                <w:sz w:val="18"/>
                <w:szCs w:val="18"/>
                <w:color w:val="auto"/>
                <w:w w:val="88"/>
              </w:rPr>
              <w:t>126.2</w:t>
            </w:r>
          </w:p>
        </w:tc>
        <w:tc>
          <w:tcPr>
            <w:tcW w:w="260" w:type="dxa"/>
            <w:vAlign w:val="bottom"/>
          </w:tcPr>
          <w:p>
            <w:pPr>
              <w:spacing w:after="0"/>
              <w:rPr>
                <w:sz w:val="20"/>
                <w:szCs w:val="20"/>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146.6</w:t>
            </w:r>
          </w:p>
        </w:tc>
        <w:tc>
          <w:tcPr>
            <w:tcW w:w="260" w:type="dxa"/>
            <w:vAlign w:val="bottom"/>
          </w:tcPr>
          <w:p>
            <w:pPr>
              <w:spacing w:after="0"/>
              <w:rPr>
                <w:sz w:val="20"/>
                <w:szCs w:val="20"/>
                <w:color w:val="auto"/>
              </w:rPr>
            </w:pPr>
          </w:p>
        </w:tc>
        <w:tc>
          <w:tcPr>
            <w:tcW w:w="1900" w:type="dxa"/>
            <w:vAlign w:val="bottom"/>
          </w:tcPr>
          <w:p>
            <w:pPr>
              <w:jc w:val="center"/>
              <w:ind w:left="16"/>
              <w:spacing w:after="0"/>
              <w:rPr>
                <w:sz w:val="20"/>
                <w:szCs w:val="20"/>
                <w:color w:val="auto"/>
              </w:rPr>
            </w:pPr>
            <w:r>
              <w:rPr>
                <w:rFonts w:ascii="Arial" w:cs="Arial" w:eastAsia="Arial" w:hAnsi="Arial"/>
                <w:sz w:val="18"/>
                <w:szCs w:val="18"/>
                <w:color w:val="auto"/>
                <w:w w:val="88"/>
              </w:rPr>
              <w:t>110.6</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76835</wp:posOffset>
            </wp:positionV>
            <wp:extent cx="5342890" cy="2667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289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Sales of 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On November 2, 2017, our board of directors authorized a program to repurchase up to $50.0 million of common stock. Under the program, purchases may be made from time to time in the open market over two years. We repurchased 289,745 shares at a cost of $19.9 million and 122,147 shares at a cost of $5.8 million for the years ended December 31, 2018 and 2017, respectively. As of December 31, 2018, $24.3 million of the $50.0 million of the share repurchases authorized was available for future share repurchases.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9" w:name="page30"/>
    <w:bookmarkEnd w:id="29"/>
    <w:p>
      <w:pPr>
        <w:jc w:val="both"/>
        <w:ind w:right="100" w:firstLine="598"/>
        <w:spacing w:after="0" w:line="264"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fourth quarter of 2018, the average price paid per share, the number of shares that we purchased as part of our publicly announced repurchase program and the approximate dollar value of shares that still could be repurchased at the end of the applicable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vMerge w:val="restart"/>
          </w:tcPr>
          <w:p>
            <w:pPr>
              <w:ind w:left="2680"/>
              <w:spacing w:after="0"/>
              <w:rPr>
                <w:sz w:val="20"/>
                <w:szCs w:val="20"/>
                <w:color w:val="auto"/>
              </w:rPr>
            </w:pPr>
            <w:r>
              <w:rPr>
                <w:rFonts w:ascii="Arial" w:cs="Arial" w:eastAsia="Arial" w:hAnsi="Arial"/>
                <w:sz w:val="14"/>
                <w:szCs w:val="14"/>
                <w:b w:val="1"/>
                <w:bCs w:val="1"/>
                <w:color w:val="auto"/>
              </w:rPr>
              <w:t>Period</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October 1-31, 2018</w:t>
            </w:r>
          </w:p>
        </w:tc>
        <w:tc>
          <w:tcPr>
            <w:tcW w:w="1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70,100</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85.59</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70,100</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1-30, 2018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December 1 - 31, 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24,300,000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fourth quarter 2018</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24,300,000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See Note K to our consolidated financial statements, included in this Annual Report on Form 10-K, for additional information regarding our stock repurchase program.</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 xml:space="preserve">The following selected financial data should be read together with our audited consolidated financial statements and the related notes and with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which are included elsewhere in this Annual Report on Form 10-K. Our historical results are not necessarily indicative of results to be expected for any future period.</w:t>
      </w:r>
    </w:p>
    <w:p>
      <w:pPr>
        <w:spacing w:after="0" w:line="73" w:lineRule="exact"/>
        <w:rPr>
          <w:sz w:val="20"/>
          <w:szCs w:val="20"/>
          <w:color w:val="auto"/>
        </w:rPr>
      </w:pPr>
    </w:p>
    <w:p>
      <w:pPr>
        <w:jc w:val="both"/>
        <w:ind w:right="180" w:firstLine="598"/>
        <w:spacing w:after="0" w:line="312" w:lineRule="auto"/>
        <w:rPr>
          <w:sz w:val="20"/>
          <w:szCs w:val="20"/>
          <w:color w:val="auto"/>
        </w:rPr>
      </w:pPr>
      <w:r>
        <w:rPr>
          <w:rFonts w:ascii="Arial" w:cs="Arial" w:eastAsia="Arial" w:hAnsi="Arial"/>
          <w:sz w:val="16"/>
          <w:szCs w:val="16"/>
          <w:color w:val="auto"/>
        </w:rPr>
        <w:t>The statements of income data for each of the years ended December 31, 2018, 2017 and 2016, the balance sheet data as of December 31, 2018 and 2017, and the operating data relating to Adjusted EBITDA and non-GAAP income per diluted share for each of the years ended December 31, 2018, 2017, and 2016 have been derived from our audited consolidated financial statements, which are included in this Annual Report on Form 10-K.</w:t>
      </w:r>
    </w:p>
    <w:p>
      <w:pPr>
        <w:spacing w:after="0" w:line="39"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 xml:space="preserve">The statements of income data for the years ended December 31, 2015, and 2014, the balance sheet data as of December 31, 2016, 2015 and 2014, and the operating data relating to Adjusted EBITDA and non-GAAP income per diluted share for each of the years ended December 31, 2015 and 2014 have been derived from our audited consolidated financial statements which are not included in this Annual Report on Form 10-K, but which have been included in prior Annual Reports on Form 10-K filed with the SEC. These statements do not reflect our adoption of Accounting Standards Update (“ASU”) No. 2014-09, </w:t>
      </w:r>
      <w:r>
        <w:rPr>
          <w:rFonts w:ascii="Arial" w:cs="Arial" w:eastAsia="Arial" w:hAnsi="Arial"/>
          <w:sz w:val="16"/>
          <w:szCs w:val="16"/>
          <w:i w:val="1"/>
          <w:iCs w:val="1"/>
          <w:color w:val="auto"/>
        </w:rPr>
        <w:t>Revenue from Contracts with Customers (Topic 606) and Other Assets and Deferred Costs – Contracts with Customers (Subtopic 340-40)</w:t>
      </w:r>
      <w:r>
        <w:rPr>
          <w:rFonts w:ascii="Arial" w:cs="Arial" w:eastAsia="Arial" w:hAnsi="Arial"/>
          <w:sz w:val="16"/>
          <w:szCs w:val="16"/>
          <w:color w:val="auto"/>
        </w:rPr>
        <w:t>.</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Adjusted EBITDA and non-GAAP income per diluted share are non-GAAP financial measures. We believe that these non-GAAP measures provide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useful information to management and investors regarding certain financial and business trends relating to our financial condition and results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operations. Our management uses these non-GAAP measures to compare the company’s performance to that of prior periods for trend analyses and planning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Adjusted EBITDA is also used for purposes of determining executive and senior management incentive compensation. These measures are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presented to our board of directors.</w:t>
      </w:r>
    </w:p>
    <w:p>
      <w:pPr>
        <w:spacing w:after="0" w:line="103"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right="280" w:firstLine="598"/>
        <w:spacing w:after="0" w:line="277" w:lineRule="auto"/>
        <w:rPr>
          <w:sz w:val="20"/>
          <w:szCs w:val="20"/>
          <w:color w:val="auto"/>
        </w:rPr>
      </w:pPr>
      <w:r>
        <w:rPr>
          <w:rFonts w:ascii="Arial" w:cs="Arial" w:eastAsia="Arial" w:hAnsi="Arial"/>
          <w:sz w:val="18"/>
          <w:szCs w:val="18"/>
          <w:color w:val="auto"/>
        </w:rPr>
        <w:t>The operating data relating to recurring revenue customers for all periods presented is unaudited and has been derived from our internal records of our operations.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9"/>
          </w:tcPr>
          <w:p>
            <w:pPr>
              <w:jc w:val="center"/>
              <w:ind w:right="44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Statements of Income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248,240</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220,085</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193,153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158,518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Cost of revenues </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81,748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73,625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64,346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166,492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146,460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128,807</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108,475</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136,479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101,452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Balance Sheet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133,859</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123,127</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115,877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121,538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156,359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339,738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261,731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318,974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257,767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222,185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9"/>
          </w:tcPr>
          <w:p>
            <w:pPr>
              <w:jc w:val="center"/>
              <w:ind w:right="460"/>
              <w:spacing w:after="0" w:line="155" w:lineRule="exact"/>
              <w:rPr>
                <w:sz w:val="20"/>
                <w:szCs w:val="20"/>
                <w:color w:val="auto"/>
              </w:rPr>
            </w:pPr>
            <w:r>
              <w:rPr>
                <w:rFonts w:ascii="Arial" w:cs="Arial" w:eastAsia="Arial" w:hAnsi="Arial"/>
                <w:sz w:val="14"/>
                <w:szCs w:val="14"/>
                <w:b w:val="1"/>
                <w:bCs w:val="1"/>
                <w:color w:val="auto"/>
                <w:w w:val="94"/>
              </w:rPr>
              <w:t>(Unaudited, adjusted EBITDA 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51,301</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34,170</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25,370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22,620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Non-GAAP income per diluted share with tax adjustments </w:t>
            </w:r>
            <w:r>
              <w:rPr>
                <w:rFonts w:ascii="Arial" w:cs="Arial" w:eastAsia="Arial" w:hAnsi="Arial"/>
                <w:sz w:val="15"/>
                <w:szCs w:val="15"/>
                <w:color w:val="auto"/>
              </w:rPr>
              <w:t>(3)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Recurring revenue customers </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620" w:right="4140" w:hanging="5612"/>
        <w:spacing w:after="0" w:line="513" w:lineRule="auto"/>
        <w:tabs>
          <w:tab w:leader="none" w:pos="598" w:val="left"/>
        </w:tabs>
        <w:numPr>
          <w:ilvl w:val="0"/>
          <w:numId w:val="20"/>
        </w:numPr>
        <w:rPr>
          <w:rFonts w:ascii="Arial" w:cs="Arial" w:eastAsia="Arial" w:hAnsi="Arial"/>
          <w:sz w:val="15"/>
          <w:szCs w:val="15"/>
          <w:color w:val="auto"/>
        </w:rPr>
      </w:pPr>
      <w:r>
        <w:rPr>
          <w:rFonts w:ascii="Arial" w:cs="Arial" w:eastAsia="Arial" w:hAnsi="Arial"/>
          <w:sz w:val="18"/>
          <w:szCs w:val="18"/>
          <w:color w:val="auto"/>
        </w:rPr>
        <w:t>See stock-based compensation disclosures in Note L, expense was as follows (in thousands):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hanging="592"/>
        <w:spacing w:after="0" w:line="269" w:lineRule="auto"/>
        <w:tabs>
          <w:tab w:leader="none" w:pos="600" w:val="left"/>
        </w:tabs>
        <w:numPr>
          <w:ilvl w:val="0"/>
          <w:numId w:val="21"/>
        </w:numPr>
        <w:rPr>
          <w:rFonts w:ascii="Arial" w:cs="Arial" w:eastAsia="Arial" w:hAnsi="Arial"/>
          <w:sz w:val="14"/>
          <w:szCs w:val="14"/>
          <w:color w:val="auto"/>
        </w:rPr>
      </w:pPr>
      <w:r>
        <w:rPr>
          <w:rFonts w:ascii="Arial" w:cs="Arial" w:eastAsia="Arial" w:hAnsi="Arial"/>
          <w:sz w:val="17"/>
          <w:szCs w:val="17"/>
          <w:color w:val="auto"/>
        </w:rPr>
        <w:t>Adjusted EBITDA consists of net income adjusted for depreciation and amortization, interest expense, interest income, income tax expense, stock-based compensation expense, the discrete impact from tax law change and other adjustments as necessary for a fair presentation. In 2017, the discrete impact from tax law change included $6.8 million of tax expense related to The Tax Cuts and Jobs Act (“Tax Act”) reduction in the corporate tax rate to 21.0% resulting in a decrease in our net deferred tax assets. Other adjustments included the impact of the fair value adjustment for the EDIAdmin earn-out liability in 2018, the fair value adjustment for the Toolbox Solutions share-based earn-out liability in 2016, a one-time Australian stamp duty tax related to the Leadtec acquisition in 2014, as well as the impact of use tax refunds in 2015, and 2014 related to items previously expensed. We use Adjusted EBITDA as a measure of operating performance because it assists us in comparing performance on a consistent basis, as it removes the impact of our capital structure from our operating results.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to Adjusted EBITDA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Discrete impact from tax law change</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34,170</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right="140" w:hanging="592"/>
        <w:spacing w:after="0" w:line="279"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7"/>
          <w:szCs w:val="17"/>
          <w:color w:val="auto"/>
        </w:rPr>
        <w:t>Non-GAAP income per share consists of net income 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EDIAdmin earn-out liability in 2018 and the fair value adjustment for the Toolbox Solutions share-based earn-out liability in 2016.</w:t>
      </w:r>
    </w:p>
    <w:p>
      <w:pPr>
        <w:spacing w:after="0" w:line="63" w:lineRule="exact"/>
        <w:rPr>
          <w:rFonts w:ascii="Arial" w:cs="Arial" w:eastAsia="Arial" w:hAnsi="Arial"/>
          <w:sz w:val="14"/>
          <w:szCs w:val="14"/>
          <w:color w:val="auto"/>
        </w:rPr>
      </w:pPr>
    </w:p>
    <w:p>
      <w:pPr>
        <w:jc w:val="both"/>
        <w:ind w:left="600" w:right="20"/>
        <w:spacing w:after="0" w:line="257" w:lineRule="auto"/>
        <w:rPr>
          <w:rFonts w:ascii="Arial" w:cs="Arial" w:eastAsia="Arial" w:hAnsi="Arial"/>
          <w:sz w:val="14"/>
          <w:szCs w:val="14"/>
          <w:color w:val="auto"/>
        </w:rPr>
      </w:pPr>
      <w:r>
        <w:rPr>
          <w:rFonts w:ascii="Arial" w:cs="Arial" w:eastAsia="Arial" w:hAnsi="Arial"/>
          <w:sz w:val="18"/>
          <w:szCs w:val="18"/>
          <w:color w:val="auto"/>
        </w:rPr>
        <w:t>Pursuant to a Compliance and Disclosure Interpretation published by the U.S. SEC in May 2016, related to the use of non-GAAP financial measures, in 2017, we began including an adjustment to non-GAAP income to reflect the income tax effects of the adjustments to GAAP net income (loss). To quantify the tax effects, we recalculate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32" w:name="page33"/>
    <w:bookmarkEnd w:id="32"/>
    <w:p>
      <w:pPr>
        <w:ind w:left="600" w:right="500"/>
        <w:spacing w:after="0" w:line="342" w:lineRule="auto"/>
        <w:rPr>
          <w:sz w:val="20"/>
          <w:szCs w:val="20"/>
          <w:color w:val="auto"/>
        </w:rPr>
      </w:pPr>
      <w:r>
        <w:rPr>
          <w:rFonts w:ascii="Arial" w:cs="Arial" w:eastAsia="Arial" w:hAnsi="Arial"/>
          <w:sz w:val="16"/>
          <w:szCs w:val="16"/>
          <w:color w:val="auto"/>
        </w:rPr>
        <w:t>We believe non-GAAP income per share is useful to an investor because it is widely used to measure a company’s operating performance. The following table provides a reconciliation of net income to non-GAAP income per share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Discrete impact from tax law change</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as historically reported</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16,618</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FF0FC"/>
            </w:tcBorders>
          </w:tcPr>
          <w:p>
            <w:pPr>
              <w:spacing w:after="0"/>
              <w:rPr>
                <w:sz w:val="22"/>
                <w:szCs w:val="22"/>
                <w:color w:val="auto"/>
              </w:rPr>
            </w:pPr>
          </w:p>
        </w:tc>
      </w:tr>
      <w:tr>
        <w:trPr>
          <w:trHeight w:val="21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FF0FC"/>
          </w:tcPr>
          <w:p>
            <w:pPr>
              <w:spacing w:after="0"/>
              <w:rPr>
                <w:sz w:val="18"/>
                <w:szCs w:val="18"/>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with tax adjustments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36,101</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17,675</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100" w:type="dxa"/>
            <w:vAlign w:val="bottom"/>
            <w:tcBorders>
              <w:bottom w:val="single" w:sz="8" w:color="CFF0FC"/>
            </w:tcBorders>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17,183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Non-GAAP income per share with tax adjustments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 as historically reported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left="600" w:right="60" w:hanging="592"/>
        <w:spacing w:after="0" w:line="302" w:lineRule="auto"/>
        <w:tabs>
          <w:tab w:leader="none" w:pos="600" w:val="left"/>
        </w:tabs>
        <w:numPr>
          <w:ilvl w:val="0"/>
          <w:numId w:val="23"/>
        </w:numPr>
        <w:rPr>
          <w:rFonts w:ascii="Arial" w:cs="Arial" w:eastAsia="Arial" w:hAnsi="Arial"/>
          <w:sz w:val="14"/>
          <w:szCs w:val="14"/>
          <w:color w:val="auto"/>
        </w:rPr>
      </w:pPr>
      <w:r>
        <w:rPr>
          <w:rFonts w:ascii="Arial" w:cs="Arial" w:eastAsia="Arial" w:hAnsi="Arial"/>
          <w:sz w:val="16"/>
          <w:szCs w:val="16"/>
          <w:color w:val="auto"/>
        </w:rPr>
        <w:t>This reflects the number of recurring revenue customers at the end of the period. Recurring revenue customers are customers with monthly to annual contracts to pay for recurring monthly services. A small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to 90 days’ notice.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63"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79" w:lineRule="exact"/>
        <w:rPr>
          <w:sz w:val="20"/>
          <w:szCs w:val="20"/>
          <w:color w:val="auto"/>
        </w:rPr>
      </w:pPr>
    </w:p>
    <w:p>
      <w:pPr>
        <w:ind w:right="380" w:firstLine="598"/>
        <w:spacing w:after="0" w:line="276" w:lineRule="auto"/>
        <w:rPr>
          <w:sz w:val="20"/>
          <w:szCs w:val="20"/>
          <w:color w:val="auto"/>
        </w:rPr>
      </w:pPr>
      <w:r>
        <w:rPr>
          <w:rFonts w:ascii="Arial" w:cs="Arial" w:eastAsia="Arial" w:hAnsi="Arial"/>
          <w:sz w:val="17"/>
          <w:szCs w:val="17"/>
          <w:color w:val="auto"/>
        </w:rPr>
        <w:t>For the years ended December 31, 2018, 2017 and 2016, we generated revenues of $248.2 million, $220.1 million and $193.2 million, respectively. Our fiscal quarter ended December 31, 2018 represented our 72nd consecutive quarter of increased revenues. Recurring revenues from recurring revenue customers accounted for 93%, 93% and 92% of our total revenues for the years ended December 31, 2018, 2017 and 2016, respectively. Our revenues are not concentrated with any customer, as our largest customer represented less than 1% of total revenues for the year ended December 31, 2018 and 2017 and less than 2% of total revenues for the year ended December 31,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117" w:lineRule="exact"/>
        <w:rPr>
          <w:sz w:val="20"/>
          <w:szCs w:val="20"/>
          <w:color w:val="auto"/>
        </w:rPr>
      </w:pPr>
    </w:p>
    <w:p>
      <w:pPr>
        <w:ind w:right="520" w:firstLine="598"/>
        <w:spacing w:after="0" w:line="264" w:lineRule="auto"/>
        <w:rPr>
          <w:sz w:val="20"/>
          <w:szCs w:val="20"/>
          <w:color w:val="auto"/>
        </w:rPr>
      </w:pPr>
      <w:r>
        <w:rPr>
          <w:rFonts w:ascii="Arial" w:cs="Arial" w:eastAsia="Arial" w:hAnsi="Arial"/>
          <w:sz w:val="18"/>
          <w:szCs w:val="18"/>
          <w:i w:val="1"/>
          <w:iCs w:val="1"/>
          <w:color w:val="auto"/>
        </w:rPr>
        <w:t xml:space="preserve">Trading Partner Community. </w:t>
      </w:r>
      <w:r>
        <w:rPr>
          <w:rFonts w:ascii="Arial" w:cs="Arial" w:eastAsia="Arial" w:hAnsi="Arial"/>
          <w:sz w:val="18"/>
          <w:szCs w:val="18"/>
          <w:color w:val="auto"/>
        </w:rPr>
        <w:t>Our Community solution provides communication programs based on our best practices. These programs enable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from large and small retailers and suppliers to emerging providers of value-added products and services, to establish trading partner relationships with new trading partners to expand their businesses.</w:t>
      </w:r>
    </w:p>
    <w:p>
      <w:pPr>
        <w:spacing w:after="0" w:line="73"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i w:val="1"/>
          <w:iCs w:val="1"/>
          <w:color w:val="auto"/>
        </w:rPr>
        <w:t xml:space="preserve">Trading Partner Fulfillment. </w:t>
      </w:r>
      <w:r>
        <w:rPr>
          <w:rFonts w:ascii="Arial" w:cs="Arial" w:eastAsia="Arial" w:hAnsi="Arial"/>
          <w:sz w:val="18"/>
          <w:szCs w:val="18"/>
          <w:color w:val="auto"/>
        </w:rPr>
        <w:t>Our Fulfillment solution provides fulfillment automation and replaces or augments an organization’s existing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electronic communication infrastructure, enabling suppliers to have visibility into the journey of an order and comply with retailers’ rule books and enabling the electronic exchange of information among numerous trading partners through various protocols.</w:t>
      </w:r>
    </w:p>
    <w:p>
      <w:pPr>
        <w:spacing w:after="0" w:line="73" w:lineRule="exact"/>
        <w:rPr>
          <w:sz w:val="20"/>
          <w:szCs w:val="20"/>
          <w:color w:val="auto"/>
        </w:rPr>
      </w:pPr>
    </w:p>
    <w:p>
      <w:pPr>
        <w:ind w:right="420" w:firstLine="598"/>
        <w:spacing w:after="0" w:line="312" w:lineRule="auto"/>
        <w:rPr>
          <w:sz w:val="20"/>
          <w:szCs w:val="20"/>
          <w:color w:val="auto"/>
        </w:rPr>
      </w:pPr>
      <w:r>
        <w:rPr>
          <w:rFonts w:ascii="Arial" w:cs="Arial" w:eastAsia="Arial" w:hAnsi="Arial"/>
          <w:sz w:val="16"/>
          <w:szCs w:val="16"/>
          <w:i w:val="1"/>
          <w:iCs w:val="1"/>
          <w:color w:val="auto"/>
        </w:rPr>
        <w:t xml:space="preserve">Trading Partner Assortment. </w:t>
      </w:r>
      <w:r>
        <w:rPr>
          <w:rFonts w:ascii="Arial" w:cs="Arial" w:eastAsia="Arial" w:hAnsi="Arial"/>
          <w:sz w:val="16"/>
          <w:szCs w:val="16"/>
          <w:color w:val="auto"/>
        </w:rPr>
        <w:t>Today’s retail marketplace requires the management of numerous individual attributes associated with each item a</w:t>
      </w:r>
      <w:r>
        <w:rPr>
          <w:rFonts w:ascii="Arial" w:cs="Arial" w:eastAsia="Arial" w:hAnsi="Arial"/>
          <w:sz w:val="16"/>
          <w:szCs w:val="16"/>
          <w:i w:val="1"/>
          <w:iCs w:val="1"/>
          <w:color w:val="auto"/>
        </w:rPr>
        <w:t xml:space="preserve"> </w:t>
      </w:r>
      <w:r>
        <w:rPr>
          <w:rFonts w:ascii="Arial" w:cs="Arial" w:eastAsia="Arial" w:hAnsi="Arial"/>
          <w:sz w:val="16"/>
          <w:szCs w:val="16"/>
          <w:color w:val="auto"/>
        </w:rPr>
        <w:t>retailer or supplier sells today. This information can include digital images/video, customer facing descriptions and measurements, and warehouse information. Our Assortment product provides robust, extensible management of this information, enabling accurate orders and rapid fulfillment.</w:t>
      </w:r>
    </w:p>
    <w:p>
      <w:pPr>
        <w:spacing w:after="0" w:line="39"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i w:val="1"/>
          <w:iCs w:val="1"/>
          <w:color w:val="auto"/>
        </w:rPr>
        <w:t xml:space="preserve">Trading Partner Analytics. </w:t>
      </w:r>
      <w:r>
        <w:rPr>
          <w:rFonts w:ascii="Arial" w:cs="Arial" w:eastAsia="Arial" w:hAnsi="Arial"/>
          <w:sz w:val="17"/>
          <w:szCs w:val="17"/>
          <w:color w:val="auto"/>
        </w:rPr>
        <w:t>Our Analytics solution consists of data analytics applications that enable our customers to improve their visibility across,</w:t>
      </w:r>
      <w:r>
        <w:rPr>
          <w:rFonts w:ascii="Arial" w:cs="Arial" w:eastAsia="Arial" w:hAnsi="Arial"/>
          <w:sz w:val="17"/>
          <w:szCs w:val="17"/>
          <w:i w:val="1"/>
          <w:iCs w:val="1"/>
          <w:color w:val="auto"/>
        </w:rPr>
        <w:t xml:space="preserve"> </w:t>
      </w:r>
      <w:r>
        <w:rPr>
          <w:rFonts w:ascii="Arial" w:cs="Arial" w:eastAsia="Arial" w:hAnsi="Arial"/>
          <w:sz w:val="17"/>
          <w:szCs w:val="17"/>
          <w:color w:val="auto"/>
        </w:rPr>
        <w:t>and 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57" w:lineRule="exact"/>
        <w:rPr>
          <w:sz w:val="20"/>
          <w:szCs w:val="20"/>
          <w:color w:val="auto"/>
        </w:rPr>
      </w:pPr>
    </w:p>
    <w:p>
      <w:pPr>
        <w:ind w:right="100" w:firstLine="598"/>
        <w:spacing w:after="0" w:line="308" w:lineRule="auto"/>
        <w:rPr>
          <w:sz w:val="20"/>
          <w:szCs w:val="20"/>
          <w:color w:val="auto"/>
        </w:rPr>
      </w:pPr>
      <w:r>
        <w:rPr>
          <w:rFonts w:ascii="Arial" w:cs="Arial" w:eastAsia="Arial" w:hAnsi="Arial"/>
          <w:sz w:val="17"/>
          <w:szCs w:val="17"/>
          <w:i w:val="1"/>
          <w:iCs w:val="1"/>
          <w:color w:val="auto"/>
        </w:rPr>
        <w:t>Trading Partner Sourcing</w:t>
      </w:r>
      <w:r>
        <w:rPr>
          <w:rFonts w:ascii="Arial" w:cs="Arial" w:eastAsia="Arial" w:hAnsi="Arial"/>
          <w:sz w:val="17"/>
          <w:szCs w:val="17"/>
          <w:color w:val="auto"/>
        </w:rPr>
        <w:t>. Through Retail Universe, our social network for the retail industry, retailers can source providers of new items, suppliers</w:t>
      </w:r>
      <w:r>
        <w:rPr>
          <w:rFonts w:ascii="Arial" w:cs="Arial" w:eastAsia="Arial" w:hAnsi="Arial"/>
          <w:sz w:val="17"/>
          <w:szCs w:val="17"/>
          <w:i w:val="1"/>
          <w:iCs w:val="1"/>
          <w:color w:val="auto"/>
        </w:rPr>
        <w:t xml:space="preserve"> </w:t>
      </w:r>
      <w:r>
        <w:rPr>
          <w:rFonts w:ascii="Arial" w:cs="Arial" w:eastAsia="Arial" w:hAnsi="Arial"/>
          <w:sz w:val="17"/>
          <w:szCs w:val="17"/>
          <w:color w:val="auto"/>
        </w:rPr>
        <w:t>can connect with new retailers and the broader retailing community can make connections to expand their business networks and grow.</w:t>
      </w:r>
    </w:p>
    <w:p>
      <w:pPr>
        <w:spacing w:after="0" w:line="38"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i w:val="1"/>
          <w:iCs w:val="1"/>
          <w:color w:val="auto"/>
        </w:rPr>
        <w:t xml:space="preserve">Other Trading Partner Solutions. </w:t>
      </w:r>
      <w:r>
        <w:rPr>
          <w:rFonts w:ascii="Arial" w:cs="Arial" w:eastAsia="Arial" w:hAnsi="Arial"/>
          <w:sz w:val="18"/>
          <w:szCs w:val="18"/>
          <w:color w:val="auto"/>
        </w:rPr>
        <w:t>We provide a number of peripheral solutions such as barcode labeling, planogram services and our scan and pack</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which helps trading partners process information to streamline the picking and packaging process.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consist primarily of personnel costs for our customer success and implementation teams, customer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application 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w:t>
      </w:r>
    </w:p>
    <w:p>
      <w:pPr>
        <w:spacing w:after="0" w:line="79"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personnel costs for our sales, marketing and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commissions earned by our sales personnel and marketing costs.</w:t>
      </w:r>
    </w:p>
    <w:p>
      <w:pPr>
        <w:spacing w:after="0" w:line="62"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personnel costs for development of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existing solutions, net of amounts capitalized as developed software. Our research and development group is also responsible for enhancing existing solutions and applications, internal tools, and developing new information maps that integrate our customers to their trading partners in compliance with those trading partners’ requirements.</w:t>
      </w:r>
    </w:p>
    <w:p>
      <w:pPr>
        <w:spacing w:after="0" w:line="79"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personnel costs for finance, human resources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information technology support, as well as legal, accounting and other fees, such as credit card processing fees.</w:t>
      </w:r>
    </w:p>
    <w:p>
      <w:pPr>
        <w:spacing w:after="0" w:line="6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i w:val="1"/>
          <w:iCs w:val="1"/>
          <w:color w:val="auto"/>
        </w:rPr>
        <w:t xml:space="preserve">Overhead Allocation. </w:t>
      </w:r>
      <w:r>
        <w:rPr>
          <w:rFonts w:ascii="Arial" w:cs="Arial" w:eastAsia="Arial" w:hAnsi="Arial"/>
          <w:sz w:val="18"/>
          <w:szCs w:val="18"/>
          <w:color w:val="auto"/>
        </w:rPr>
        <w:t>We allocate overhead expenses such as rent, certain employee benefit costs, office supplies and depreciation of general office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to cost of revenues and operating expenses categories based on headcount.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Metrics</w:t>
      </w:r>
    </w:p>
    <w:p>
      <w:pPr>
        <w:spacing w:after="0" w:line="11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i w:val="1"/>
          <w:iCs w:val="1"/>
          <w:color w:val="auto"/>
        </w:rPr>
        <w:t xml:space="preserve">Recurring Revenue Customers. </w:t>
      </w:r>
      <w:r>
        <w:rPr>
          <w:rFonts w:ascii="Arial" w:cs="Arial" w:eastAsia="Arial" w:hAnsi="Arial"/>
          <w:sz w:val="18"/>
          <w:szCs w:val="18"/>
          <w:color w:val="auto"/>
        </w:rPr>
        <w:t>As of December 31, 2018, we had approximately 29,000 customers with contracts to pay us monthly fees,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as recurring revenue customers. We report recurring revenue customers as of the end of a period. A small portion of our recurring revenue customers consist of separate units within a larger organization. We treat each of these units, which may include divisions, departments, affiliates and franchises, as distinct customers.</w:t>
      </w:r>
    </w:p>
    <w:p>
      <w:pPr>
        <w:spacing w:after="0" w:line="79"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i w:val="1"/>
          <w:iCs w:val="1"/>
          <w:color w:val="auto"/>
        </w:rPr>
        <w:t xml:space="preserve">Average Recurring Revenues Per Recurring Revenue Customer. </w:t>
      </w:r>
      <w:r>
        <w:rPr>
          <w:rFonts w:ascii="Arial" w:cs="Arial" w:eastAsia="Arial" w:hAnsi="Arial"/>
          <w:sz w:val="16"/>
          <w:szCs w:val="16"/>
          <w:color w:val="auto"/>
        </w:rPr>
        <w:t>We calculate average recurring revenues per recurring revenue customer,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also refer to as wallet share, by dividing the recurring revenues from recurring revenue customers for the period by the average of the beginning and ending number of recurring revenue customers for the period. 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50"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i w:val="1"/>
          <w:iCs w:val="1"/>
          <w:color w:val="auto"/>
        </w:rPr>
        <w:t xml:space="preserve">Non-GAAP Financial Measures. </w:t>
      </w:r>
      <w:r>
        <w:rPr>
          <w:rFonts w:ascii="Arial" w:cs="Arial" w:eastAsia="Arial" w:hAnsi="Arial"/>
          <w:sz w:val="16"/>
          <w:szCs w:val="16"/>
          <w:color w:val="auto"/>
        </w:rPr>
        <w:t>To supplement our financial statements, we also provide investors with Adjusted EBITDA and non-GAAP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50" w:lineRule="exact"/>
        <w:rPr>
          <w:sz w:val="20"/>
          <w:szCs w:val="20"/>
          <w:color w:val="auto"/>
        </w:rPr>
      </w:pPr>
    </w:p>
    <w:p>
      <w:pPr>
        <w:jc w:val="both"/>
        <w:ind w:right="80" w:firstLine="59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The discussion of our financial condition and results of operations is based upon our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64"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believe that our significant accounting policies, which are described in the notes to our financial statements, involve a greater degree of judgment and complexity and are material to our financial statement presentation.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 Our set-up fees from customers are one-time revenues that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8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Except for our Analytics solution, we have determined that the set-up fees represent a material renewal option right to our customers as they will not be incurred again upon renewal. These set-up fees and related costs are deferred and recognized ratably over two years, which is the estimated period for which a material right is present for our customers.</w:t>
      </w:r>
    </w:p>
    <w:p>
      <w:pPr>
        <w:spacing w:after="0" w:line="73"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our Analytics solution, we have determined that the set-up fees do not represent a material customer renewal right and, as such, are deferred and recognized ratably over the estimated initial contract term, which is one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w:t>
      </w:r>
    </w:p>
    <w:p>
      <w:pPr>
        <w:spacing w:after="0" w:line="39"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Significant estimates in valuing certain intangible assets include, but are not limited to, future expected cash flows from acquired users, acquired technology, and trade names from a market participant perspective, useful lives, and discount rates. Significant estimates in valuing liabilities for contingent consideration include, but are not limited to, discount rates, projected financial results of the acquired businesses based on our most recent internal forecasts, and factors indicating the probability of achieving the forecasted results.</w:t>
      </w:r>
    </w:p>
    <w:p>
      <w:pPr>
        <w:spacing w:after="0" w:line="79"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Management’s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248,240</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220,085</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28,155</w:t>
            </w: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73,625</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166,492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146,460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20,032</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22,087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23,183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(1,096)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139,761</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136,479</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26,731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9,981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16,750</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(400)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126.0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17,647</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(5,874)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23,521</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6,701.1%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revenues resulted from two primary factors: the increase in recurring revenue customers, which is driven by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growth and by business acquisitions, and the increase in average recurring revenues per recurring revenue customer, which we also refer to as wallet share.</w:t>
      </w:r>
    </w:p>
    <w:p>
      <w:pPr>
        <w:spacing w:after="0" w:line="73"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recurring revenue customers increased 14% to 29,308 at December 31, 2018 from 25,751 at December 31, 2017.</w:t>
      </w:r>
    </w:p>
    <w:p>
      <w:pPr>
        <w:spacing w:after="0" w:line="128" w:lineRule="exact"/>
        <w:rPr>
          <w:rFonts w:ascii="Arial" w:cs="Arial" w:eastAsia="Arial" w:hAnsi="Arial"/>
          <w:sz w:val="17"/>
          <w:szCs w:val="17"/>
          <w:color w:val="auto"/>
        </w:rPr>
      </w:pPr>
    </w:p>
    <w:p>
      <w:pPr>
        <w:ind w:left="1200" w:right="18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Wallet share increased 4% to $8,378 at December 31, 2018 from $8,067 at December 31, 2017. This was primarily attributable to increased usage of our solutions by our recurring revenue customers.</w:t>
      </w:r>
    </w:p>
    <w:p>
      <w:pPr>
        <w:spacing w:after="0" w:line="62"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Recurring revenues from recurring revenue customers increased 13% in 2018, as compared to 2017 and accounted for 93% of our total revenues for 2018 and 2017. We anticipate that the number of recurring revenue customers and wallet share will continue to increase as we increase the number of solutions we offer and increase the penetration of those solutions across our customer base.</w:t>
      </w:r>
    </w:p>
    <w:p>
      <w:pPr>
        <w:spacing w:after="0" w:line="73" w:lineRule="exact"/>
        <w:rPr>
          <w:sz w:val="20"/>
          <w:szCs w:val="20"/>
          <w:color w:val="auto"/>
        </w:rPr>
      </w:pPr>
    </w:p>
    <w:p>
      <w:pPr>
        <w:jc w:val="both"/>
        <w:ind w:right="520" w:firstLine="59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The increase in cost of revenues was primarily due to a $6.6 million increase in personnel-related costs, driven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and benefits due to business growth and by increased contract labor. Additionally, computer depreciation expense increased $1.4 million due to continued investment in the infrastructure supporting our platform.</w:t>
      </w:r>
    </w:p>
    <w:p>
      <w:pPr>
        <w:spacing w:after="0" w:line="73"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slight increase in sales and marketing was primarily due to an increase of $2.0 million from commissions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a net $1.8 million decrease in personnel-related costs and stock-based compensation. The increase in commissions was a result of new business and increased referral partnerships. The decrease in personnel-related costs was driven by decreased headcount which was partially offset by increased salaries, benefits, and stock-based compensation expense.</w:t>
      </w:r>
    </w:p>
    <w:p>
      <w:pPr>
        <w:spacing w:after="0" w:line="79"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decrease in research and development expenses was primarily due to a $4.3 million decrease in personnel-related costs related to an increase in internally developed capitalized software, driven by our continued investment in our technology. The decrease was offset by a $3.0 million increase from other personnel-related expenses, driven by continued business growth which led to increased headcount and increases to expenses for consulting, salaries, benefits, and stock-based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ind w:right="240" w:firstLine="598"/>
        <w:spacing w:after="0" w:line="293"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increase in general and administrative expenses was primarily due to continued business growth which</w:t>
      </w:r>
      <w:r>
        <w:rPr>
          <w:rFonts w:ascii="Arial" w:cs="Arial" w:eastAsia="Arial" w:hAnsi="Arial"/>
          <w:sz w:val="16"/>
          <w:szCs w:val="16"/>
          <w:i w:val="1"/>
          <w:iCs w:val="1"/>
          <w:color w:val="auto"/>
        </w:rPr>
        <w:t xml:space="preserve"> </w:t>
      </w:r>
      <w:r>
        <w:rPr>
          <w:rFonts w:ascii="Arial" w:cs="Arial" w:eastAsia="Arial" w:hAnsi="Arial"/>
          <w:sz w:val="16"/>
          <w:szCs w:val="16"/>
          <w:color w:val="auto"/>
        </w:rPr>
        <w:t>drove a $2.8 million increase in personnel-related costs (headcount, salaries and benefits) and a $2.2 million increase in software subscriptions, credit card fees, and bad debt expense. Additionally, charitable contributions increased $0.5 million and acquisition-related costs increased $0.3 million, due to the acquisitions of EDIAdmin and CovalentWorks. These increases were offset by a $1.5 million decrease in stock-based compensation expenses, which normalized compared to the prior year increase which was driven by a modification to our Chief Executive Officer’s employment agreement resulting in immediate vesting, and expensing, of his outstanding stock-based compensation awards based on his retirement eligibility.</w:t>
      </w:r>
    </w:p>
    <w:p>
      <w:pPr>
        <w:spacing w:after="0" w:line="57"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The decrease in amortization of intangible assets was driven by certain intangible assets being fully amortized in</w:t>
      </w:r>
      <w:r>
        <w:rPr>
          <w:rFonts w:ascii="Arial" w:cs="Arial" w:eastAsia="Arial" w:hAnsi="Arial"/>
          <w:sz w:val="16"/>
          <w:szCs w:val="16"/>
          <w:i w:val="1"/>
          <w:iCs w:val="1"/>
          <w:color w:val="auto"/>
        </w:rPr>
        <w:t xml:space="preserve"> </w:t>
      </w:r>
      <w:r>
        <w:rPr>
          <w:rFonts w:ascii="Arial" w:cs="Arial" w:eastAsia="Arial" w:hAnsi="Arial"/>
          <w:sz w:val="16"/>
          <w:szCs w:val="16"/>
          <w:color w:val="auto"/>
        </w:rPr>
        <w:t>2018, reducing the amortization expense in the current year, and was offset by a slight increase due to amortization of acquired intangible assets.</w:t>
      </w:r>
    </w:p>
    <w:p>
      <w:pPr>
        <w:spacing w:after="0" w:line="16" w:lineRule="exact"/>
        <w:rPr>
          <w:sz w:val="20"/>
          <w:szCs w:val="20"/>
          <w:color w:val="auto"/>
        </w:rPr>
      </w:pPr>
    </w:p>
    <w:p>
      <w:pPr>
        <w:jc w:val="both"/>
        <w:ind w:right="340" w:firstLine="598"/>
        <w:spacing w:after="0" w:line="264"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The increase in other income was primarily due to a $1.0 million increase in investment income, driven by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amount invested throughout 2018 compared to 2017, offset by a $0.1 million decrease in income, net, due to the fair value earn-out adjustment in 2018 related to the EDIAdmin acquisition.</w:t>
      </w:r>
    </w:p>
    <w:p>
      <w:pPr>
        <w:spacing w:after="0" w:line="73"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Our provisions for income taxes for 2018 and 2017 were $4.5 million and $10.3 million, respectively. The decrease in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was primarily due to a reduction in the corporate tax rate enacted in the Tax Act, and an increase in our federal research and development credit, partially offset by the increase in pre-tax net income. Further, the 2017 provision included a one-time discrete tax expense of $6.8 million from the Tax Act. Finally, the discrete tax benefit from stock-based compensation was $2.5 million in 2018 as compared to $0.9 million in 2017. See Note M to our consolidated financial statements, included in this Annual Report on Form 10-K, for additional information regarding our income taxes.</w:t>
      </w:r>
    </w:p>
    <w:p>
      <w:pPr>
        <w:spacing w:after="0" w:line="50"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which is a non-GAAP measure of financial performance, consists of net income adjusted for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interest expense, interest income, income tax expense, stock-based compensation expense, the discrete impact from tax law change and other adjustments as necessary for a fair presentation. Other adjustments included the impact of an earn-out adjustment related to the EDIAdmin acquisition in 2018. The following table provides a reconciliation of net income to Adjusted EBITDA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23,872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11,782</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(2,329)</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(1,032)</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Income tax expense</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Discrete impact from tax law change</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6,798</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12,510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12,727</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6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51,301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34,170</w:t>
            </w:r>
          </w:p>
        </w:tc>
        <w:tc>
          <w:tcPr>
            <w:tcW w:w="12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i w:val="1"/>
          <w:iCs w:val="1"/>
          <w:color w:val="auto"/>
        </w:rPr>
        <w:t xml:space="preserve">Non-GAAP Income per Share. </w:t>
      </w:r>
      <w:r>
        <w:rPr>
          <w:rFonts w:ascii="Arial" w:cs="Arial" w:eastAsia="Arial" w:hAnsi="Arial"/>
          <w:sz w:val="17"/>
          <w:szCs w:val="17"/>
          <w:color w:val="auto"/>
        </w:rPr>
        <w:t>Non-GAAP income per share, which is also a non-GAAP measure of financial performance, consists of 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EDIAdmin share-based earn-out liability in 2018.</w:t>
      </w:r>
    </w:p>
    <w:p>
      <w:pPr>
        <w:spacing w:after="0" w:line="63"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Pursuant to a Compliance and Disclosure Interpretation published by the U.S. Securities and Exchange Commission in May 2016, related to the use of non-GAAP financial measures, in 2017, we began including an adjustment to non-GAAP income to reflect the income tax effects of the adjustments to GAAP net income.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left="60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0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23,872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12,510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Discrete impact from tax law change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36,101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17,675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2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17,196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Basic</w:t>
            </w:r>
          </w:p>
        </w:tc>
        <w:tc>
          <w:tcPr>
            <w:tcW w:w="300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9"/>
                <w:szCs w:val="19"/>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00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220,085</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193,153</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26,932</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73,625</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64,346</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4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146,460</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128,807</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17,653</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66,876</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23,183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21,981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1,202</w:t>
            </w:r>
          </w:p>
        </w:tc>
        <w:tc>
          <w:tcPr>
            <w:tcW w:w="4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28,827</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8,634</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136,479</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122,422</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14,057</w:t>
            </w:r>
          </w:p>
        </w:tc>
        <w:tc>
          <w:tcPr>
            <w:tcW w:w="4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44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9,981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6,385</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3,596</w:t>
            </w:r>
          </w:p>
        </w:tc>
        <w:tc>
          <w:tcPr>
            <w:tcW w:w="4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4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(320)</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(1,052)</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7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4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7,718</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w:t>
            </w:r>
          </w:p>
        </w:tc>
        <w:tc>
          <w:tcPr>
            <w:tcW w:w="4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4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revenues resulted from two primary factors: the increase in recurring revenue customers and the increase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revenues per recurring revenue customer, which we also refer to as wallet share.</w:t>
      </w:r>
    </w:p>
    <w:p>
      <w:pPr>
        <w:spacing w:after="0" w:line="62"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4% to 25,751 at December 31, 2017 from 24,805 at December 31, 2016.</w:t>
      </w:r>
    </w:p>
    <w:p>
      <w:pPr>
        <w:spacing w:after="0" w:line="117" w:lineRule="exact"/>
        <w:rPr>
          <w:rFonts w:ascii="Arial" w:cs="Arial" w:eastAsia="Arial" w:hAnsi="Arial"/>
          <w:sz w:val="18"/>
          <w:szCs w:val="18"/>
          <w:color w:val="auto"/>
        </w:rPr>
      </w:pPr>
    </w:p>
    <w:p>
      <w:pPr>
        <w:ind w:left="1200" w:right="26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Wallet share increased 10% to $8,067 for 2017 from $7,344 for 2016. This increase in wallet share was primarily attributable to increased fees resulting from increased usage of our solutions by our recurring revenue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right="120" w:firstLine="598"/>
        <w:spacing w:after="0" w:line="277" w:lineRule="auto"/>
        <w:rPr>
          <w:sz w:val="20"/>
          <w:szCs w:val="20"/>
          <w:color w:val="auto"/>
        </w:rPr>
      </w:pPr>
      <w:r>
        <w:rPr>
          <w:rFonts w:ascii="Arial" w:cs="Arial" w:eastAsia="Arial" w:hAnsi="Arial"/>
          <w:sz w:val="18"/>
          <w:szCs w:val="18"/>
          <w:color w:val="auto"/>
        </w:rPr>
        <w:t>Recurring revenues from recurring revenue customers increased 15% in 2017, as compared to 2016, and accounted for 93% of our total revenues for 2017 and 92% for 2016.</w:t>
      </w:r>
    </w:p>
    <w:p>
      <w:pPr>
        <w:spacing w:after="0" w:line="62"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The increase in cost of revenue was primarily due to increased personnel-related costs of approximately $7.3 million,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headcount. Compared to 2016, stock-based compensation expense increased $0.6 million and direct network costs decreased $0.2 million. We also incurred higher expense for software and cloud-based subscriptions of $0.9 million and depreciation expense of $0.7 million for continued investment in the infrastructure supporting our solutions.</w:t>
      </w:r>
    </w:p>
    <w:p>
      <w:pPr>
        <w:spacing w:after="0" w:line="79"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The increase in sales and marketing expense was primarily due to increased headcount in 2017, which resulted in</w:t>
      </w:r>
      <w:r>
        <w:rPr>
          <w:rFonts w:ascii="Arial" w:cs="Arial" w:eastAsia="Arial" w:hAnsi="Arial"/>
          <w:sz w:val="17"/>
          <w:szCs w:val="17"/>
          <w:i w:val="1"/>
          <w:iCs w:val="1"/>
          <w:color w:val="auto"/>
        </w:rPr>
        <w:t xml:space="preserve"> </w:t>
      </w:r>
      <w:r>
        <w:rPr>
          <w:rFonts w:ascii="Arial" w:cs="Arial" w:eastAsia="Arial" w:hAnsi="Arial"/>
          <w:sz w:val="17"/>
          <w:szCs w:val="17"/>
          <w:color w:val="auto"/>
        </w:rPr>
        <w:t>higher personnel-related costs of $3.0 million and increased commissions of approximately $1.4 million earned by sales personnel and referral partners from generating new business. We also incurred $0.4 million in increased promotional expenses, $0.2 million in software and cloud-based subscriptions, offset by lower expense of $0.3 for depreciation and $0.2 million in stock-based compensation expense as compared to 2016.</w:t>
      </w:r>
    </w:p>
    <w:p>
      <w:pPr>
        <w:spacing w:after="0" w:line="63"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was primarily due to higher expenses for software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cloud-based subscriptions of $0.7 million, higher personnel-related costs of $0.2 million and higher stock-based compensation of $0.3 million in 2017 compared to 2016.</w:t>
      </w:r>
    </w:p>
    <w:p>
      <w:pPr>
        <w:spacing w:after="0" w:line="73"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The increase in general and administrative expenses was primarily due to a $4.0 million increase in stock-based compensation driven by the immediate expensing of $3.6 million of equity awards due to a modification to our Chief Executive Officer’s employment agreement in 2017 which resulted in immediate vesting, and expensing, of his outstanding stock-based compensation awards based on his retirement eligibility. Increased headcount in 2017 resulted in higher personnel-related costs of $3.3 million. These increases were offset by lower charitable contributions, hardware not capitalized, and hardware maintenance costs in 2017 as compared to 2016.</w:t>
      </w:r>
    </w:p>
    <w:p>
      <w:pPr>
        <w:spacing w:after="0" w:line="64"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The decrease in amortization of intangible assets was due to certain intangible assets becoming fully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2017.</w:t>
      </w:r>
    </w:p>
    <w:p>
      <w:pPr>
        <w:spacing w:after="0" w:line="62"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2016 included a $1.0 million adjustment to the fair value of the Toolbox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earn-out liability due to a change in our estimate of probability of attainment. There was no similar charge during 2017 as the contingent consideration arrangement had been resolved.</w:t>
      </w:r>
    </w:p>
    <w:p>
      <w:pPr>
        <w:spacing w:after="0" w:line="73"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Our provisions for income taxes for 2017 and 2016 were $10.3 million and $2.8 million, respectively. The provision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$6.8 million in income tax expense primarily driven by the reduction in the corporate income tax rate to 21% offset by $0.9 million of discrete tax benefits from the adoption of ASU 2016-09 relating to stock-based compensation. See Note M to our consolidated financial statements, included in this Annual Report on Form 10-K, for additional information regarding our income taxes.</w:t>
      </w:r>
    </w:p>
    <w:p>
      <w:pPr>
        <w:spacing w:after="0" w:line="79" w:lineRule="exact"/>
        <w:rPr>
          <w:sz w:val="20"/>
          <w:szCs w:val="20"/>
          <w:color w:val="auto"/>
        </w:rPr>
      </w:pPr>
    </w:p>
    <w:p>
      <w:pPr>
        <w:ind w:right="360" w:firstLine="598"/>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an earn-out adjustment related to the Toolbox acquisition in 2016. The following table provides a reconciliation of net income to Adjusted EBITDA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37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11,782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11,336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37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Income tax expense</w:t>
            </w:r>
          </w:p>
        </w:tc>
        <w:tc>
          <w:tcPr>
            <w:tcW w:w="3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10,342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7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3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Adjusted EBITDA</w:t>
            </w: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34,170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25,370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760" w:type="dxa"/>
            <w:vAlign w:val="bottom"/>
            <w:vMerge w:val="restart"/>
          </w:tcPr>
          <w:p>
            <w:pPr>
              <w:jc w:val="right"/>
              <w:ind w:right="1970"/>
              <w:spacing w:after="0"/>
              <w:rPr>
                <w:sz w:val="20"/>
                <w:szCs w:val="20"/>
                <w:color w:val="auto"/>
              </w:rPr>
            </w:pPr>
            <w:r>
              <w:rPr>
                <w:rFonts w:ascii="Arial" w:cs="Arial" w:eastAsia="Arial" w:hAnsi="Arial"/>
                <w:sz w:val="18"/>
                <w:szCs w:val="18"/>
                <w:color w:val="auto"/>
              </w:rPr>
              <w:t>40</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0" w:name="page41"/>
    <w:bookmarkEnd w:id="40"/>
    <w:p>
      <w:pPr>
        <w:ind w:right="120" w:firstLine="598"/>
        <w:spacing w:after="0" w:line="279" w:lineRule="auto"/>
        <w:rPr>
          <w:sz w:val="20"/>
          <w:szCs w:val="20"/>
          <w:color w:val="auto"/>
        </w:rPr>
      </w:pPr>
      <w:r>
        <w:rPr>
          <w:rFonts w:ascii="Arial" w:cs="Arial" w:eastAsia="Arial" w:hAnsi="Arial"/>
          <w:sz w:val="17"/>
          <w:szCs w:val="17"/>
          <w:i w:val="1"/>
          <w:iCs w:val="1"/>
          <w:color w:val="auto"/>
        </w:rPr>
        <w:t xml:space="preserve">Non-GAAP Income per Share. </w:t>
      </w:r>
      <w:r>
        <w:rPr>
          <w:rFonts w:ascii="Arial" w:cs="Arial" w:eastAsia="Arial" w:hAnsi="Arial"/>
          <w:sz w:val="17"/>
          <w:szCs w:val="17"/>
          <w:color w:val="auto"/>
        </w:rPr>
        <w:t>Non-GAAP income per share, which is also a non-GAAP measure of financial performance, consists of 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plus stock-based compensation expense and amortization expense related to intangible assets, the discrete impact from tax law change and other adjustments necessary for a fair presentation, divided by the weighted average number of shares of common stock outstanding during each period. Other adjustments included the impact of the fair value adjustment for the Toolbox Solutions share-based earn-out liability in 2016.</w:t>
      </w:r>
    </w:p>
    <w:p>
      <w:pPr>
        <w:spacing w:after="0" w:line="63"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Pursuant to a Compliance and Disclosure Interpretation published by the U.S. Securities and Exchange Commission in May 2016, related to the use of non-GAAP financial measures, in 2017, we began including an adjustment to non-GAAP income to reflect the income tax effects of the adjustments to GAAP net income.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8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Discrete impact from tax law change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(1,106)</w:t>
            </w: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as historically reported</w:t>
            </w:r>
          </w:p>
        </w:tc>
        <w:tc>
          <w:tcPr>
            <w:tcW w:w="10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16,618</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(6,775)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(4,870)</w:t>
            </w:r>
          </w:p>
        </w:tc>
        <w:tc>
          <w:tcPr>
            <w:tcW w:w="100" w:type="dxa"/>
            <w:vAlign w:val="bottom"/>
            <w:shd w:val="clear" w:color="auto" w:fill="CFF0FC"/>
          </w:tcPr>
          <w:p>
            <w:pPr>
              <w:spacing w:after="0"/>
              <w:rPr>
                <w:sz w:val="18"/>
                <w:szCs w:val="18"/>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with tax adjustments</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17,675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11,748</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17,183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16,947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17,356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17,241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Non-GAAP income per share with tax adjustments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 as historically reported</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598"/>
        <w:spacing w:after="0" w:line="255" w:lineRule="auto"/>
        <w:rPr>
          <w:sz w:val="20"/>
          <w:szCs w:val="20"/>
          <w:color w:val="auto"/>
        </w:rPr>
      </w:pPr>
      <w:r>
        <w:rPr>
          <w:rFonts w:ascii="Arial" w:cs="Arial" w:eastAsia="Arial" w:hAnsi="Arial"/>
          <w:sz w:val="18"/>
          <w:szCs w:val="18"/>
          <w:color w:val="auto"/>
        </w:rPr>
        <w:t>At December 31, 2018, our principal sources of liquidity were cash and cash equivalents, certificates of deposit and marketable securities totaling $178.4 million and accounts receivable, net of allowance for doubtful accounts, of $27.5 million compared to cash and cash equivalents and marketable securities totaling $168.5 million and accounts receivable, net of allowance for doubtful accounts, of $24.9 million at December 31, 2017.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Cash flows from operating activities was $55.0 million in 2018, compared to $31.1 million in 2017, an increase of $23.9 million. This is primarily driven by a $23.5 million increase in net income, with the remaining net increase of $0.4 million relating to increases due to continued business growth offset by a decrease to deferred income taxes.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ind w:right="160" w:firstLine="598"/>
        <w:spacing w:after="0" w:line="312" w:lineRule="auto"/>
        <w:rPr>
          <w:sz w:val="20"/>
          <w:szCs w:val="20"/>
          <w:color w:val="auto"/>
        </w:rPr>
      </w:pPr>
      <w:r>
        <w:rPr>
          <w:rFonts w:ascii="Arial" w:cs="Arial" w:eastAsia="Arial" w:hAnsi="Arial"/>
          <w:sz w:val="16"/>
          <w:szCs w:val="16"/>
          <w:color w:val="auto"/>
        </w:rPr>
        <w:t>Net cash provided by operating activities was $31.1 million for 2017 compared to $18.8 million for 2016. The increase in operating cash flows as compared to 2016 was driven by a $19.1 million increase in non-cash expenses and a $1.3 million increase in changes in assets and liabilities, primarily due to increases in deferred revenues, accrued expenses and accounts payable, partially offset by increases in deferred costs and deferred rent.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Net cash used in investing activities was $40.5 million for 2018 compared to $22.6 million for 2017. The increase was primarily due to $27.3 million used for acquisitions of business and intangible assets, driven by the acquisitions of EDIAdmin and CovalentWorks. Additionally, capital expenditures increased by $6.4 million, due to our business growth and continued investment in our technology. These increases were offset by a $15.3 million decrease in cash used compared to 2017, driven by minimal change in investments in 2018 compared to significant increases in investments in 2017.</w:t>
      </w:r>
    </w:p>
    <w:p>
      <w:pPr>
        <w:spacing w:after="0" w:line="46" w:lineRule="exact"/>
        <w:rPr>
          <w:sz w:val="20"/>
          <w:szCs w:val="20"/>
          <w:color w:val="auto"/>
        </w:rPr>
      </w:pPr>
    </w:p>
    <w:p>
      <w:pPr>
        <w:ind w:right="100" w:firstLine="598"/>
        <w:spacing w:after="0" w:line="308" w:lineRule="auto"/>
        <w:rPr>
          <w:sz w:val="20"/>
          <w:szCs w:val="20"/>
          <w:color w:val="auto"/>
        </w:rPr>
      </w:pPr>
      <w:r>
        <w:rPr>
          <w:rFonts w:ascii="Arial" w:cs="Arial" w:eastAsia="Arial" w:hAnsi="Arial"/>
          <w:sz w:val="17"/>
          <w:szCs w:val="17"/>
          <w:color w:val="auto"/>
        </w:rPr>
        <w:t>Net cash used in investing activities was $22.6 million for 2017 compared to $34.1 million for 2016. The decrease in cash used was due to the 2016 acquisition of Toolbox Solutions for $18.0 million, partially offset by a $6.8 million increase in cash used for investments in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Net cash used in financing activities for 2018 was $3.8 million compared to $2.5 million in 2017, a $1.3 million increase. This increase is due to a $14 million increase in cash used for repurchases of common stock and offset by a $12.9 million increase in cash provided by proceeds from the exercise of options to purchase common stock, driven by the significant increase in the company’s stock price which increased option exercises.</w:t>
      </w:r>
    </w:p>
    <w:p>
      <w:pPr>
        <w:spacing w:after="0" w:line="57"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Net cash provided by financing activities was $2.5 million for 2017, which consisted of $5.8 million of repurchases of our common stock, partially offset by $1.4 million and $1.9 million of proceeds from the exercise of stock options and the net proceeds from our employee stock purchase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Currency Exchange Rate Changes</w:t>
      </w:r>
    </w:p>
    <w:p>
      <w:pPr>
        <w:spacing w:after="0" w:line="117"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 in foreign currency exchange rates. We maintained approximately 6%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Adequacy of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62"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We believe our cash, cash equivalents, marketable securities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contractual obligations and commercial commitments as of December 31, 2018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8"/>
              </w:rPr>
              <w:t>More Than</w:t>
            </w: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4"/>
                <w:szCs w:val="14"/>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5 Years</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24,878</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t>
      </w:r>
      <w:r>
        <w:rPr>
          <w:rFonts w:ascii="Arial" w:cs="Arial" w:eastAsia="Arial" w:hAnsi="Arial"/>
          <w:sz w:val="17"/>
          <w:szCs w:val="17"/>
          <w:i w:val="1"/>
          <w:iCs w:val="1"/>
          <w:color w:val="auto"/>
        </w:rPr>
        <w:t>and Other Assets and Deferred Costs – Contracts with Customers (Subtopic 340-40)</w:t>
      </w:r>
      <w:r>
        <w:rPr>
          <w:rFonts w:ascii="Arial" w:cs="Arial" w:eastAsia="Arial" w:hAnsi="Arial"/>
          <w:sz w:val="17"/>
          <w:szCs w:val="17"/>
          <w:color w:val="auto"/>
        </w:rPr>
        <w:t>, which requires an entity to recognize the amount of revenue to which 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expects to be entitled for the transfer of promised goods or services to customers in an amount that reflects the consideration to which the entity expects to be entitled in exchange for those goods or services. This guidance replaced most existing revenue recognition guidance in GAAP. Topic 606 also includes Subtopic 340-40, </w:t>
      </w:r>
      <w:r>
        <w:rPr>
          <w:rFonts w:ascii="Arial" w:cs="Arial" w:eastAsia="Arial" w:hAnsi="Arial"/>
          <w:sz w:val="17"/>
          <w:szCs w:val="17"/>
          <w:i w:val="1"/>
          <w:iCs w:val="1"/>
          <w:color w:val="auto"/>
        </w:rPr>
        <w:t>Other Assets and Deferred Costs – Contracts with Customers</w:t>
      </w:r>
      <w:r>
        <w:rPr>
          <w:rFonts w:ascii="Arial" w:cs="Arial" w:eastAsia="Arial" w:hAnsi="Arial"/>
          <w:sz w:val="17"/>
          <w:szCs w:val="17"/>
          <w:color w:val="auto"/>
        </w:rPr>
        <w:t>, which requires the deferral of incremental costs of obtaining a contract with a customer. Collectively, we refer to Topic 606 and Subtopic 340-40 as the “new standard”. These requirements are effective for annual reporting periods beginning after December 15, 2017, and interim periods within those annual periods.</w:t>
      </w:r>
    </w:p>
    <w:p>
      <w:pPr>
        <w:spacing w:after="0" w:line="70"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We adopted the new standard effective January 1, 2018, on a retrospective basis. The new standard did not impact our recognition of the recurring revenue received from customers for our cloud-based supply chain solutions; however, the adoption of the new standard impacted our accounting for certain upfront set-up fees, the periods over which the related revenues are recognized and the timing of revenue recognition for these set-up fees. The adoption of the new standard also impacted our accounting for certain costs to obtain our contracts, specifically related to the periods over which commissions are recognized. Additional information regarding the adoption of this standard is contained in Note A and Note C.</w:t>
      </w:r>
    </w:p>
    <w:p>
      <w:pPr>
        <w:spacing w:after="0" w:line="78"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 xml:space="preserve">In January 2018, we adopted FASB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clarifies the definition of a business with the objective of adding guidance to assist entities with evaluating whether transactions should be accounted for as business acquisitions or as an asset acquisition. The new standard specifies the required inputs and processes that are necessary to be a business. The adoption of this standard impacted our accounting for business combinations. See Note B for additional information regarding business combinations.</w:t>
      </w:r>
    </w:p>
    <w:p>
      <w:pPr>
        <w:spacing w:after="0" w:line="60"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 xml:space="preserve">In March 2018, we adopted FASB ASU 2018-05, </w:t>
      </w:r>
      <w:r>
        <w:rPr>
          <w:rFonts w:ascii="Arial" w:cs="Arial" w:eastAsia="Arial" w:hAnsi="Arial"/>
          <w:sz w:val="17"/>
          <w:szCs w:val="17"/>
          <w:i w:val="1"/>
          <w:iCs w:val="1"/>
          <w:color w:val="auto"/>
        </w:rPr>
        <w:t>Income Taxes (Topic 740): Amendments to SEC Paragraphs Pursuant to SEC Staff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Bulletin No. 118</w:t>
      </w:r>
      <w:r>
        <w:rPr>
          <w:rFonts w:ascii="Arial" w:cs="Arial" w:eastAsia="Arial" w:hAnsi="Arial"/>
          <w:sz w:val="17"/>
          <w:szCs w:val="17"/>
          <w:color w:val="auto"/>
        </w:rPr>
        <w:t>, which updates the income tax accounting in U.S. GAAP to reflect the SEC interpretive guidance released on December 22, 2017,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Act was signed into law. Additional information regarding the adoption of this standard is contained in Note M.</w:t>
      </w:r>
    </w:p>
    <w:p>
      <w:pPr>
        <w:spacing w:after="0" w:line="7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 xml:space="preserve">In October 2018, we early adopted FASB ASU 2018-15, </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which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The standard is effective for interim and annual reporting periods beginning after December 15, 2019 and can be applied either prospectively to implementation costs incurred after the date of adoption or retrospectively to all arrangements, with early adoption permitted. Additional information regarding the adoption of this standard is contained in Note I.</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121"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In February 2016, the FASB issued ASU 2016-02, Leases, which will supersede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3" w:name="page44"/>
    <w:bookmarkEnd w:id="43"/>
    <w:p>
      <w:pPr>
        <w:ind w:right="300" w:firstLine="598"/>
        <w:spacing w:after="0" w:line="342" w:lineRule="auto"/>
        <w:rPr>
          <w:sz w:val="20"/>
          <w:szCs w:val="20"/>
          <w:color w:val="auto"/>
        </w:rPr>
      </w:pPr>
      <w:r>
        <w:rPr>
          <w:rFonts w:ascii="Arial" w:cs="Arial" w:eastAsia="Arial" w:hAnsi="Arial"/>
          <w:sz w:val="16"/>
          <w:szCs w:val="16"/>
          <w:color w:val="auto"/>
        </w:rPr>
        <w:t>We adopted the new standard on January 1, 2019 and used the effective date as our date of initial application. Consequently, financial information will not be updated and the disclosures required under the new standard will not be provided for dates and periods before January 1, 2019.</w:t>
      </w:r>
    </w:p>
    <w:p>
      <w:pPr>
        <w:spacing w:after="0" w:line="29"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new standard provides several optional practical expedients in transition. For the fiscal period beginning January 1, 2019, we have made the following elections. We elected the “package of practical expedients,” which permits us not to reassess under the new standard our prior conclusions about lease identification, lease classification and initial direct costs. We did not elect the use-of hindsight or the practical expedient pertaining to land easements; the latter not being applicable to us. The new standard also provided practical expedients for an entity’s ongoing accounting. We elected the short-term lease recognition exemption for all leases that qualify, which means we have not recognized right-of-use (“ROU”) assets or lease liabilities for these leases, and this included not recognizing ROU assets or lease liabilities for existing short-term leases of those assets in transition. We also elected the practical expedient to not separate lease and non-lease components for all leases.</w:t>
      </w:r>
    </w:p>
    <w:p>
      <w:pPr>
        <w:spacing w:after="0" w:line="83" w:lineRule="exact"/>
        <w:rPr>
          <w:sz w:val="20"/>
          <w:szCs w:val="20"/>
          <w:color w:val="auto"/>
        </w:rPr>
      </w:pPr>
    </w:p>
    <w:p>
      <w:pPr>
        <w:ind w:right="340" w:firstLine="598"/>
        <w:spacing w:after="0" w:line="342" w:lineRule="auto"/>
        <w:rPr>
          <w:sz w:val="20"/>
          <w:szCs w:val="20"/>
          <w:color w:val="auto"/>
        </w:rPr>
      </w:pPr>
      <w:r>
        <w:rPr>
          <w:rFonts w:ascii="Arial" w:cs="Arial" w:eastAsia="Arial" w:hAnsi="Arial"/>
          <w:sz w:val="16"/>
          <w:szCs w:val="16"/>
          <w:color w:val="auto"/>
        </w:rPr>
        <w:t>This standard has a material effect on our financial statements beginning January 1, 2019. The most significant effects relate to the recognition of approximately $15.0 million in ROU assets and $15.0 million additional lease liabilities on our balance sheet for our existing operating leases.</w:t>
      </w:r>
    </w:p>
    <w:p>
      <w:pPr>
        <w:spacing w:after="0" w:line="29"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Measurement of Credit Losses on Financial Instruments. The amendment in this update replaces the incurred loss impairment 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Entities may early adopt beginning after December 15, 2018. We are currently evaluating the impact of the adoption of ASU 2016-13 on our consolidated financial statements.</w:t>
      </w:r>
    </w:p>
    <w:p>
      <w:pPr>
        <w:spacing w:after="0" w:line="99"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which allows a reclassification from accumulated other comprehensive income to retained earnings for stranded tax effects resulting from the Tax Act and requires certain disclosures regarding stranded tax effects in accumulated other comprehensive income. This guidance is effective for fiscal years, and interim periods within those fiscal years, beginning after December 15, 2018, with early adoption permitted during interim or annual periods. We believe the adoption of this standard will not have a material impact on our consolidated financial statements.</w:t>
      </w:r>
    </w:p>
    <w:p>
      <w:pPr>
        <w:spacing w:after="0" w:line="2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i w:val="1"/>
          <w:iCs w:val="1"/>
          <w:color w:val="auto"/>
        </w:rPr>
        <w:t xml:space="preserve">Interest Rate Sensitivity Risk. </w:t>
      </w:r>
      <w:r>
        <w:rPr>
          <w:rFonts w:ascii="Arial" w:cs="Arial" w:eastAsia="Arial" w:hAnsi="Arial"/>
          <w:sz w:val="16"/>
          <w:szCs w:val="16"/>
          <w:color w:val="auto"/>
        </w:rPr>
        <w:t>The principal objectives of our investment activities are to preserve principal, provide liquidity and maximize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have any outstanding debt as of December 31, 2018 and 2017. We therefore do not have any material risk to interest rate fluctuations.</w:t>
      </w:r>
    </w:p>
    <w:p>
      <w:pPr>
        <w:spacing w:after="0" w:line="14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We have revenue, expenses, assets and liabilities that are denominated in currencies other than the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Australian dollar and Canadian dollar. As of December 31, 2018, we maintained approximately 6%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 and Subsidiaries Consolidated Financial Statements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700" w:type="dxa"/>
            <w:vAlign w:val="bottom"/>
          </w:tcPr>
          <w:p>
            <w:pPr>
              <w:spacing w:after="0"/>
              <w:rPr>
                <w:sz w:val="17"/>
                <w:szCs w:val="17"/>
                <w:color w:val="auto"/>
              </w:rPr>
            </w:pPr>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Comprehensive Income</w:t>
              </w:r>
            </w:hyperlink>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1180" w:type="dxa"/>
            <w:vAlign w:val="bottom"/>
            <w:gridSpan w:val="2"/>
          </w:tcPr>
          <w:p>
            <w:pPr>
              <w:spacing w:after="0"/>
              <w:rPr>
                <w:sz w:val="17"/>
                <w:szCs w:val="17"/>
                <w:color w:val="auto"/>
              </w:rPr>
            </w:pPr>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Cash Flows</w:t>
              </w:r>
            </w:hyperlink>
          </w:p>
        </w:tc>
        <w:tc>
          <w:tcPr>
            <w:tcW w:w="2040" w:type="dxa"/>
            <w:vAlign w:val="bottom"/>
            <w:gridSpan w:val="5"/>
          </w:tcPr>
          <w:p>
            <w:pPr>
              <w:spacing w:after="0"/>
              <w:rPr>
                <w:sz w:val="17"/>
                <w:szCs w:val="17"/>
                <w:color w:val="auto"/>
              </w:rPr>
            </w:pPr>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Notes to Consolidated Financial Statements</w:t>
              </w:r>
            </w:hyperlink>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669"/>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right"/>
              <w:ind w:right="5550"/>
              <w:spacing w:after="0"/>
              <w:rPr>
                <w:sz w:val="20"/>
                <w:szCs w:val="20"/>
                <w:color w:val="auto"/>
              </w:rPr>
            </w:pPr>
            <w:r>
              <w:rPr>
                <w:rFonts w:ascii="Arial" w:cs="Arial" w:eastAsia="Arial" w:hAnsi="Arial"/>
                <w:sz w:val="18"/>
                <w:szCs w:val="18"/>
                <w:color w:val="auto"/>
              </w:rPr>
              <w:t>45</w:t>
            </w: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SPS Commerce, Inc. and subsidiaries (the Company) as of December 31, 2018 and 2017, the related consolidated statements of comprehensive income, stockholders’ equity, and cash flows for each of the years in the three-year period ended December 31, 2018, and the related notes (collectively,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 xml:space="preserve">As discussed in Note A to the financial statements, the Company has changed its method of accounting for revenue on January 1, 2018 due to the full retrospective adoption of FASB Accounting Standards Update No. 2014-09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SPS Commerce, Inc. acquired the net assets of EDIAdmin and the net assets of CovalentWorks during the fourth quarter of 2018, and management excluded from its assessment of the effectiveness of internal control over financial reporting as of December 31, 2018, EDIAdmin’s and CovalentWorks’ internal control over financial reporting associated with approximately two and six percent of total assets, respectively, and each represents less than one percent of total revenues, in the consolidated financial statements of SPS Commerce, Inc. as of and for the year ended December 31, 2018. Our audit of internal control over financial reporting of SPS Commerce, Inc. also excluded an evaluation of the internal control over financial reporting of EDIAdmin and CovalentWorks.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35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133,859</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249,615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224,331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asset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386,123</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339,738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bottom w:val="single" w:sz="8" w:color="CFF0FC"/>
            </w:tcBorders>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18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4,440</w:t>
            </w:r>
          </w:p>
        </w:tc>
        <w:tc>
          <w:tcPr>
            <w:tcW w:w="1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Deferred rent</w:t>
            </w: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rent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liability</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67,149</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2"/>
              </w:rPr>
              <w:t>Common stock, $0.001 par value; 55,000,000 shares authorized; 17,757,628 and 17,249,153 shares issued; and</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17,345,736 and 17,127,006 outstanding, respectively</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Treasury stock, at cost; 411,892 and 122,147 shares, respectively</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(25,679)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(5,815)</w:t>
            </w: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332,592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15,261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(3,218)</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318,974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288,111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386,123</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339,738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220,085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2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Unrealized gain (loss) on investments, net of tax of $132, $0 and ($5)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Reclassification of unrealized (gain) loss on investments into earnings, net of tax of</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($91), $24 and $0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50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Retained</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860" w:type="dxa"/>
            <w:vAlign w:val="bottom"/>
            <w:gridSpan w:val="6"/>
          </w:tcPr>
          <w:p>
            <w:pPr>
              <w:ind w:left="36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Treasury Stock</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(Accumulated</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640" w:type="dxa"/>
            <w:vAlign w:val="bottom"/>
            <w:vMerge w:val="restart"/>
          </w:tcPr>
          <w:p>
            <w:pPr>
              <w:spacing w:after="0"/>
              <w:rPr>
                <w:sz w:val="20"/>
                <w:szCs w:val="20"/>
                <w:color w:val="auto"/>
              </w:rPr>
            </w:pPr>
            <w:r>
              <w:rPr>
                <w:rFonts w:ascii="Arial" w:cs="Arial" w:eastAsia="Arial" w:hAnsi="Arial"/>
                <w:sz w:val="14"/>
                <w:szCs w:val="14"/>
                <w:color w:val="auto"/>
              </w:rPr>
              <w:t>Balances, December 31, 2015</w:t>
            </w:r>
          </w:p>
        </w:tc>
        <w:tc>
          <w:tcPr>
            <w:tcW w:w="88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Deficit)</w:t>
            </w:r>
          </w:p>
        </w:tc>
        <w:tc>
          <w:tcPr>
            <w:tcW w:w="11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3640" w:type="dxa"/>
            <w:vAlign w:val="bottom"/>
            <w:vMerge w:val="continue"/>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16,723,994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265,265</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(30,202)</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231,432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w w:val="98"/>
              </w:rPr>
              <w:t>Exercise of stock options and 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279,841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4,303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Excess tax benefit of stock options exercised</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33,357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 issued for acquisition</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43,953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4,963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Reclassification of loss on investments into earnings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Unrealized loss on investments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(32)</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color w:val="auto"/>
              </w:rPr>
              <w:t>Balances, December 31, 2016</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17,081,145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286,315</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(25,239)</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(3,326)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257,767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12,728</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w w:val="98"/>
              </w:rPr>
              <w:t>Exercise of stock options and 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135,906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6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Cumulative-effect adjustment for previously unrecognized</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excess tax benefits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16,277</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40,968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Retirement of escrow shares</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(8,866)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(122,147)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122,147</w:t>
            </w:r>
          </w:p>
        </w:tc>
        <w:tc>
          <w:tcPr>
            <w:tcW w:w="1100" w:type="dxa"/>
            <w:vAlign w:val="bottom"/>
            <w:gridSpan w:val="3"/>
          </w:tcPr>
          <w:p>
            <w:pPr>
              <w:jc w:val="right"/>
              <w:ind w:right="99"/>
              <w:spacing w:after="0"/>
              <w:rPr>
                <w:sz w:val="20"/>
                <w:szCs w:val="20"/>
                <w:color w:val="auto"/>
              </w:rPr>
            </w:pPr>
            <w:r>
              <w:rPr>
                <w:rFonts w:ascii="Arial" w:cs="Arial" w:eastAsia="Arial" w:hAnsi="Arial"/>
                <w:sz w:val="14"/>
                <w:szCs w:val="14"/>
                <w:color w:val="auto"/>
              </w:rPr>
              <w:t>(5,815)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(5,815)</w:t>
            </w: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Reclassification of loss on investments into earnings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color w:val="auto"/>
              </w:rPr>
              <w:t>Balances, December 31, 2017</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17,127,006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122,147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(5,815)</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301,863</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(8,611)</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288,111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w w:val="98"/>
              </w:rPr>
              <w:t>Exercise of stock options and 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433,199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14,343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Employee stock purchase plan</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34,798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(289,745)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289,745</w:t>
            </w:r>
          </w:p>
        </w:tc>
        <w:tc>
          <w:tcPr>
            <w:tcW w:w="1100" w:type="dxa"/>
            <w:vAlign w:val="bottom"/>
            <w:gridSpan w:val="3"/>
          </w:tcPr>
          <w:p>
            <w:pPr>
              <w:jc w:val="right"/>
              <w:ind w:right="99"/>
              <w:spacing w:after="0"/>
              <w:rPr>
                <w:sz w:val="20"/>
                <w:szCs w:val="20"/>
                <w:color w:val="auto"/>
              </w:rPr>
            </w:pPr>
            <w:r>
              <w:rPr>
                <w:rFonts w:ascii="Arial" w:cs="Arial" w:eastAsia="Arial" w:hAnsi="Arial"/>
                <w:sz w:val="14"/>
                <w:szCs w:val="14"/>
                <w:color w:val="auto"/>
              </w:rPr>
              <w:t>(19,864)</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(19,864)</w:t>
            </w: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 issued for acquisition</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23,872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(3,999)</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Reclassification of gain on investments into earnings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(273)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Unrealized gain on investments, net of tax</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color w:val="auto"/>
              </w:rPr>
              <w:t>Balances, December 31, 2018</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17,345,736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411,892</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(25,679</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   332,592</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15,261</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(3,218)</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318,974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6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23,872</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351</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Reconciliation of net income to net cash provided by operating</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Earn-out liability</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 and equipment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Other, net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assets and liabilities, net of effects of</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acquisition</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(4,569)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(5,586)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(3,735)</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costs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(5,564)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(7,813)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213"/>
        </w:trPr>
        <w:tc>
          <w:tcPr>
            <w:tcW w:w="5660" w:type="dxa"/>
            <w:vAlign w:val="bottom"/>
          </w:tcPr>
          <w:p>
            <w:pPr>
              <w:ind w:left="740"/>
              <w:spacing w:after="0"/>
              <w:rPr>
                <w:sz w:val="20"/>
                <w:szCs w:val="20"/>
                <w:color w:val="auto"/>
              </w:rPr>
            </w:pPr>
            <w:r>
              <w:rPr>
                <w:rFonts w:ascii="Arial" w:cs="Arial" w:eastAsia="Arial" w:hAnsi="Arial"/>
                <w:sz w:val="16"/>
                <w:szCs w:val="16"/>
                <w:color w:val="auto"/>
              </w:rPr>
              <w:t>Other current and non-current assets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(3,333)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3"/>
        </w:trPr>
        <w:tc>
          <w:tcPr>
            <w:tcW w:w="5660" w:type="dxa"/>
            <w:vAlign w:val="bottom"/>
          </w:tcPr>
          <w:p>
            <w:pPr>
              <w:ind w:left="740"/>
              <w:spacing w:after="0"/>
              <w:rPr>
                <w:sz w:val="20"/>
                <w:szCs w:val="20"/>
                <w:color w:val="auto"/>
              </w:rPr>
            </w:pPr>
            <w:r>
              <w:rPr>
                <w:rFonts w:ascii="Arial" w:cs="Arial" w:eastAsia="Arial" w:hAnsi="Arial"/>
                <w:sz w:val="16"/>
                <w:szCs w:val="16"/>
                <w:color w:val="auto"/>
              </w:rPr>
              <w:t>Accrued compensation</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740"/>
              <w:spacing w:after="0"/>
              <w:rPr>
                <w:sz w:val="20"/>
                <w:szCs w:val="20"/>
                <w:color w:val="auto"/>
              </w:rPr>
            </w:pPr>
            <w:r>
              <w:rPr>
                <w:rFonts w:ascii="Arial" w:cs="Arial" w:eastAsia="Arial" w:hAnsi="Arial"/>
                <w:sz w:val="16"/>
                <w:szCs w:val="16"/>
                <w:color w:val="auto"/>
              </w:rPr>
              <w:t>Deferred revenue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rent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(1,027)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6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12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55,015</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31,050</w:t>
            </w: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18,765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(13,750)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(7,271)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(8,008)</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(81,666)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(47,878)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(23,135)</w:t>
            </w: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Maturities of investments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business and intangible assets, net of cash acquired</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(27,273)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(18,032)</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(40,465)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(22,620)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(34,157)</w:t>
            </w:r>
          </w:p>
        </w:tc>
        <w:tc>
          <w:tcPr>
            <w:tcW w:w="0" w:type="dxa"/>
            <w:vAlign w:val="bottom"/>
          </w:tcPr>
          <w:p>
            <w:pPr>
              <w:spacing w:after="0"/>
              <w:rPr>
                <w:sz w:val="1"/>
                <w:szCs w:val="1"/>
                <w:color w:val="auto"/>
              </w:rPr>
            </w:pPr>
          </w:p>
        </w:tc>
      </w:tr>
      <w:tr>
        <w:trPr>
          <w:trHeight w:val="21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(19,864)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(5,815)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exercise of options to purchase common</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60" w:type="dxa"/>
            <w:vAlign w:val="bottom"/>
          </w:tcPr>
          <w:p>
            <w:pPr>
              <w:ind w:left="260"/>
              <w:spacing w:after="0"/>
              <w:rPr>
                <w:sz w:val="20"/>
                <w:szCs w:val="20"/>
                <w:color w:val="auto"/>
              </w:rPr>
            </w:pPr>
            <w:r>
              <w:rPr>
                <w:rFonts w:ascii="Arial" w:cs="Arial" w:eastAsia="Arial" w:hAnsi="Arial"/>
                <w:sz w:val="16"/>
                <w:szCs w:val="16"/>
                <w:color w:val="auto"/>
              </w:rPr>
              <w:t>Excess tax benefit from exercise of options to purchase</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380"/>
              <w:spacing w:after="0"/>
              <w:rPr>
                <w:sz w:val="20"/>
                <w:szCs w:val="20"/>
                <w:color w:val="auto"/>
              </w:rPr>
            </w:pPr>
            <w:r>
              <w:rPr>
                <w:rFonts w:ascii="Arial" w:cs="Arial" w:eastAsia="Arial" w:hAnsi="Arial"/>
                <w:sz w:val="16"/>
                <w:szCs w:val="16"/>
                <w:color w:val="auto"/>
              </w:rPr>
              <w:t>common stock</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employee stock purchase plan</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60" w:type="dxa"/>
            <w:vAlign w:val="bottom"/>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(3,775)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(2,472)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foreign currency exchange rate changes</w:t>
            </w:r>
          </w:p>
        </w:tc>
        <w:tc>
          <w:tcPr>
            <w:tcW w:w="1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vMerge w:val="continue"/>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6"/>
                <w:szCs w:val="16"/>
                <w:color w:val="auto"/>
              </w:rPr>
              <w:t>Net increase (decrease) in cash and cash equivalents</w:t>
            </w:r>
          </w:p>
        </w:tc>
        <w:tc>
          <w:tcPr>
            <w:tcW w:w="1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7,250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(5,661)</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year</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115,877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66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133,859</w:t>
            </w: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123,127</w:t>
            </w:r>
          </w:p>
        </w:tc>
        <w:tc>
          <w:tcPr>
            <w:tcW w:w="18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115,877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 of cash flow information</w:t>
            </w:r>
          </w:p>
        </w:tc>
        <w:tc>
          <w:tcPr>
            <w:tcW w:w="1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Cash paid for income taxes, net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1,068</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financing activities: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Net purchases of property and equipment on account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1,335</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issued for business acquisitions</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3,371</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117"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distributors, and logistics firms to orchestrate the management of item data, order fulfillment, inventory control and sales analytics across all channels. Implementing and maintaining a suite of supply chain management capabilities is resource intensive and is not a core competency for most businesses. The solutions offered by SPS commerce eliminate the need for on-premise software and support staff by taking on that capability on the customer’s behalf. The solutions SPS Commerce provides allow our customers to increase their supply cycle agility, optimize their inventory levels and sell-through, reduce operational costs and gain increased visibility into customer orders, ensuring that suppliers, distributors, and logistics firms can satisfy exacting retailer requirements.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Assets and liabilities denominated in currencies other than the U.S. dollar are translated into U.S. dollars at the exchange rates in effect at the balance sheet date, with the resulting translation adjustments recorded as a separate component of accumulated other comprehensive loss. Income and expense accounts are translated at the average exchange rates during the year. Foreign currency transaction gains and losses, if any, are included in net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We recognize the fair value of the assets acquired and the liabilities assumed at the acquisition date, separately from goodwill. Goodwill as of the acquisition date is measured as the excess of consideration transferred and the net of the acquisition date amounts of the assets acquired and the liabilities assumed.</w:t>
      </w:r>
    </w:p>
    <w:p>
      <w:pPr>
        <w:spacing w:after="0" w:line="73"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Assets acquired include tangible and intangible assets. We use estimates and assumptions that we believe are reasonable as a part of the purchase price allocation, which includes the process to determine the value and useful lives of purchased intangible assets and the process to determine the value of any contingent consideration liabilities. We recorded the acquisition-date fair value of any contingent liabilities, such as earn-out provisions, as part of the consideration transferred. The earn-out liability fair value is subsequently remeasured at each reporting date. The Company evaluates each contingent consideration to determine the valuation approach. See Note B for valuation methods utilized in the fair value measurement as of the acquisition date and see Note E for valuation methods utilized in the fair value remeasurement as of the reporting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2" w:name="page53"/>
    <w:bookmarkEnd w:id="52"/>
    <w:p>
      <w:pPr>
        <w:ind w:firstLine="598"/>
        <w:spacing w:after="0" w:line="302" w:lineRule="auto"/>
        <w:rPr>
          <w:sz w:val="20"/>
          <w:szCs w:val="20"/>
          <w:color w:val="auto"/>
        </w:rPr>
      </w:pPr>
      <w:r>
        <w:rPr>
          <w:rFonts w:ascii="Arial" w:cs="Arial" w:eastAsia="Arial" w:hAnsi="Arial"/>
          <w:sz w:val="16"/>
          <w:szCs w:val="16"/>
          <w:color w:val="auto"/>
        </w:rPr>
        <w:t>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Upon the conclusion of the measurement period or final determination of the fair values, whichever comes first, any subsequent adjustments would be recorded in our consolidated statements of comprehensive income.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operate in and report on one segment, which is supply chain management solutions</w:t>
      </w:r>
      <w:r>
        <w:rPr>
          <w:rFonts w:ascii="Arial" w:cs="Arial" w:eastAsia="Arial" w:hAnsi="Arial"/>
          <w:sz w:val="18"/>
          <w:szCs w:val="18"/>
          <w:i w:val="1"/>
          <w:i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17" w:lineRule="exact"/>
        <w:rPr>
          <w:sz w:val="20"/>
          <w:szCs w:val="20"/>
          <w:color w:val="auto"/>
        </w:rPr>
      </w:pPr>
    </w:p>
    <w:p>
      <w:pPr>
        <w:ind w:right="420" w:firstLine="598"/>
        <w:spacing w:after="0" w:line="308" w:lineRule="auto"/>
        <w:rPr>
          <w:sz w:val="20"/>
          <w:szCs w:val="20"/>
          <w:color w:val="auto"/>
        </w:rPr>
      </w:pPr>
      <w:r>
        <w:rPr>
          <w:rFonts w:ascii="Arial" w:cs="Arial" w:eastAsia="Arial" w:hAnsi="Arial"/>
          <w:sz w:val="17"/>
          <w:szCs w:val="17"/>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00" w:firstLine="598"/>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in financial institutions in excess of federally insured limits and trade accounts receivable. Cash investments are held with financial institutions that we believe are subject to minimal risk.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less than 90 days. Cash and cash equivalents are stated at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Management determines the appropriate classification of certificates of deposit and marketable securities at the time of purchase and reevaluates such determination at each balance sheet date. Securities are classified as available for sale and are carried at fair value, with the change in unrealized gains and losses, net of tax, reported as a separate component on the consolidated statements of comprehensive income. Fair value is determined based on quoted market rates when observable or utilizing data points that are observable, such as quoted prices, interest rates and yield curves.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The carrying amounts of our financial instruments, which include cash, cash equivalents, accounts receivable, accounts payable and other accrued expenses, approximates fair value due to their short maturities. Marketable securities are recorded at fair value as further described in Note 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certain customers to make the required payments. When determining the allowances for doubtful accounts, we take several factors into consideration including the overall composition of the accounts receivable aging, our prior history of accounts receivable write-offs, the type of customers and our experience with specific customers. We write-off accounts receivable when they are determined to be uncollectible. Changes in the allowances for doubtful accounts are recorded as bad debt expense and are included in general and administrative expense in our consolidated statements of comprehensive income.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Property and equipment, including assets acquired under capital lease obligations, are stated at cost, net of accumulated depreciation and amortization. Depreciation and amortization are computed using the straight-line method over the estimated useful lives when placed in service, which are:</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Computer equipment and software: 2 to 3 years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Office equipment and furniture: 5 to 7 years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Leasehold improvements: the shorter of the useful life of the asset or the remaining term of the lease</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 We also capitalize and amortize eligible costs to acquire or develop external-use software that are incurred after technological feasibility has been established. The assets and related accumulated depreciation and amortization are adjusted for asset retirements and disposals with the resulting gain or loss included in our consolidated statements of comprehensive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Research and development costs primarily include maintenance and data conversion activities related to our cloud-based supply chain management solutions and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in business combinations. We test goodwill for impairment annually at November 30,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the testing date.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Assets acquired in business combinations may include identifiable intangible assets such as subscriber relationships and non-competition agreements. We recognize separately from goodwill the fair value of the identifiable intangible assets acquired. We have determined the fair value and useful lives of our purchased intangible assets using certain estimates and assumptions that we believe are reasonable.</w:t>
      </w:r>
    </w:p>
    <w:p>
      <w:pPr>
        <w:spacing w:after="0" w:line="57" w:lineRule="exact"/>
        <w:rPr>
          <w:sz w:val="20"/>
          <w:szCs w:val="20"/>
          <w:color w:val="auto"/>
        </w:rPr>
      </w:pPr>
    </w:p>
    <w:p>
      <w:pPr>
        <w:ind w:right="700" w:firstLine="598"/>
        <w:spacing w:after="0" w:line="308" w:lineRule="auto"/>
        <w:rPr>
          <w:sz w:val="20"/>
          <w:szCs w:val="20"/>
          <w:color w:val="auto"/>
        </w:rPr>
      </w:pPr>
      <w:r>
        <w:rPr>
          <w:rFonts w:ascii="Arial" w:cs="Arial" w:eastAsia="Arial" w:hAnsi="Arial"/>
          <w:sz w:val="17"/>
          <w:szCs w:val="17"/>
          <w:color w:val="auto"/>
        </w:rPr>
        <w:t>The purchased intangible assets are being amortized on a straight-line basis over their estimated useful lives, which are three to ten years for subscriber relationships, two to five years for non-competition agreements and one to ten years for technology and other.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Implementation Assets</w:t>
      </w:r>
    </w:p>
    <w:p>
      <w:pPr>
        <w:spacing w:after="0" w:line="117"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Internal-use software implementation costs are capitalized assets included in Other Assets and relate to costs incurred during the application development stage for various internal-use software from hosting arrangements.</w:t>
      </w:r>
    </w:p>
    <w:p>
      <w:pPr>
        <w:spacing w:after="0" w:line="62"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Capitalized implementation costs are recognized on a straight-line basis beginning when the application is ready for its intended use and ending on the expected termination date of the hosting arrangement, including consideration of the noncancelable contractual term and reasonably certain renewals.</w:t>
      </w:r>
    </w:p>
    <w:p>
      <w:pPr>
        <w:spacing w:after="0" w:line="16"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The terms are between four and five years for our current hosting arrangements. Recognized expense is reported in general and administrative expense, which is where the hosting arrangement subscriptions are reported.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as the amount by which the carrying amount of a long-lived asset exceeds its fair value.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C for further descriptions of our revenue recognition policy.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62"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comprehensive income.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40" w:firstLine="598"/>
        <w:spacing w:after="0" w:line="342" w:lineRule="auto"/>
        <w:rPr>
          <w:sz w:val="20"/>
          <w:szCs w:val="20"/>
          <w:color w:val="auto"/>
        </w:rPr>
      </w:pPr>
      <w:r>
        <w:rPr>
          <w:rFonts w:ascii="Arial" w:cs="Arial" w:eastAsia="Arial" w:hAnsi="Arial"/>
          <w:sz w:val="16"/>
          <w:szCs w:val="16"/>
          <w:color w:val="auto"/>
        </w:rPr>
        <w:t>We recognize the cost of all share-based payments to employees, including grants of employee stock options, in the financial statements based on the grant date fair value of those awards. This cost is recognized over the period for which an employee is required to provide service in exchange for the award.</w:t>
      </w:r>
    </w:p>
    <w:p>
      <w:pPr>
        <w:spacing w:after="0" w:line="16"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In valuing share-based awards, judgment is required in determining the expected volatility of common stock and the expected term individuals will hold their share-based awards prior to exercising. The expected volatility of the options is based on the historical volatility of our common stock. The expected term of the options is based on the simplified method which does not consider historical employee exercise behavior. The valuation does not include a forfeiture estimate as we recognize forfeitures as they occur.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We account for income taxes using the asset and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in our judgement, there is a less than a 50% likelihood that the deferred tax asset will be utilized.</w:t>
      </w:r>
    </w:p>
    <w:p>
      <w:pPr>
        <w:spacing w:after="0" w:line="8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assess our ability to realize our deferred tax assets at the end of each reporting period. Realization of our deferred tax assets is contingent upon future taxable earnings. Accordingly, this assessment requires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80"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ind w:right="460" w:firstLine="598"/>
        <w:spacing w:after="0" w:line="312" w:lineRule="auto"/>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 Diluted net income per share also includes the impact of our outstanding potential common shares, including options, restricted stock units and restricted stock awards. Potential common shares that are anti-dilutive are excluded from the calculation of diluted net income per share.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 and Other Assets and Deferred Costs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(Subtopic 340-40)</w:t>
      </w:r>
      <w:r>
        <w:rPr>
          <w:rFonts w:ascii="Arial" w:cs="Arial" w:eastAsia="Arial" w:hAnsi="Arial"/>
          <w:sz w:val="18"/>
          <w:szCs w:val="18"/>
          <w:color w:val="auto"/>
        </w:rPr>
        <w:t>, which requires an entity to recognize the amount of revenue to which it expects to be entitled for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promised goods or services to customers in an amount that reflects the consideration to which the entity expects to be entitled in exchange for those goods or services. This guidance replaced most existing revenue recognition guidance in GAAP. Topic 606 also includes Subtopic 340-40, </w:t>
      </w:r>
      <w:r>
        <w:rPr>
          <w:rFonts w:ascii="Arial" w:cs="Arial" w:eastAsia="Arial" w:hAnsi="Arial"/>
          <w:sz w:val="18"/>
          <w:szCs w:val="18"/>
          <w:i w:val="1"/>
          <w:iCs w:val="1"/>
          <w:color w:val="auto"/>
        </w:rPr>
        <w:t>Other Assets and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Costs – Contracts with Customers</w:t>
      </w:r>
      <w:r>
        <w:rPr>
          <w:rFonts w:ascii="Arial" w:cs="Arial" w:eastAsia="Arial" w:hAnsi="Arial"/>
          <w:sz w:val="18"/>
          <w:szCs w:val="18"/>
          <w:color w:val="auto"/>
        </w:rPr>
        <w:t>, which requires the deferral of incremental costs of obtaining a contract with a customer. Collectively, we refer to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 and Subtopic 340-40 as the “new standard”. These requirements are effective for annual reporting periods beginning after December 15, 2017, and interim periods within those annual periods.</w:t>
      </w:r>
    </w:p>
    <w:p>
      <w:pPr>
        <w:spacing w:after="0" w:line="8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adopted the new standard effective January 1, 2018, on a retrospective basis. The new standard did not impact our recognition of the recurring revenue received from customers for our cloud-based supply chain solutions; however, the adoption of the new standard impacted our accounting for certain upfront set-up fees, the periods over which the related revenues are recognized and the timing of revenue recognition for these set-up fees. The adoption of the new standard also impacted our accounting for certain costs to obtain our contracts, specifically related to the periods over which commissions are recognized.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6" w:name="page57"/>
    <w:bookmarkEnd w:id="56"/>
    <w:p>
      <w:pPr>
        <w:ind w:left="600"/>
        <w:spacing w:after="0"/>
        <w:rPr>
          <w:sz w:val="20"/>
          <w:szCs w:val="20"/>
          <w:color w:val="auto"/>
        </w:rPr>
      </w:pPr>
      <w:r>
        <w:rPr>
          <w:rFonts w:ascii="Arial" w:cs="Arial" w:eastAsia="Arial" w:hAnsi="Arial"/>
          <w:sz w:val="18"/>
          <w:szCs w:val="18"/>
          <w:color w:val="auto"/>
        </w:rPr>
        <w:t>Selected audited consolidated balance sheet line items, which reflect the adoption of ASU 2014-09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 2017</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w w:val="97"/>
              </w:rPr>
              <w:t>As previously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4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adjusted</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2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25,091</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4,875</w:t>
            </w:r>
          </w:p>
        </w:tc>
        <w:tc>
          <w:tcPr>
            <w:tcW w:w="1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29,966</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 non-current</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9,967</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Deferred income tax asset</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13,697</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15,228</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Deferred revenue, non-current</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(19,902)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(8,611)</w:t>
            </w:r>
          </w:p>
        </w:tc>
      </w:tr>
    </w:tbl>
    <w:p>
      <w:pPr>
        <w:spacing w:after="0" w:line="1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Selected audited consolidated statement of operations line items, which reflect the adoption of ASU 2014-09 are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00" w:type="dxa"/>
            <w:vAlign w:val="bottom"/>
            <w:gridSpan w:val="8"/>
          </w:tcPr>
          <w:p>
            <w:pPr>
              <w:ind w:left="620"/>
              <w:spacing w:after="0"/>
              <w:rPr>
                <w:sz w:val="20"/>
                <w:szCs w:val="20"/>
                <w:color w:val="auto"/>
              </w:rPr>
            </w:pPr>
            <w:r>
              <w:rPr>
                <w:rFonts w:ascii="Arial" w:cs="Arial" w:eastAsia="Arial" w:hAnsi="Arial"/>
                <w:sz w:val="14"/>
                <w:szCs w:val="14"/>
                <w:b w:val="1"/>
                <w:bCs w:val="1"/>
                <w:color w:val="auto"/>
              </w:rPr>
              <w:t>For the twelve months ended December 31, 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As previously</w:t>
            </w: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215"/>
              <w:spacing w:after="0"/>
              <w:rPr>
                <w:sz w:val="20"/>
                <w:szCs w:val="20"/>
                <w:color w:val="auto"/>
              </w:rPr>
            </w:pPr>
            <w:r>
              <w:rPr>
                <w:rFonts w:ascii="Arial" w:cs="Arial" w:eastAsia="Arial" w:hAnsi="Arial"/>
                <w:sz w:val="14"/>
                <w:szCs w:val="14"/>
                <w:b w:val="1"/>
                <w:bCs w:val="1"/>
                <w:color w:val="auto"/>
                <w:w w:val="95"/>
              </w:rPr>
              <w:t>reported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193,295</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193,153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65,886</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7,517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3,140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9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5,710</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Basic</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8"/>
          </w:tcPr>
          <w:p>
            <w:pPr>
              <w:ind w:left="620"/>
              <w:spacing w:after="0"/>
              <w:rPr>
                <w:sz w:val="20"/>
                <w:szCs w:val="20"/>
                <w:color w:val="auto"/>
              </w:rPr>
            </w:pPr>
            <w:r>
              <w:rPr>
                <w:rFonts w:ascii="Arial" w:cs="Arial" w:eastAsia="Arial" w:hAnsi="Arial"/>
                <w:sz w:val="14"/>
                <w:szCs w:val="14"/>
                <w:b w:val="1"/>
                <w:bCs w:val="1"/>
                <w:color w:val="auto"/>
              </w:rPr>
              <w:t>For the twelve months ended December 31,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As previously</w:t>
            </w: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215"/>
              <w:spacing w:after="0"/>
              <w:rPr>
                <w:sz w:val="20"/>
                <w:szCs w:val="20"/>
                <w:color w:val="auto"/>
              </w:rPr>
            </w:pPr>
            <w:r>
              <w:rPr>
                <w:rFonts w:ascii="Arial" w:cs="Arial" w:eastAsia="Arial" w:hAnsi="Arial"/>
                <w:sz w:val="14"/>
                <w:szCs w:val="14"/>
                <w:b w:val="1"/>
                <w:bCs w:val="1"/>
                <w:color w:val="auto"/>
                <w:w w:val="95"/>
              </w:rPr>
              <w:t>reported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220,566</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73,295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(2,034)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8,428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11,580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(1,238)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9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Diluted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3800" w:type="dxa"/>
            <w:vAlign w:val="bottom"/>
          </w:tcPr>
          <w:p>
            <w:pPr>
              <w:spacing w:after="0"/>
              <w:rPr>
                <w:sz w:val="24"/>
                <w:szCs w:val="24"/>
                <w:color w:val="auto"/>
              </w:rPr>
            </w:pPr>
          </w:p>
        </w:tc>
        <w:tc>
          <w:tcPr>
            <w:tcW w:w="2940" w:type="dxa"/>
            <w:vAlign w:val="bottom"/>
          </w:tcPr>
          <w:p>
            <w:pPr>
              <w:jc w:val="right"/>
              <w:ind w:right="85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7" w:name="page58"/>
    <w:bookmarkEnd w:id="57"/>
    <w:p>
      <w:pPr>
        <w:ind w:left="600"/>
        <w:spacing w:after="0"/>
        <w:rPr>
          <w:sz w:val="20"/>
          <w:szCs w:val="20"/>
          <w:color w:val="auto"/>
        </w:rPr>
      </w:pPr>
      <w:r>
        <w:rPr>
          <w:rFonts w:ascii="Arial" w:cs="Arial" w:eastAsia="Arial" w:hAnsi="Arial"/>
          <w:sz w:val="17"/>
          <w:szCs w:val="17"/>
          <w:color w:val="auto"/>
        </w:rPr>
        <w:t>Selected audited consolidated statement of cash flows line items, which reflect the adoption of ASU 2014-09 are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91"/>
              </w:rPr>
              <w:t>For the twelve months ended December 31, 2016</w:t>
            </w:r>
          </w:p>
        </w:tc>
        <w:tc>
          <w:tcPr>
            <w:tcW w:w="0" w:type="dxa"/>
            <w:vAlign w:val="bottom"/>
          </w:tcPr>
          <w:p>
            <w:pPr>
              <w:spacing w:after="0"/>
              <w:rPr>
                <w:sz w:val="1"/>
                <w:szCs w:val="1"/>
                <w:color w:val="auto"/>
              </w:rPr>
            </w:pPr>
          </w:p>
        </w:tc>
      </w:tr>
      <w:tr>
        <w:trPr>
          <w:trHeight w:val="252"/>
        </w:trPr>
        <w:tc>
          <w:tcPr>
            <w:tcW w:w="6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1"/>
              </w:rPr>
              <w:t>As previously</w:t>
            </w: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7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reported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(747)</w:t>
            </w: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costs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(4,964)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gridSpan w:val="12"/>
          </w:tcPr>
          <w:p>
            <w:pPr>
              <w:jc w:val="center"/>
              <w:ind w:right="340"/>
              <w:spacing w:after="0"/>
              <w:rPr>
                <w:sz w:val="20"/>
                <w:szCs w:val="20"/>
                <w:color w:val="auto"/>
              </w:rPr>
            </w:pPr>
            <w:r>
              <w:rPr>
                <w:rFonts w:ascii="Arial" w:cs="Arial" w:eastAsia="Arial" w:hAnsi="Arial"/>
                <w:sz w:val="14"/>
                <w:szCs w:val="14"/>
                <w:b w:val="1"/>
                <w:bCs w:val="1"/>
                <w:color w:val="auto"/>
                <w:w w:val="91"/>
              </w:rPr>
              <w:t>For the twelve months ended December 31, 2017</w:t>
            </w:r>
          </w:p>
        </w:tc>
        <w:tc>
          <w:tcPr>
            <w:tcW w:w="0" w:type="dxa"/>
            <w:vAlign w:val="bottom"/>
          </w:tcPr>
          <w:p>
            <w:pPr>
              <w:spacing w:after="0"/>
              <w:rPr>
                <w:sz w:val="1"/>
                <w:szCs w:val="1"/>
                <w:color w:val="auto"/>
              </w:rPr>
            </w:pPr>
          </w:p>
        </w:tc>
      </w:tr>
      <w:tr>
        <w:trPr>
          <w:trHeight w:val="252"/>
        </w:trPr>
        <w:tc>
          <w:tcPr>
            <w:tcW w:w="67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As previously</w:t>
            </w: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reported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(2,440)</w:t>
            </w:r>
          </w:p>
        </w:tc>
        <w:tc>
          <w:tcPr>
            <w:tcW w:w="14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2,791</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Deferred costs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(6,548)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compensation</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 xml:space="preserve">In January 2018, we adopted FASB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clarifies the definition of a business with the objective of adding guidance to assist entities with evaluating whether transactions should be accounted for as business acquisitions or as an asset acquisition. The new standard specifies the required inputs and processes that are necessary to be a business. The adoption of this standard impacted our accounting for business combinations. See Note B for additional information regarding business combinations.</w:t>
      </w:r>
    </w:p>
    <w:p>
      <w:pPr>
        <w:spacing w:after="0" w:line="60" w:lineRule="exact"/>
        <w:rPr>
          <w:sz w:val="20"/>
          <w:szCs w:val="20"/>
          <w:color w:val="auto"/>
        </w:rPr>
      </w:pPr>
    </w:p>
    <w:p>
      <w:pPr>
        <w:ind w:right="120" w:firstLine="598"/>
        <w:spacing w:after="0" w:line="286" w:lineRule="auto"/>
        <w:rPr>
          <w:sz w:val="20"/>
          <w:szCs w:val="20"/>
          <w:color w:val="auto"/>
        </w:rPr>
      </w:pPr>
      <w:r>
        <w:rPr>
          <w:rFonts w:ascii="Arial" w:cs="Arial" w:eastAsia="Arial" w:hAnsi="Arial"/>
          <w:sz w:val="17"/>
          <w:szCs w:val="17"/>
          <w:color w:val="auto"/>
        </w:rPr>
        <w:t xml:space="preserve">In March 2018, we adopted FASB ASU 2018-05, </w:t>
      </w:r>
      <w:r>
        <w:rPr>
          <w:rFonts w:ascii="Arial" w:cs="Arial" w:eastAsia="Arial" w:hAnsi="Arial"/>
          <w:sz w:val="17"/>
          <w:szCs w:val="17"/>
          <w:i w:val="1"/>
          <w:iCs w:val="1"/>
          <w:color w:val="auto"/>
        </w:rPr>
        <w:t>Income Taxes (Topic 740): Amendments to SEC Paragraphs Pursuant to SEC Staff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Bulletin No. 118</w:t>
      </w:r>
      <w:r>
        <w:rPr>
          <w:rFonts w:ascii="Arial" w:cs="Arial" w:eastAsia="Arial" w:hAnsi="Arial"/>
          <w:sz w:val="17"/>
          <w:szCs w:val="17"/>
          <w:color w:val="auto"/>
        </w:rPr>
        <w:t>, which updates the income tax accounting in U.S. GAAP to reflect the SEC interpretive guidance released on December 22, 2017,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Act was signed into law. Additional information regarding the adoption of this standard is contained in Note M.</w:t>
      </w:r>
    </w:p>
    <w:p>
      <w:pPr>
        <w:spacing w:after="0" w:line="71"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In August 2018, the FASB issued ASU 2018-15, Intangibles – Goodwill and Other – 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standard is effective for interim and annual reporting periods beginning after December 15, 2019 and can be applied either prospectively to implementation costs incurred after the date of adoption or retrospectively to all arrangements, with early adoption permitted.</w:t>
      </w:r>
    </w:p>
    <w:p>
      <w:pPr>
        <w:spacing w:after="0" w:line="50"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We early adopted ASU 2018-15 as of October 1, 2018, under the prospective method. Additional disclosure regarding capitalized implementation costs is included within Note 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will supersede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w:t>
      </w:r>
    </w:p>
    <w:p>
      <w:pPr>
        <w:spacing w:after="0" w:line="77" w:lineRule="exact"/>
        <w:rPr>
          <w:sz w:val="20"/>
          <w:szCs w:val="20"/>
          <w:color w:val="auto"/>
        </w:rPr>
      </w:pPr>
    </w:p>
    <w:p>
      <w:pPr>
        <w:ind w:right="280" w:firstLine="598"/>
        <w:spacing w:after="0" w:line="342" w:lineRule="auto"/>
        <w:rPr>
          <w:sz w:val="20"/>
          <w:szCs w:val="20"/>
          <w:color w:val="auto"/>
        </w:rPr>
      </w:pPr>
      <w:r>
        <w:rPr>
          <w:rFonts w:ascii="Arial" w:cs="Arial" w:eastAsia="Arial" w:hAnsi="Arial"/>
          <w:sz w:val="16"/>
          <w:szCs w:val="16"/>
          <w:color w:val="auto"/>
        </w:rPr>
        <w:t>We adopted the new standard on January 1, 2019 and used the effective date as our date of initial application. Consequently, financial information will not be updated and the disclosures required under the new standard will not be provided for dates and periods before January 1, 2019.</w:t>
      </w:r>
    </w:p>
    <w:p>
      <w:pPr>
        <w:spacing w:after="0" w:line="29"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new standard provides several optional practical expedients in transition. For the fiscal period beginning January 1, 2019, we have made the following elections. We elected the “package of practical expedients,” which permits us not to reassess under the new standard our prior conclusions about lease identification, lease classification and initial direct costs. We did not elect the use-of hindsight or the practical expedient pertaining to land easements; the latter not being applicable to us. The new standard also provided practical expedients for an entity’s ongoing accounting. We elected the short-term lease recognition exemption for all leases that qualify which means we have not recognized right-of-use (“ROU”) assets or lease liabilities for these leases, and this included not recognizing ROU assets or lease liabilities for existing short-term leases of those assets in transition. We also elected the practical expedient to not separate lease and non-lease components for all leases.</w:t>
      </w:r>
    </w:p>
    <w:p>
      <w:pPr>
        <w:spacing w:after="0" w:line="83" w:lineRule="exact"/>
        <w:rPr>
          <w:sz w:val="20"/>
          <w:szCs w:val="20"/>
          <w:color w:val="auto"/>
        </w:rPr>
      </w:pPr>
    </w:p>
    <w:p>
      <w:pPr>
        <w:ind w:right="320" w:firstLine="598"/>
        <w:spacing w:after="0" w:line="342" w:lineRule="auto"/>
        <w:rPr>
          <w:sz w:val="20"/>
          <w:szCs w:val="20"/>
          <w:color w:val="auto"/>
        </w:rPr>
      </w:pPr>
      <w:r>
        <w:rPr>
          <w:rFonts w:ascii="Arial" w:cs="Arial" w:eastAsia="Arial" w:hAnsi="Arial"/>
          <w:sz w:val="16"/>
          <w:szCs w:val="16"/>
          <w:color w:val="auto"/>
        </w:rPr>
        <w:t>This standard has a material effect on our financial statements beginning January 1, 2019. The most significant effects relate to the recognition of approximately $15.0 million in ROU assets and $15.0 million additional lease liabilities on our balance sheet for our existing operating leases.</w:t>
      </w:r>
    </w:p>
    <w:p>
      <w:pPr>
        <w:spacing w:after="0" w:line="2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Measurement of Credit Losses on Financial Instruments. The amendment in this update replaces the incurred loss impairment 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Entities may early adopt beginning after December 15, 2018. We are currently evaluating the impact of the adoption of ASU 2016-13 on our consolidated financial statements.</w:t>
      </w:r>
    </w:p>
    <w:p>
      <w:pPr>
        <w:spacing w:after="0" w:line="99"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which allows a reclassification from accumulated other comprehensive income to retained earnings for stranded tax effects resulting from the Tax Act and requires certain disclosures regarding stranded tax effects in accumulated other comprehensive income. This guidance is effective for fiscal years, and interim periods within those fiscal years, beginning after December 15, 2018, with early adoption permitted during interim or annual periods. We believe the adoption of this standard will not have a material impact on our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EDIAdmin</w:t>
      </w:r>
    </w:p>
    <w:p>
      <w:pPr>
        <w:spacing w:after="0" w:line="121"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On October 3, 2018, we completed our asset acquisition of EDIAdmin, a privately held company providing end-to-end integration solutions, featuring a dedicated Integration Platform as a Service (“iPaaS”) called Cloud Hybrid Integration Platform (“CHIP”) and collaborative managed services for leading systems and applications, both cloud and on-premise. Pursuant to the asset purchase agreement, we paid $7.5 million in cash to the owner of EDIAdmin. The purchase agreement also allowed the seller to receive up to $1.7 million in cash, which becomes payable in first quarter 2020 and 2021 contingent upon the completion of certain revenue milestones at December 31, 2019 and December 31, 2020. During the year ended December 31, 2018, we recognized other expense of $0.1 million in our consolidated statements of comprehensive income due to the remeasurement of the contingent liability. See Note E for further disclosures on the remeasurement of the contingent liability. The purchase accounting for the EDIAdmin acquisition is complete as of December 31, 2018.</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and of the earn-out liability.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purchase price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40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 of earn-out liability</w:t>
            </w:r>
          </w:p>
        </w:tc>
        <w:tc>
          <w:tcPr>
            <w:tcW w:w="36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FF0FC"/>
            </w:tcBorders>
          </w:tcPr>
          <w:p>
            <w:pPr>
              <w:spacing w:after="0"/>
              <w:rPr>
                <w:sz w:val="19"/>
                <w:szCs w:val="19"/>
                <w:color w:val="auto"/>
              </w:rPr>
            </w:pPr>
          </w:p>
        </w:tc>
      </w:tr>
      <w:tr>
        <w:trPr>
          <w:trHeight w:val="223"/>
        </w:trPr>
        <w:tc>
          <w:tcPr>
            <w:tcW w:w="580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598"/>
        <w:spacing w:after="0" w:line="293" w:lineRule="auto"/>
        <w:rPr>
          <w:sz w:val="20"/>
          <w:szCs w:val="20"/>
          <w:color w:val="auto"/>
        </w:rPr>
      </w:pPr>
      <w:r>
        <w:rPr>
          <w:rFonts w:ascii="Arial" w:cs="Arial" w:eastAsia="Arial" w:hAnsi="Arial"/>
          <w:sz w:val="18"/>
          <w:szCs w:val="18"/>
          <w:color w:val="auto"/>
        </w:rPr>
        <w:t>The final purchase price is subject to a net working capital adjustment to be determined by the sellers and us, pursuant to the terms of the purchase agreement.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estimated fair values of the assets acquired and liabilities assumed at the acquisition date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80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r>
      <w:tr>
        <w:trPr>
          <w:trHeight w:val="223"/>
        </w:trPr>
        <w:tc>
          <w:tcPr>
            <w:tcW w:w="9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8,735</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Estimated</w:t>
            </w:r>
          </w:p>
        </w:tc>
      </w:t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r>
      <w:tr>
        <w:trPr>
          <w:trHeight w:val="171"/>
        </w:trPr>
        <w:tc>
          <w:tcPr>
            <w:tcW w:w="7700" w:type="dxa"/>
            <w:vAlign w:val="bottom"/>
          </w:tcPr>
          <w:p>
            <w:pPr>
              <w:spacing w:after="0"/>
              <w:rPr>
                <w:sz w:val="20"/>
                <w:szCs w:val="20"/>
                <w:color w:val="auto"/>
              </w:rPr>
            </w:pPr>
            <w:r>
              <w:rPr>
                <w:rFonts w:ascii="Arial" w:cs="Arial" w:eastAsia="Arial" w:hAnsi="Arial"/>
                <w:sz w:val="14"/>
                <w:szCs w:val="14"/>
                <w:b w:val="1"/>
                <w:bCs w:val="1"/>
                <w:color w:val="auto"/>
              </w:rPr>
              <w:t>Purchased Intangible Assets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8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for the period from October 3, 2018 through December 31, 2018 was $0.1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CovalentWorks</w:t>
      </w:r>
    </w:p>
    <w:p>
      <w:pPr>
        <w:spacing w:after="0" w:line="121" w:lineRule="exact"/>
        <w:rPr>
          <w:sz w:val="20"/>
          <w:szCs w:val="20"/>
          <w:color w:val="auto"/>
        </w:rPr>
      </w:pPr>
    </w:p>
    <w:p>
      <w:pPr>
        <w:ind w:right="280" w:firstLine="598"/>
        <w:spacing w:after="0" w:line="288" w:lineRule="auto"/>
        <w:rPr>
          <w:sz w:val="20"/>
          <w:szCs w:val="20"/>
          <w:color w:val="auto"/>
        </w:rPr>
      </w:pPr>
      <w:r>
        <w:rPr>
          <w:rFonts w:ascii="Arial" w:cs="Arial" w:eastAsia="Arial" w:hAnsi="Arial"/>
          <w:sz w:val="16"/>
          <w:szCs w:val="16"/>
          <w:color w:val="auto"/>
        </w:rPr>
        <w:t>On December 18, 2018, we completed our asset acquisition of CovalentWorks, a privately held company providing cloud-based EDI solutions to small- and medium-sized businesses. Pursuant to the asset purchase agreement, we paid $19.4 million in cash and issued $3.4 million in common stock, or 40,478 shares, to the owners of CovalentWorks. The purchase accounting for the CovalentWorks acquisition has not been finalized as of December 31,</w:t>
      </w:r>
    </w:p>
    <w:p>
      <w:pPr>
        <w:ind w:right="40"/>
        <w:spacing w:after="0" w:line="261" w:lineRule="auto"/>
        <w:rPr>
          <w:sz w:val="20"/>
          <w:szCs w:val="20"/>
          <w:color w:val="auto"/>
        </w:rPr>
      </w:pPr>
      <w:r>
        <w:rPr>
          <w:rFonts w:ascii="Arial" w:cs="Arial" w:eastAsia="Arial" w:hAnsi="Arial"/>
          <w:sz w:val="18"/>
          <w:szCs w:val="18"/>
          <w:color w:val="auto"/>
        </w:rPr>
        <w:t>2018. Provisional amounts are primarily related to intangible assets. We expect to finalize the allocation of purchase price within the one-year measurement-period following the acquisition.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buyer-specific value resulting from expected synergies, including long-term cost savings, which are not included in the fair values of identifiable assets.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purchase price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16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19,431</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SPS Commerce, Inc. common stock</w:t>
            </w:r>
          </w:p>
        </w:tc>
        <w:tc>
          <w:tcPr>
            <w:tcW w:w="34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FF0FC"/>
            </w:tcBorders>
          </w:tcPr>
          <w:p>
            <w:pPr>
              <w:spacing w:after="0"/>
              <w:rPr>
                <w:sz w:val="19"/>
                <w:szCs w:val="19"/>
                <w:color w:val="auto"/>
              </w:rPr>
            </w:pPr>
          </w:p>
        </w:tc>
      </w:tr>
      <w:tr>
        <w:trPr>
          <w:trHeight w:val="223"/>
        </w:trPr>
        <w:tc>
          <w:tcPr>
            <w:tcW w:w="600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final purchase price is subject to a net working capital adjustment to be determined by the sellers and us, pursuant to the terms of the purchase agreement.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estimated fair values of the assets acquired and liabilities assumed at the acquisition date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5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15,402</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Intangible assets</w:t>
            </w:r>
          </w:p>
        </w:tc>
        <w:tc>
          <w:tcPr>
            <w:tcW w:w="3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Deferred revenue</w:t>
            </w:r>
          </w:p>
        </w:tc>
        <w:tc>
          <w:tcPr>
            <w:tcW w:w="3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23"/>
        </w:trPr>
        <w:tc>
          <w:tcPr>
            <w:tcW w:w="5580" w:type="dxa"/>
            <w:vAlign w:val="bottom"/>
            <w:tcBorders>
              <w:top w:val="single" w:sz="8" w:color="CFF0FC"/>
              <w:bottom w:val="single" w:sz="8" w:color="CFF0FC"/>
            </w:tcBorders>
            <w:shd w:val="clear" w:color="auto" w:fill="CFF0FC"/>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Estimated</w:t>
            </w:r>
          </w:p>
        </w:tc>
      </w:t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r>
      <w:tr>
        <w:trPr>
          <w:trHeight w:val="17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Purchased Intangible Assets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98"/>
        <w:spacing w:after="0" w:line="293"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for the period from December 18, 2018 through December 31, 2018 was not material.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C – Revenue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derive our revenues primarily from the following revenue streams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vMerge w:val="restart"/>
          </w:tcPr>
          <w:p>
            <w:pPr>
              <w:spacing w:after="0"/>
              <w:rPr>
                <w:sz w:val="20"/>
                <w:szCs w:val="20"/>
                <w:color w:val="auto"/>
              </w:rPr>
            </w:pPr>
            <w:r>
              <w:rPr>
                <w:rFonts w:ascii="Arial" w:cs="Arial" w:eastAsia="Arial" w:hAnsi="Arial"/>
                <w:sz w:val="18"/>
                <w:szCs w:val="18"/>
                <w:color w:val="auto"/>
              </w:rPr>
              <w:t>Recurring revenues: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Fulfillment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190,783</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164,682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Analytics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34,260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Recurring Revenues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230,654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203,920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One-time revenues</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16,165</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248,240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220,085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Revenues</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80"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deferred revenue liabilities for recurring revenue contracts are for one year or less and recognized on a ratable basis over the contract term. We have applied the optional exemption under ASC 606-10-50-14(a) and will not disclose information about the remaining performance obligations for contracts which have original durations of one year or less.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One-time Revenues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11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 Except for our Analytics solution, we have determined that the set-up fees represent a material renewal option right to our customers as they will not be incurred again upon renewal. These set-up fees and related costs are deferred and recognized ratably over two years, which is the estimated period for which a material right is present for our customers. For our Analytics solution, we have determined that the set-up fees do not represent a material customer renewal right and, as such, are deferred and recognized ratably over the estimated initial contract term, which is one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ind w:left="60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100" w:type="dxa"/>
            <w:vAlign w:val="bottom"/>
          </w:tcPr>
          <w:p>
            <w:pPr>
              <w:spacing w:after="0"/>
              <w:rPr>
                <w:sz w:val="20"/>
                <w:szCs w:val="20"/>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27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2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2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(10,445)</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(10,589)</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27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62"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Miscellaneous one-time fees consist of professional services and testing and certification. The deferred revenue liability for these one-time fees are for one year or less and recognized at the time service is provided. We have applied the optional exemption under ASC 606-10-50-14(a) and will not disclose information about the remaining performance obligations for contracts which have original durations of one year or less.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Deferred Costs</w:t>
      </w:r>
    </w:p>
    <w:p>
      <w:pPr>
        <w:spacing w:after="0" w:line="12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62"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operations.</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presents the activity of deferred costs and amortization of deferred costs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100" w:type="dxa"/>
            <w:vAlign w:val="bottom"/>
          </w:tcPr>
          <w:p>
            <w:pPr>
              <w:spacing w:after="0"/>
              <w:rPr>
                <w:sz w:val="20"/>
                <w:szCs w:val="20"/>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27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2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44,628</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2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(44,041)</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(36,812)</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27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45,475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39,933</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Financial Instruments</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We invest primarily in money market funds, certificates of deposit,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investments. Investments with remaining maturities of more than one year from the balance sheet date are classified as long-term investments.</w:t>
      </w:r>
    </w:p>
    <w:p>
      <w:pPr>
        <w:spacing w:after="0" w:line="63"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Our short- and long-term marketable securities are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ind w:firstLine="598"/>
        <w:spacing w:after="0" w:line="302" w:lineRule="auto"/>
        <w:rPr>
          <w:sz w:val="20"/>
          <w:szCs w:val="20"/>
          <w:color w:val="auto"/>
        </w:rPr>
      </w:pPr>
      <w:r>
        <w:rPr>
          <w:rFonts w:ascii="Arial" w:cs="Arial" w:eastAsia="Arial" w:hAnsi="Arial"/>
          <w:sz w:val="16"/>
          <w:szCs w:val="16"/>
          <w:color w:val="auto"/>
        </w:rPr>
        <w:t>Our marketable securities are carried at fair value and unrealized gains and losses on these investments, net of taxes, are included in accumulated other comprehensive loss in the consolidated balance sheets. Realized gains or losses are included in other income (expense), net in the consolidated statements of comprehensive income.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equivalents and short- and long-term investments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3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2"/>
                <w:szCs w:val="12"/>
                <w:color w:val="auto"/>
              </w:rPr>
            </w:pPr>
          </w:p>
        </w:tc>
        <w:tc>
          <w:tcPr>
            <w:tcW w:w="820" w:type="dxa"/>
            <w:vAlign w:val="bottom"/>
          </w:tcPr>
          <w:p>
            <w:pPr>
              <w:jc w:val="right"/>
              <w:ind w:right="54"/>
              <w:spacing w:after="0" w:line="14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54"/>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34"/>
              <w:spacing w:after="0" w:line="147"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72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3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9"/>
              </w:rPr>
              <w:t>Gains (Losses)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Cost</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Gains (Losses)</w:t>
            </w:r>
          </w:p>
        </w:tc>
        <w:tc>
          <w:tcPr>
            <w:tcW w:w="1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109,265</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109,265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104,544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104,544</w:t>
            </w:r>
          </w:p>
        </w:tc>
        <w:tc>
          <w:tcPr>
            <w:tcW w:w="10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17,701</w:t>
            </w:r>
          </w:p>
        </w:tc>
        <w:tc>
          <w:tcPr>
            <w:tcW w:w="100" w:type="dxa"/>
            <w:vAlign w:val="bottom"/>
            <w:shd w:val="clear" w:color="auto" w:fill="CFF0FC"/>
          </w:tcPr>
          <w:p>
            <w:pPr>
              <w:spacing w:after="0"/>
              <w:rPr>
                <w:sz w:val="19"/>
                <w:szCs w:val="19"/>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9"/>
                <w:szCs w:val="19"/>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shd w:val="clear" w:color="auto" w:fill="CFF0FC"/>
          </w:tcPr>
          <w:p>
            <w:pPr>
              <w:spacing w:after="0"/>
              <w:rPr>
                <w:sz w:val="19"/>
                <w:szCs w:val="19"/>
                <w:color w:val="auto"/>
              </w:rPr>
            </w:pPr>
          </w:p>
        </w:tc>
      </w:tr>
      <w:tr>
        <w:trPr>
          <w:trHeight w:val="263"/>
        </w:trPr>
        <w:tc>
          <w:tcPr>
            <w:tcW w:w="3320" w:type="dxa"/>
            <w:vAlign w:val="bottom"/>
            <w:tcBorders>
              <w:bottom w:val="single" w:sz="8" w:color="CFF0FC"/>
            </w:tcBorders>
          </w:tcPr>
          <w:p>
            <w:pPr>
              <w:spacing w:after="0"/>
              <w:rPr>
                <w:sz w:val="22"/>
                <w:szCs w:val="22"/>
                <w:color w:val="auto"/>
              </w:rPr>
            </w:pPr>
          </w:p>
        </w:tc>
        <w:tc>
          <w:tcPr>
            <w:tcW w:w="14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153,648</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153,802</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149,953</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bottom w:val="single" w:sz="8" w:color="CFF0FC"/>
            </w:tcBorders>
          </w:tcPr>
          <w:p>
            <w:pPr>
              <w:spacing w:after="0"/>
              <w:rPr>
                <w:sz w:val="22"/>
                <w:szCs w:val="22"/>
                <w:color w:val="auto"/>
              </w:rPr>
            </w:pPr>
          </w:p>
        </w:tc>
      </w:tr>
      <w:tr>
        <w:trPr>
          <w:trHeight w:val="21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144,736</w:t>
            </w:r>
          </w:p>
        </w:tc>
        <w:tc>
          <w:tcPr>
            <w:tcW w:w="100" w:type="dxa"/>
            <w:vAlign w:val="bottom"/>
            <w:shd w:val="clear" w:color="auto" w:fill="CFF0FC"/>
          </w:tcPr>
          <w:p>
            <w:pPr>
              <w:spacing w:after="0"/>
              <w:rPr>
                <w:sz w:val="18"/>
                <w:szCs w:val="18"/>
                <w:color w:val="auto"/>
              </w:rPr>
            </w:pPr>
          </w:p>
        </w:tc>
      </w:tr>
      <w:tr>
        <w:trPr>
          <w:trHeight w:val="230"/>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two years</w:t>
            </w:r>
          </w:p>
        </w:tc>
        <w:tc>
          <w:tcPr>
            <w:tcW w:w="14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FF0FC"/>
            </w:tcBorders>
          </w:tcPr>
          <w:p>
            <w:pPr>
              <w:spacing w:after="0"/>
              <w:rPr>
                <w:sz w:val="19"/>
                <w:szCs w:val="19"/>
                <w:color w:val="auto"/>
              </w:rPr>
            </w:pPr>
          </w:p>
        </w:tc>
      </w:tr>
      <w:tr>
        <w:trPr>
          <w:trHeight w:val="223"/>
        </w:trPr>
        <w:tc>
          <w:tcPr>
            <w:tcW w:w="3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We do not believe any of the unrealized losses represent an other-than-temporary impairment based on our assessment of available evidence as of December 31, 2018. We expect to receive the full principal and interest on all of these cash equivalents and investments.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260" w:firstLine="598"/>
        <w:spacing w:after="0" w:line="340" w:lineRule="auto"/>
        <w:rPr>
          <w:sz w:val="20"/>
          <w:szCs w:val="20"/>
          <w:color w:val="auto"/>
        </w:rPr>
      </w:pPr>
      <w:r>
        <w:rPr>
          <w:rFonts w:ascii="Arial" w:cs="Arial" w:eastAsia="Arial" w:hAnsi="Arial"/>
          <w:sz w:val="15"/>
          <w:szCs w:val="15"/>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23"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200" w:right="240" w:hanging="598"/>
        <w:spacing w:after="0" w:line="302" w:lineRule="auto"/>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We obtain the fair values of our level 2 available-for-sale securities from a professional pricing service.</w:t>
      </w:r>
    </w:p>
    <w:p>
      <w:pPr>
        <w:spacing w:after="0" w:line="46" w:lineRule="exact"/>
        <w:rPr>
          <w:rFonts w:ascii="Arial" w:cs="Arial" w:eastAsia="Arial" w:hAnsi="Arial"/>
          <w:sz w:val="16"/>
          <w:szCs w:val="16"/>
          <w:color w:val="auto"/>
        </w:rPr>
      </w:pPr>
    </w:p>
    <w:p>
      <w:pPr>
        <w:ind w:left="1200" w:hanging="598"/>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12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the earn-out liability related to the EDIAdmin acquisition, the Company utilized the Monte Carlo simulation method to estimate the fair value of this contingent liability as of the reporting date. Thousands of iterations of the simulation were performed using forecasted revenues to develop a distribution of future values of recurring revenue which, in turn, provide indicated earn-out payments. The total estimated fair value equals the sum of the average present values of the indicated earn-out payments. Changes in assumptions described above could have an impact on the payout of contingent consideration with a maximum payout being $1.7 million. The earn-out liability has been measured as Level 3 given the unobservable inputs that are significant to the measurement of the liability.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ind w:right="360" w:firstLine="598"/>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91"/>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at December 31, 2018:</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Liabilities at December 31, 2018:</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Earn-out liability</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Assets at December 31, 2017: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Allowance for Doubtful Accounts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allowance for doubtful accounts activity, included in accounts receivable, net,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27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2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2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(1,961)</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(1,457)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Balances, December 31</w:t>
            </w:r>
          </w:p>
        </w:tc>
        <w:tc>
          <w:tcPr>
            <w:tcW w:w="27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700" w:type="dxa"/>
            <w:vAlign w:val="bottom"/>
            <w:vMerge w:val="restart"/>
          </w:tcPr>
          <w:p>
            <w:pPr>
              <w:jc w:val="right"/>
              <w:ind w:right="899"/>
              <w:spacing w:after="0"/>
              <w:rPr>
                <w:sz w:val="20"/>
                <w:szCs w:val="20"/>
                <w:color w:val="auto"/>
              </w:rPr>
            </w:pPr>
            <w:r>
              <w:rPr>
                <w:rFonts w:ascii="Arial" w:cs="Arial" w:eastAsia="Arial" w:hAnsi="Arial"/>
                <w:sz w:val="18"/>
                <w:szCs w:val="18"/>
                <w:color w:val="auto"/>
              </w:rPr>
              <w:t>65</w:t>
            </w: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 G – Property and Equipment,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included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2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35,326</w:t>
            </w:r>
          </w:p>
        </w:tc>
        <w:tc>
          <w:tcPr>
            <w:tcW w:w="12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FF0FC"/>
          </w:tcPr>
          <w:p>
            <w:pPr>
              <w:spacing w:after="0"/>
              <w:rPr>
                <w:sz w:val="19"/>
                <w:szCs w:val="19"/>
                <w:color w:val="auto"/>
              </w:rPr>
            </w:pPr>
          </w:p>
        </w:tc>
      </w:tr>
      <w:tr>
        <w:trPr>
          <w:trHeight w:val="223"/>
        </w:trPr>
        <w:tc>
          <w:tcPr>
            <w:tcW w:w="5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50,807</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(41,175)</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(33,951)</w:t>
            </w:r>
          </w:p>
        </w:tc>
      </w:tr>
      <w:tr>
        <w:trPr>
          <w:trHeight w:val="223"/>
        </w:trPr>
        <w:tc>
          <w:tcPr>
            <w:tcW w:w="5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16,856</w:t>
            </w:r>
          </w:p>
        </w:tc>
        <w:tc>
          <w:tcPr>
            <w:tcW w:w="1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At December 31, 2018 and 2017, property and equipment, net included approximately $1.7 million and $2.2 million, respectively, of assets held at subsidiary and office locations outside of the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Goodwill and Intangible Assets,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changes in the net carrying amount of goodwill for the years ended December 31, 2018 and 2017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left="857"/>
              <w:spacing w:after="0"/>
              <w:rPr>
                <w:sz w:val="20"/>
                <w:szCs w:val="20"/>
                <w:color w:val="auto"/>
              </w:rPr>
            </w:pPr>
            <w:r>
              <w:rPr>
                <w:rFonts w:ascii="Arial" w:cs="Arial" w:eastAsia="Arial" w:hAnsi="Arial"/>
                <w:sz w:val="14"/>
                <w:szCs w:val="14"/>
                <w:b w:val="1"/>
                <w:bCs w:val="1"/>
                <w:color w:val="auto"/>
                <w:w w:val="89"/>
              </w:rPr>
              <w:t>2018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center"/>
              <w:ind w:right="45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51,613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Additions from business acquisitions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Balances, December 31</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ind w:right="45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69,658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600"/>
              <w:spacing w:after="0"/>
              <w:rPr>
                <w:sz w:val="20"/>
                <w:szCs w:val="20"/>
                <w:color w:val="auto"/>
              </w:rPr>
            </w:pPr>
            <w:r>
              <w:rPr>
                <w:rFonts w:ascii="Arial" w:cs="Arial" w:eastAsia="Arial" w:hAnsi="Arial"/>
                <w:sz w:val="18"/>
                <w:szCs w:val="18"/>
                <w:color w:val="auto"/>
                <w:w w:val="98"/>
              </w:rPr>
              <w:t>Intangible assets, net included the following (in thousands):</w:t>
            </w: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680" w:type="dxa"/>
            <w:vAlign w:val="bottom"/>
            <w:gridSpan w:val="2"/>
          </w:tcPr>
          <w:p>
            <w:pPr>
              <w:jc w:val="center"/>
              <w:ind w:left="121"/>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(23,284)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6"/>
              </w:rPr>
              <w:t>(623)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19,305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(2,247)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(27,543)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6"/>
              </w:rPr>
              <w:t>(687)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22,741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680" w:type="dxa"/>
            <w:vAlign w:val="bottom"/>
            <w:gridSpan w:val="2"/>
          </w:tcPr>
          <w:p>
            <w:pPr>
              <w:jc w:val="center"/>
              <w:ind w:left="121"/>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(19,592)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15,372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(1,518)</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(23,168)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66" w:name="page67"/>
    <w:bookmarkEnd w:id="66"/>
    <w:p>
      <w:pPr>
        <w:ind w:right="500" w:firstLine="598"/>
        <w:spacing w:after="0" w:line="277" w:lineRule="auto"/>
        <w:rPr>
          <w:sz w:val="20"/>
          <w:szCs w:val="20"/>
          <w:color w:val="auto"/>
        </w:rPr>
      </w:pPr>
      <w:r>
        <w:rPr>
          <w:rFonts w:ascii="Arial" w:cs="Arial" w:eastAsia="Arial" w:hAnsi="Arial"/>
          <w:sz w:val="18"/>
          <w:szCs w:val="18"/>
          <w:color w:val="auto"/>
        </w:rPr>
        <w:t>Amortization expense was $4.1 million, $4.6 million and $4.7 million for the years ended December 31, 2018, 2017 and 2016, respectively. At December 31, 2018, future amortization expense for intangible assets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0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2020</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2022</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Other Assets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Test</w:t>
      </w:r>
      <w:r>
        <w:rPr>
          <w:rFonts w:ascii="Arial" w:cs="Arial" w:eastAsia="Arial" w:hAnsi="Arial"/>
          <w:sz w:val="16"/>
          <w:szCs w:val="16"/>
          <w:color w:val="auto"/>
        </w:rPr>
        <w:t>The changes in the net amount of capitalized implementation costs for internal-use software from hosting arrangements for the years ended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35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24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2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Balances, December 31</w:t>
            </w:r>
          </w:p>
        </w:tc>
        <w:tc>
          <w:tcPr>
            <w:tcW w:w="24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impairment losses in relation to the capitalized implementation costs for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00" w:firstLine="598"/>
        <w:spacing w:after="0" w:line="271" w:lineRule="auto"/>
        <w:rPr>
          <w:sz w:val="20"/>
          <w:szCs w:val="20"/>
          <w:color w:val="auto"/>
        </w:rPr>
      </w:pPr>
      <w:r>
        <w:rPr>
          <w:rFonts w:ascii="Arial" w:cs="Arial" w:eastAsia="Arial" w:hAnsi="Arial"/>
          <w:sz w:val="18"/>
          <w:szCs w:val="18"/>
          <w:color w:val="auto"/>
        </w:rPr>
        <w:t>We are obligated under non-cancellable operating leases primarily for office space. Rent expense for all operating leases, which includes minimum lease payments and other charges such as common area maintenance fees, charged to operations was $5.6 million, $4.9 million and $5.0 million for the years ended December 31, 2018, 2017 and 2016, respectively.</w:t>
      </w:r>
    </w:p>
    <w:p>
      <w:pPr>
        <w:spacing w:after="0" w:line="69" w:lineRule="exact"/>
        <w:rPr>
          <w:sz w:val="20"/>
          <w:szCs w:val="20"/>
          <w:color w:val="auto"/>
        </w:rPr>
      </w:pPr>
    </w:p>
    <w:p>
      <w:pPr>
        <w:ind w:right="160" w:firstLine="598"/>
        <w:spacing w:after="0" w:line="286" w:lineRule="auto"/>
        <w:rPr>
          <w:sz w:val="20"/>
          <w:szCs w:val="20"/>
          <w:color w:val="auto"/>
        </w:rPr>
      </w:pPr>
      <w:r>
        <w:rPr>
          <w:rFonts w:ascii="Arial" w:cs="Arial" w:eastAsia="Arial" w:hAnsi="Arial"/>
          <w:sz w:val="16"/>
          <w:szCs w:val="16"/>
          <w:color w:val="auto"/>
        </w:rPr>
        <w:t>On December 20, 2017, we executed the fourth amendment to our lease agreement for our current headquarters located in Minneapolis, Minnesota where we lease approximately 189,000 square feet under an agreement that expires on April 30, 2025. We have agreed to expand our headquarters premises by approximately 25,000 square feet during 2020. Our lease agreement also includes a further expansion right and a right of first offer to lease certain additional space and two options to extend the term of the lease for five years at a market rate determined in accordance with the lease. We received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$3.2 million in incentives upon execution of the amendment and we are owed an additional $2.1 million in incentives upon expansion of our square footage in 2018, both of which have been incorporated into our deferred rent calculation.</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2018, our future minimum payments under operating leases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96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2020</w:t>
            </w:r>
          </w:p>
        </w:tc>
        <w:tc>
          <w:tcPr>
            <w:tcW w:w="6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2022</w:t>
            </w:r>
          </w:p>
        </w:tc>
        <w:tc>
          <w:tcPr>
            <w:tcW w:w="6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spacing w:after="0"/>
              <w:rPr>
                <w:sz w:val="19"/>
                <w:szCs w:val="19"/>
                <w:color w:val="auto"/>
              </w:rPr>
            </w:pPr>
          </w:p>
        </w:tc>
        <w:tc>
          <w:tcPr>
            <w:tcW w:w="6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200" w:type="dxa"/>
            <w:vAlign w:val="bottom"/>
            <w:vMerge w:val="restart"/>
          </w:tcPr>
          <w:p>
            <w:pPr>
              <w:jc w:val="right"/>
              <w:ind w:right="3510"/>
              <w:spacing w:after="0"/>
              <w:rPr>
                <w:sz w:val="20"/>
                <w:szCs w:val="20"/>
                <w:color w:val="auto"/>
              </w:rPr>
            </w:pPr>
            <w:r>
              <w:rPr>
                <w:rFonts w:ascii="Arial" w:cs="Arial" w:eastAsia="Arial" w:hAnsi="Arial"/>
                <w:sz w:val="18"/>
                <w:szCs w:val="18"/>
                <w:color w:val="auto"/>
              </w:rPr>
              <w:t>67</w:t>
            </w: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6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We may be involved in various claims and legal actions in the normal course of business. Our management believes that the outcome of any such claims and legal actions will not have a material effect on our financial position, results of operations or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w:t>
      </w:r>
    </w:p>
    <w:p>
      <w:pPr>
        <w:spacing w:after="0" w:line="117" w:lineRule="exact"/>
        <w:rPr>
          <w:sz w:val="20"/>
          <w:szCs w:val="20"/>
          <w:color w:val="auto"/>
        </w:rPr>
      </w:pPr>
    </w:p>
    <w:p>
      <w:pPr>
        <w:ind w:right="40" w:firstLine="598"/>
        <w:spacing w:after="0" w:line="279" w:lineRule="auto"/>
        <w:rPr>
          <w:sz w:val="20"/>
          <w:szCs w:val="20"/>
          <w:color w:val="auto"/>
        </w:rPr>
      </w:pPr>
      <w:r>
        <w:rPr>
          <w:rFonts w:ascii="Arial" w:cs="Arial" w:eastAsia="Arial" w:hAnsi="Arial"/>
          <w:sz w:val="18"/>
          <w:szCs w:val="18"/>
          <w:color w:val="auto"/>
        </w:rPr>
        <w:t>In connection with the acquisition of CovalentWorks (see Note B), we issued 40,478 shares of SPS common stock as calculated according to the terms of the purchase agreement. The fair value of the shares we issued of approximately $3.4 million was determined using the closing price of our common stock on December 18, 2018, the closing date of the transaction.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ind w:right="460" w:firstLine="598"/>
        <w:spacing w:after="0" w:line="312" w:lineRule="auto"/>
        <w:rPr>
          <w:sz w:val="20"/>
          <w:szCs w:val="20"/>
          <w:color w:val="auto"/>
        </w:rPr>
      </w:pPr>
      <w:r>
        <w:rPr>
          <w:rFonts w:ascii="Arial" w:cs="Arial" w:eastAsia="Arial" w:hAnsi="Arial"/>
          <w:sz w:val="16"/>
          <w:szCs w:val="16"/>
          <w:color w:val="auto"/>
        </w:rPr>
        <w:t>On November 2, 2017, our board of directors authorized a program to repurchase up to $50.0 million of common stock. Under the program, purchases may be made from time to time in the open market over two years. The number of shares to be purchased and the timing of purchases will be based on the price of our common stock, general business and market conditions and other investment considerations and factors.</w:t>
      </w:r>
    </w:p>
    <w:p>
      <w:pPr>
        <w:spacing w:after="0" w:line="39"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The program does not obligate us to repurchase any specific number of shares and may be suspended or discontinued at any time without prior notice. We intend to finance the share repurchase program with cash on hand.</w:t>
      </w:r>
    </w:p>
    <w:p>
      <w:pPr>
        <w:spacing w:after="0" w:line="62"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We repurchased 289,745 shares at a cost of $19.9 million and 122,147 shares at a cost of $5.8 million for the years ended December 31, 2018 and December 31, 2017, respectively. Of the $50.0 million share repurchases authorized, $24.3 million was available for future share repurchases at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Stock-Based Compensation</w:t>
      </w:r>
    </w:p>
    <w:p>
      <w:pPr>
        <w:spacing w:after="0" w:line="121"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2018 and February 2017, 1,027,620 and 1,024,868 additional shares, respectively, were reserved for future issuance under our 2010 Equity Incentive Plan. At December 31, 2018, there were approximately 5.3 million shares available for grant under approved equity compensation plans.</w:t>
      </w:r>
    </w:p>
    <w:p>
      <w:pPr>
        <w:spacing w:after="0" w:line="99"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We recorded stock-based compensation expense of $12.5 million, $12.7 million and $8.0 million for the years ended December 31, 2018, 2017 and 2016, respectively. During the year ended December 31, 2017, stock-based compensation expense included a one-time $3.6 million charge due to a modification to our Chief Executive Officer’s employment agreement which resulted in immediate vesting, and expensing, of his outstanding stock-based compensation awards based on his retirement eligibility. Stock-based compensation expense was allocated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5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5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50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12,510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500" w:type="dxa"/>
            <w:vAlign w:val="bottom"/>
            <w:vMerge w:val="restart"/>
          </w:tcPr>
          <w:p>
            <w:pPr>
              <w:jc w:val="right"/>
              <w:ind w:right="890"/>
              <w:spacing w:after="0"/>
              <w:rPr>
                <w:sz w:val="20"/>
                <w:szCs w:val="20"/>
                <w:color w:val="auto"/>
              </w:rPr>
            </w:pPr>
            <w:r>
              <w:rPr>
                <w:rFonts w:ascii="Arial" w:cs="Arial" w:eastAsia="Arial" w:hAnsi="Arial"/>
                <w:sz w:val="18"/>
                <w:szCs w:val="18"/>
                <w:color w:val="auto"/>
              </w:rPr>
              <w:t>68</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8" w:name="page69"/>
    <w:bookmarkEnd w:id="68"/>
    <w:p>
      <w:pPr>
        <w:ind w:left="600"/>
        <w:spacing w:after="0"/>
        <w:rPr>
          <w:sz w:val="20"/>
          <w:szCs w:val="20"/>
          <w:color w:val="auto"/>
        </w:rPr>
      </w:pPr>
      <w:r>
        <w:rPr>
          <w:rFonts w:ascii="Arial" w:cs="Arial" w:eastAsia="Arial" w:hAnsi="Arial"/>
          <w:sz w:val="18"/>
          <w:szCs w:val="18"/>
          <w:color w:val="auto"/>
        </w:rPr>
        <w:t>Stock-based compensation expense by type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Restricted Stock Awards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401K Stock Match</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820" w:type="dxa"/>
            <w:vAlign w:val="bottom"/>
            <w:tcBorders>
              <w:top w:val="single" w:sz="8" w:color="auto"/>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12,510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As of December 31, 2018, there was approximately $13.6 million of unrecognized stock-based compensation expense under our equity compensation plans, which is expected to be recognized on a straight-line basis over a weighted-average period of 2.3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 options generally vest over four years and have a contractual term of seven to ten years from the date of grant. Our stock option activity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86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r>
      <w:tr>
        <w:trPr>
          <w:trHeight w:val="171"/>
        </w:trPr>
        <w:tc>
          <w:tcPr>
            <w:tcW w:w="7860" w:type="dxa"/>
            <w:vAlign w:val="bottom"/>
          </w:tcPr>
          <w:p>
            <w:pPr>
              <w:spacing w:after="0"/>
              <w:rPr>
                <w:sz w:val="14"/>
                <w:szCs w:val="14"/>
                <w:color w:val="auto"/>
              </w:rPr>
            </w:pP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943,103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340,609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(221,630)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(46,070)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55.58</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1,016,012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172,697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(65,502)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(25,876)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1,097,331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181,472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(344,334)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(61,235)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56.67</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873,234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Of the total outstanding options at December 31, 2018, 576,842 were exercisable with a weighted average exercise price of $50.10 per share. The total outstanding options had a weighted average remaining contractual life of 4.0 years.</w:t>
      </w:r>
    </w:p>
    <w:p>
      <w:pPr>
        <w:spacing w:after="0" w:line="76"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fair value of options that vested during the years ended December 31, 2018, 2017 and 2016 was $3.7 million, $4.2 million and $3.4 million, respectively.</w:t>
      </w:r>
    </w:p>
    <w:p>
      <w:pPr>
        <w:spacing w:after="0" w:line="76" w:lineRule="exact"/>
        <w:rPr>
          <w:sz w:val="20"/>
          <w:szCs w:val="20"/>
          <w:color w:val="auto"/>
        </w:rPr>
      </w:pPr>
    </w:p>
    <w:p>
      <w:pPr>
        <w:ind w:right="80" w:firstLine="598"/>
        <w:spacing w:after="0" w:line="271" w:lineRule="auto"/>
        <w:rPr>
          <w:sz w:val="20"/>
          <w:szCs w:val="20"/>
          <w:color w:val="auto"/>
        </w:rPr>
      </w:pPr>
      <w:r>
        <w:rPr>
          <w:rFonts w:ascii="Arial" w:cs="Arial" w:eastAsia="Arial" w:hAnsi="Arial"/>
          <w:sz w:val="18"/>
          <w:szCs w:val="18"/>
          <w:color w:val="auto"/>
        </w:rPr>
        <w:t>The intrinsic value of options exercised during the years ended December 31, 2018, 2017 and 2016 was $14.9 million, $2.8 million and $8.6 million, respectively. The intrinsic value of outstanding options at December 31, 2018, 2017 and 2016 was $26.7 million, $7.3 million and $25.6 million,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right="240" w:firstLine="598"/>
        <w:spacing w:after="0" w:line="264" w:lineRule="auto"/>
        <w:rPr>
          <w:sz w:val="20"/>
          <w:szCs w:val="20"/>
          <w:color w:val="auto"/>
        </w:rPr>
      </w:pPr>
      <w:r>
        <w:rPr>
          <w:rFonts w:ascii="Arial" w:cs="Arial" w:eastAsia="Arial" w:hAnsi="Arial"/>
          <w:sz w:val="18"/>
          <w:szCs w:val="18"/>
          <w:color w:val="auto"/>
        </w:rPr>
        <w:t>The weighted-average fair values per share of options granted during the years ended December 31, 2018, 2017 and 2016 were $19.48, $18.85 and $16.13, respectively. The fair values of the options granted were estimated on the date of grant using the Black-Scholes option pricing model with the following weighted-average assumptions:</w:t>
      </w:r>
    </w:p>
    <w:p>
      <w:pPr>
        <w:spacing w:after="0" w:line="267"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16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9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bl>
    <w:p>
      <w:pPr>
        <w:spacing w:after="0" w:line="106"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expected volatility of the options is based on the historical volatility of our common stock. We have not issued dividends on our common stock and do not expect to do so in the foreseeable future. The expected term of the options is based on the simplified method which does not consider historical employee exercise behavior. The risk-free interest rate is based on the U.S. Treasury rates at the date of grant with maturity dates approximately equal to the expected life at the grant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and Restricted Stock Units and Awards</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February 2018, our executive officers were granted performance share unit (“PSU”) awards with vesting contingent on the Company’s total shareholder return as compared to indexed total shareholder return over the course of a three-year performance period (fiscal years 2018 – 2020). The grant date fair value was estimated using a Monte Carlo simulation that utilizes multiple input variables that determine the probability of satisfying the performance conditions stipulated in the award and calculates the fair market value for the performance stock units granted. Expense is recognized on a straight-line basis over the vesting period, regardless of whether the market condition is satisfied as the likelihood of the market condition being met is included in the fair-value measurement of the award.</w:t>
      </w:r>
    </w:p>
    <w:p>
      <w:pPr>
        <w:spacing w:after="0" w:line="85" w:lineRule="exact"/>
        <w:rPr>
          <w:sz w:val="20"/>
          <w:szCs w:val="20"/>
          <w:color w:val="auto"/>
        </w:rPr>
      </w:pPr>
    </w:p>
    <w:p>
      <w:pPr>
        <w:ind w:right="120" w:firstLine="598"/>
        <w:spacing w:after="0" w:line="307" w:lineRule="auto"/>
        <w:rPr>
          <w:sz w:val="20"/>
          <w:szCs w:val="20"/>
          <w:color w:val="auto"/>
        </w:rPr>
      </w:pPr>
      <w:r>
        <w:rPr>
          <w:rFonts w:ascii="Arial" w:cs="Arial" w:eastAsia="Arial" w:hAnsi="Arial"/>
          <w:sz w:val="16"/>
          <w:szCs w:val="16"/>
          <w:color w:val="auto"/>
        </w:rPr>
        <w:t>In February 2017, our executive officers were granted PSU awards with vesting contingent on successful attainment of pre-determined revenue targets over the course of a three-year performance period (fiscal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44"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Restricted stock units (“RSU”) vest over four years and, upon vesting, the holder is entitled to receive shares of our common stock. With restricted stock awards (“RSA”), shares of our common stock are issued when the award is granted and the restrictions lapse over one year.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0" w:name="page71"/>
    <w:bookmarkEnd w:id="70"/>
    <w:p>
      <w:pPr>
        <w:ind w:left="600"/>
        <w:spacing w:after="0"/>
        <w:rPr>
          <w:sz w:val="20"/>
          <w:szCs w:val="20"/>
          <w:color w:val="auto"/>
        </w:rPr>
      </w:pPr>
      <w:r>
        <w:rPr>
          <w:rFonts w:ascii="Arial" w:cs="Arial" w:eastAsia="Arial" w:hAnsi="Arial"/>
          <w:sz w:val="18"/>
          <w:szCs w:val="18"/>
          <w:color w:val="auto"/>
        </w:rPr>
        <w:t>Our PSU and RSU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86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PSUs and RSUs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Grant Date Fair</w:t>
            </w:r>
          </w:p>
        </w:tc>
      </w:tr>
      <w:tr>
        <w:trPr>
          <w:trHeight w:val="171"/>
        </w:trPr>
        <w:tc>
          <w:tcPr>
            <w:tcW w:w="7860" w:type="dxa"/>
            <w:vAlign w:val="bottom"/>
          </w:tcPr>
          <w:p>
            <w:pPr>
              <w:spacing w:after="0"/>
              <w:rPr>
                <w:sz w:val="14"/>
                <w:szCs w:val="14"/>
                <w:color w:val="auto"/>
              </w:rPr>
            </w:pP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Value ($/share)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140,565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115,896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(52,133)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(15,286)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55.48</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189,042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211,168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(64,950)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(13,348)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172,795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66.03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(81,561)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(35,811)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55.04</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number of PSUs and RSUs outstanding at December 31, 2018 included 54,688 units that have vested, but the shares of common stock have not yet been issued pursuant to the terms of the agreement.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RSA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860" w:type="dxa"/>
            <w:vAlign w:val="bottom"/>
          </w:tcPr>
          <w:p>
            <w:pPr>
              <w:spacing w:after="0"/>
              <w:rPr>
                <w:sz w:val="14"/>
                <w:szCs w:val="14"/>
                <w:color w:val="auto"/>
              </w:rPr>
            </w:pPr>
          </w:p>
        </w:tc>
        <w:tc>
          <w:tcPr>
            <w:tcW w:w="1020" w:type="dxa"/>
            <w:vAlign w:val="bottom"/>
          </w:tcPr>
          <w:p>
            <w:pPr>
              <w:ind w:left="620"/>
              <w:spacing w:after="0"/>
              <w:rPr>
                <w:sz w:val="20"/>
                <w:szCs w:val="20"/>
                <w:color w:val="auto"/>
              </w:rPr>
            </w:pPr>
            <w:r>
              <w:rPr>
                <w:rFonts w:ascii="Arial" w:cs="Arial" w:eastAsia="Arial" w:hAnsi="Arial"/>
                <w:sz w:val="14"/>
                <w:szCs w:val="14"/>
                <w:b w:val="1"/>
                <w:bCs w:val="1"/>
                <w:color w:val="auto"/>
              </w:rPr>
              <w:t>RSAs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Grant Date Fair</w:t>
            </w:r>
          </w:p>
        </w:tc>
      </w:tr>
      <w:tr>
        <w:trPr>
          <w:trHeight w:val="171"/>
        </w:trPr>
        <w:tc>
          <w:tcPr>
            <w:tcW w:w="8880" w:type="dxa"/>
            <w:vAlign w:val="bottom"/>
            <w:gridSpan w:val="2"/>
          </w:tcPr>
          <w:p>
            <w:pPr>
              <w:ind w:left="856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Value ($/share)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560" w:type="dxa"/>
            <w:vAlign w:val="bottom"/>
          </w:tcPr>
          <w:p>
            <w:pPr>
              <w:jc w:val="right"/>
              <w:spacing w:after="0"/>
              <w:rPr>
                <w:sz w:val="20"/>
                <w:szCs w:val="20"/>
                <w:color w:val="auto"/>
              </w:rPr>
            </w:pPr>
            <w:r>
              <w:rPr>
                <w:rFonts w:ascii="Arial" w:cs="Arial" w:eastAsia="Arial" w:hAnsi="Arial"/>
                <w:sz w:val="18"/>
                <w:szCs w:val="18"/>
                <w:color w:val="auto"/>
              </w:rPr>
              <w:t>6,078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52.27</w:t>
            </w:r>
          </w:p>
        </w:tc>
        <w:tc>
          <w:tcPr>
            <w:tcW w:w="120" w:type="dxa"/>
            <w:vAlign w:val="bottom"/>
          </w:tcPr>
          <w:p>
            <w:pPr>
              <w:spacing w:after="0"/>
              <w:rPr>
                <w:sz w:val="19"/>
                <w:szCs w:val="19"/>
                <w:color w:val="auto"/>
              </w:rPr>
            </w:pPr>
          </w:p>
        </w:tc>
      </w:tr>
      <w:tr>
        <w:trPr>
          <w:trHeight w:val="230"/>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(5,586)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55.06</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52.28</w:t>
            </w:r>
          </w:p>
        </w:tc>
        <w:tc>
          <w:tcPr>
            <w:tcW w:w="120" w:type="dxa"/>
            <w:vAlign w:val="bottom"/>
          </w:tcPr>
          <w:p>
            <w:pPr>
              <w:spacing w:after="0"/>
              <w:rPr>
                <w:sz w:val="19"/>
                <w:szCs w:val="19"/>
                <w:color w:val="auto"/>
              </w:rPr>
            </w:pPr>
          </w:p>
        </w:tc>
      </w:tr>
      <w:tr>
        <w:trPr>
          <w:trHeight w:val="230"/>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Restricted common stock issued</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w:t>
            </w:r>
          </w:p>
        </w:tc>
        <w:tc>
          <w:tcPr>
            <w:tcW w:w="120" w:type="dxa"/>
            <w:vAlign w:val="bottom"/>
            <w:shd w:val="clear" w:color="auto" w:fill="CFF0FC"/>
          </w:tcPr>
          <w:p>
            <w:pPr>
              <w:spacing w:after="0"/>
              <w:rPr>
                <w:sz w:val="19"/>
                <w:szCs w:val="19"/>
                <w:color w:val="auto"/>
              </w:rPr>
            </w:pPr>
          </w:p>
        </w:tc>
      </w:tr>
      <w:tr>
        <w:trPr>
          <w:trHeight w:val="230"/>
        </w:trPr>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Restrictions lapsed</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56.65</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560" w:type="dxa"/>
            <w:vAlign w:val="bottom"/>
          </w:tcPr>
          <w:p>
            <w:pPr>
              <w:jc w:val="right"/>
              <w:spacing w:after="0"/>
              <w:rPr>
                <w:sz w:val="20"/>
                <w:szCs w:val="20"/>
                <w:color w:val="auto"/>
              </w:rPr>
            </w:pPr>
            <w:r>
              <w:rPr>
                <w:rFonts w:ascii="Arial" w:cs="Arial" w:eastAsia="Arial" w:hAnsi="Arial"/>
                <w:sz w:val="18"/>
                <w:szCs w:val="18"/>
                <w:color w:val="auto"/>
              </w:rPr>
              <w:t>7,304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Pr>
          <w:p>
            <w:pPr>
              <w:spacing w:after="0"/>
              <w:rPr>
                <w:sz w:val="19"/>
                <w:szCs w:val="19"/>
                <w:color w:val="auto"/>
              </w:rPr>
            </w:pPr>
          </w:p>
        </w:tc>
      </w:tr>
      <w:tr>
        <w:trPr>
          <w:trHeight w:val="230"/>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(6,840)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0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74.44</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98"/>
        <w:spacing w:after="0" w:line="261" w:lineRule="auto"/>
        <w:rPr>
          <w:sz w:val="20"/>
          <w:szCs w:val="20"/>
          <w:color w:val="auto"/>
        </w:rPr>
      </w:pPr>
      <w:r>
        <w:rPr>
          <w:rFonts w:ascii="Arial" w:cs="Arial" w:eastAsia="Arial" w:hAnsi="Arial"/>
          <w:sz w:val="18"/>
          <w:szCs w:val="18"/>
          <w:color w:val="auto"/>
        </w:rPr>
        <w:t>We have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1.0 million shares of common stock are remaining for issuance under the plan.</w:t>
      </w:r>
    </w:p>
    <w:p>
      <w:pPr>
        <w:spacing w:after="0" w:line="76"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For the offering periods in the years ended December 31, 2018, 2017 and 2016, we withheld approximately $1.7 million, $1.9 million and $1.7 million, respectively, from employees participating in the plan and purchased 34,798 shares, 40,968 shares and 33,357 shares, respectively, on their behalf.</w:t>
      </w:r>
    </w:p>
    <w:p>
      <w:pPr>
        <w:spacing w:after="0" w:line="29"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For the years ended December 31, 2018, 2017 and 2016, we recorded approximately $0.5 million, $0.7 million and $0.6 million, respectively,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16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9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21"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Our provisions for income taxes included current federal, foreign and state income tax expense, as well as deferred tax expense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Federal</w:t>
            </w:r>
          </w:p>
        </w:tc>
        <w:tc>
          <w:tcPr>
            <w:tcW w:w="384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Federal</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r>
      <w:tr>
        <w:trPr>
          <w:trHeight w:val="223"/>
        </w:trPr>
        <w:tc>
          <w:tcPr>
            <w:tcW w:w="3800" w:type="dxa"/>
            <w:vAlign w:val="bottom"/>
            <w:tcBorders>
              <w:top w:val="single" w:sz="8" w:color="CFF0FC"/>
              <w:bottom w:val="single" w:sz="8" w:color="CFF0FC"/>
            </w:tcBorders>
            <w:shd w:val="clear" w:color="auto" w:fill="CFF0FC"/>
          </w:tcPr>
          <w:p>
            <w:pPr>
              <w:spacing w:after="0"/>
              <w:rPr>
                <w:sz w:val="19"/>
                <w:szCs w:val="19"/>
                <w:color w:val="auto"/>
              </w:rPr>
            </w:pP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40" w:firstLine="598"/>
        <w:spacing w:after="0" w:line="264" w:lineRule="auto"/>
        <w:rPr>
          <w:sz w:val="20"/>
          <w:szCs w:val="20"/>
          <w:color w:val="auto"/>
        </w:rPr>
      </w:pPr>
      <w:r>
        <w:rPr>
          <w:rFonts w:ascii="Arial" w:cs="Arial" w:eastAsia="Arial" w:hAnsi="Arial"/>
          <w:sz w:val="18"/>
          <w:szCs w:val="18"/>
          <w:color w:val="auto"/>
        </w:rPr>
        <w:t>The tax provision for the year ended December 31, 2017 includes a $0.4 million reclass of alternative minimum tax (“AMT”) credit carryforwards from the deferred federal provision to current federal provision. These unutilized AMT credit carryforwards become partially refundable in 2019, 2020 and 2021 and fully refundable in 2022.</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expected federal income tax at the statutory rate to the provision for income taxes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Expected federal income tax at statutory rate</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Tax impact of foreign activity</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Nondeductible executive compensation</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Change in state deferred rate</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(1,843)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Tax impact of Tax Cuts and Jobs Act</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Tax impact of stock activity</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provision for income taxes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60" w:type="dxa"/>
            <w:vAlign w:val="bottom"/>
            <w:vMerge w:val="restart"/>
          </w:tcPr>
          <w:p>
            <w:pPr>
              <w:jc w:val="right"/>
              <w:ind w:right="890"/>
              <w:spacing w:after="0"/>
              <w:rPr>
                <w:sz w:val="20"/>
                <w:szCs w:val="20"/>
                <w:color w:val="auto"/>
              </w:rPr>
            </w:pPr>
            <w:r>
              <w:rPr>
                <w:rFonts w:ascii="Arial" w:cs="Arial" w:eastAsia="Arial" w:hAnsi="Arial"/>
                <w:sz w:val="18"/>
                <w:szCs w:val="18"/>
                <w:color w:val="auto"/>
              </w:rPr>
              <w:t>72</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27" w:right="219" w:bottom="1440" w:gutter="0" w:footer="0" w:header="0"/>
        </w:sectPr>
      </w:pPr>
    </w:p>
    <w:bookmarkStart w:id="72" w:name="page73"/>
    <w:bookmarkEnd w:id="72"/>
    <w:p>
      <w:pPr>
        <w:ind w:right="160" w:firstLine="598"/>
        <w:spacing w:after="0" w:line="264" w:lineRule="auto"/>
        <w:rPr>
          <w:sz w:val="20"/>
          <w:szCs w:val="20"/>
          <w:color w:val="auto"/>
        </w:rPr>
      </w:pPr>
      <w:r>
        <w:rPr>
          <w:rFonts w:ascii="Arial" w:cs="Arial" w:eastAsia="Arial" w:hAnsi="Arial"/>
          <w:sz w:val="18"/>
          <w:szCs w:val="18"/>
          <w:color w:val="auto"/>
        </w:rPr>
        <w:t>The Tax Act, which was enacted on December 22, 2017, reduced the corporate federal income tax rate to 21.0% effective January 1, 2018, resulting in discrete tax expense of $6.8 million for the reduction of deferred tax assets. Also, the Tax Act expanded the deduction limits on executive compensation and included transition rules for previously awarded compensation.</w:t>
      </w:r>
    </w:p>
    <w:p>
      <w:pPr>
        <w:spacing w:after="0" w:line="73"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Differences between our effective tax rate and statutory tax rates are primarily due to the federal research and development credit partially offset by permanently non-deductible expense. Additionally, under ASU 2016-09, excess tax benefits generated upon settlement or exercise of stock awards are now recognized as a reduction to income tax expense as a discrete tax item in the period that the event occurs creating potentially significant fluctuation in tax expense by year.</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our deferred tax assets (liabilities)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270"/>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310"/>
              <w:spacing w:after="0" w:line="155"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operating loss and credit carryforwards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Accounts receivable allowances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asset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15,832</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(797)</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deferred tax asset</w:t>
            </w: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15,035</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operations</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(2,787)</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(3,850)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Foreign operations</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(2,943)</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(1,536)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liability</w:t>
            </w: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(5,955)</w:t>
            </w:r>
          </w:p>
        </w:tc>
        <w:tc>
          <w:tcPr>
            <w:tcW w:w="4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(5,543)</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340" w:type="dxa"/>
            <w:vAlign w:val="bottom"/>
            <w:tcBorders>
              <w:top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As of December 31, 2018, we had net operating loss carryforwards of $37.5 million for U.S. federal tax purposes. We also had $4.1 million of various state net operating loss carryforwards. The loss carryforwards for federal tax purposes will expire between 2020 and 2038 if not utilized. The loss carryforwards for state tax purposes will expire between 2019 and 2031 if not utilized.</w:t>
      </w:r>
    </w:p>
    <w:p>
      <w:pPr>
        <w:spacing w:after="0" w:line="73"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and we believe that approximately $17.6 million of federal losses will expire unused due to Section 382 limitations. The maximum annual limitation of federal net operating losses under Section 382 is approximately $1.0 million. This limitation could be further restricted if any ownership changes occur in future years. Accordingly, our deferred tax assets are reported net of the Section 382 limitations.</w:t>
      </w:r>
    </w:p>
    <w:p>
      <w:pPr>
        <w:spacing w:after="0" w:line="64"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As of December 31, 2018 we had federal research and development credit carryforwards, net of Section 383 limitations, of $3.0 million, which, if not utilized, will begin to expire in 2030. We had state research and development credit carryforwards of $1.0 million which, if not utilized, will begin to expire in 2025.</w:t>
      </w:r>
    </w:p>
    <w:p>
      <w:pPr>
        <w:spacing w:after="0" w:line="73"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As of December 31, 2018, we had a valuation allowance against our deferred tax assets of $0.8 million. The valuation allowance is established for state credit carryforwards that we do not expect to utilize based on our current expectations of future state taxable income.</w:t>
      </w:r>
    </w:p>
    <w:p>
      <w:pPr>
        <w:spacing w:after="0" w:line="62"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We are subject to income taxes for U.S. federal and various state and international jurisdictions. We are generally subject to U.S. federal and state tax examinations for all prior tax years due to our net operating loss carryforwards and the utilization of the carryforwards in years still open under statute.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ind w:right="360" w:firstLine="598"/>
        <w:spacing w:after="0" w:line="264" w:lineRule="auto"/>
        <w:rPr>
          <w:sz w:val="20"/>
          <w:szCs w:val="20"/>
          <w:color w:val="auto"/>
        </w:rPr>
      </w:pPr>
      <w:r>
        <w:rPr>
          <w:rFonts w:ascii="Arial" w:cs="Arial" w:eastAsia="Arial" w:hAnsi="Arial"/>
          <w:sz w:val="18"/>
          <w:szCs w:val="18"/>
          <w:color w:val="auto"/>
        </w:rPr>
        <w:t>As of December 31, 2018,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Net Income Per Share</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1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23,872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17,196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17,183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Restricted stock units</w:t>
            </w:r>
          </w:p>
        </w:tc>
        <w:tc>
          <w:tcPr>
            <w:tcW w:w="1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1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17,606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1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1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For the year ended December 31, 2018, 2017 and 2016, the effect of less than 1,000, approximately 283,000 and approximately 5,000 outstanding potential common shares, respectively, were excluded from the calculation of diluted net income per share as they were anti-dilutive.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Retirement Savings Plan</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sponsor a 401(k) retirement savings plan for our employees. Employees can contribute up to 100% of their compensation, subject to the limits established by law. In 2018, we increased our match to 50% of the employee’s contribution up to the first 6% of pre-tax annual compensation. A portion of our match is in company stock, which is purchased from the open market by our plan provider and immediately deposited into the employee’s 401(k) account, which resulted in $1.2 million of stock-based compensation expense in 2018. Additionally, we make statutory contributions to retirement plans as required by local foreign government regulations. Our total contributions to the plan were $2.9 million, $1.6 million and $1.4 million for the years ended December 31, 2018, 2017 and 2016,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121" w:lineRule="exact"/>
        <w:rPr>
          <w:sz w:val="20"/>
          <w:szCs w:val="20"/>
          <w:color w:val="auto"/>
        </w:rPr>
      </w:pPr>
    </w:p>
    <w:p>
      <w:pPr>
        <w:ind w:right="220" w:firstLine="598"/>
        <w:spacing w:after="0" w:line="255" w:lineRule="auto"/>
        <w:rPr>
          <w:sz w:val="20"/>
          <w:szCs w:val="20"/>
          <w:color w:val="auto"/>
        </w:rPr>
      </w:pPr>
      <w:r>
        <w:rPr>
          <w:rFonts w:ascii="Arial" w:cs="Arial" w:eastAsia="Arial" w:hAnsi="Arial"/>
          <w:sz w:val="18"/>
          <w:szCs w:val="18"/>
          <w:color w:val="auto"/>
        </w:rPr>
        <w:t>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officers. These officers receive no compensation from the Foundation for the management services performed for the Foundation. The Foundation is not a subsidiary of ours and the financial results of the Foundation are not consolidated with our financial statements. We made contributions of $0.7 million and $0.2 million to the Foundation for the years ended December 31, 2018 and 2017, respectively. We have no current legal obligations for future commitments to the Foundation.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Q – Selected Quarterly Financial Data (Unaudited)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our selected unaudited quarterly statements of comprehensive income data (in thousands, except per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2018</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Mar 31</w:t>
            </w:r>
          </w:p>
        </w:tc>
        <w:tc>
          <w:tcPr>
            <w:tcW w:w="24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Jun 30</w:t>
            </w:r>
          </w:p>
        </w:tc>
        <w:tc>
          <w:tcPr>
            <w:tcW w:w="24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59,092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61,091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62,868</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42,457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3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2017</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Mar 31</w:t>
            </w:r>
          </w:p>
        </w:tc>
        <w:tc>
          <w:tcPr>
            <w:tcW w:w="24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Jun 30</w:t>
            </w:r>
          </w:p>
        </w:tc>
        <w:tc>
          <w:tcPr>
            <w:tcW w:w="24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54,092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75" w:name="page76"/>
    <w:bookmarkEnd w:id="75"/>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2018,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2018, our disclosure controls and procedures were effective.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1200" w:hanging="598"/>
        <w:spacing w:after="0"/>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1200" w:right="160" w:hanging="598"/>
        <w:spacing w:after="0" w:line="342" w:lineRule="auto"/>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200" w:right="6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62"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260" w:firstLine="598"/>
        <w:spacing w:after="0" w:line="286"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and financial officers, we assessed our internal control over financial reporting as of December 31, 2018, based on criteria for effective internal control over financial reporting established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w:t>
      </w:r>
    </w:p>
    <w:p>
      <w:pPr>
        <w:spacing w:after="0" w:line="5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Based on this assessment, management concluded that we maintained effective internal control over financial reporting as of December 31, 2018 based on the specified criteria.</w:t>
      </w:r>
    </w:p>
    <w:p>
      <w:pPr>
        <w:spacing w:after="0" w:line="62" w:lineRule="exact"/>
        <w:rPr>
          <w:sz w:val="20"/>
          <w:szCs w:val="20"/>
          <w:color w:val="auto"/>
        </w:rPr>
      </w:pPr>
    </w:p>
    <w:p>
      <w:pPr>
        <w:ind w:right="180" w:firstLine="598"/>
        <w:spacing w:after="0" w:line="273" w:lineRule="auto"/>
        <w:rPr>
          <w:sz w:val="20"/>
          <w:szCs w:val="20"/>
          <w:color w:val="auto"/>
        </w:rPr>
      </w:pPr>
      <w:r>
        <w:rPr>
          <w:rFonts w:ascii="Arial" w:cs="Arial" w:eastAsia="Arial" w:hAnsi="Arial"/>
          <w:sz w:val="17"/>
          <w:szCs w:val="17"/>
          <w:color w:val="auto"/>
        </w:rPr>
        <w:t>In the fourth quarter of 2018, we acquired the assets of two separate entities, EDIAdmin and CovalentWorks. EDIAdmin and CovalentWorks represented approximately two percent and six percent of our total consolidated assets, respectively. EDIAdmin and CovalentWorks each represented less than one percent of our consolidated revenues as of and for the year ended December 31, 2018. As these acquisitions occurred in 2018, the scope of our assessment of the effectiveness of internal control over financial reporting does not include EDIAdmin and CovalentWorks. This exclusion is in accordance with the SEC’s general guidance that an assessment of a recently acquired business may be omitted from the assessment of the effectiveness of internal control over financial reporting in the year of acquisition.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6" w:name="page77"/>
    <w:bookmarkEnd w:id="76"/>
    <w:p>
      <w:pPr>
        <w:ind w:right="200" w:firstLine="59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2018 has been audited by KPMG LLP, our independent registered public accounting firm, as stated in their report, which is included under Item 8 of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quarter ended December 31, 2018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20"/>
          </w:cols>
          <w:pgMar w:left="240" w:top="463" w:right="739" w:bottom="1440" w:gutter="0" w:footer="0" w:header="0"/>
        </w:sectPr>
      </w:pPr>
    </w:p>
    <w:bookmarkStart w:id="77" w:name="page78"/>
    <w:bookmarkEnd w:id="77"/>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the 2019 Proxy Statement under the caption “Item 1 – Election of Directors,” which will be filed no later than 120 days after the end of the fiscal year covered by this Annual Report on Form 10-K, and is incorporated herein by reference.</w:t>
      </w:r>
    </w:p>
    <w:p>
      <w:pPr>
        <w:spacing w:after="0" w:line="79"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The information required by this item under Item 405 of Regulation S-K is incorporated herein by reference to the section titled “Section 16(a) Beneficial Ownership Reporting Compliance” of the 2019 Proxy Statement.</w:t>
      </w:r>
    </w:p>
    <w:p>
      <w:pPr>
        <w:spacing w:after="0" w:line="6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information required by this item under Item 407(d)(4) and (d)(5) of Regulation S-K is incorporated herein by reference to the section titled “Information Regarding the Board of Directors and Corporate Governance—Board Committees” of the 2019 Proxy Statement.</w:t>
      </w:r>
    </w:p>
    <w:p>
      <w:pPr>
        <w:spacing w:after="0" w:line="62"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The information required by this item under Item 407(c)(3) of Regulation S-K is incorporated herein by reference to the section titled “Information Regarding the Board of Directors and Corporate Governance—Procedures for Selecting and Nominating Director Candidates” of the 2019 Proxy Statement.</w:t>
      </w:r>
    </w:p>
    <w:p>
      <w:pPr>
        <w:spacing w:after="0" w:line="16"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 xml:space="preserve">We have adopted a code of business conduct applicable to our directors, officers (including our principal executive officer and principal financial officer) and employees. The Code of Conduct is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under the Investor Relations section. We plan to post on our website at the address described above any future amendments or waivers of our Code of Conduct.</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titled “Executive Compensation,” “Information Regarding the Board of Directors and Corporate Governance—Director Compensation” and “Certain Relationships and Related Transactions—Compensation Committee Interlocks and Insider Participation” of the 2019 Proxy Statement.</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information related to security ownership required by this item is incorporated herein by reference to the section titled “Security Ownership” of the 2019 Proxy Statement.</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sections titled “Certain Relationships and Related Transactions,” and “Information Regarding the Board of Directors and Corporate Governance—Director Independence” of the 2019 Proxy Statement.</w:t>
      </w:r>
    </w:p>
    <w:p>
      <w:pPr>
        <w:spacing w:after="0" w:line="25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titled “Audit Committee Report and Payment of Fees to Our Independent Auditor” of the 2019 Proxy Statement.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8" w:name="page79"/>
    <w:bookmarkEnd w:id="78"/>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17" w:lineRule="exact"/>
        <w:rPr>
          <w:sz w:val="20"/>
          <w:szCs w:val="20"/>
          <w:color w:val="auto"/>
        </w:rPr>
      </w:pPr>
    </w:p>
    <w:p>
      <w:pPr>
        <w:ind w:left="1180" w:hanging="295"/>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117" w:lineRule="exact"/>
        <w:rPr>
          <w:rFonts w:ascii="Arial" w:cs="Arial" w:eastAsia="Arial" w:hAnsi="Arial"/>
          <w:sz w:val="18"/>
          <w:szCs w:val="18"/>
          <w:color w:val="auto"/>
        </w:rPr>
      </w:pPr>
    </w:p>
    <w:p>
      <w:pPr>
        <w:ind w:left="880" w:right="40" w:firstLine="5"/>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62" w:lineRule="exact"/>
        <w:rPr>
          <w:rFonts w:ascii="Arial" w:cs="Arial" w:eastAsia="Arial" w:hAnsi="Arial"/>
          <w:sz w:val="18"/>
          <w:szCs w:val="18"/>
          <w:color w:val="auto"/>
        </w:rPr>
      </w:pPr>
    </w:p>
    <w:p>
      <w:pPr>
        <w:ind w:left="880" w:firstLine="5"/>
        <w:spacing w:after="0" w:line="277" w:lineRule="auto"/>
        <w:tabs>
          <w:tab w:leader="none" w:pos="11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prior to the signatures to this report.</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i w:val="1"/>
                <w:iCs w:val="1"/>
                <w:color w:val="auto"/>
              </w:rPr>
              <w:t>Incorporated By Reference</w:t>
            </w: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3"/>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2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9"/>
              </w:rPr>
              <w:t>File</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8"/>
              </w:rPr>
              <w:t>First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0"/>
          </w:tcPr>
          <w:p>
            <w:pPr>
              <w:ind w:left="260"/>
              <w:spacing w:after="0"/>
              <w:rPr>
                <w:sz w:val="20"/>
                <w:szCs w:val="20"/>
                <w:color w:val="auto"/>
              </w:rPr>
            </w:pPr>
            <w:r>
              <w:rPr>
                <w:rFonts w:ascii="Arial" w:cs="Arial" w:eastAsia="Arial" w:hAnsi="Arial"/>
                <w:sz w:val="14"/>
                <w:szCs w:val="14"/>
                <w:b w:val="1"/>
                <w:bCs w:val="1"/>
                <w:i w:val="1"/>
                <w:iCs w:val="1"/>
                <w:color w:val="auto"/>
              </w:rPr>
              <w:t>Exhibit Description</w:t>
            </w:r>
          </w:p>
        </w:tc>
        <w:tc>
          <w:tcPr>
            <w:tcW w:w="100" w:type="dxa"/>
            <w:vAlign w:val="bottom"/>
          </w:tcPr>
          <w:p>
            <w:pPr>
              <w:spacing w:after="0"/>
              <w:rPr>
                <w:sz w:val="14"/>
                <w:szCs w:val="14"/>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Filing</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i w:val="1"/>
                <w:iCs w:val="1"/>
                <w:color w:val="auto"/>
              </w:rPr>
              <w:t>Exhibit Number</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Filed Herewith</w:t>
            </w:r>
          </w:p>
        </w:tc>
        <w:tc>
          <w:tcPr>
            <w:tcW w:w="20" w:type="dxa"/>
            <w:vAlign w:val="bottom"/>
          </w:tcPr>
          <w:p>
            <w:pPr>
              <w:spacing w:after="0"/>
              <w:rPr>
                <w:sz w:val="14"/>
                <w:szCs w:val="14"/>
                <w:color w:val="auto"/>
              </w:rPr>
            </w:pPr>
          </w:p>
        </w:tc>
      </w:tr>
      <w:tr>
        <w:trPr>
          <w:trHeight w:val="291"/>
        </w:trPr>
        <w:tc>
          <w:tcPr>
            <w:tcW w:w="1140" w:type="dxa"/>
            <w:vAlign w:val="bottom"/>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660" w:type="dxa"/>
            <w:vAlign w:val="bottom"/>
            <w:tcBorders>
              <w:bottom w:val="single" w:sz="8" w:color="0000EE"/>
            </w:tcBorders>
            <w:gridSpan w:val="10"/>
          </w:tcPr>
          <w:p>
            <w:pP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Amended and Restated Certificate of</w:t>
              </w:r>
            </w:hyperlink>
          </w:p>
        </w:tc>
        <w:tc>
          <w:tcPr>
            <w:tcW w:w="1120" w:type="dxa"/>
            <w:vAlign w:val="bottom"/>
            <w:gridSpan w:val="1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S-3</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333-182097</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06/13/2012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Incorporation</w:t>
              </w:r>
            </w:hyperlink>
          </w:p>
        </w:tc>
        <w:tc>
          <w:tcPr>
            <w:tcW w:w="2800" w:type="dxa"/>
            <w:vAlign w:val="bottom"/>
            <w:gridSpan w:val="21"/>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rPr>
            </w:pPr>
            <w:hyperlink r:id="rId99">
              <w:r>
                <w:rPr>
                  <w:rFonts w:ascii="Arial" w:cs="Arial" w:eastAsia="Arial" w:hAnsi="Arial"/>
                  <w:sz w:val="18"/>
                  <w:szCs w:val="18"/>
                  <w:color w:val="0000EE"/>
                </w:rPr>
                <w:t>Amended and Restated Bylaws</w:t>
              </w:r>
            </w:hyperlink>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10/17/2017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2001 Stock Option Plan**</w:t>
              </w:r>
            </w:hyperlink>
          </w:p>
        </w:tc>
        <w:tc>
          <w:tcPr>
            <w:tcW w:w="340" w:type="dxa"/>
            <w:vAlign w:val="bottom"/>
            <w:tcBorders>
              <w:top w:val="single" w:sz="8" w:color="0000EE"/>
            </w:tcBorders>
            <w:gridSpan w:val="2"/>
          </w:tcPr>
          <w:p>
            <w:pPr>
              <w:spacing w:after="0"/>
              <w:rPr>
                <w:sz w:val="24"/>
                <w:szCs w:val="24"/>
                <w:color w:val="auto"/>
              </w:rPr>
            </w:pPr>
          </w:p>
        </w:tc>
        <w:tc>
          <w:tcPr>
            <w:tcW w:w="1540" w:type="dxa"/>
            <w:vAlign w:val="bottom"/>
            <w:gridSpan w:val="15"/>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6"/>
              </w:rPr>
            </w:pPr>
            <w:hyperlink r:id="rId101">
              <w:r>
                <w:rPr>
                  <w:rFonts w:ascii="Arial" w:cs="Arial" w:eastAsia="Arial" w:hAnsi="Arial"/>
                  <w:sz w:val="18"/>
                  <w:szCs w:val="18"/>
                  <w:color w:val="0000EE"/>
                  <w:w w:val="96"/>
                </w:rPr>
                <w:t>Form of Incentive Stock Option Agreement under</w:t>
              </w:r>
            </w:hyperlink>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2001 Stock Option Plan**</w:t>
              </w:r>
            </w:hyperlink>
          </w:p>
        </w:tc>
        <w:tc>
          <w:tcPr>
            <w:tcW w:w="1680" w:type="dxa"/>
            <w:vAlign w:val="bottom"/>
            <w:tcBorders>
              <w:top w:val="single" w:sz="8" w:color="0000EE"/>
            </w:tcBorders>
            <w:gridSpan w:val="12"/>
          </w:tcPr>
          <w:p>
            <w:pPr>
              <w:spacing w:after="0"/>
              <w:rPr>
                <w:sz w:val="17"/>
                <w:szCs w:val="17"/>
                <w:color w:val="auto"/>
              </w:rPr>
            </w:pPr>
          </w:p>
        </w:tc>
        <w:tc>
          <w:tcPr>
            <w:tcW w:w="20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Non-Statutory Stock Option Agreement</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(Director) under 2001 Stock Option Plan**</w:t>
              </w:r>
            </w:hyperlink>
          </w:p>
        </w:tc>
        <w:tc>
          <w:tcPr>
            <w:tcW w:w="660" w:type="dxa"/>
            <w:vAlign w:val="bottom"/>
            <w:gridSpan w:val="11"/>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2010 Equity Incentive Plan, as amended effective</w:t>
              </w:r>
            </w:hyperlink>
          </w:p>
        </w:tc>
        <w:tc>
          <w:tcPr>
            <w:tcW w:w="1120" w:type="dxa"/>
            <w:vAlign w:val="bottom"/>
          </w:tcPr>
          <w:p>
            <w:pPr>
              <w:spacing w:after="0"/>
              <w:rPr>
                <w:sz w:val="20"/>
                <w:szCs w:val="20"/>
                <w:color w:val="auto"/>
              </w:rPr>
            </w:pPr>
            <w:r>
              <w:rPr>
                <w:rFonts w:ascii="Arial" w:cs="Arial" w:eastAsia="Arial" w:hAnsi="Arial"/>
                <w:sz w:val="18"/>
                <w:szCs w:val="18"/>
                <w:color w:val="auto"/>
              </w:rPr>
              <w:t>10-K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02/20/2015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October 29, 2014**</w:t>
              </w:r>
            </w:hyperlink>
          </w:p>
        </w:tc>
        <w:tc>
          <w:tcPr>
            <w:tcW w:w="22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6"/>
              </w:rPr>
            </w:pPr>
            <w:hyperlink r:id="rId104">
              <w:r>
                <w:rPr>
                  <w:rFonts w:ascii="Arial" w:cs="Arial" w:eastAsia="Arial" w:hAnsi="Arial"/>
                  <w:sz w:val="18"/>
                  <w:szCs w:val="18"/>
                  <w:color w:val="0000EE"/>
                  <w:w w:val="96"/>
                </w:rPr>
                <w:t>Form of Incentive Stock Option Agreement under</w:t>
              </w:r>
            </w:hyperlink>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2010 Equity Incentive Plan**</w:t>
              </w:r>
            </w:hyperlink>
          </w:p>
        </w:tc>
        <w:tc>
          <w:tcPr>
            <w:tcW w:w="1440" w:type="dxa"/>
            <w:vAlign w:val="bottom"/>
            <w:tcBorders>
              <w:top w:val="single" w:sz="8" w:color="0000EE"/>
            </w:tcBorders>
            <w:gridSpan w:val="11"/>
          </w:tcPr>
          <w:p>
            <w:pPr>
              <w:spacing w:after="0"/>
              <w:rPr>
                <w:sz w:val="17"/>
                <w:szCs w:val="17"/>
                <w:color w:val="auto"/>
              </w:rPr>
            </w:pPr>
          </w:p>
        </w:tc>
        <w:tc>
          <w:tcPr>
            <w:tcW w:w="20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Non-Statutory Stock Option Agreement</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3"/>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(Employee) under 2010 Equity Incentive Plan**</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Non-Statutory Stock Option Agreement</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(Director) under 2010 Equity Incentive Plan**</w:t>
              </w:r>
            </w:hyperlink>
          </w:p>
        </w:tc>
        <w:tc>
          <w:tcPr>
            <w:tcW w:w="42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3540" w:type="dxa"/>
            <w:vAlign w:val="bottom"/>
            <w:tcBorders>
              <w:bottom w:val="single" w:sz="8" w:color="0000EE"/>
            </w:tcBorders>
            <w:gridSpan w:val="16"/>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Form of Restricted Stock Unit Award Agreement</w:t>
              </w:r>
            </w:hyperlink>
          </w:p>
        </w:tc>
        <w:tc>
          <w:tcPr>
            <w:tcW w:w="240" w:type="dxa"/>
            <w:vAlign w:val="bottom"/>
            <w:gridSpan w:val="7"/>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02/15/2017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under 2010 Equity Incentive Plan**</w:t>
              </w:r>
            </w:hyperlink>
          </w:p>
        </w:tc>
        <w:tc>
          <w:tcPr>
            <w:tcW w:w="118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3640" w:type="dxa"/>
            <w:vAlign w:val="bottom"/>
            <w:tcBorders>
              <w:bottom w:val="single" w:sz="8" w:color="0000EE"/>
            </w:tcBorders>
            <w:gridSpan w:val="20"/>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Form of Restricted Stock Award Agreement under</w:t>
              </w:r>
            </w:hyperlink>
          </w:p>
        </w:tc>
        <w:tc>
          <w:tcPr>
            <w:tcW w:w="140" w:type="dxa"/>
            <w:vAlign w:val="bottom"/>
            <w:gridSpan w:val="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10-Q</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05/08/2012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2010 Equity Incentive Plan**</w:t>
              </w:r>
            </w:hyperlink>
          </w:p>
        </w:tc>
        <w:tc>
          <w:tcPr>
            <w:tcW w:w="164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3660" w:type="dxa"/>
            <w:vAlign w:val="bottom"/>
            <w:tcBorders>
              <w:bottom w:val="single" w:sz="8" w:color="0000EE"/>
            </w:tcBorders>
            <w:gridSpan w:val="21"/>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Form of Performance Stock Unit Agreement under</w:t>
              </w:r>
            </w:hyperlink>
          </w:p>
        </w:tc>
        <w:tc>
          <w:tcPr>
            <w:tcW w:w="120" w:type="dxa"/>
            <w:vAlign w:val="bottom"/>
            <w:gridSpan w:val="2"/>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02/18/2018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2010 Equity Incentive Plan**</w:t>
              </w:r>
            </w:hyperlink>
          </w:p>
        </w:tc>
        <w:tc>
          <w:tcPr>
            <w:tcW w:w="164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rPr>
            </w:pPr>
            <w:hyperlink r:id="rId110">
              <w:r>
                <w:rPr>
                  <w:rFonts w:ascii="Arial" w:cs="Arial" w:eastAsia="Arial" w:hAnsi="Arial"/>
                  <w:sz w:val="18"/>
                  <w:szCs w:val="18"/>
                  <w:color w:val="0000EE"/>
                </w:rPr>
                <w:t>Non-Employee Director Compensation Policy**</w:t>
              </w:r>
            </w:hyperlink>
          </w:p>
        </w:tc>
        <w:tc>
          <w:tcPr>
            <w:tcW w:w="1120" w:type="dxa"/>
            <w:vAlign w:val="bottom"/>
          </w:tcPr>
          <w:p>
            <w:pPr>
              <w:spacing w:after="0"/>
              <w:rPr>
                <w:sz w:val="20"/>
                <w:szCs w:val="20"/>
                <w:color w:val="auto"/>
              </w:rPr>
            </w:pPr>
            <w:r>
              <w:rPr>
                <w:rFonts w:ascii="Arial" w:cs="Arial" w:eastAsia="Arial" w:hAnsi="Arial"/>
                <w:sz w:val="18"/>
                <w:szCs w:val="18"/>
                <w:color w:val="auto"/>
              </w:rPr>
              <w:t>10-Q</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07/27/2018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3500" w:type="dxa"/>
            <w:vAlign w:val="bottom"/>
            <w:tcBorders>
              <w:top w:val="single" w:sz="8" w:color="0000EE"/>
            </w:tcBorders>
            <w:gridSpan w:val="15"/>
          </w:tcPr>
          <w:p>
            <w:pPr>
              <w:spacing w:after="0"/>
              <w:rPr>
                <w:rFonts w:ascii="Arial" w:cs="Arial" w:eastAsia="Arial" w:hAnsi="Arial"/>
                <w:sz w:val="18"/>
                <w:szCs w:val="18"/>
                <w:color w:val="0000EE"/>
              </w:rPr>
            </w:pPr>
            <w:hyperlink r:id="rId111">
              <w:r>
                <w:rPr>
                  <w:rFonts w:ascii="Arial" w:cs="Arial" w:eastAsia="Arial" w:hAnsi="Arial"/>
                  <w:sz w:val="18"/>
                  <w:szCs w:val="18"/>
                  <w:color w:val="0000EE"/>
                </w:rPr>
                <w:t>Form of Indemnification Agreement for</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Independent Directors</w:t>
              </w:r>
            </w:hyperlink>
          </w:p>
        </w:tc>
        <w:tc>
          <w:tcPr>
            <w:tcW w:w="1260" w:type="dxa"/>
            <w:vAlign w:val="bottom"/>
            <w:tcBorders>
              <w:top w:val="single" w:sz="8" w:color="0000EE"/>
            </w:tcBorders>
            <w:gridSpan w:val="7"/>
          </w:tcPr>
          <w:p>
            <w:pPr>
              <w:spacing w:after="0"/>
              <w:rPr>
                <w:sz w:val="17"/>
                <w:szCs w:val="17"/>
                <w:color w:val="auto"/>
              </w:rPr>
            </w:pPr>
          </w:p>
        </w:tc>
        <w:tc>
          <w:tcPr>
            <w:tcW w:w="920" w:type="dxa"/>
            <w:vAlign w:val="bottom"/>
            <w:gridSpan w:val="12"/>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3620" w:type="dxa"/>
            <w:vAlign w:val="bottom"/>
            <w:tcBorders>
              <w:bottom w:val="single" w:sz="8" w:color="0000EE"/>
            </w:tcBorders>
            <w:gridSpan w:val="19"/>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Form of Indemnification Agreement for Archie C.</w:t>
              </w:r>
            </w:hyperlink>
          </w:p>
        </w:tc>
        <w:tc>
          <w:tcPr>
            <w:tcW w:w="160" w:type="dxa"/>
            <w:vAlign w:val="bottom"/>
            <w:gridSpan w:val="4"/>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Black**</w:t>
              </w:r>
            </w:hyperlink>
          </w:p>
        </w:tc>
        <w:tc>
          <w:tcPr>
            <w:tcW w:w="3180" w:type="dxa"/>
            <w:vAlign w:val="bottom"/>
            <w:gridSpan w:val="22"/>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3480" w:type="dxa"/>
            <w:vAlign w:val="bottom"/>
            <w:tcBorders>
              <w:bottom w:val="single" w:sz="8" w:color="0000EE"/>
            </w:tcBorders>
            <w:gridSpan w:val="14"/>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Employment Agreement between the Company</w:t>
              </w:r>
            </w:hyperlink>
          </w:p>
        </w:tc>
        <w:tc>
          <w:tcPr>
            <w:tcW w:w="300" w:type="dxa"/>
            <w:vAlign w:val="bottom"/>
            <w:gridSpan w:val="9"/>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03/05/2010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and Archie C. Black**</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i w:val="1"/>
                <w:iCs w:val="1"/>
                <w:color w:val="auto"/>
              </w:rPr>
              <w:t>Incorporated By Reference</w:t>
            </w: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r>
      <w:tr>
        <w:trPr>
          <w:trHeight w:val="123"/>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9"/>
        </w:trPr>
        <w:tc>
          <w:tcPr>
            <w:tcW w:w="12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508"/>
              <w:spacing w:after="0" w:line="149" w:lineRule="exact"/>
              <w:rPr>
                <w:sz w:val="20"/>
                <w:szCs w:val="20"/>
                <w:color w:val="auto"/>
              </w:rPr>
            </w:pPr>
            <w:r>
              <w:rPr>
                <w:rFonts w:ascii="Arial" w:cs="Arial" w:eastAsia="Arial" w:hAnsi="Arial"/>
                <w:sz w:val="14"/>
                <w:szCs w:val="14"/>
                <w:b w:val="1"/>
                <w:bCs w:val="1"/>
                <w:i w:val="1"/>
                <w:iCs w:val="1"/>
                <w:color w:val="auto"/>
              </w:rPr>
              <w:t>File</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8"/>
              </w:rPr>
              <w:t>First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7"/>
        </w:trPr>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8"/>
          </w:tcPr>
          <w:p>
            <w:pPr>
              <w:ind w:left="440"/>
              <w:spacing w:after="0"/>
              <w:rPr>
                <w:sz w:val="20"/>
                <w:szCs w:val="20"/>
                <w:color w:val="auto"/>
              </w:rPr>
            </w:pPr>
            <w:r>
              <w:rPr>
                <w:rFonts w:ascii="Arial" w:cs="Arial" w:eastAsia="Arial" w:hAnsi="Arial"/>
                <w:sz w:val="14"/>
                <w:szCs w:val="14"/>
                <w:b w:val="1"/>
                <w:bCs w:val="1"/>
                <w:i w:val="1"/>
                <w:iCs w:val="1"/>
                <w:color w:val="auto"/>
              </w:rPr>
              <w:t>Exhibit Description</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i w:val="1"/>
                <w:iCs w:val="1"/>
                <w:color w:val="auto"/>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Filing</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Exhibit Number</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Filed Herewith</w:t>
            </w:r>
          </w:p>
        </w:tc>
      </w:tr>
      <w:tr>
        <w:trPr>
          <w:trHeight w:val="291"/>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rPr>
            </w:pPr>
            <w:hyperlink r:id="rId116">
              <w:r>
                <w:rPr>
                  <w:rFonts w:ascii="Arial" w:cs="Arial" w:eastAsia="Arial" w:hAnsi="Arial"/>
                  <w:sz w:val="18"/>
                  <w:szCs w:val="18"/>
                  <w:color w:val="0000EE"/>
                </w:rPr>
                <w:t>Form of Executive Severance and Change in</w:t>
              </w:r>
            </w:hyperlink>
          </w:p>
        </w:tc>
        <w:tc>
          <w:tcPr>
            <w:tcW w:w="1120" w:type="dxa"/>
            <w:vAlign w:val="bottom"/>
          </w:tcPr>
          <w:p>
            <w:pPr>
              <w:spacing w:after="0"/>
              <w:rPr>
                <w:sz w:val="20"/>
                <w:szCs w:val="20"/>
                <w:color w:val="auto"/>
              </w:rPr>
            </w:pPr>
            <w:r>
              <w:rPr>
                <w:rFonts w:ascii="Arial" w:cs="Arial" w:eastAsia="Arial" w:hAnsi="Arial"/>
                <w:sz w:val="18"/>
                <w:szCs w:val="18"/>
                <w:color w:val="auto"/>
              </w:rPr>
              <w:t>S-K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02/03/2016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Control Agreement**</w:t>
              </w:r>
            </w:hyperlink>
          </w:p>
        </w:tc>
        <w:tc>
          <w:tcPr>
            <w:tcW w:w="5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3600" w:type="dxa"/>
            <w:vAlign w:val="bottom"/>
            <w:tcBorders>
              <w:bottom w:val="single" w:sz="8" w:color="0000EE"/>
            </w:tcBorders>
            <w:gridSpan w:val="17"/>
          </w:tcPr>
          <w:p>
            <w:pPr>
              <w:spacing w:after="0"/>
              <w:rPr>
                <w:rFonts w:ascii="Arial" w:cs="Arial" w:eastAsia="Arial" w:hAnsi="Arial"/>
                <w:sz w:val="18"/>
                <w:szCs w:val="18"/>
                <w:color w:val="0000EE"/>
                <w:w w:val="88"/>
              </w:rPr>
            </w:pPr>
            <w:hyperlink r:id="rId117">
              <w:r>
                <w:rPr>
                  <w:rFonts w:ascii="Arial" w:cs="Arial" w:eastAsia="Arial" w:hAnsi="Arial"/>
                  <w:sz w:val="18"/>
                  <w:szCs w:val="18"/>
                  <w:color w:val="0000EE"/>
                  <w:w w:val="88"/>
                </w:rPr>
                <w:t>Standard Form Office Lease, dated as of February</w:t>
              </w:r>
            </w:hyperlink>
          </w:p>
        </w:tc>
        <w:tc>
          <w:tcPr>
            <w:tcW w:w="180" w:type="dxa"/>
            <w:vAlign w:val="bottom"/>
            <w:gridSpan w:val="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14, 2012, by and between the registrant and</w:t>
              </w:r>
            </w:hyperlink>
          </w:p>
        </w:tc>
        <w:tc>
          <w:tcPr>
            <w:tcW w:w="64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CSDV-MN Limited Partnership</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2280" w:type="dxa"/>
            <w:vAlign w:val="bottom"/>
            <w:tcBorders>
              <w:top w:val="single" w:sz="8" w:color="0000EE"/>
            </w:tcBorders>
            <w:gridSpan w:val="7"/>
          </w:tcPr>
          <w:p>
            <w:pPr>
              <w:spacing w:after="0"/>
              <w:rPr>
                <w:rFonts w:ascii="Arial" w:cs="Arial" w:eastAsia="Arial" w:hAnsi="Arial"/>
                <w:sz w:val="18"/>
                <w:szCs w:val="18"/>
                <w:color w:val="0000EE"/>
                <w:w w:val="95"/>
              </w:rPr>
            </w:pPr>
            <w:hyperlink r:id="rId118">
              <w:r>
                <w:rPr>
                  <w:rFonts w:ascii="Arial" w:cs="Arial" w:eastAsia="Arial" w:hAnsi="Arial"/>
                  <w:sz w:val="18"/>
                  <w:szCs w:val="18"/>
                  <w:color w:val="0000EE"/>
                  <w:w w:val="95"/>
                </w:rPr>
                <w:t>Management Incentive Plan**</w:t>
              </w:r>
            </w:hyperlink>
          </w:p>
        </w:tc>
        <w:tc>
          <w:tcPr>
            <w:tcW w:w="1500" w:type="dxa"/>
            <w:vAlign w:val="bottom"/>
            <w:gridSpan w:val="1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02/03/2016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3180" w:type="dxa"/>
            <w:vAlign w:val="bottom"/>
            <w:tcBorders>
              <w:bottom w:val="single" w:sz="8" w:color="0000EE"/>
            </w:tcBorders>
            <w:gridSpan w:val="13"/>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Executive Severance and Change in Control</w:t>
              </w:r>
            </w:hyperlink>
          </w:p>
        </w:tc>
        <w:tc>
          <w:tcPr>
            <w:tcW w:w="600" w:type="dxa"/>
            <w:vAlign w:val="bottom"/>
            <w:gridSpan w:val="7"/>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11/17/2017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0"/>
          </w:tcPr>
          <w:p>
            <w:pPr>
              <w:spacing w:after="0" w:line="210" w:lineRule="exact"/>
              <w:rPr>
                <w:rFonts w:ascii="Arial" w:cs="Arial" w:eastAsia="Arial" w:hAnsi="Arial"/>
                <w:sz w:val="18"/>
                <w:szCs w:val="18"/>
                <w:color w:val="0000EE"/>
              </w:rPr>
            </w:pPr>
            <w:hyperlink r:id="rId119">
              <w:r>
                <w:rPr>
                  <w:rFonts w:ascii="Arial" w:cs="Arial" w:eastAsia="Arial" w:hAnsi="Arial"/>
                  <w:sz w:val="18"/>
                  <w:szCs w:val="18"/>
                  <w:color w:val="0000EE"/>
                </w:rPr>
                <w:t>Agreement</w:t>
              </w:r>
              <w:r>
                <w:rPr>
                  <w:rFonts w:ascii="Arial" w:cs="Arial" w:eastAsia="Arial" w:hAnsi="Arial"/>
                  <w:sz w:val="18"/>
                  <w:szCs w:val="18"/>
                  <w:color w:val="000000"/>
                </w:rPr>
                <w:t>*</w:t>
              </w:r>
              <w:r>
                <w:rPr>
                  <w:rFonts w:ascii="Arial" w:cs="Arial" w:eastAsia="Arial" w:hAnsi="Arial"/>
                  <w:sz w:val="19"/>
                  <w:szCs w:val="19"/>
                  <w:color w:val="000000"/>
                </w:rPr>
                <w:t>*</w:t>
              </w:r>
            </w:hyperlink>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0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Subsidiaries of the registrant</w:t>
              </w:r>
            </w:hyperlink>
          </w:p>
        </w:tc>
        <w:tc>
          <w:tcPr>
            <w:tcW w:w="1720" w:type="dxa"/>
            <w:vAlign w:val="bottom"/>
            <w:gridSpan w:val="15"/>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Consent of KPMG LLP</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w w:val="99"/>
              </w:rPr>
            </w:pPr>
            <w:hyperlink w:anchor="page82">
              <w:r>
                <w:rPr>
                  <w:rFonts w:ascii="Arial" w:cs="Arial" w:eastAsia="Arial" w:hAnsi="Arial"/>
                  <w:sz w:val="18"/>
                  <w:szCs w:val="18"/>
                  <w:color w:val="0000EE"/>
                  <w:w w:val="99"/>
                </w:rPr>
                <w:t>Power of Attorney (included on signature page)</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31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Certification of Principal Executive Officer</w:t>
              </w:r>
            </w:hyperlink>
          </w:p>
        </w:tc>
        <w:tc>
          <w:tcPr>
            <w:tcW w:w="300" w:type="dxa"/>
            <w:vAlign w:val="bottom"/>
            <w:tcBorders>
              <w:top w:val="single" w:sz="8" w:color="0000EE"/>
            </w:tcBorders>
            <w:gridSpan w:val="4"/>
          </w:tcPr>
          <w:p>
            <w:pPr>
              <w:spacing w:after="0"/>
              <w:rPr>
                <w:sz w:val="24"/>
                <w:szCs w:val="24"/>
                <w:color w:val="auto"/>
              </w:rPr>
            </w:pPr>
          </w:p>
        </w:tc>
        <w:tc>
          <w:tcPr>
            <w:tcW w:w="360" w:type="dxa"/>
            <w:vAlign w:val="bottom"/>
            <w:gridSpan w:val="5"/>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pursuant to Rules 13a-14(a) under the Securities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Exchange Act of 1934, as amended</w:t>
              </w:r>
            </w:hyperlink>
          </w:p>
        </w:tc>
        <w:tc>
          <w:tcPr>
            <w:tcW w:w="920" w:type="dxa"/>
            <w:vAlign w:val="bottom"/>
            <w:tcBorders>
              <w:top w:val="single" w:sz="8" w:color="0000EE"/>
            </w:tcBorders>
            <w:gridSpan w:val="8"/>
          </w:tcPr>
          <w:p>
            <w:pPr>
              <w:spacing w:after="0"/>
              <w:rPr>
                <w:sz w:val="17"/>
                <w:szCs w:val="17"/>
                <w:color w:val="auto"/>
              </w:rPr>
            </w:pPr>
          </w:p>
        </w:tc>
        <w:tc>
          <w:tcPr>
            <w:tcW w:w="32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Certification of Principal Financial Officer</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pursuant to Rules 13a-14(a) under the Securities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Exchange Act of 1934, as amended</w:t>
              </w:r>
            </w:hyperlink>
          </w:p>
        </w:tc>
        <w:tc>
          <w:tcPr>
            <w:tcW w:w="920" w:type="dxa"/>
            <w:vAlign w:val="bottom"/>
            <w:tcBorders>
              <w:top w:val="single" w:sz="8" w:color="0000EE"/>
            </w:tcBorders>
            <w:gridSpan w:val="8"/>
          </w:tcPr>
          <w:p>
            <w:pPr>
              <w:spacing w:after="0"/>
              <w:rPr>
                <w:sz w:val="17"/>
                <w:szCs w:val="17"/>
                <w:color w:val="auto"/>
              </w:rPr>
            </w:pPr>
          </w:p>
        </w:tc>
        <w:tc>
          <w:tcPr>
            <w:tcW w:w="32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36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Certification of Chief Executive Officer and Chief</w:t>
              </w:r>
            </w:hyperlink>
          </w:p>
        </w:tc>
        <w:tc>
          <w:tcPr>
            <w:tcW w:w="16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w w:val="94"/>
              </w:rPr>
            </w:pPr>
            <w:hyperlink w:anchor="page87">
              <w:r>
                <w:rPr>
                  <w:rFonts w:ascii="Arial" w:cs="Arial" w:eastAsia="Arial" w:hAnsi="Arial"/>
                  <w:sz w:val="18"/>
                  <w:szCs w:val="18"/>
                  <w:color w:val="0000EE"/>
                  <w:w w:val="94"/>
                </w:rPr>
                <w:t>Financial Officer pursuant to 18 U.S.C. Sec. 1350,</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as adopted pursuant to Section 906 of the</w:t>
              </w:r>
            </w:hyperlink>
          </w:p>
        </w:tc>
        <w:tc>
          <w:tcPr>
            <w:tcW w:w="1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Sarbanes-Oxley Act of 2002</w:t>
              </w:r>
            </w:hyperlink>
          </w:p>
        </w:tc>
        <w:tc>
          <w:tcPr>
            <w:tcW w:w="820" w:type="dxa"/>
            <w:vAlign w:val="bottom"/>
            <w:gridSpan w:val="11"/>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740" w:type="dxa"/>
            <w:vAlign w:val="bottom"/>
            <w:gridSpan w:val="1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780" w:type="dxa"/>
            <w:vAlign w:val="bottom"/>
            <w:gridSpan w:val="20"/>
          </w:tcPr>
          <w:p>
            <w:pPr>
              <w:spacing w:after="0"/>
              <w:rPr>
                <w:sz w:val="20"/>
                <w:szCs w:val="20"/>
                <w:color w:val="auto"/>
              </w:rPr>
            </w:pPr>
            <w:r>
              <w:rPr>
                <w:rFonts w:ascii="Arial" w:cs="Arial" w:eastAsia="Arial" w:hAnsi="Arial"/>
                <w:sz w:val="18"/>
                <w:szCs w:val="18"/>
                <w:color w:val="auto"/>
              </w:rPr>
              <w:t>Interactive Data Files Pursuant to Rule 405 of</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0"/>
          </w:tcPr>
          <w:p>
            <w:pPr>
              <w:spacing w:after="0"/>
              <w:rPr>
                <w:sz w:val="20"/>
                <w:szCs w:val="20"/>
                <w:color w:val="auto"/>
              </w:rPr>
            </w:pPr>
            <w:r>
              <w:rPr>
                <w:rFonts w:ascii="Arial" w:cs="Arial" w:eastAsia="Arial" w:hAnsi="Arial"/>
                <w:sz w:val="18"/>
                <w:szCs w:val="18"/>
                <w:color w:val="auto"/>
              </w:rPr>
              <w:t>Regulation S-T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2" w:lineRule="exact"/>
        <w:rPr>
          <w:sz w:val="20"/>
          <w:szCs w:val="20"/>
          <w:color w:val="auto"/>
        </w:rPr>
      </w:pPr>
    </w:p>
    <w:p>
      <w:pPr>
        <w:ind w:left="5620" w:right="5620" w:hanging="5612"/>
        <w:spacing w:after="0" w:line="853" w:lineRule="auto"/>
        <w:tabs>
          <w:tab w:leader="none" w:pos="598"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February 22, 2019</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ARCHIE C. BLACK</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22,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Name and Signature</w:t>
            </w:r>
          </w:p>
        </w:tc>
        <w:tc>
          <w:tcPr>
            <w:tcW w:w="20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2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31"/>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ARCHIE C. BLACK</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 President and 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0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KIMBERLY K. NELSON</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0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MELVIN L. KEATING</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Melvin L. Keating</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J. LEESTMA</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J. MCCONNELL</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Michael J. McConnell</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B. RAMSEY</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MARTY M. RÉAUME</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Marty M. Réaume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TAMI L. RELLER</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E. SORAN</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SVEN A. WEHRWEIN</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634"/>
        </w:trPr>
        <w:tc>
          <w:tcPr>
            <w:tcW w:w="1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82</w:t>
            </w: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List of SPS Commerce, Inc. Subsidiaries</w:t>
      </w:r>
    </w:p>
    <w:p>
      <w:pPr>
        <w:sectPr>
          <w:pgSz w:w="11900" w:h="16838" w:orient="portrait"/>
          <w:cols w:equalWidth="0" w:num="1">
            <w:col w:w="11000"/>
          </w:cols>
          <w:pgMar w:left="240" w:top="364" w:right="6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Company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Incorporation/Organization</w:t>
      </w:r>
    </w:p>
    <w:p>
      <w:pPr>
        <w:spacing w:after="0" w:line="200" w:lineRule="exact"/>
        <w:rPr>
          <w:sz w:val="20"/>
          <w:szCs w:val="20"/>
          <w:color w:val="auto"/>
        </w:rPr>
      </w:pPr>
    </w:p>
    <w:p>
      <w:pPr>
        <w:sectPr>
          <w:pgSz w:w="11900" w:h="16838" w:orient="portrait"/>
          <w:cols w:equalWidth="0" w:num="2">
            <w:col w:w="6620" w:space="720"/>
            <w:col w:w="3660"/>
          </w:cols>
          <w:pgMar w:left="240" w:top="364" w:right="6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SPS Commerce Australia Pty Ltd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SPS Commerce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Edifice Japan G.K.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Commerce Canada, Ltd.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ectPr>
          <w:pgSz w:w="11900" w:h="16838" w:orient="portrait"/>
          <w:cols w:equalWidth="0" w:num="2">
            <w:col w:w="6620" w:space="720"/>
            <w:col w:w="3660"/>
          </w:cols>
          <w:pgMar w:left="240" w:top="364" w:right="659"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on Form S-3 (No. 333-192392, 333-182097 and 333-174026) and on Form S-8 (Nos. 333-222438, 333-222435, 333-216288, 333-209721, 333-201673, 333-193544, 333-185972, 333-182007, 333-179236, 333-172073, 333-167315 and 333-167314) of SPS Commerce, Inc. of our report dated February 22, 2019, with respect to the consolidated balance sheets of SPS Commerce, Inc. and subsidiaries as of December 31, 2018 and 2017, and the related consolidated statements of comprehensive income, stockholders’ equity and cash flows for the each of the years in the three-year period ended December 31, 2018, and the effectiveness of internal control over financial reporting as of December 31, 2018, which report appears in the December 31, 2018 annual report on Form 10K of SPS Commerce, Inc.</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Our report refers to a change in the method of accounting for revenue on January 1, 2018 due to the full retrospective adoption of FASB Accounting Standards Update No. 2014-09 (Topic 606), </w:t>
      </w:r>
      <w:r>
        <w:rPr>
          <w:rFonts w:ascii="Arial" w:cs="Arial" w:eastAsia="Arial" w:hAnsi="Arial"/>
          <w:sz w:val="18"/>
          <w:szCs w:val="18"/>
          <w:i w:val="1"/>
          <w:iCs w:val="1"/>
          <w:color w:val="auto"/>
        </w:rPr>
        <w:t>Revenue from Contracts with Customers.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report dated February 22, 2019 on internal control over financial reporting as of December 31, 2018, contains an explanatory paragraph that states management excluded from its assessment of the effectiveness of internal control over financial reporting as of December 31, 2018, EDIAdmin and CovalentWorks internal control over financial reporting associated with approximately two and six percent of total assets, respectively, and each represents less than one percent of total revenues in the consolidated financial statements of SPS Commerce, Inc. as of and for the year ended December 31, 2018. Our audit of internal control over financial reporting of SPS Commerce, Inc. also excluded an evaluation of the internal control over financial reporting of EDIAdmin and CovalentWorks.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80" w:hanging="440"/>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20" w:hanging="442"/>
        <w:spacing w:after="0" w:line="286" w:lineRule="auto"/>
        <w:tabs>
          <w:tab w:leader="none" w:pos="17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180" w:hanging="442"/>
        <w:spacing w:after="0" w:line="264" w:lineRule="auto"/>
        <w:tabs>
          <w:tab w:leader="none" w:pos="1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220" w:hanging="442"/>
        <w:spacing w:after="0" w:line="286" w:lineRule="auto"/>
        <w:tabs>
          <w:tab w:leader="none" w:pos="17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60" w:hanging="440"/>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00" w:hanging="442"/>
        <w:spacing w:after="0" w:line="277" w:lineRule="auto"/>
        <w:tabs>
          <w:tab w:leader="none" w:pos="1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35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80" w:hanging="440"/>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20" w:hanging="442"/>
        <w:spacing w:after="0" w:line="286" w:lineRule="auto"/>
        <w:tabs>
          <w:tab w:leader="none" w:pos="17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180" w:hanging="442"/>
        <w:spacing w:after="0" w:line="264" w:lineRule="auto"/>
        <w:tabs>
          <w:tab w:leader="none" w:pos="1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220" w:hanging="442"/>
        <w:spacing w:after="0" w:line="286" w:lineRule="auto"/>
        <w:tabs>
          <w:tab w:leader="none" w:pos="17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60" w:hanging="440"/>
        <w:spacing w:after="0" w:line="342"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00" w:hanging="442"/>
        <w:spacing w:after="0" w:line="277" w:lineRule="auto"/>
        <w:tabs>
          <w:tab w:leader="none" w:pos="1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35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877"/>
        <w:spacing w:after="0" w:line="312" w:lineRule="auto"/>
        <w:rPr>
          <w:sz w:val="20"/>
          <w:szCs w:val="20"/>
          <w:color w:val="auto"/>
        </w:rPr>
      </w:pPr>
      <w:r>
        <w:rPr>
          <w:rFonts w:ascii="Arial" w:cs="Arial" w:eastAsia="Arial" w:hAnsi="Arial"/>
          <w:sz w:val="16"/>
          <w:szCs w:val="16"/>
          <w:color w:val="auto"/>
        </w:rPr>
        <w:t>In connection with the Annual Report on Form 10-K of SPS Commerce, Inc. (the “Company”) for the period ended December 31, 2018,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47" w:lineRule="exact"/>
        <w:rPr>
          <w:sz w:val="20"/>
          <w:szCs w:val="20"/>
          <w:color w:val="auto"/>
        </w:rPr>
      </w:pPr>
    </w:p>
    <w:p>
      <w:pPr>
        <w:ind w:left="1300" w:hanging="42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428"/>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decimal"/>
      <w:start w:val="3"/>
    </w:lvl>
  </w:abstractNum>
  <w:abstractNum w:abstractNumId="22">
    <w:nsid w:val="2901D82"/>
    <w:multiLevelType w:val="hybridMultilevel"/>
    <w:lvl w:ilvl="0">
      <w:lvlJc w:val="left"/>
      <w:lvlText w:val="(%1)"/>
      <w:numFmt w:val="decimal"/>
      <w:start w:val="4"/>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98" Type="http://schemas.openxmlformats.org/officeDocument/2006/relationships/hyperlink" Target="http://www.sec.gov/Archives/edgar/data/1092699/000119312512269607/d365652dex41.htm" TargetMode="External"/><Relationship Id="rId99" Type="http://schemas.openxmlformats.org/officeDocument/2006/relationships/hyperlink" Target="http://www.sec.gov/Archives/edgar/data/1092699/000119312517311896/d430310dex31.htm" TargetMode="External"/><Relationship Id="rId100" Type="http://schemas.openxmlformats.org/officeDocument/2006/relationships/hyperlink" Target="http://www.sec.gov/Archives/edgar/data/1092699/000095012310001751/c54716a1exv10w3.htm" TargetMode="External"/><Relationship Id="rId101" Type="http://schemas.openxmlformats.org/officeDocument/2006/relationships/hyperlink" Target="http://www.sec.gov/Archives/edgar/data/1092699/000095012310001751/c54716a1exv10w4.htm" TargetMode="External"/><Relationship Id="rId102" Type="http://schemas.openxmlformats.org/officeDocument/2006/relationships/hyperlink" Target="http://www.sec.gov/Archives/edgar/data/1092699/000095012310001751/c54716a1exv10w5.htm" TargetMode="External"/><Relationship Id="rId103" Type="http://schemas.openxmlformats.org/officeDocument/2006/relationships/hyperlink" Target="http://www.sec.gov/Archives/edgar/data/1092699/000119312515056499/d845442dex106.htm" TargetMode="External"/><Relationship Id="rId104" Type="http://schemas.openxmlformats.org/officeDocument/2006/relationships/hyperlink" Target="http://www.sec.gov/Archives/edgar/data/1092699/000119312512067639/d303784dex102.htm" TargetMode="External"/><Relationship Id="rId105" Type="http://schemas.openxmlformats.org/officeDocument/2006/relationships/hyperlink" Target="http://www.sec.gov/Archives/edgar/data/1092699/000119312512067639/d303784dex103.htm" TargetMode="External"/><Relationship Id="rId106" Type="http://schemas.openxmlformats.org/officeDocument/2006/relationships/hyperlink" Target="http://www.sec.gov/Archives/edgar/data/1092699/000119312512067639/d303784dex104.htm" TargetMode="External"/><Relationship Id="rId107" Type="http://schemas.openxmlformats.org/officeDocument/2006/relationships/hyperlink" Target="http://www.sec.gov/Archives/edgar/data/1092699/000119312517045225/d348307dex992.htm" TargetMode="External"/><Relationship Id="rId108" Type="http://schemas.openxmlformats.org/officeDocument/2006/relationships/hyperlink" Target="http://www.sec.gov/Archives/edgar/data/1092699/000119312512218022/d343890dex106.htm" TargetMode="External"/><Relationship Id="rId109" Type="http://schemas.openxmlformats.org/officeDocument/2006/relationships/hyperlink" Target="http://www.sec.gov/Archives/edgar/data/1092699/000119312518034816/d525819dex101.htm" TargetMode="External"/><Relationship Id="rId110" Type="http://schemas.openxmlformats.org/officeDocument/2006/relationships/hyperlink" Target="http://www.sec.gov/Archives/edgar/data/0001092699/000156459018017749/spsc-ex101_193.htm" TargetMode="External"/><Relationship Id="rId111" Type="http://schemas.openxmlformats.org/officeDocument/2006/relationships/hyperlink" Target="http://www.sec.gov/Archives/edgar/data/1092699/000095012310001751/c54716a1exv10w18.htm" TargetMode="External"/><Relationship Id="rId112" Type="http://schemas.openxmlformats.org/officeDocument/2006/relationships/hyperlink" Target="http://www.sec.gov/Archives/edgar/data/1092699/000095012310001751/c54716a1exv10w19.htm" TargetMode="External"/><Relationship Id="rId113" Type="http://schemas.openxmlformats.org/officeDocument/2006/relationships/hyperlink" Target="http://www.sec.gov/Archives/edgar/data/1092699/000095012310021606/c54716a3exv10w20.htm" TargetMode="External"/><Relationship Id="rId116" Type="http://schemas.openxmlformats.org/officeDocument/2006/relationships/hyperlink" Target="http://www.sec.gov/Archives/edgar/data/1092699/000119312516449360/d113029dex101.htm" TargetMode="External"/><Relationship Id="rId117" Type="http://schemas.openxmlformats.org/officeDocument/2006/relationships/hyperlink" Target="http://www.sec.gov/Archives/edgar/data/1092699/000119312512067639/d303784dex101.htm" TargetMode="External"/><Relationship Id="rId118" Type="http://schemas.openxmlformats.org/officeDocument/2006/relationships/hyperlink" Target="http://www.sec.gov/Archives/edgar/data/1092699/000119312516449360/d113029dex102.htm" TargetMode="External"/><Relationship Id="rId119" Type="http://schemas.openxmlformats.org/officeDocument/2006/relationships/hyperlink" Target="http://www.sec.gov/Archives/edgar/data/1092699/000119312517347093/d49365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2019-12-28T15:56:40Z</dcterms:created>
  <dcterms:modified xsi:type="dcterms:W3CDTF">2019-12-28T15:56:40Z</dcterms:modified>
</cp:coreProperties>
</file>