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22" w:lineRule="exact"/>
        <w:rPr>
          <w:sz w:val="20"/>
          <w:szCs w:val="20"/>
          <w:color w:val="auto"/>
        </w:rPr>
      </w:pPr>
    </w:p>
    <w:p>
      <w:pPr>
        <w:ind w:left="1380" w:right="40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Quarterly Period Ended: March 31, 2011</w:t>
      </w:r>
    </w:p>
    <w:p>
      <w:pPr>
        <w:spacing w:after="0" w:line="122" w:lineRule="exact"/>
        <w:rPr>
          <w:sz w:val="20"/>
          <w:szCs w:val="20"/>
          <w:color w:val="auto"/>
        </w:rPr>
      </w:pPr>
    </w:p>
    <w:p>
      <w:pPr>
        <w:ind w:left="1380" w:right="38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4" w:lineRule="exact"/>
        <w:rPr>
          <w:sz w:val="20"/>
          <w:szCs w:val="20"/>
          <w:color w:val="auto"/>
        </w:rPr>
      </w:pPr>
    </w:p>
    <w:p>
      <w:pPr>
        <w:ind w:left="1380"/>
        <w:spacing w:after="0"/>
        <w:tabs>
          <w:tab w:leader="none" w:pos="47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2416175</wp:posOffset>
            </wp:positionH>
            <wp:positionV relativeFrom="paragraph">
              <wp:posOffset>-7620</wp:posOffset>
            </wp:positionV>
            <wp:extent cx="12954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001-34702</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43"/>
          <w:szCs w:val="43"/>
          <w:b w:val="1"/>
          <w:bCs w:val="1"/>
          <w:color w:val="auto"/>
        </w:rPr>
        <w:t>SPS COMMERCE, INC.</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05" w:lineRule="exact"/>
        <w:rPr>
          <w:sz w:val="20"/>
          <w:szCs w:val="20"/>
          <w:color w:val="auto"/>
        </w:rPr>
      </w:pPr>
    </w:p>
    <w:tbl>
      <w:tblPr>
        <w:tblLayout w:type="fixed"/>
        <w:tblInd w:w="1560" w:type="dxa"/>
        <w:tblCellMar>
          <w:top w:w="0" w:type="dxa"/>
          <w:left w:w="0" w:type="dxa"/>
          <w:bottom w:w="0" w:type="dxa"/>
          <w:right w:w="0" w:type="dxa"/>
        </w:tblCellMar>
      </w:tblPr>
      <w:tr>
        <w:trPr>
          <w:trHeight w:val="220"/>
        </w:trPr>
        <w:tc>
          <w:tcPr>
            <w:tcW w:w="4380" w:type="dxa"/>
            <w:vAlign w:val="bottom"/>
          </w:tcPr>
          <w:p>
            <w:pPr>
              <w:jc w:val="center"/>
              <w:ind w:right="1970"/>
              <w:spacing w:after="0"/>
              <w:rPr>
                <w:sz w:val="20"/>
                <w:szCs w:val="20"/>
                <w:color w:val="auto"/>
              </w:rPr>
            </w:pPr>
            <w:r>
              <w:rPr>
                <w:rFonts w:ascii="Arial" w:cs="Arial" w:eastAsia="Arial" w:hAnsi="Arial"/>
                <w:sz w:val="18"/>
                <w:szCs w:val="18"/>
                <w:b w:val="1"/>
                <w:bCs w:val="1"/>
                <w:color w:val="auto"/>
                <w:w w:val="91"/>
              </w:rPr>
              <w:t>Delaware</w:t>
            </w:r>
          </w:p>
        </w:tc>
        <w:tc>
          <w:tcPr>
            <w:tcW w:w="3460" w:type="dxa"/>
            <w:vAlign w:val="bottom"/>
          </w:tcPr>
          <w:p>
            <w:pPr>
              <w:jc w:val="center"/>
              <w:ind w:left="1990"/>
              <w:spacing w:after="0"/>
              <w:rPr>
                <w:sz w:val="20"/>
                <w:szCs w:val="20"/>
                <w:color w:val="auto"/>
              </w:rPr>
            </w:pPr>
            <w:r>
              <w:rPr>
                <w:rFonts w:ascii="Arial" w:cs="Arial" w:eastAsia="Arial" w:hAnsi="Arial"/>
                <w:sz w:val="18"/>
                <w:szCs w:val="18"/>
                <w:b w:val="1"/>
                <w:bCs w:val="1"/>
                <w:color w:val="auto"/>
                <w:w w:val="89"/>
              </w:rPr>
              <w:t>41-2015127</w:t>
            </w:r>
          </w:p>
        </w:tc>
      </w:tr>
      <w:tr>
        <w:trPr>
          <w:trHeight w:val="216"/>
        </w:trPr>
        <w:tc>
          <w:tcPr>
            <w:tcW w:w="4380" w:type="dxa"/>
            <w:vAlign w:val="bottom"/>
          </w:tcPr>
          <w:p>
            <w:pPr>
              <w:jc w:val="center"/>
              <w:ind w:right="1970"/>
              <w:spacing w:after="0"/>
              <w:rPr>
                <w:sz w:val="20"/>
                <w:szCs w:val="20"/>
                <w:color w:val="auto"/>
              </w:rPr>
            </w:pPr>
            <w:r>
              <w:rPr>
                <w:rFonts w:ascii="Arial" w:cs="Arial" w:eastAsia="Arial" w:hAnsi="Arial"/>
                <w:sz w:val="18"/>
                <w:szCs w:val="18"/>
                <w:b w:val="1"/>
                <w:bCs w:val="1"/>
                <w:i w:val="1"/>
                <w:iCs w:val="1"/>
                <w:color w:val="auto"/>
                <w:w w:val="87"/>
              </w:rPr>
              <w:t>(State or Other Jurisdiction of</w:t>
            </w:r>
          </w:p>
        </w:tc>
        <w:tc>
          <w:tcPr>
            <w:tcW w:w="3460" w:type="dxa"/>
            <w:vAlign w:val="bottom"/>
          </w:tcPr>
          <w:p>
            <w:pPr>
              <w:jc w:val="center"/>
              <w:ind w:left="1990"/>
              <w:spacing w:after="0"/>
              <w:rPr>
                <w:sz w:val="20"/>
                <w:szCs w:val="20"/>
                <w:color w:val="auto"/>
              </w:rPr>
            </w:pPr>
            <w:r>
              <w:rPr>
                <w:rFonts w:ascii="Arial" w:cs="Arial" w:eastAsia="Arial" w:hAnsi="Arial"/>
                <w:sz w:val="18"/>
                <w:szCs w:val="18"/>
                <w:b w:val="1"/>
                <w:bCs w:val="1"/>
                <w:i w:val="1"/>
                <w:iCs w:val="1"/>
                <w:color w:val="auto"/>
                <w:w w:val="91"/>
              </w:rPr>
              <w:t>(I.R.S. Employer</w:t>
            </w:r>
          </w:p>
        </w:tc>
      </w:tr>
      <w:tr>
        <w:trPr>
          <w:trHeight w:val="230"/>
        </w:trPr>
        <w:tc>
          <w:tcPr>
            <w:tcW w:w="4380" w:type="dxa"/>
            <w:vAlign w:val="bottom"/>
          </w:tcPr>
          <w:p>
            <w:pPr>
              <w:jc w:val="center"/>
              <w:ind w:right="1970"/>
              <w:spacing w:after="0"/>
              <w:rPr>
                <w:sz w:val="20"/>
                <w:szCs w:val="20"/>
                <w:color w:val="auto"/>
              </w:rPr>
            </w:pPr>
            <w:r>
              <w:rPr>
                <w:rFonts w:ascii="Arial" w:cs="Arial" w:eastAsia="Arial" w:hAnsi="Arial"/>
                <w:sz w:val="18"/>
                <w:szCs w:val="18"/>
                <w:b w:val="1"/>
                <w:bCs w:val="1"/>
                <w:i w:val="1"/>
                <w:iCs w:val="1"/>
                <w:color w:val="auto"/>
                <w:w w:val="89"/>
              </w:rPr>
              <w:t>Incorporation or Organization)</w:t>
            </w:r>
          </w:p>
        </w:tc>
        <w:tc>
          <w:tcPr>
            <w:tcW w:w="3460" w:type="dxa"/>
            <w:vAlign w:val="bottom"/>
          </w:tcPr>
          <w:p>
            <w:pPr>
              <w:jc w:val="center"/>
              <w:ind w:left="1990"/>
              <w:spacing w:after="0"/>
              <w:rPr>
                <w:sz w:val="20"/>
                <w:szCs w:val="20"/>
                <w:color w:val="auto"/>
              </w:rPr>
            </w:pPr>
            <w:r>
              <w:rPr>
                <w:rFonts w:ascii="Arial" w:cs="Arial" w:eastAsia="Arial" w:hAnsi="Arial"/>
                <w:sz w:val="18"/>
                <w:szCs w:val="18"/>
                <w:b w:val="1"/>
                <w:bCs w:val="1"/>
                <w:i w:val="1"/>
                <w:iCs w:val="1"/>
                <w:color w:val="auto"/>
                <w:w w:val="90"/>
              </w:rPr>
              <w:t>Identification No.)</w:t>
            </w:r>
          </w:p>
        </w:tc>
      </w:tr>
    </w:tbl>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333 South Seventh Street, Suite 1000, Minneapolis, MN 55402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(Address of Principal Executive Offices, Including Zip Code)</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(612) 435-9400</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(Registrant’s Telephone Number, Including Area Code)</w:t>
      </w:r>
    </w:p>
    <w:p>
      <w:pPr>
        <w:spacing w:after="0" w:line="103" w:lineRule="exact"/>
        <w:rPr>
          <w:sz w:val="20"/>
          <w:szCs w:val="20"/>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(§229.405 of this chapter) during the preceding 12 months (or for such shorter period that the registrant was required to submit and post such files). Yes o No o</w:t>
      </w:r>
    </w:p>
    <w:p>
      <w:pPr>
        <w:spacing w:after="0" w:line="73"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122" w:right="239" w:bottom="1440" w:gutter="0" w:footer="0" w:header="0"/>
        </w:sectPr>
      </w:pP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Non-accelerated filer o</w:t>
      </w:r>
    </w:p>
    <w:p>
      <w:pPr>
        <w:spacing w:after="0" w:line="23"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356" w:lineRule="exact"/>
        <w:rPr>
          <w:sz w:val="20"/>
          <w:szCs w:val="20"/>
          <w:color w:val="auto"/>
        </w:rPr>
      </w:pPr>
    </w:p>
    <w:p>
      <w:pPr>
        <w:sectPr>
          <w:pgSz w:w="11900" w:h="16838" w:orient="portrait"/>
          <w:cols w:equalWidth="0" w:num="4">
            <w:col w:w="2120" w:space="720"/>
            <w:col w:w="1460" w:space="720"/>
            <w:col w:w="3500" w:space="720"/>
            <w:col w:w="2180"/>
          </w:cols>
          <w:pgMar w:left="240" w:top="122" w:right="239" w:bottom="1440" w:gutter="0" w:footer="0" w:header="0"/>
          <w:type w:val="continuous"/>
        </w:sectPr>
      </w:pPr>
    </w:p>
    <w:p>
      <w:pPr>
        <w:spacing w:after="0" w:line="196"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o No </w:t>
      </w:r>
      <w:r>
        <w:rPr>
          <w:rFonts w:ascii="MS PGothic" w:cs="MS PGothic" w:eastAsia="MS PGothic" w:hAnsi="MS PGothic"/>
          <w:sz w:val="17"/>
          <w:szCs w:val="17"/>
          <w:color w:val="auto"/>
        </w:rPr>
        <w:t>☑</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The number of shares of the registrant’s common stock, par value $0.001 per share, outstanding at April 29, 2011 was 11,897,171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584835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t>SPS COMMERCE,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QUARTERLY REPORT ON FORM 10-Q</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INDEX</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080" w:type="dxa"/>
            <w:vAlign w:val="bottom"/>
            <w:gridSpan w:val="12"/>
            <w:vMerge w:val="restart"/>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FINANCIAL INFORMATION</w:t>
              </w:r>
            </w:hyperlink>
          </w:p>
        </w:tc>
        <w:tc>
          <w:tcPr>
            <w:tcW w:w="5580" w:type="dxa"/>
            <w:vAlign w:val="bottom"/>
            <w:gridSpan w:val="7"/>
            <w:vMerge w:val="restart"/>
          </w:tcPr>
          <w:p>
            <w:pPr>
              <w:spacing w:after="0"/>
              <w:rPr>
                <w:sz w:val="16"/>
                <w:szCs w:val="16"/>
                <w:color w:val="auto"/>
              </w:rPr>
            </w:pPr>
          </w:p>
        </w:tc>
        <w:tc>
          <w:tcPr>
            <w:tcW w:w="248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6"/>
        </w:trPr>
        <w:tc>
          <w:tcPr>
            <w:tcW w:w="3080" w:type="dxa"/>
            <w:vAlign w:val="bottom"/>
            <w:tcBorders>
              <w:bottom w:val="single" w:sz="8" w:color="0000EE"/>
            </w:tcBorders>
            <w:gridSpan w:val="12"/>
            <w:vMerge w:val="continue"/>
          </w:tcPr>
          <w:p>
            <w:pPr>
              <w:spacing w:after="0"/>
              <w:rPr>
                <w:sz w:val="13"/>
                <w:szCs w:val="13"/>
                <w:color w:val="auto"/>
              </w:rPr>
            </w:pPr>
          </w:p>
        </w:tc>
        <w:tc>
          <w:tcPr>
            <w:tcW w:w="5580" w:type="dxa"/>
            <w:vAlign w:val="bottom"/>
            <w:gridSpan w:val="7"/>
            <w:vMerge w:val="continue"/>
          </w:tcPr>
          <w:p>
            <w:pPr>
              <w:spacing w:after="0"/>
              <w:rPr>
                <w:sz w:val="13"/>
                <w:szCs w:val="13"/>
                <w:color w:val="auto"/>
              </w:rPr>
            </w:pPr>
          </w:p>
        </w:tc>
        <w:tc>
          <w:tcPr>
            <w:tcW w:w="2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8660" w:type="dxa"/>
            <w:vAlign w:val="bottom"/>
            <w:gridSpan w:val="19"/>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Item 1. Financial Statements</w:t>
              </w:r>
            </w:hyperlink>
          </w:p>
        </w:tc>
        <w:tc>
          <w:tcPr>
            <w:tcW w:w="2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7140" w:type="dxa"/>
            <w:vAlign w:val="bottom"/>
            <w:tcBorders>
              <w:bottom w:val="single" w:sz="8" w:color="0000EE"/>
            </w:tcBorders>
            <w:gridSpan w:val="16"/>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Balance Sheets as of March 31, 2011 (unaudited) and December 31, 2010</w:t>
              </w:r>
            </w:hyperlink>
          </w:p>
        </w:tc>
        <w:tc>
          <w:tcPr>
            <w:tcW w:w="1300" w:type="dxa"/>
            <w:vAlign w:val="bottom"/>
            <w:gridSpan w:val="2"/>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840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Operations for the three months ended March 31, 2011 and 2010 (unaudited)</w:t>
              </w:r>
            </w:hyperlink>
          </w:p>
        </w:tc>
        <w:tc>
          <w:tcPr>
            <w:tcW w:w="40" w:type="dxa"/>
            <w:vAlign w:val="bottom"/>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8440" w:type="dxa"/>
            <w:vAlign w:val="bottom"/>
            <w:tcBorders>
              <w:bottom w:val="single" w:sz="8" w:color="0000EE"/>
            </w:tcBorders>
            <w:gridSpan w:val="18"/>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Cash Flows for the three months ended March 31, 2011 and 2010 (unaudited)</w:t>
              </w:r>
            </w:hyperlink>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486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Notes to Condensed Consolidated Financial Statements (unaudited)</w:t>
              </w:r>
            </w:hyperlink>
          </w:p>
        </w:tc>
        <w:tc>
          <w:tcPr>
            <w:tcW w:w="3580" w:type="dxa"/>
            <w:vAlign w:val="bottom"/>
            <w:gridSpan w:val="4"/>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8660" w:type="dxa"/>
            <w:vAlign w:val="bottom"/>
            <w:gridSpan w:val="19"/>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Item 2. Management’s Discussion and Analysis of Financial Condition and Results of Operations</w:t>
              </w:r>
            </w:hyperlink>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494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2"/>
              </w:rPr>
            </w:pPr>
            <w:hyperlink w:anchor="page16">
              <w:r>
                <w:rPr>
                  <w:rFonts w:ascii="Arial" w:cs="Arial" w:eastAsia="Arial" w:hAnsi="Arial"/>
                  <w:sz w:val="18"/>
                  <w:szCs w:val="18"/>
                  <w:color w:val="0000EE"/>
                  <w:w w:val="92"/>
                </w:rPr>
                <w:t>Item 3. Quantitative and Qualitative Disclosures About Market Risk</w:t>
              </w:r>
            </w:hyperlink>
          </w:p>
        </w:tc>
        <w:tc>
          <w:tcPr>
            <w:tcW w:w="2080" w:type="dxa"/>
            <w:vAlign w:val="bottom"/>
            <w:tcBorders>
              <w:top w:val="single" w:sz="8" w:color="0000EE"/>
            </w:tcBorders>
            <w:gridSpan w:val="2"/>
          </w:tcPr>
          <w:p>
            <w:pPr>
              <w:spacing w:after="0"/>
              <w:rPr>
                <w:sz w:val="17"/>
                <w:szCs w:val="17"/>
                <w:color w:val="auto"/>
              </w:rPr>
            </w:pPr>
          </w:p>
        </w:tc>
        <w:tc>
          <w:tcPr>
            <w:tcW w:w="1640" w:type="dxa"/>
            <w:vAlign w:val="bottom"/>
            <w:gridSpan w:val="3"/>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96"/>
        </w:trPr>
        <w:tc>
          <w:tcPr>
            <w:tcW w:w="234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16">
              <w:r>
                <w:rPr>
                  <w:rFonts w:ascii="Arial" w:cs="Arial" w:eastAsia="Arial" w:hAnsi="Arial"/>
                  <w:sz w:val="18"/>
                  <w:szCs w:val="18"/>
                  <w:color w:val="0000EE"/>
                  <w:w w:val="89"/>
                </w:rPr>
                <w:t>Item 4. Controls and Procedures</w:t>
              </w:r>
            </w:hyperlink>
          </w:p>
        </w:tc>
        <w:tc>
          <w:tcPr>
            <w:tcW w:w="6320" w:type="dxa"/>
            <w:vAlign w:val="bottom"/>
            <w:gridSpan w:val="10"/>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96"/>
        </w:trPr>
        <w:tc>
          <w:tcPr>
            <w:tcW w:w="2780" w:type="dxa"/>
            <w:vAlign w:val="bottom"/>
            <w:tcBorders>
              <w:bottom w:val="single" w:sz="8" w:color="0000EE"/>
            </w:tcBorders>
            <w:gridSpan w:val="10"/>
          </w:tcPr>
          <w:p>
            <w:pPr>
              <w:spacing w:after="0" w:line="196" w:lineRule="exact"/>
              <w:rPr>
                <w:rFonts w:ascii="Arial" w:cs="Arial" w:eastAsia="Arial" w:hAnsi="Arial"/>
                <w:sz w:val="18"/>
                <w:szCs w:val="18"/>
                <w:b w:val="1"/>
                <w:bCs w:val="1"/>
                <w:color w:val="0000EE"/>
              </w:rPr>
            </w:pPr>
            <w:hyperlink w:anchor="page17">
              <w:r>
                <w:rPr>
                  <w:rFonts w:ascii="Arial" w:cs="Arial" w:eastAsia="Arial" w:hAnsi="Arial"/>
                  <w:sz w:val="18"/>
                  <w:szCs w:val="18"/>
                  <w:b w:val="1"/>
                  <w:bCs w:val="1"/>
                  <w:color w:val="0000EE"/>
                </w:rPr>
                <w:t>PART II. OTHER INFORMATION</w:t>
              </w:r>
            </w:hyperlink>
          </w:p>
        </w:tc>
        <w:tc>
          <w:tcPr>
            <w:tcW w:w="5880" w:type="dxa"/>
            <w:vAlign w:val="bottom"/>
            <w:gridSpan w:val="9"/>
          </w:tcPr>
          <w:p>
            <w:pPr>
              <w:spacing w:after="0"/>
              <w:rPr>
                <w:sz w:val="17"/>
                <w:szCs w:val="17"/>
                <w:color w:val="auto"/>
              </w:rPr>
            </w:pPr>
          </w:p>
        </w:tc>
        <w:tc>
          <w:tcPr>
            <w:tcW w:w="2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90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17">
              <w:r>
                <w:rPr>
                  <w:rFonts w:ascii="Arial" w:cs="Arial" w:eastAsia="Arial" w:hAnsi="Arial"/>
                  <w:sz w:val="18"/>
                  <w:szCs w:val="18"/>
                  <w:color w:val="0000EE"/>
                  <w:w w:val="89"/>
                </w:rPr>
                <w:t>Item 1. Legal Proceedings</w:t>
              </w:r>
            </w:hyperlink>
          </w:p>
        </w:tc>
        <w:tc>
          <w:tcPr>
            <w:tcW w:w="6760" w:type="dxa"/>
            <w:vAlign w:val="bottom"/>
            <w:gridSpan w:val="12"/>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160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w:anchor="page17">
              <w:r>
                <w:rPr>
                  <w:rFonts w:ascii="Arial" w:cs="Arial" w:eastAsia="Arial" w:hAnsi="Arial"/>
                  <w:sz w:val="18"/>
                  <w:szCs w:val="18"/>
                  <w:color w:val="0000EE"/>
                  <w:w w:val="91"/>
                </w:rPr>
                <w:t>Item 1A. Risk Factors</w:t>
              </w:r>
            </w:hyperlink>
          </w:p>
        </w:tc>
        <w:tc>
          <w:tcPr>
            <w:tcW w:w="7060" w:type="dxa"/>
            <w:vAlign w:val="bottom"/>
            <w:gridSpan w:val="14"/>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540" w:type="dxa"/>
            <w:vAlign w:val="bottom"/>
            <w:tcBorders>
              <w:bottom w:val="single" w:sz="8" w:color="0000EE"/>
            </w:tcBorders>
            <w:gridSpan w:val="2"/>
          </w:tcPr>
          <w:p>
            <w:pPr>
              <w:spacing w:after="0" w:line="196" w:lineRule="exact"/>
              <w:rPr>
                <w:rFonts w:ascii="Arial" w:cs="Arial" w:eastAsia="Arial" w:hAnsi="Arial"/>
                <w:sz w:val="18"/>
                <w:szCs w:val="18"/>
                <w:color w:val="0000EE"/>
                <w:w w:val="94"/>
              </w:rPr>
            </w:pPr>
            <w:hyperlink w:anchor="page17">
              <w:r>
                <w:rPr>
                  <w:rFonts w:ascii="Arial" w:cs="Arial" w:eastAsia="Arial" w:hAnsi="Arial"/>
                  <w:sz w:val="18"/>
                  <w:szCs w:val="18"/>
                  <w:color w:val="0000EE"/>
                  <w:w w:val="94"/>
                </w:rPr>
                <w:t>Item 2.</w:t>
              </w:r>
            </w:hyperlink>
          </w:p>
        </w:tc>
        <w:tc>
          <w:tcPr>
            <w:tcW w:w="4380" w:type="dxa"/>
            <w:vAlign w:val="bottom"/>
            <w:tcBorders>
              <w:bottom w:val="single" w:sz="8" w:color="0000EE"/>
            </w:tcBorders>
            <w:gridSpan w:val="11"/>
          </w:tcPr>
          <w:p>
            <w:pPr>
              <w:ind w:left="20"/>
              <w:spacing w:after="0" w:line="196" w:lineRule="exact"/>
              <w:rPr>
                <w:rFonts w:ascii="Arial" w:cs="Arial" w:eastAsia="Arial" w:hAnsi="Arial"/>
                <w:sz w:val="18"/>
                <w:szCs w:val="18"/>
                <w:color w:val="0000EE"/>
                <w:w w:val="89"/>
              </w:rPr>
            </w:pPr>
            <w:hyperlink w:anchor="page17">
              <w:r>
                <w:rPr>
                  <w:rFonts w:ascii="Arial" w:cs="Arial" w:eastAsia="Arial" w:hAnsi="Arial"/>
                  <w:sz w:val="18"/>
                  <w:szCs w:val="18"/>
                  <w:color w:val="0000EE"/>
                  <w:w w:val="89"/>
                </w:rPr>
                <w:t>Unregistered Sales of Equity Securities and Use of Proceeds</w:t>
              </w:r>
            </w:hyperlink>
          </w:p>
        </w:tc>
        <w:tc>
          <w:tcPr>
            <w:tcW w:w="3740" w:type="dxa"/>
            <w:vAlign w:val="bottom"/>
            <w:gridSpan w:val="6"/>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540" w:type="dxa"/>
            <w:vAlign w:val="bottom"/>
            <w:gridSpan w:val="2"/>
          </w:tcPr>
          <w:p>
            <w:pPr>
              <w:spacing w:after="0" w:line="196" w:lineRule="exact"/>
              <w:rPr>
                <w:rFonts w:ascii="Arial" w:cs="Arial" w:eastAsia="Arial" w:hAnsi="Arial"/>
                <w:sz w:val="18"/>
                <w:szCs w:val="18"/>
                <w:color w:val="0000EE"/>
                <w:w w:val="94"/>
              </w:rPr>
            </w:pPr>
            <w:hyperlink w:anchor="page17">
              <w:r>
                <w:rPr>
                  <w:rFonts w:ascii="Arial" w:cs="Arial" w:eastAsia="Arial" w:hAnsi="Arial"/>
                  <w:sz w:val="18"/>
                  <w:szCs w:val="18"/>
                  <w:color w:val="0000EE"/>
                  <w:w w:val="94"/>
                </w:rPr>
                <w:t>Item 3.</w:t>
              </w:r>
            </w:hyperlink>
          </w:p>
        </w:tc>
        <w:tc>
          <w:tcPr>
            <w:tcW w:w="8120" w:type="dxa"/>
            <w:vAlign w:val="bottom"/>
            <w:gridSpan w:val="17"/>
          </w:tcPr>
          <w:p>
            <w:pPr>
              <w:ind w:left="20"/>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Defaults Upon Senior Securities</w:t>
              </w:r>
            </w:hyperlink>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5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4"/>
              </w:rPr>
            </w:pPr>
            <w:hyperlink w:anchor="page17">
              <w:r>
                <w:rPr>
                  <w:rFonts w:ascii="Arial" w:cs="Arial" w:eastAsia="Arial" w:hAnsi="Arial"/>
                  <w:sz w:val="18"/>
                  <w:szCs w:val="18"/>
                  <w:color w:val="0000EE"/>
                  <w:w w:val="94"/>
                </w:rPr>
                <w:t>Item 5.</w:t>
              </w:r>
            </w:hyperlink>
          </w:p>
        </w:tc>
        <w:tc>
          <w:tcPr>
            <w:tcW w:w="1340" w:type="dxa"/>
            <w:vAlign w:val="bottom"/>
            <w:tcBorders>
              <w:top w:val="single" w:sz="8" w:color="0000EE"/>
              <w:bottom w:val="single" w:sz="8" w:color="0000EE"/>
            </w:tcBorders>
            <w:gridSpan w:val="4"/>
          </w:tcPr>
          <w:p>
            <w:pPr>
              <w:ind w:left="20"/>
              <w:spacing w:after="0" w:line="196" w:lineRule="exact"/>
              <w:rPr>
                <w:rFonts w:ascii="Arial" w:cs="Arial" w:eastAsia="Arial" w:hAnsi="Arial"/>
                <w:sz w:val="18"/>
                <w:szCs w:val="18"/>
                <w:color w:val="0000EE"/>
                <w:w w:val="92"/>
              </w:rPr>
            </w:pPr>
            <w:hyperlink w:anchor="page17">
              <w:r>
                <w:rPr>
                  <w:rFonts w:ascii="Arial" w:cs="Arial" w:eastAsia="Arial" w:hAnsi="Arial"/>
                  <w:sz w:val="18"/>
                  <w:szCs w:val="18"/>
                  <w:color w:val="0000EE"/>
                  <w:w w:val="92"/>
                </w:rPr>
                <w:t>Other Information</w:t>
              </w:r>
            </w:hyperlink>
          </w:p>
        </w:tc>
        <w:tc>
          <w:tcPr>
            <w:tcW w:w="1000" w:type="dxa"/>
            <w:vAlign w:val="bottom"/>
            <w:tcBorders>
              <w:top w:val="single" w:sz="8" w:color="0000EE"/>
            </w:tcBorders>
            <w:gridSpan w:val="5"/>
          </w:tcPr>
          <w:p>
            <w:pPr>
              <w:spacing w:after="0"/>
              <w:rPr>
                <w:sz w:val="17"/>
                <w:szCs w:val="17"/>
                <w:color w:val="auto"/>
              </w:rPr>
            </w:pPr>
          </w:p>
        </w:tc>
        <w:tc>
          <w:tcPr>
            <w:tcW w:w="5780" w:type="dxa"/>
            <w:vAlign w:val="bottom"/>
            <w:gridSpan w:val="8"/>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540" w:type="dxa"/>
            <w:vAlign w:val="bottom"/>
            <w:gridSpan w:val="2"/>
          </w:tcPr>
          <w:p>
            <w:pPr>
              <w:spacing w:after="0" w:line="196" w:lineRule="exact"/>
              <w:rPr>
                <w:rFonts w:ascii="Arial" w:cs="Arial" w:eastAsia="Arial" w:hAnsi="Arial"/>
                <w:sz w:val="18"/>
                <w:szCs w:val="18"/>
                <w:color w:val="0000EE"/>
                <w:w w:val="94"/>
              </w:rPr>
            </w:pPr>
            <w:hyperlink w:anchor="page17">
              <w:r>
                <w:rPr>
                  <w:rFonts w:ascii="Arial" w:cs="Arial" w:eastAsia="Arial" w:hAnsi="Arial"/>
                  <w:sz w:val="18"/>
                  <w:szCs w:val="18"/>
                  <w:color w:val="0000EE"/>
                  <w:w w:val="94"/>
                </w:rPr>
                <w:t>Item 6.</w:t>
              </w:r>
            </w:hyperlink>
          </w:p>
        </w:tc>
        <w:tc>
          <w:tcPr>
            <w:tcW w:w="8120" w:type="dxa"/>
            <w:vAlign w:val="bottom"/>
            <w:gridSpan w:val="17"/>
          </w:tcPr>
          <w:p>
            <w:pPr>
              <w:ind w:left="20"/>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Exhibits</w:t>
              </w:r>
            </w:hyperlink>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1160" w:type="dxa"/>
            <w:vAlign w:val="bottom"/>
            <w:tcBorders>
              <w:top w:val="single" w:sz="8" w:color="0000EE"/>
            </w:tcBorders>
            <w:gridSpan w:val="4"/>
          </w:tcPr>
          <w:p>
            <w:pPr>
              <w:spacing w:after="0" w:line="196" w:lineRule="exact"/>
              <w:rPr>
                <w:rFonts w:ascii="Arial" w:cs="Arial" w:eastAsia="Arial" w:hAnsi="Arial"/>
                <w:sz w:val="18"/>
                <w:szCs w:val="18"/>
                <w:b w:val="1"/>
                <w:bCs w:val="1"/>
                <w:color w:val="0000EE"/>
              </w:rPr>
            </w:pPr>
            <w:hyperlink w:anchor="page18">
              <w:r>
                <w:rPr>
                  <w:rFonts w:ascii="Arial" w:cs="Arial" w:eastAsia="Arial" w:hAnsi="Arial"/>
                  <w:sz w:val="18"/>
                  <w:szCs w:val="18"/>
                  <w:b w:val="1"/>
                  <w:bCs w:val="1"/>
                  <w:color w:val="0000EE"/>
                </w:rPr>
                <w:t>Signatures</w:t>
              </w:r>
            </w:hyperlink>
          </w:p>
        </w:tc>
        <w:tc>
          <w:tcPr>
            <w:tcW w:w="7500" w:type="dxa"/>
            <w:vAlign w:val="bottom"/>
            <w:gridSpan w:val="15"/>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EX-31.1</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EX-31.2</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EX-32.1</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INFORMATION</w:t>
      </w:r>
    </w:p>
    <w:p>
      <w:pPr>
        <w:spacing w:after="0" w:line="121" w:lineRule="exact"/>
        <w:rPr>
          <w:sz w:val="20"/>
          <w:szCs w:val="20"/>
          <w:color w:val="auto"/>
        </w:rPr>
      </w:pPr>
    </w:p>
    <w:p>
      <w:pPr>
        <w:ind w:firstLine="222"/>
        <w:spacing w:after="0" w:line="271" w:lineRule="auto"/>
        <w:rPr>
          <w:sz w:val="20"/>
          <w:szCs w:val="20"/>
          <w:color w:val="auto"/>
        </w:rPr>
      </w:pPr>
      <w:r>
        <w:rPr>
          <w:rFonts w:ascii="Arial" w:cs="Arial" w:eastAsia="Arial" w:hAnsi="Arial"/>
          <w:sz w:val="17"/>
          <w:szCs w:val="17"/>
          <w:color w:val="auto"/>
        </w:rPr>
        <w:t xml:space="preserve">This Quarterly Report on Form 10-Q contains forward-looking statements regarding us, our business prospects and our results of operations that are subject to certain risks and uncertainties posed by many factors and events that could cause our actual business, prospects and results of operations to differ materially from those that may be anticipated by such forward-looking statements. Factors that could cause or contribute to such differences include, but are not limited to, those described under the heading </w:t>
      </w:r>
      <w:r>
        <w:rPr>
          <w:rFonts w:ascii="Arial" w:cs="Arial" w:eastAsia="Arial" w:hAnsi="Arial"/>
          <w:sz w:val="17"/>
          <w:szCs w:val="17"/>
          <w:i w:val="1"/>
          <w:iCs w:val="1"/>
          <w:color w:val="auto"/>
        </w:rPr>
        <w:t>“Risk Factors”</w:t>
      </w:r>
      <w:r>
        <w:rPr>
          <w:rFonts w:ascii="Arial" w:cs="Arial" w:eastAsia="Arial" w:hAnsi="Arial"/>
          <w:sz w:val="17"/>
          <w:szCs w:val="17"/>
          <w:color w:val="auto"/>
        </w:rPr>
        <w:t xml:space="preserve"> included in our Annual Report on Form 10-K for the year ended December 31, 2010 as filed with the Securities and Exchange Commission. Readers are cautioned not to place undue reliance on these forward-looking statements, which speak only as of the date of this report. We undertake no obligation to revise any forward-looking statements in order to reflect events or circumstances that may subsequently arise. Readers are urged to carefully review and consider the various disclosures made by us in this report and in our other reports filed with the Commission that advise interested parties of the risks and factors that may affect our business.</w:t>
      </w:r>
    </w:p>
    <w:p>
      <w:pPr>
        <w:spacing w:after="0" w:line="1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58" w:right="2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SPS COMMERCE,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in thousands, except share amounts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8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w w:val="99"/>
              </w:rPr>
              <w:t>March 31,</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2011</w:t>
            </w:r>
          </w:p>
        </w:tc>
        <w:tc>
          <w:tcPr>
            <w:tcW w:w="6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0" w:type="dxa"/>
            <w:vAlign w:val="bottom"/>
            <w:shd w:val="clear" w:color="auto" w:fill="CCEEFF"/>
          </w:tcPr>
          <w:p>
            <w:pPr>
              <w:ind w:left="3920"/>
              <w:spacing w:after="0"/>
              <w:rPr>
                <w:sz w:val="20"/>
                <w:szCs w:val="20"/>
                <w:color w:val="auto"/>
              </w:rPr>
            </w:pPr>
            <w:r>
              <w:rPr>
                <w:rFonts w:ascii="Arial" w:cs="Arial" w:eastAsia="Arial" w:hAnsi="Arial"/>
                <w:sz w:val="18"/>
                <w:szCs w:val="18"/>
                <w:b w:val="1"/>
                <w:bCs w:val="1"/>
                <w:color w:val="auto"/>
              </w:rPr>
              <w:t>ASSETS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6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40,447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40,473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200"/>
              <w:spacing w:after="0"/>
              <w:rPr>
                <w:sz w:val="20"/>
                <w:szCs w:val="20"/>
                <w:color w:val="auto"/>
              </w:rPr>
            </w:pPr>
            <w:r>
              <w:rPr>
                <w:rFonts w:ascii="Arial" w:cs="Arial" w:eastAsia="Arial" w:hAnsi="Arial"/>
                <w:sz w:val="18"/>
                <w:szCs w:val="18"/>
                <w:color w:val="auto"/>
              </w:rPr>
              <w:t>Accounts receivable, less allowance for doubtful accounts of $200 and $209</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6,356</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costs, current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4,887</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1,234</w:t>
            </w:r>
          </w:p>
        </w:tc>
        <w:tc>
          <w:tcPr>
            <w:tcW w:w="6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current assets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52,924</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2,826</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2,760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1,166</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INTANGIBLE ASSETS, net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290</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200"/>
              <w:spacing w:after="0"/>
              <w:rPr>
                <w:sz w:val="20"/>
                <w:szCs w:val="20"/>
                <w:color w:val="auto"/>
              </w:rPr>
            </w:pPr>
            <w:r>
              <w:rPr>
                <w:rFonts w:ascii="Arial" w:cs="Arial" w:eastAsia="Arial" w:hAnsi="Arial"/>
                <w:sz w:val="18"/>
                <w:szCs w:val="18"/>
                <w:color w:val="auto"/>
              </w:rPr>
              <w:t>Deferred costs, net of current portion</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2,031</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non-current assets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80</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59,317</w:t>
            </w:r>
          </w:p>
        </w:tc>
        <w:tc>
          <w:tcPr>
            <w:tcW w:w="6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57,880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2300"/>
              <w:spacing w:after="0"/>
              <w:rPr>
                <w:sz w:val="20"/>
                <w:szCs w:val="20"/>
                <w:color w:val="auto"/>
              </w:rPr>
            </w:pPr>
            <w:r>
              <w:rPr>
                <w:rFonts w:ascii="Arial" w:cs="Arial" w:eastAsia="Arial" w:hAnsi="Arial"/>
                <w:sz w:val="18"/>
                <w:szCs w:val="18"/>
                <w:b w:val="1"/>
                <w:bCs w:val="1"/>
                <w:color w:val="auto"/>
              </w:rPr>
              <w:t>LIABILITIES AND STOCKHOLDERS’ EQUITY</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62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Capital lease obligations, current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1,579</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998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compensation and benefits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3,362</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200"/>
              <w:spacing w:after="0"/>
              <w:rPr>
                <w:sz w:val="20"/>
                <w:szCs w:val="20"/>
                <w:color w:val="auto"/>
              </w:rPr>
            </w:pPr>
            <w:r>
              <w:rPr>
                <w:rFonts w:ascii="Arial" w:cs="Arial" w:eastAsia="Arial" w:hAnsi="Arial"/>
                <w:sz w:val="18"/>
                <w:szCs w:val="18"/>
                <w:color w:val="auto"/>
              </w:rPr>
              <w:t>Accrued expenses and other current liabilities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944</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revenue, current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3,549</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3,585</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600" w:type="dxa"/>
            <w:vAlign w:val="bottom"/>
          </w:tcPr>
          <w:p>
            <w:pPr>
              <w:ind w:left="400"/>
              <w:spacing w:after="0"/>
              <w:rPr>
                <w:sz w:val="20"/>
                <w:szCs w:val="20"/>
                <w:color w:val="auto"/>
              </w:rPr>
            </w:pPr>
            <w:r>
              <w:rPr>
                <w:rFonts w:ascii="Arial" w:cs="Arial" w:eastAsia="Arial" w:hAnsi="Arial"/>
                <w:sz w:val="18"/>
                <w:szCs w:val="18"/>
                <w:color w:val="auto"/>
              </w:rPr>
              <w:t>Total current liabilities</w:t>
            </w:r>
          </w:p>
        </w:tc>
        <w:tc>
          <w:tcPr>
            <w:tcW w:w="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9,434</w:t>
            </w:r>
          </w:p>
        </w:tc>
        <w:tc>
          <w:tcPr>
            <w:tcW w:w="6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200"/>
              <w:spacing w:after="0"/>
              <w:rPr>
                <w:sz w:val="20"/>
                <w:szCs w:val="20"/>
                <w:color w:val="auto"/>
              </w:rPr>
            </w:pPr>
            <w:r>
              <w:rPr>
                <w:rFonts w:ascii="Arial" w:cs="Arial" w:eastAsia="Arial" w:hAnsi="Arial"/>
                <w:sz w:val="18"/>
                <w:szCs w:val="18"/>
                <w:color w:val="auto"/>
              </w:rPr>
              <w:t>Deferred revenue, less current portion</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5,302</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non-current liabilities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244</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Pr>
          <w:p>
            <w:pPr>
              <w:ind w:left="400"/>
              <w:spacing w:after="0"/>
              <w:rPr>
                <w:sz w:val="20"/>
                <w:szCs w:val="20"/>
                <w:color w:val="auto"/>
              </w:rPr>
            </w:pPr>
            <w:r>
              <w:rPr>
                <w:rFonts w:ascii="Arial" w:cs="Arial" w:eastAsia="Arial" w:hAnsi="Arial"/>
                <w:sz w:val="18"/>
                <w:szCs w:val="18"/>
                <w:color w:val="auto"/>
              </w:rPr>
              <w:t>Total liabilities</w:t>
            </w:r>
          </w:p>
        </w:tc>
        <w:tc>
          <w:tcPr>
            <w:tcW w:w="4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14,980</w:t>
            </w:r>
          </w:p>
        </w:tc>
        <w:tc>
          <w:tcPr>
            <w:tcW w:w="6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6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200"/>
              <w:spacing w:after="0"/>
              <w:rPr>
                <w:sz w:val="20"/>
                <w:szCs w:val="20"/>
                <w:color w:val="auto"/>
              </w:rPr>
            </w:pPr>
            <w:r>
              <w:rPr>
                <w:rFonts w:ascii="Arial" w:cs="Arial" w:eastAsia="Arial" w:hAnsi="Arial"/>
                <w:sz w:val="18"/>
                <w:szCs w:val="18"/>
                <w:color w:val="auto"/>
              </w:rPr>
              <w:t>Preferred stock, $0.001 par value; 5,000,000 shares authorized; 0 shares issued and outstanding</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3"/>
              </w:rPr>
              <w:t>Common stock, $0.001 par value; 55,000,000 shares authorized; 11,881,688 and 11,849,572 shares issued and</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outstanding, respectively</w:t>
            </w:r>
          </w:p>
        </w:tc>
        <w:tc>
          <w:tcPr>
            <w:tcW w:w="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200"/>
              <w:spacing w:after="0"/>
              <w:rPr>
                <w:sz w:val="20"/>
                <w:szCs w:val="20"/>
                <w:color w:val="auto"/>
              </w:rPr>
            </w:pPr>
            <w:r>
              <w:rPr>
                <w:rFonts w:ascii="Arial" w:cs="Arial" w:eastAsia="Arial" w:hAnsi="Arial"/>
                <w:sz w:val="18"/>
                <w:szCs w:val="18"/>
                <w:color w:val="auto"/>
              </w:rPr>
              <w:t>Additional paid-in capital</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w w:val="89"/>
              </w:rPr>
              <w:t>106,601</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106,264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deficit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5"/>
              </w:rPr>
              <w:t>(62,276)</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(62,768)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00" w:type="dxa"/>
            <w:vAlign w:val="bottom"/>
          </w:tcPr>
          <w:p>
            <w:pPr>
              <w:ind w:left="400"/>
              <w:spacing w:after="0"/>
              <w:rPr>
                <w:sz w:val="20"/>
                <w:szCs w:val="20"/>
                <w:color w:val="auto"/>
              </w:rPr>
            </w:pPr>
            <w:r>
              <w:rPr>
                <w:rFonts w:ascii="Arial" w:cs="Arial" w:eastAsia="Arial" w:hAnsi="Arial"/>
                <w:sz w:val="18"/>
                <w:szCs w:val="18"/>
                <w:color w:val="auto"/>
              </w:rPr>
              <w:t>Total stockholders’ equity</w:t>
            </w:r>
          </w:p>
        </w:tc>
        <w:tc>
          <w:tcPr>
            <w:tcW w:w="4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44,337</w:t>
            </w:r>
          </w:p>
        </w:tc>
        <w:tc>
          <w:tcPr>
            <w:tcW w:w="6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43,508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59,317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57,880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9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SPS COMMERCE,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in thousands, except per share amounts)</w:t>
      </w:r>
    </w:p>
    <w:p>
      <w:pPr>
        <w:spacing w:after="0" w:line="202" w:lineRule="exact"/>
        <w:rPr>
          <w:sz w:val="20"/>
          <w:szCs w:val="20"/>
          <w:color w:val="auto"/>
        </w:rPr>
      </w:pPr>
    </w:p>
    <w:p>
      <w:pPr>
        <w:jc w:val="center"/>
        <w:ind w:left="9160"/>
        <w:spacing w:after="0"/>
        <w:rPr>
          <w:sz w:val="20"/>
          <w:szCs w:val="20"/>
          <w:color w:val="auto"/>
        </w:rPr>
      </w:pPr>
      <w:r>
        <w:rPr>
          <w:rFonts w:ascii="Arial" w:cs="Arial" w:eastAsia="Arial" w:hAnsi="Arial"/>
          <w:sz w:val="14"/>
          <w:szCs w:val="14"/>
          <w:b w:val="1"/>
          <w:bCs w:val="1"/>
          <w:color w:val="auto"/>
        </w:rPr>
        <w:t>Three Months Ended</w:t>
      </w:r>
    </w:p>
    <w:p>
      <w:pPr>
        <w:jc w:val="center"/>
        <w:ind w:left="916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3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2011</w:t>
            </w:r>
          </w:p>
        </w:tc>
        <w:tc>
          <w:tcPr>
            <w:tcW w:w="3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12,649</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10,243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Cost of revenues</w:t>
            </w:r>
          </w:p>
        </w:tc>
        <w:tc>
          <w:tcPr>
            <w:tcW w:w="1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3,321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2,981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Gross profit</w:t>
            </w:r>
          </w:p>
        </w:tc>
        <w:tc>
          <w:tcPr>
            <w:tcW w:w="1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9,328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7,262</w:t>
            </w:r>
          </w:p>
        </w:tc>
        <w:tc>
          <w:tcPr>
            <w:tcW w:w="0" w:type="dxa"/>
            <w:vAlign w:val="bottom"/>
          </w:tcPr>
          <w:p>
            <w:pPr>
              <w:spacing w:after="0"/>
              <w:rPr>
                <w:sz w:val="1"/>
                <w:szCs w:val="1"/>
                <w:color w:val="auto"/>
              </w:rPr>
            </w:pPr>
          </w:p>
        </w:tc>
      </w:tr>
      <w:tr>
        <w:trPr>
          <w:trHeight w:val="223"/>
        </w:trPr>
        <w:tc>
          <w:tcPr>
            <w:tcW w:w="73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9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Sales and marketing</w:t>
            </w:r>
          </w:p>
        </w:tc>
        <w:tc>
          <w:tcPr>
            <w:tcW w:w="1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5,126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400"/>
              <w:spacing w:after="0"/>
              <w:rPr>
                <w:sz w:val="20"/>
                <w:szCs w:val="20"/>
                <w:color w:val="auto"/>
              </w:rPr>
            </w:pPr>
            <w:r>
              <w:rPr>
                <w:rFonts w:ascii="Arial" w:cs="Arial" w:eastAsia="Arial" w:hAnsi="Arial"/>
                <w:sz w:val="18"/>
                <w:szCs w:val="18"/>
                <w:color w:val="auto"/>
              </w:rPr>
              <w:t>Research and development</w:t>
            </w:r>
          </w:p>
        </w:tc>
        <w:tc>
          <w:tcPr>
            <w:tcW w:w="1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1,240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1,043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General and administrative</w:t>
            </w:r>
          </w:p>
        </w:tc>
        <w:tc>
          <w:tcPr>
            <w:tcW w:w="1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2,455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40" w:type="dxa"/>
            <w:vAlign w:val="bottom"/>
          </w:tcPr>
          <w:p>
            <w:pPr>
              <w:ind w:left="800"/>
              <w:spacing w:after="0"/>
              <w:rPr>
                <w:sz w:val="20"/>
                <w:szCs w:val="20"/>
                <w:color w:val="auto"/>
              </w:rPr>
            </w:pPr>
            <w:r>
              <w:rPr>
                <w:rFonts w:ascii="Arial" w:cs="Arial" w:eastAsia="Arial" w:hAnsi="Arial"/>
                <w:sz w:val="18"/>
                <w:szCs w:val="18"/>
                <w:color w:val="auto"/>
              </w:rPr>
              <w:t>Total operating expenses</w:t>
            </w:r>
          </w:p>
        </w:tc>
        <w:tc>
          <w:tcPr>
            <w:tcW w:w="19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8,821</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507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Other income (expense)</w:t>
            </w:r>
          </w:p>
        </w:tc>
        <w:tc>
          <w:tcPr>
            <w:tcW w:w="1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Interest expense</w:t>
            </w:r>
          </w:p>
        </w:tc>
        <w:tc>
          <w:tcPr>
            <w:tcW w:w="1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400"/>
              <w:spacing w:after="0"/>
              <w:rPr>
                <w:sz w:val="20"/>
                <w:szCs w:val="20"/>
                <w:color w:val="auto"/>
              </w:rPr>
            </w:pPr>
            <w:r>
              <w:rPr>
                <w:rFonts w:ascii="Arial" w:cs="Arial" w:eastAsia="Arial" w:hAnsi="Arial"/>
                <w:sz w:val="18"/>
                <w:szCs w:val="18"/>
                <w:color w:val="auto"/>
              </w:rPr>
              <w:t>Interest income</w:t>
            </w:r>
          </w:p>
        </w:tc>
        <w:tc>
          <w:tcPr>
            <w:tcW w:w="1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32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expense</w:t>
            </w:r>
          </w:p>
        </w:tc>
        <w:tc>
          <w:tcPr>
            <w:tcW w:w="1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40" w:type="dxa"/>
            <w:vAlign w:val="bottom"/>
          </w:tcPr>
          <w:p>
            <w:pPr>
              <w:ind w:left="800"/>
              <w:spacing w:after="0"/>
              <w:rPr>
                <w:sz w:val="20"/>
                <w:szCs w:val="20"/>
                <w:color w:val="auto"/>
              </w:rPr>
            </w:pPr>
            <w:r>
              <w:rPr>
                <w:rFonts w:ascii="Arial" w:cs="Arial" w:eastAsia="Arial" w:hAnsi="Arial"/>
                <w:sz w:val="18"/>
                <w:szCs w:val="18"/>
                <w:color w:val="auto"/>
              </w:rPr>
              <w:t>Total other income (expense), net</w:t>
            </w:r>
          </w:p>
        </w:tc>
        <w:tc>
          <w:tcPr>
            <w:tcW w:w="19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521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400"/>
              <w:spacing w:after="0"/>
              <w:rPr>
                <w:sz w:val="20"/>
                <w:szCs w:val="20"/>
                <w:color w:val="auto"/>
              </w:rPr>
            </w:pPr>
            <w:r>
              <w:rPr>
                <w:rFonts w:ascii="Arial" w:cs="Arial" w:eastAsia="Arial" w:hAnsi="Arial"/>
                <w:sz w:val="18"/>
                <w:szCs w:val="18"/>
                <w:color w:val="auto"/>
              </w:rPr>
              <w:t>Income tax expense</w:t>
            </w:r>
          </w:p>
        </w:tc>
        <w:tc>
          <w:tcPr>
            <w:tcW w:w="1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(29)</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492</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vMerge w:val="restart"/>
          </w:tcPr>
          <w:p>
            <w:pPr>
              <w:ind w:left="200"/>
              <w:spacing w:after="0"/>
              <w:rPr>
                <w:sz w:val="20"/>
                <w:szCs w:val="20"/>
                <w:color w:val="auto"/>
              </w:rPr>
            </w:pPr>
            <w:r>
              <w:rPr>
                <w:rFonts w:ascii="Arial" w:cs="Arial" w:eastAsia="Arial" w:hAnsi="Arial"/>
                <w:sz w:val="18"/>
                <w:szCs w:val="18"/>
                <w:color w:val="auto"/>
              </w:rPr>
              <w:t>Net income per share</w:t>
            </w:r>
          </w:p>
        </w:tc>
        <w:tc>
          <w:tcPr>
            <w:tcW w:w="19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7340" w:type="dxa"/>
            <w:vAlign w:val="bottom"/>
            <w:vMerge w:val="continue"/>
          </w:tcPr>
          <w:p>
            <w:pPr>
              <w:spacing w:after="0"/>
              <w:rPr>
                <w:sz w:val="24"/>
                <w:szCs w:val="24"/>
                <w:color w:val="auto"/>
              </w:rPr>
            </w:pPr>
          </w:p>
        </w:tc>
        <w:tc>
          <w:tcPr>
            <w:tcW w:w="1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Basic</w:t>
            </w:r>
          </w:p>
        </w:tc>
        <w:tc>
          <w:tcPr>
            <w:tcW w:w="2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0.04</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40" w:type="dxa"/>
            <w:vAlign w:val="bottom"/>
          </w:tcPr>
          <w:p>
            <w:pPr>
              <w:ind w:left="600"/>
              <w:spacing w:after="0"/>
              <w:rPr>
                <w:sz w:val="20"/>
                <w:szCs w:val="20"/>
                <w:color w:val="auto"/>
              </w:rPr>
            </w:pPr>
            <w:r>
              <w:rPr>
                <w:rFonts w:ascii="Arial" w:cs="Arial" w:eastAsia="Arial" w:hAnsi="Arial"/>
                <w:sz w:val="18"/>
                <w:szCs w:val="18"/>
                <w:color w:val="auto"/>
              </w:rPr>
              <w:t>Diluted</w:t>
            </w:r>
          </w:p>
        </w:tc>
        <w:tc>
          <w:tcPr>
            <w:tcW w:w="20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0.04</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Weighted average common shares used to compute net income per share</w:t>
            </w:r>
          </w:p>
        </w:tc>
        <w:tc>
          <w:tcPr>
            <w:tcW w:w="1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600"/>
              <w:spacing w:after="0"/>
              <w:rPr>
                <w:sz w:val="20"/>
                <w:szCs w:val="20"/>
                <w:color w:val="auto"/>
              </w:rPr>
            </w:pPr>
            <w:r>
              <w:rPr>
                <w:rFonts w:ascii="Arial" w:cs="Arial" w:eastAsia="Arial" w:hAnsi="Arial"/>
                <w:sz w:val="18"/>
                <w:szCs w:val="18"/>
                <w:color w:val="auto"/>
              </w:rPr>
              <w:t>Basic</w:t>
            </w:r>
          </w:p>
        </w:tc>
        <w:tc>
          <w:tcPr>
            <w:tcW w:w="1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w w:val="94"/>
              </w:rPr>
              <w:t>11,864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Diluted</w:t>
            </w:r>
          </w:p>
        </w:tc>
        <w:tc>
          <w:tcPr>
            <w:tcW w:w="1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12,698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9,525</w:t>
            </w: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9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SPS COMMERCE,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in thousands)</w:t>
      </w:r>
    </w:p>
    <w:p>
      <w:pPr>
        <w:spacing w:after="0" w:line="202" w:lineRule="exact"/>
        <w:rPr>
          <w:sz w:val="20"/>
          <w:szCs w:val="20"/>
          <w:color w:val="auto"/>
        </w:rPr>
      </w:pPr>
    </w:p>
    <w:p>
      <w:pPr>
        <w:jc w:val="center"/>
        <w:ind w:left="9160"/>
        <w:spacing w:after="0"/>
        <w:rPr>
          <w:sz w:val="20"/>
          <w:szCs w:val="20"/>
          <w:color w:val="auto"/>
        </w:rPr>
      </w:pPr>
      <w:r>
        <w:rPr>
          <w:rFonts w:ascii="Arial" w:cs="Arial" w:eastAsia="Arial" w:hAnsi="Arial"/>
          <w:sz w:val="14"/>
          <w:szCs w:val="14"/>
          <w:b w:val="1"/>
          <w:bCs w:val="1"/>
          <w:color w:val="auto"/>
        </w:rPr>
        <w:t>Three Months Ended</w:t>
      </w:r>
    </w:p>
    <w:p>
      <w:pPr>
        <w:jc w:val="center"/>
        <w:ind w:left="916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9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492</w:t>
            </w:r>
          </w:p>
        </w:tc>
        <w:tc>
          <w:tcPr>
            <w:tcW w:w="34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919</w:t>
            </w: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00"/>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422</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340</w:t>
            </w: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Provision for doubtful accounts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w:t>
            </w:r>
          </w:p>
        </w:tc>
      </w:tr>
      <w:tr>
        <w:trPr>
          <w:trHeight w:val="216"/>
        </w:trPr>
        <w:tc>
          <w:tcPr>
            <w:tcW w:w="20" w:type="dxa"/>
            <w:vAlign w:val="bottom"/>
          </w:tcPr>
          <w:p>
            <w:pPr>
              <w:spacing w:after="0"/>
              <w:rPr>
                <w:sz w:val="18"/>
                <w:szCs w:val="18"/>
                <w:color w:val="auto"/>
              </w:rPr>
            </w:pPr>
          </w:p>
        </w:tc>
        <w:tc>
          <w:tcPr>
            <w:tcW w:w="9260" w:type="dxa"/>
            <w:vAlign w:val="bottom"/>
          </w:tcPr>
          <w:p>
            <w:pPr>
              <w:ind w:left="400"/>
              <w:spacing w:after="0"/>
              <w:rPr>
                <w:sz w:val="20"/>
                <w:szCs w:val="20"/>
                <w:color w:val="auto"/>
              </w:rPr>
            </w:pPr>
            <w:r>
              <w:rPr>
                <w:rFonts w:ascii="Arial" w:cs="Arial" w:eastAsia="Arial" w:hAnsi="Arial"/>
                <w:sz w:val="18"/>
                <w:szCs w:val="18"/>
                <w:color w:val="auto"/>
              </w:rPr>
              <w:t>Stock-based compensation</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312</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51</w:t>
            </w: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Change in carrying value of preferred stock warrants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r>
      <w:tr>
        <w:trPr>
          <w:trHeight w:val="216"/>
        </w:trPr>
        <w:tc>
          <w:tcPr>
            <w:tcW w:w="20" w:type="dxa"/>
            <w:vAlign w:val="bottom"/>
          </w:tcPr>
          <w:p>
            <w:pPr>
              <w:spacing w:after="0"/>
              <w:rPr>
                <w:sz w:val="18"/>
                <w:szCs w:val="18"/>
                <w:color w:val="auto"/>
              </w:rPr>
            </w:pPr>
          </w:p>
        </w:tc>
        <w:tc>
          <w:tcPr>
            <w:tcW w:w="9260" w:type="dxa"/>
            <w:vAlign w:val="bottom"/>
          </w:tcPr>
          <w:p>
            <w:pPr>
              <w:ind w:left="40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Changes in assets and liabilities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600"/>
              <w:spacing w:after="0"/>
              <w:rPr>
                <w:sz w:val="20"/>
                <w:szCs w:val="20"/>
                <w:color w:val="auto"/>
              </w:rPr>
            </w:pPr>
            <w:r>
              <w:rPr>
                <w:rFonts w:ascii="Arial" w:cs="Arial" w:eastAsia="Arial" w:hAnsi="Arial"/>
                <w:sz w:val="18"/>
                <w:szCs w:val="18"/>
                <w:color w:val="auto"/>
              </w:rPr>
              <w:t>Accounts receivable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300"/>
              <w:spacing w:after="0"/>
              <w:rPr>
                <w:sz w:val="20"/>
                <w:szCs w:val="20"/>
                <w:color w:val="auto"/>
              </w:rPr>
            </w:pPr>
            <w:r>
              <w:rPr>
                <w:rFonts w:ascii="Arial" w:cs="Arial" w:eastAsia="Arial" w:hAnsi="Arial"/>
                <w:sz w:val="18"/>
                <w:szCs w:val="18"/>
                <w:color w:val="auto"/>
              </w:rPr>
              <w:t>(837)</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(460)</w:t>
            </w: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(360)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(573)</w:t>
            </w:r>
          </w:p>
        </w:tc>
      </w:tr>
      <w:tr>
        <w:trPr>
          <w:trHeight w:val="216"/>
        </w:trPr>
        <w:tc>
          <w:tcPr>
            <w:tcW w:w="20" w:type="dxa"/>
            <w:vAlign w:val="bottom"/>
          </w:tcPr>
          <w:p>
            <w:pPr>
              <w:spacing w:after="0"/>
              <w:rPr>
                <w:sz w:val="18"/>
                <w:szCs w:val="18"/>
                <w:color w:val="auto"/>
              </w:rPr>
            </w:pPr>
          </w:p>
        </w:tc>
        <w:tc>
          <w:tcPr>
            <w:tcW w:w="9260" w:type="dxa"/>
            <w:vAlign w:val="bottom"/>
          </w:tcPr>
          <w:p>
            <w:pPr>
              <w:ind w:left="600"/>
              <w:spacing w:after="0"/>
              <w:rPr>
                <w:sz w:val="20"/>
                <w:szCs w:val="20"/>
                <w:color w:val="auto"/>
              </w:rPr>
            </w:pPr>
            <w:r>
              <w:rPr>
                <w:rFonts w:ascii="Arial" w:cs="Arial" w:eastAsia="Arial" w:hAnsi="Arial"/>
                <w:sz w:val="18"/>
                <w:szCs w:val="18"/>
                <w:color w:val="auto"/>
              </w:rPr>
              <w:t>Deferred costs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300"/>
              <w:spacing w:after="0"/>
              <w:rPr>
                <w:sz w:val="20"/>
                <w:szCs w:val="20"/>
                <w:color w:val="auto"/>
              </w:rPr>
            </w:pPr>
            <w:r>
              <w:rPr>
                <w:rFonts w:ascii="Arial" w:cs="Arial" w:eastAsia="Arial" w:hAnsi="Arial"/>
                <w:sz w:val="18"/>
                <w:szCs w:val="18"/>
                <w:color w:val="auto"/>
              </w:rPr>
              <w:t>(255)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(235)</w:t>
            </w: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Accounts payable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581</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(137)</w:t>
            </w:r>
          </w:p>
        </w:tc>
      </w:tr>
      <w:tr>
        <w:trPr>
          <w:trHeight w:val="216"/>
        </w:trPr>
        <w:tc>
          <w:tcPr>
            <w:tcW w:w="20" w:type="dxa"/>
            <w:vAlign w:val="bottom"/>
          </w:tcPr>
          <w:p>
            <w:pPr>
              <w:spacing w:after="0"/>
              <w:rPr>
                <w:sz w:val="18"/>
                <w:szCs w:val="18"/>
                <w:color w:val="auto"/>
              </w:rPr>
            </w:pPr>
          </w:p>
        </w:tc>
        <w:tc>
          <w:tcPr>
            <w:tcW w:w="9260" w:type="dxa"/>
            <w:vAlign w:val="bottom"/>
          </w:tcPr>
          <w:p>
            <w:pPr>
              <w:ind w:left="600"/>
              <w:spacing w:after="0"/>
              <w:rPr>
                <w:sz w:val="20"/>
                <w:szCs w:val="20"/>
                <w:color w:val="auto"/>
              </w:rPr>
            </w:pPr>
            <w:r>
              <w:rPr>
                <w:rFonts w:ascii="Arial" w:cs="Arial" w:eastAsia="Arial" w:hAnsi="Arial"/>
                <w:sz w:val="18"/>
                <w:szCs w:val="18"/>
                <w:color w:val="auto"/>
              </w:rPr>
              <w:t>Deferred revenue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264</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319</w:t>
            </w: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Accrued compensation and benefits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(215)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(338)</w:t>
            </w:r>
          </w:p>
        </w:tc>
      </w:tr>
      <w:tr>
        <w:trPr>
          <w:trHeight w:val="223"/>
        </w:trPr>
        <w:tc>
          <w:tcPr>
            <w:tcW w:w="20" w:type="dxa"/>
            <w:vAlign w:val="bottom"/>
          </w:tcPr>
          <w:p>
            <w:pPr>
              <w:spacing w:after="0"/>
              <w:rPr>
                <w:sz w:val="19"/>
                <w:szCs w:val="19"/>
                <w:color w:val="auto"/>
              </w:rPr>
            </w:pPr>
          </w:p>
        </w:tc>
        <w:tc>
          <w:tcPr>
            <w:tcW w:w="9260" w:type="dxa"/>
            <w:vAlign w:val="bottom"/>
          </w:tcPr>
          <w:p>
            <w:pPr>
              <w:ind w:left="600"/>
              <w:spacing w:after="0"/>
              <w:rPr>
                <w:sz w:val="20"/>
                <w:szCs w:val="20"/>
                <w:color w:val="auto"/>
              </w:rPr>
            </w:pPr>
            <w:r>
              <w:rPr>
                <w:rFonts w:ascii="Arial" w:cs="Arial" w:eastAsia="Arial" w:hAnsi="Arial"/>
                <w:sz w:val="18"/>
                <w:szCs w:val="18"/>
                <w:color w:val="auto"/>
              </w:rPr>
              <w:t>Accrued expenses and other current liabilities</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Net cash provided by operating activities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560</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w:t>
            </w:r>
          </w:p>
        </w:tc>
      </w:tr>
      <w:tr>
        <w:trPr>
          <w:trHeight w:val="223"/>
        </w:trPr>
        <w:tc>
          <w:tcPr>
            <w:tcW w:w="928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Purchases of property and equipment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(488)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(130)</w:t>
            </w:r>
          </w:p>
        </w:tc>
      </w:tr>
      <w:tr>
        <w:trPr>
          <w:trHeight w:val="230"/>
        </w:trPr>
        <w:tc>
          <w:tcPr>
            <w:tcW w:w="20" w:type="dxa"/>
            <w:vAlign w:val="bottom"/>
          </w:tcPr>
          <w:p>
            <w:pPr>
              <w:spacing w:after="0"/>
              <w:rPr>
                <w:sz w:val="20"/>
                <w:szCs w:val="20"/>
                <w:color w:val="auto"/>
              </w:rPr>
            </w:pPr>
          </w:p>
        </w:tc>
        <w:tc>
          <w:tcPr>
            <w:tcW w:w="9260" w:type="dxa"/>
            <w:vAlign w:val="bottom"/>
          </w:tcPr>
          <w:p>
            <w:pPr>
              <w:ind w:left="400"/>
              <w:spacing w:after="0"/>
              <w:rPr>
                <w:sz w:val="20"/>
                <w:szCs w:val="20"/>
                <w:color w:val="auto"/>
              </w:rPr>
            </w:pPr>
            <w:r>
              <w:rPr>
                <w:rFonts w:ascii="Arial" w:cs="Arial" w:eastAsia="Arial" w:hAnsi="Arial"/>
                <w:sz w:val="18"/>
                <w:szCs w:val="18"/>
                <w:color w:val="auto"/>
              </w:rPr>
              <w:t>Net cash used in investing activities</w:t>
            </w:r>
          </w:p>
        </w:tc>
        <w:tc>
          <w:tcPr>
            <w:tcW w:w="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(488)</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Borrowings on line of credit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4,450</w:t>
            </w: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Payments on line of credit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(4,350)</w:t>
            </w: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Payments on equipment loans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(138)</w:t>
            </w: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Payments of capital lease obligations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(122)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w:t>
            </w:r>
          </w:p>
        </w:tc>
      </w:tr>
      <w:tr>
        <w:trPr>
          <w:trHeight w:val="223"/>
        </w:trPr>
        <w:tc>
          <w:tcPr>
            <w:tcW w:w="20" w:type="dxa"/>
            <w:vAlign w:val="bottom"/>
          </w:tcPr>
          <w:p>
            <w:pPr>
              <w:spacing w:after="0"/>
              <w:rPr>
                <w:sz w:val="19"/>
                <w:szCs w:val="19"/>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Net proceeds from exercise of options to purchase common stock</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cash used in financing activities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(98)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w:t>
            </w:r>
          </w:p>
        </w:tc>
      </w:tr>
      <w:tr>
        <w:trPr>
          <w:trHeight w:val="223"/>
        </w:trPr>
        <w:tc>
          <w:tcPr>
            <w:tcW w:w="9280" w:type="dxa"/>
            <w:vAlign w:val="bottom"/>
            <w:gridSpan w:val="2"/>
          </w:tcPr>
          <w:p>
            <w:pPr>
              <w:spacing w:after="0"/>
              <w:rPr>
                <w:sz w:val="20"/>
                <w:szCs w:val="20"/>
                <w:color w:val="auto"/>
              </w:rPr>
            </w:pPr>
            <w:r>
              <w:rPr>
                <w:rFonts w:ascii="Arial" w:cs="Arial" w:eastAsia="Arial" w:hAnsi="Arial"/>
                <w:sz w:val="18"/>
                <w:szCs w:val="18"/>
                <w:color w:val="auto"/>
              </w:rPr>
              <w:t>Net increase (decrease) in cash and cash equivalents</w:t>
            </w: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40,473</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5,931</w:t>
            </w:r>
          </w:p>
        </w:tc>
      </w:tr>
      <w:tr>
        <w:trPr>
          <w:trHeight w:val="223"/>
        </w:trPr>
        <w:tc>
          <w:tcPr>
            <w:tcW w:w="928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40,447</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5,996</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9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SPS COMMERCE,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 General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Description</w:t>
      </w:r>
    </w:p>
    <w:p>
      <w:pPr>
        <w:spacing w:after="0" w:line="117" w:lineRule="exact"/>
        <w:rPr>
          <w:sz w:val="20"/>
          <w:szCs w:val="20"/>
          <w:color w:val="auto"/>
        </w:rPr>
      </w:pPr>
    </w:p>
    <w:p>
      <w:pPr>
        <w:ind w:firstLine="222"/>
        <w:spacing w:after="0" w:line="302" w:lineRule="auto"/>
        <w:rPr>
          <w:sz w:val="20"/>
          <w:szCs w:val="20"/>
          <w:color w:val="auto"/>
        </w:rPr>
      </w:pPr>
      <w:r>
        <w:rPr>
          <w:rFonts w:ascii="Arial" w:cs="Arial" w:eastAsia="Arial" w:hAnsi="Arial"/>
          <w:sz w:val="16"/>
          <w:szCs w:val="16"/>
          <w:color w:val="auto"/>
        </w:rPr>
        <w:t>We are a leading provider of on-demand supply chain management solutions, providing integration, collaboration, connectivity, visibility and data analytics to thousands of customers worldwide. We provide our solutions through SPSCommerce.net, a hosted software suite that improves the way suppliers, retailers, distributors and other customers manage and fulfill orders. We deliver our solutions to our customers over the Internet using a Software-as-a-Service model and derive the majority of our revenues from thousands of monthly recurring subscriptions from businesses that utilize our solutions.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ind w:firstLine="222"/>
        <w:spacing w:after="0" w:line="254"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accounting principles generally accepted in the United States of America (“GAAP”) for interim financial information and with the instructions to Form 10-Q and Rule 10-01 of Regulation S-X. Accordingly, these condensed consolidated financial statements do not include all of the information and footnotes required by GAAP. We have included all normal recurring adjustments considered necessary to give a fair statement of our financial position, results of operations and cash flows for the interim periods shown. Operating results for these interim periods are not necessarily indicative of the results to be expected for the full year. The December 31, 2010 balance sheet data was derived from our audited financial statements at that date. For further information, refer to the consolidated financial statements and accompanying notes for the year ended December 31, 2010 included in our Annual Report on Form 10-K as filed with the Securities and Exchange Commission on March 3, 2011.</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ind w:right="360" w:firstLine="225"/>
        <w:spacing w:after="0" w:line="264" w:lineRule="auto"/>
        <w:rPr>
          <w:sz w:val="20"/>
          <w:szCs w:val="20"/>
          <w:color w:val="auto"/>
        </w:rPr>
      </w:pPr>
      <w:r>
        <w:rPr>
          <w:rFonts w:ascii="Arial" w:cs="Arial" w:eastAsia="Arial" w:hAnsi="Arial"/>
          <w:sz w:val="18"/>
          <w:szCs w:val="18"/>
          <w:color w:val="auto"/>
        </w:rPr>
        <w:t>Preparing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periods. Actual results could differ from those estimates.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Accounting Policies</w:t>
      </w:r>
    </w:p>
    <w:p>
      <w:pPr>
        <w:spacing w:after="0" w:line="117" w:lineRule="exact"/>
        <w:rPr>
          <w:sz w:val="20"/>
          <w:szCs w:val="20"/>
          <w:color w:val="auto"/>
        </w:rPr>
      </w:pPr>
    </w:p>
    <w:p>
      <w:pPr>
        <w:ind w:right="360" w:firstLine="225"/>
        <w:spacing w:after="0" w:line="264" w:lineRule="auto"/>
        <w:rPr>
          <w:sz w:val="20"/>
          <w:szCs w:val="20"/>
          <w:color w:val="auto"/>
        </w:rPr>
      </w:pPr>
      <w:r>
        <w:rPr>
          <w:rFonts w:ascii="Arial" w:cs="Arial" w:eastAsia="Arial" w:hAnsi="Arial"/>
          <w:sz w:val="18"/>
          <w:szCs w:val="18"/>
          <w:color w:val="auto"/>
        </w:rPr>
        <w:t>During the three months ended March 31, 2011, there were no material changes in our significant accounting policies. See Note A to our consolidated financial statements included in our Annual Report on Form 10-K for the year ended December 31, 2010 as filed with the Securities and Exchange Commission on March 3, 2011 for additional information regarding our significant accounting policies.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117" w:lineRule="exact"/>
        <w:rPr>
          <w:sz w:val="20"/>
          <w:szCs w:val="20"/>
          <w:color w:val="auto"/>
        </w:rPr>
      </w:pPr>
    </w:p>
    <w:p>
      <w:pPr>
        <w:ind w:right="20" w:firstLine="225"/>
        <w:spacing w:after="0" w:line="273" w:lineRule="auto"/>
        <w:rPr>
          <w:sz w:val="20"/>
          <w:szCs w:val="20"/>
          <w:color w:val="auto"/>
        </w:rPr>
      </w:pPr>
      <w:r>
        <w:rPr>
          <w:rFonts w:ascii="Arial" w:cs="Arial" w:eastAsia="Arial" w:hAnsi="Arial"/>
          <w:sz w:val="17"/>
          <w:szCs w:val="17"/>
          <w:color w:val="auto"/>
        </w:rPr>
        <w:t xml:space="preserve">In October 2009, the Financial Accounting Standards Board (“FASB”) issued Accounting Standards Update (“ASU”) No. 2009-13, Revenue Recognition (ASC Topic 605), </w:t>
      </w:r>
      <w:r>
        <w:rPr>
          <w:rFonts w:ascii="Arial" w:cs="Arial" w:eastAsia="Arial" w:hAnsi="Arial"/>
          <w:sz w:val="17"/>
          <w:szCs w:val="17"/>
          <w:i w:val="1"/>
          <w:iCs w:val="1"/>
          <w:color w:val="auto"/>
        </w:rPr>
        <w:t>Multiple-Deliverable Revenue Arrangements, a consensus of the FASB Emerging Issues Task Force.</w:t>
      </w:r>
      <w:r>
        <w:rPr>
          <w:rFonts w:ascii="Arial" w:cs="Arial" w:eastAsia="Arial" w:hAnsi="Arial"/>
          <w:sz w:val="17"/>
          <w:szCs w:val="17"/>
          <w:color w:val="auto"/>
        </w:rPr>
        <w:t xml:space="preserve"> This guidance modifies the fair value requirements of ASC subtopic 605-25, </w:t>
      </w:r>
      <w:r>
        <w:rPr>
          <w:rFonts w:ascii="Arial" w:cs="Arial" w:eastAsia="Arial" w:hAnsi="Arial"/>
          <w:sz w:val="17"/>
          <w:szCs w:val="17"/>
          <w:i w:val="1"/>
          <w:iCs w:val="1"/>
          <w:color w:val="auto"/>
        </w:rPr>
        <w:t>Revenue Recognition-Multiple Element Arrangements,</w:t>
      </w:r>
      <w:r>
        <w:rPr>
          <w:rFonts w:ascii="Arial" w:cs="Arial" w:eastAsia="Arial" w:hAnsi="Arial"/>
          <w:sz w:val="17"/>
          <w:szCs w:val="17"/>
          <w:color w:val="auto"/>
        </w:rPr>
        <w:t xml:space="preserve"> by allowing the use of the “best estimate of selling price” in addition to Vendor Specific Objective Evidence and third-party evidence (or TPE) for determining the selling price of a deliverable. A vendor is now required to use its best estimate of the selling price when Vendor Specific Objective Evidence or TPE of the selling price cannot be determined. In addition, the residual method of allocating arrangement consideration is no longer permitted.</w:t>
      </w:r>
    </w:p>
    <w:p>
      <w:pPr>
        <w:spacing w:after="0" w:line="70" w:lineRule="exact"/>
        <w:rPr>
          <w:sz w:val="20"/>
          <w:szCs w:val="20"/>
          <w:color w:val="auto"/>
        </w:rPr>
      </w:pPr>
    </w:p>
    <w:p>
      <w:pPr>
        <w:ind w:right="180" w:firstLine="225"/>
        <w:spacing w:after="0" w:line="286" w:lineRule="auto"/>
        <w:rPr>
          <w:sz w:val="20"/>
          <w:szCs w:val="20"/>
          <w:color w:val="auto"/>
        </w:rPr>
      </w:pPr>
      <w:r>
        <w:rPr>
          <w:rFonts w:ascii="Arial" w:cs="Arial" w:eastAsia="Arial" w:hAnsi="Arial"/>
          <w:sz w:val="17"/>
          <w:szCs w:val="17"/>
          <w:color w:val="auto"/>
        </w:rPr>
        <w:t xml:space="preserve">In October 2009, the FASB issued ASU No. 2009-14, Software (ASC Topic 985), </w:t>
      </w:r>
      <w:r>
        <w:rPr>
          <w:rFonts w:ascii="Arial" w:cs="Arial" w:eastAsia="Arial" w:hAnsi="Arial"/>
          <w:sz w:val="17"/>
          <w:szCs w:val="17"/>
          <w:i w:val="1"/>
          <w:iCs w:val="1"/>
          <w:color w:val="auto"/>
        </w:rPr>
        <w:t>Certain Revenue Arrangements That Include Software Elements, a</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consensus of the FASB Emerging Issues Task Force. </w:t>
      </w:r>
      <w:r>
        <w:rPr>
          <w:rFonts w:ascii="Arial" w:cs="Arial" w:eastAsia="Arial" w:hAnsi="Arial"/>
          <w:sz w:val="17"/>
          <w:szCs w:val="17"/>
          <w:color w:val="auto"/>
        </w:rPr>
        <w:t>This guidance modifies the scope of ASC subtopic 965-605,</w:t>
      </w:r>
      <w:r>
        <w:rPr>
          <w:rFonts w:ascii="Arial" w:cs="Arial" w:eastAsia="Arial" w:hAnsi="Arial"/>
          <w:sz w:val="17"/>
          <w:szCs w:val="17"/>
          <w:i w:val="1"/>
          <w:iCs w:val="1"/>
          <w:color w:val="auto"/>
        </w:rPr>
        <w:t xml:space="preserve"> Software-Revenue Recognition, </w:t>
      </w:r>
      <w:r>
        <w:rPr>
          <w:rFonts w:ascii="Arial" w:cs="Arial" w:eastAsia="Arial" w:hAnsi="Arial"/>
          <w:sz w:val="17"/>
          <w:szCs w:val="17"/>
          <w:color w:val="auto"/>
        </w:rPr>
        <w:t>to exclude</w:t>
      </w:r>
      <w:r>
        <w:rPr>
          <w:rFonts w:ascii="Arial" w:cs="Arial" w:eastAsia="Arial" w:hAnsi="Arial"/>
          <w:sz w:val="17"/>
          <w:szCs w:val="17"/>
          <w:i w:val="1"/>
          <w:iCs w:val="1"/>
          <w:color w:val="auto"/>
        </w:rPr>
        <w:t xml:space="preserve"> </w:t>
      </w:r>
      <w:r>
        <w:rPr>
          <w:rFonts w:ascii="Arial" w:cs="Arial" w:eastAsia="Arial" w:hAnsi="Arial"/>
          <w:sz w:val="17"/>
          <w:szCs w:val="17"/>
          <w:color w:val="auto"/>
        </w:rPr>
        <w:t>from its requirements (a) non-software components of tangible products and (b) software components of tangible products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that are sold, licensed or leased with tangible products when the software components and non-software components of the tangible product function together to deliver the tangible product’s essential functionality.</w:t>
      </w:r>
    </w:p>
    <w:p>
      <w:pPr>
        <w:spacing w:after="0" w:line="62" w:lineRule="exact"/>
        <w:rPr>
          <w:sz w:val="20"/>
          <w:szCs w:val="20"/>
          <w:color w:val="auto"/>
        </w:rPr>
      </w:pPr>
    </w:p>
    <w:p>
      <w:pPr>
        <w:ind w:right="180" w:firstLine="215"/>
        <w:spacing w:after="0" w:line="277" w:lineRule="auto"/>
        <w:rPr>
          <w:sz w:val="20"/>
          <w:szCs w:val="20"/>
          <w:color w:val="auto"/>
        </w:rPr>
      </w:pPr>
      <w:r>
        <w:rPr>
          <w:rFonts w:ascii="Arial" w:cs="Arial" w:eastAsia="Arial" w:hAnsi="Arial"/>
          <w:sz w:val="18"/>
          <w:szCs w:val="18"/>
          <w:color w:val="auto"/>
        </w:rPr>
        <w:t>ASU No. 2009-13 and ASU No. 2009-14 both require expanded qualitative and quantitative disclosures and are effective for fiscal years beginning on or after June 15, 2010. We have adopted these updates and they did not have a material impact on our financial statements.</w:t>
      </w:r>
    </w:p>
    <w:p>
      <w:pPr>
        <w:spacing w:after="0" w:line="62" w:lineRule="exact"/>
        <w:rPr>
          <w:sz w:val="20"/>
          <w:szCs w:val="20"/>
          <w:color w:val="auto"/>
        </w:rPr>
      </w:pPr>
    </w:p>
    <w:p>
      <w:pPr>
        <w:ind w:right="400" w:firstLine="225"/>
        <w:spacing w:after="0" w:line="276" w:lineRule="auto"/>
        <w:rPr>
          <w:sz w:val="20"/>
          <w:szCs w:val="20"/>
          <w:color w:val="auto"/>
        </w:rPr>
      </w:pPr>
      <w:r>
        <w:rPr>
          <w:rFonts w:ascii="Arial" w:cs="Arial" w:eastAsia="Arial" w:hAnsi="Arial"/>
          <w:sz w:val="17"/>
          <w:szCs w:val="17"/>
          <w:color w:val="auto"/>
        </w:rPr>
        <w:t xml:space="preserve">In January 2010, the FASB issued ASU No. 2010-06, Fair Value Measurements and Disclosures (ASC Topic 820), </w:t>
      </w:r>
      <w:r>
        <w:rPr>
          <w:rFonts w:ascii="Arial" w:cs="Arial" w:eastAsia="Arial" w:hAnsi="Arial"/>
          <w:sz w:val="17"/>
          <w:szCs w:val="17"/>
          <w:i w:val="1"/>
          <w:iCs w:val="1"/>
          <w:color w:val="auto"/>
        </w:rPr>
        <w:t>Improving Disclosures about Fair</w:t>
      </w:r>
      <w:r>
        <w:rPr>
          <w:rFonts w:ascii="Arial" w:cs="Arial" w:eastAsia="Arial" w:hAnsi="Arial"/>
          <w:sz w:val="17"/>
          <w:szCs w:val="17"/>
          <w:color w:val="auto"/>
        </w:rPr>
        <w:t xml:space="preserve"> </w:t>
      </w:r>
      <w:r>
        <w:rPr>
          <w:rFonts w:ascii="Arial" w:cs="Arial" w:eastAsia="Arial" w:hAnsi="Arial"/>
          <w:sz w:val="17"/>
          <w:szCs w:val="17"/>
          <w:i w:val="1"/>
          <w:iCs w:val="1"/>
          <w:color w:val="auto"/>
        </w:rPr>
        <w:t>Value Measurements</w:t>
      </w:r>
      <w:r>
        <w:rPr>
          <w:rFonts w:ascii="Arial" w:cs="Arial" w:eastAsia="Arial" w:hAnsi="Arial"/>
          <w:sz w:val="17"/>
          <w:szCs w:val="17"/>
          <w:color w:val="auto"/>
        </w:rPr>
        <w:t>. ASU No. 2010-06 enhances the disclosure requirements to include transfers in and out of Level 1 and 2 and the associated reasons,</w:t>
      </w:r>
      <w:r>
        <w:rPr>
          <w:rFonts w:ascii="Arial" w:cs="Arial" w:eastAsia="Arial" w:hAnsi="Arial"/>
          <w:sz w:val="17"/>
          <w:szCs w:val="17"/>
          <w:i w:val="1"/>
          <w:iCs w:val="1"/>
          <w:color w:val="auto"/>
        </w:rPr>
        <w:t xml:space="preserve"> </w:t>
      </w:r>
      <w:r>
        <w:rPr>
          <w:rFonts w:ascii="Arial" w:cs="Arial" w:eastAsia="Arial" w:hAnsi="Arial"/>
          <w:sz w:val="17"/>
          <w:szCs w:val="17"/>
          <w:color w:val="auto"/>
        </w:rPr>
        <w:t>which was effective for fiscal years beginning on or after December 15, 2009. ASU No. 2010-06 also requires the disclosure of a disaggregated gross reconciliation of Level 3 fair value measurements, which is effective for fiscal years beginning on or after December 15, 2010. We have adopted these updates and they did not have a material impact on our financial statements.</w:t>
      </w:r>
    </w:p>
    <w:p>
      <w:pPr>
        <w:spacing w:after="0" w:line="64" w:lineRule="exact"/>
        <w:rPr>
          <w:sz w:val="20"/>
          <w:szCs w:val="20"/>
          <w:color w:val="auto"/>
        </w:rPr>
      </w:pPr>
    </w:p>
    <w:p>
      <w:pPr>
        <w:ind w:right="160" w:firstLine="225"/>
        <w:spacing w:after="0" w:line="273" w:lineRule="auto"/>
        <w:rPr>
          <w:sz w:val="20"/>
          <w:szCs w:val="20"/>
          <w:color w:val="auto"/>
        </w:rPr>
      </w:pPr>
      <w:r>
        <w:rPr>
          <w:rFonts w:ascii="Arial" w:cs="Arial" w:eastAsia="Arial" w:hAnsi="Arial"/>
          <w:sz w:val="17"/>
          <w:szCs w:val="17"/>
          <w:color w:val="auto"/>
        </w:rPr>
        <w:t xml:space="preserve">In July 2010, the FASB issued ASU No. 2010-20, Receivables (ASC Topic 310), </w:t>
      </w:r>
      <w:r>
        <w:rPr>
          <w:rFonts w:ascii="Arial" w:cs="Arial" w:eastAsia="Arial" w:hAnsi="Arial"/>
          <w:sz w:val="17"/>
          <w:szCs w:val="17"/>
          <w:i w:val="1"/>
          <w:iCs w:val="1"/>
          <w:color w:val="auto"/>
        </w:rPr>
        <w:t>Disclosures about the Credit Quality of Financing Receivables and the</w:t>
      </w:r>
      <w:r>
        <w:rPr>
          <w:rFonts w:ascii="Arial" w:cs="Arial" w:eastAsia="Arial" w:hAnsi="Arial"/>
          <w:sz w:val="17"/>
          <w:szCs w:val="17"/>
          <w:color w:val="auto"/>
        </w:rPr>
        <w:t xml:space="preserve"> </w:t>
      </w:r>
      <w:r>
        <w:rPr>
          <w:rFonts w:ascii="Arial" w:cs="Arial" w:eastAsia="Arial" w:hAnsi="Arial"/>
          <w:sz w:val="17"/>
          <w:szCs w:val="17"/>
          <w:i w:val="1"/>
          <w:iCs w:val="1"/>
          <w:color w:val="auto"/>
        </w:rPr>
        <w:t>Allowance for Credit Losses</w:t>
      </w:r>
      <w:r>
        <w:rPr>
          <w:rFonts w:ascii="Arial" w:cs="Arial" w:eastAsia="Arial" w:hAnsi="Arial"/>
          <w:sz w:val="17"/>
          <w:szCs w:val="17"/>
          <w:color w:val="auto"/>
        </w:rPr>
        <w:t>. ASU No. 2010-20 enhances the disclosure requirements about the credit quality and related allowance for credit losses of</w:t>
      </w:r>
      <w:r>
        <w:rPr>
          <w:rFonts w:ascii="Arial" w:cs="Arial" w:eastAsia="Arial" w:hAnsi="Arial"/>
          <w:sz w:val="17"/>
          <w:szCs w:val="17"/>
          <w:i w:val="1"/>
          <w:iCs w:val="1"/>
          <w:color w:val="auto"/>
        </w:rPr>
        <w:t xml:space="preserve"> </w:t>
      </w:r>
      <w:r>
        <w:rPr>
          <w:rFonts w:ascii="Arial" w:cs="Arial" w:eastAsia="Arial" w:hAnsi="Arial"/>
          <w:sz w:val="17"/>
          <w:szCs w:val="17"/>
          <w:color w:val="auto"/>
        </w:rPr>
        <w:t>financing receivables. We will be required to disclose the nature of the inherent risk of receivables, the methodology and analytics that support that assessment, and support any changes to the allowance for doubtful accounts. We will also be required to provide a rollforward of the allowance and disclose the accounts receivable on a disaggregated basis. This update is effective for fiscal years beginning on or after December 15, 2010. We have adopted this update and it did not have a material impact on our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 — Financial Statement Components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Intangible assets included the following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7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4"/>
                <w:szCs w:val="14"/>
                <w:color w:val="auto"/>
              </w:rPr>
              <w:t>March 31, 2011</w:t>
            </w: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4"/>
                <w:szCs w:val="14"/>
                <w:color w:val="auto"/>
              </w:rPr>
              <w:t>December 31, 2010</w:t>
            </w: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3"/>
        </w:trPr>
        <w:tc>
          <w:tcPr>
            <w:tcW w:w="3720" w:type="dxa"/>
            <w:vAlign w:val="bottom"/>
          </w:tcPr>
          <w:p>
            <w:pPr>
              <w:spacing w:after="0"/>
              <w:rPr>
                <w:sz w:val="10"/>
                <w:szCs w:val="10"/>
                <w:color w:val="auto"/>
              </w:rPr>
            </w:pPr>
          </w:p>
        </w:tc>
        <w:tc>
          <w:tcPr>
            <w:tcW w:w="980" w:type="dxa"/>
            <w:vAlign w:val="bottom"/>
            <w:gridSpan w:val="3"/>
          </w:tcPr>
          <w:p>
            <w:pPr>
              <w:ind w:left="80"/>
              <w:spacing w:after="0" w:line="123" w:lineRule="exact"/>
              <w:rPr>
                <w:sz w:val="20"/>
                <w:szCs w:val="20"/>
                <w:color w:val="auto"/>
              </w:rPr>
            </w:pPr>
            <w:r>
              <w:rPr>
                <w:rFonts w:ascii="Arial" w:cs="Arial" w:eastAsia="Arial" w:hAnsi="Arial"/>
                <w:sz w:val="14"/>
                <w:szCs w:val="14"/>
                <w:color w:val="auto"/>
              </w:rPr>
              <w:t>Carrying</w:t>
            </w:r>
          </w:p>
        </w:tc>
        <w:tc>
          <w:tcPr>
            <w:tcW w:w="380" w:type="dxa"/>
            <w:vAlign w:val="bottom"/>
          </w:tcPr>
          <w:p>
            <w:pPr>
              <w:spacing w:after="0"/>
              <w:rPr>
                <w:sz w:val="10"/>
                <w:szCs w:val="10"/>
                <w:color w:val="auto"/>
              </w:rPr>
            </w:pPr>
          </w:p>
        </w:tc>
        <w:tc>
          <w:tcPr>
            <w:tcW w:w="1120" w:type="dxa"/>
            <w:vAlign w:val="bottom"/>
            <w:gridSpan w:val="3"/>
          </w:tcPr>
          <w:p>
            <w:pPr>
              <w:spacing w:after="0" w:line="123" w:lineRule="exact"/>
              <w:rPr>
                <w:sz w:val="20"/>
                <w:szCs w:val="20"/>
                <w:color w:val="auto"/>
              </w:rPr>
            </w:pPr>
            <w:r>
              <w:rPr>
                <w:rFonts w:ascii="Arial" w:cs="Arial" w:eastAsia="Arial" w:hAnsi="Arial"/>
                <w:sz w:val="14"/>
                <w:szCs w:val="14"/>
                <w:color w:val="auto"/>
              </w:rPr>
              <w:t>Accumulated</w:t>
            </w: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20" w:type="dxa"/>
            <w:vAlign w:val="bottom"/>
            <w:gridSpan w:val="3"/>
          </w:tcPr>
          <w:p>
            <w:pPr>
              <w:jc w:val="right"/>
              <w:ind w:right="340"/>
              <w:spacing w:after="0" w:line="123" w:lineRule="exact"/>
              <w:rPr>
                <w:sz w:val="20"/>
                <w:szCs w:val="20"/>
                <w:color w:val="auto"/>
              </w:rPr>
            </w:pPr>
            <w:r>
              <w:rPr>
                <w:rFonts w:ascii="Arial" w:cs="Arial" w:eastAsia="Arial" w:hAnsi="Arial"/>
                <w:sz w:val="14"/>
                <w:szCs w:val="14"/>
                <w:color w:val="auto"/>
              </w:rPr>
              <w:t>Carrying</w:t>
            </w:r>
          </w:p>
        </w:tc>
        <w:tc>
          <w:tcPr>
            <w:tcW w:w="420" w:type="dxa"/>
            <w:vAlign w:val="bottom"/>
          </w:tcPr>
          <w:p>
            <w:pPr>
              <w:spacing w:after="0"/>
              <w:rPr>
                <w:sz w:val="10"/>
                <w:szCs w:val="10"/>
                <w:color w:val="auto"/>
              </w:rPr>
            </w:pPr>
          </w:p>
        </w:tc>
        <w:tc>
          <w:tcPr>
            <w:tcW w:w="1200" w:type="dxa"/>
            <w:vAlign w:val="bottom"/>
            <w:gridSpan w:val="3"/>
          </w:tcPr>
          <w:p>
            <w:pPr>
              <w:spacing w:after="0" w:line="123" w:lineRule="exact"/>
              <w:rPr>
                <w:sz w:val="20"/>
                <w:szCs w:val="20"/>
                <w:color w:val="auto"/>
              </w:rPr>
            </w:pPr>
            <w:r>
              <w:rPr>
                <w:rFonts w:ascii="Arial" w:cs="Arial" w:eastAsia="Arial" w:hAnsi="Arial"/>
                <w:sz w:val="14"/>
                <w:szCs w:val="14"/>
                <w:color w:val="auto"/>
              </w:rPr>
              <w:t>Accumulated</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67"/>
        </w:trPr>
        <w:tc>
          <w:tcPr>
            <w:tcW w:w="3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4"/>
              <w:spacing w:after="0"/>
              <w:rPr>
                <w:sz w:val="20"/>
                <w:szCs w:val="20"/>
                <w:color w:val="auto"/>
              </w:rPr>
            </w:pPr>
            <w:r>
              <w:rPr>
                <w:rFonts w:ascii="Arial" w:cs="Arial" w:eastAsia="Arial" w:hAnsi="Arial"/>
                <w:sz w:val="14"/>
                <w:szCs w:val="14"/>
                <w:color w:val="auto"/>
                <w:w w:val="95"/>
              </w:rPr>
              <w:t>Amount</w:t>
            </w: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color w:val="auto"/>
              </w:rPr>
              <w:t>Amortization</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4"/>
                <w:szCs w:val="14"/>
                <w:color w:val="auto"/>
              </w:rPr>
              <w:t>Net</w:t>
            </w:r>
          </w:p>
        </w:tc>
        <w:tc>
          <w:tcPr>
            <w:tcW w:w="100" w:type="dxa"/>
            <w:vAlign w:val="bottom"/>
          </w:tcPr>
          <w:p>
            <w:pPr>
              <w:spacing w:after="0"/>
              <w:rPr>
                <w:sz w:val="14"/>
                <w:szCs w:val="14"/>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4"/>
                <w:szCs w:val="14"/>
                <w:color w:val="auto"/>
                <w:w w:val="91"/>
              </w:rPr>
              <w:t>Amount</w:t>
            </w:r>
          </w:p>
        </w:tc>
        <w:tc>
          <w:tcPr>
            <w:tcW w:w="42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color w:val="auto"/>
              </w:rPr>
              <w:t>Amortization</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4"/>
                <w:szCs w:val="14"/>
                <w:color w:val="auto"/>
              </w:rPr>
              <w:t>Net</w:t>
            </w:r>
          </w:p>
        </w:tc>
      </w:tr>
      <w:tr>
        <w:trPr>
          <w:trHeight w:val="20"/>
        </w:trPr>
        <w:tc>
          <w:tcPr>
            <w:tcW w:w="3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Subscriber relationships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1,930</w:t>
            </w:r>
          </w:p>
        </w:tc>
        <w:tc>
          <w:tcPr>
            <w:tcW w:w="3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(1,930)</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1,930</w:t>
            </w:r>
          </w:p>
        </w:tc>
        <w:tc>
          <w:tcPr>
            <w:tcW w:w="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(1,930)</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Covenants not-to-compete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580</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(290)</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580</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(290)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290</w:t>
            </w:r>
          </w:p>
        </w:tc>
      </w:tr>
      <w:tr>
        <w:trPr>
          <w:trHeight w:val="27"/>
        </w:trPr>
        <w:tc>
          <w:tcPr>
            <w:tcW w:w="3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2,510</w:t>
            </w:r>
          </w:p>
        </w:tc>
        <w:tc>
          <w:tcPr>
            <w:tcW w:w="3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(2,220)</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290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2,510</w:t>
            </w:r>
          </w:p>
        </w:tc>
        <w:tc>
          <w:tcPr>
            <w:tcW w:w="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(2,220)</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w:t>
            </w:r>
          </w:p>
        </w:tc>
      </w:tr>
      <w:tr>
        <w:trPr>
          <w:trHeight w:val="20"/>
        </w:trPr>
        <w:tc>
          <w:tcPr>
            <w:tcW w:w="3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There was no amortization expense for intangible assets for the three months ended March 31, 2011 or the three months ended March 31, 2010.</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 — Stock-Based Compensation</w:t>
      </w:r>
    </w:p>
    <w:p>
      <w:pPr>
        <w:spacing w:after="0" w:line="121" w:lineRule="exact"/>
        <w:rPr>
          <w:sz w:val="20"/>
          <w:szCs w:val="20"/>
          <w:color w:val="auto"/>
        </w:rPr>
      </w:pPr>
    </w:p>
    <w:p>
      <w:pPr>
        <w:jc w:val="both"/>
        <w:ind w:right="140" w:firstLine="225"/>
        <w:spacing w:after="0" w:line="312" w:lineRule="auto"/>
        <w:rPr>
          <w:sz w:val="20"/>
          <w:szCs w:val="20"/>
          <w:color w:val="auto"/>
        </w:rPr>
      </w:pPr>
      <w:r>
        <w:rPr>
          <w:rFonts w:ascii="Arial" w:cs="Arial" w:eastAsia="Arial" w:hAnsi="Arial"/>
          <w:sz w:val="16"/>
          <w:szCs w:val="16"/>
          <w:color w:val="auto"/>
        </w:rPr>
        <w:t>Our equity compensation plans provide for the grant of incentive and nonqualified stock options, as well as other stock-based awards, to employees, non-employee directors and other consultants who provide services to us. Stock options generally vest over three to four years and have a contractual term of ten years from the date of grant. At March 31, 2011, there were approximately 834,000 shares available for grant under approved equity compensation plans.</w:t>
      </w:r>
    </w:p>
    <w:p>
      <w:pPr>
        <w:spacing w:after="0" w:line="39" w:lineRule="exact"/>
        <w:rPr>
          <w:sz w:val="20"/>
          <w:szCs w:val="20"/>
          <w:color w:val="auto"/>
        </w:rPr>
      </w:pPr>
    </w:p>
    <w:p>
      <w:pPr>
        <w:ind w:right="20" w:firstLine="222"/>
        <w:spacing w:after="0" w:line="277" w:lineRule="auto"/>
        <w:rPr>
          <w:sz w:val="20"/>
          <w:szCs w:val="20"/>
          <w:color w:val="auto"/>
        </w:rPr>
      </w:pPr>
      <w:r>
        <w:rPr>
          <w:rFonts w:ascii="Arial" w:cs="Arial" w:eastAsia="Arial" w:hAnsi="Arial"/>
          <w:sz w:val="18"/>
          <w:szCs w:val="18"/>
          <w:color w:val="auto"/>
        </w:rPr>
        <w:t>We recorded stock-based compensation expense of $312,000 and $51,000 for the three months ended March 31, 2011 and 2010, respectively. This expense was allocated as follows (in thousands):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1" w:lineRule="exact"/>
        <w:rPr>
          <w:sz w:val="20"/>
          <w:szCs w:val="20"/>
          <w:color w:val="auto"/>
        </w:rPr>
      </w:pPr>
    </w:p>
    <w:p>
      <w:pPr>
        <w:jc w:val="center"/>
        <w:ind w:left="9160"/>
        <w:spacing w:after="0"/>
        <w:rPr>
          <w:sz w:val="20"/>
          <w:szCs w:val="20"/>
          <w:color w:val="auto"/>
        </w:rPr>
      </w:pPr>
      <w:r>
        <w:rPr>
          <w:rFonts w:ascii="Arial" w:cs="Arial" w:eastAsia="Arial" w:hAnsi="Arial"/>
          <w:sz w:val="14"/>
          <w:szCs w:val="14"/>
          <w:color w:val="auto"/>
        </w:rPr>
        <w:t>Three Months Ended</w:t>
      </w:r>
    </w:p>
    <w:p>
      <w:pPr>
        <w:jc w:val="center"/>
        <w:ind w:left="9160"/>
        <w:spacing w:after="0" w:line="231" w:lineRule="auto"/>
        <w:rPr>
          <w:sz w:val="20"/>
          <w:szCs w:val="20"/>
          <w:color w:val="auto"/>
        </w:rPr>
      </w:pPr>
      <w:r>
        <w:rPr>
          <w:rFonts w:ascii="Arial" w:cs="Arial" w:eastAsia="Arial" w:hAnsi="Arial"/>
          <w:sz w:val="14"/>
          <w:szCs w:val="14"/>
          <w:color w:val="auto"/>
        </w:rPr>
        <w:t>March 31,</w:t>
      </w:r>
    </w:p>
    <w:tbl>
      <w:tblPr>
        <w:tblLayout w:type="fixed"/>
        <w:tblInd w:w="0" w:type="dxa"/>
        <w:tblCellMar>
          <w:top w:w="0" w:type="dxa"/>
          <w:left w:w="0" w:type="dxa"/>
          <w:bottom w:w="0" w:type="dxa"/>
          <w:right w:w="0" w:type="dxa"/>
        </w:tblCellMar>
      </w:tblPr>
      <w:tr>
        <w:trPr>
          <w:trHeight w:val="142"/>
        </w:trPr>
        <w:tc>
          <w:tcPr>
            <w:tcW w:w="9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color w:val="auto"/>
              </w:rPr>
              <w:t>2011</w:t>
            </w:r>
          </w:p>
        </w:tc>
        <w:tc>
          <w:tcPr>
            <w:tcW w:w="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color w:val="auto"/>
              </w:rPr>
              <w:t>2010</w:t>
            </w:r>
          </w:p>
        </w:tc>
        <w:tc>
          <w:tcPr>
            <w:tcW w:w="100" w:type="dxa"/>
            <w:vAlign w:val="bottom"/>
          </w:tcPr>
          <w:p>
            <w:pPr>
              <w:spacing w:after="0"/>
              <w:rPr>
                <w:sz w:val="12"/>
                <w:szCs w:val="12"/>
                <w:color w:val="auto"/>
              </w:rPr>
            </w:pPr>
          </w:p>
        </w:tc>
      </w:tr>
      <w:tr>
        <w:trPr>
          <w:trHeight w:val="210"/>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Operating expenses: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Sales and marketing</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r>
      <w:tr>
        <w:trPr>
          <w:trHeight w:val="216"/>
        </w:trPr>
        <w:tc>
          <w:tcPr>
            <w:tcW w:w="928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9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170</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r>
      <w:tr>
        <w:trPr>
          <w:trHeight w:val="223"/>
        </w:trPr>
        <w:tc>
          <w:tcPr>
            <w:tcW w:w="9280" w:type="dxa"/>
            <w:vAlign w:val="bottom"/>
          </w:tcPr>
          <w:p>
            <w:pPr>
              <w:spacing w:after="0"/>
              <w:rPr>
                <w:sz w:val="20"/>
                <w:szCs w:val="20"/>
                <w:color w:val="auto"/>
              </w:rPr>
            </w:pPr>
            <w:r>
              <w:rPr>
                <w:rFonts w:ascii="Arial" w:cs="Arial" w:eastAsia="Arial" w:hAnsi="Arial"/>
                <w:sz w:val="18"/>
                <w:szCs w:val="18"/>
                <w:color w:val="auto"/>
              </w:rPr>
              <w:t>Total stock-based compensation expense</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312</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r>
      <w:tr>
        <w:trPr>
          <w:trHeight w:val="20"/>
        </w:trPr>
        <w:tc>
          <w:tcPr>
            <w:tcW w:w="9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320" w:firstLine="215"/>
        <w:spacing w:after="0" w:line="308" w:lineRule="auto"/>
        <w:rPr>
          <w:sz w:val="20"/>
          <w:szCs w:val="20"/>
          <w:color w:val="auto"/>
        </w:rPr>
      </w:pPr>
      <w:r>
        <w:rPr>
          <w:rFonts w:ascii="Arial" w:cs="Arial" w:eastAsia="Arial" w:hAnsi="Arial"/>
          <w:sz w:val="17"/>
          <w:szCs w:val="17"/>
          <w:color w:val="auto"/>
        </w:rPr>
        <w:t>As of March 31, 2011, there was approximately $4.3 million of unrecognized stock-based compensation expense under our equity compensation plans, which is expected to be recognized on a straight line basis over a weighted average period of approximately two years.</w:t>
      </w:r>
    </w:p>
    <w:p>
      <w:pPr>
        <w:spacing w:after="0" w:line="3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Our stock option activity was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92"/>
              </w:rPr>
              <w:t>Weighted Average</w:t>
            </w:r>
          </w:p>
        </w:tc>
      </w:tr>
      <w:tr>
        <w:trPr>
          <w:trHeight w:val="149"/>
        </w:trPr>
        <w:tc>
          <w:tcPr>
            <w:tcW w:w="20" w:type="dxa"/>
            <w:vAlign w:val="bottom"/>
          </w:tcPr>
          <w:p>
            <w:pPr>
              <w:spacing w:after="0"/>
              <w:rPr>
                <w:sz w:val="12"/>
                <w:szCs w:val="12"/>
                <w:color w:val="auto"/>
              </w:rPr>
            </w:pPr>
          </w:p>
        </w:tc>
        <w:tc>
          <w:tcPr>
            <w:tcW w:w="8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Options</w:t>
            </w:r>
          </w:p>
        </w:tc>
        <w:tc>
          <w:tcPr>
            <w:tcW w:w="54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color w:val="auto"/>
                <w:w w:val="91"/>
              </w:rPr>
              <w:t>Exercise Price</w:t>
            </w:r>
          </w:p>
        </w:tc>
      </w:tr>
      <w:tr>
        <w:trPr>
          <w:trHeight w:val="167"/>
        </w:trPr>
        <w:tc>
          <w:tcPr>
            <w:tcW w:w="20" w:type="dxa"/>
            <w:vAlign w:val="bottom"/>
          </w:tcPr>
          <w:p>
            <w:pPr>
              <w:spacing w:after="0"/>
              <w:rPr>
                <w:sz w:val="14"/>
                <w:szCs w:val="14"/>
                <w:color w:val="auto"/>
              </w:rPr>
            </w:pPr>
          </w:p>
        </w:tc>
        <w:tc>
          <w:tcPr>
            <w:tcW w:w="8420" w:type="dxa"/>
            <w:vAlign w:val="bottom"/>
          </w:tcPr>
          <w:p>
            <w:pPr>
              <w:spacing w:after="0"/>
              <w:rPr>
                <w:sz w:val="14"/>
                <w:szCs w:val="14"/>
                <w:color w:val="auto"/>
              </w:rPr>
            </w:pPr>
          </w:p>
        </w:tc>
        <w:tc>
          <w:tcPr>
            <w:tcW w:w="1040" w:type="dxa"/>
            <w:vAlign w:val="bottom"/>
            <w:tcBorders>
              <w:bottom w:val="single" w:sz="8" w:color="auto"/>
            </w:tcBorders>
            <w:gridSpan w:val="2"/>
          </w:tcPr>
          <w:p>
            <w:pPr>
              <w:jc w:val="right"/>
              <w:ind w:right="199"/>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($/share)</w:t>
            </w:r>
          </w:p>
        </w:tc>
      </w:tr>
      <w:tr>
        <w:trPr>
          <w:trHeight w:val="210"/>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1,549,344</w:t>
            </w:r>
          </w:p>
        </w:tc>
        <w:tc>
          <w:tcPr>
            <w:tcW w:w="3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4"/>
              <w:spacing w:after="0"/>
              <w:rPr>
                <w:sz w:val="20"/>
                <w:szCs w:val="20"/>
                <w:color w:val="auto"/>
              </w:rPr>
            </w:pPr>
            <w:r>
              <w:rPr>
                <w:rFonts w:ascii="Arial" w:cs="Arial" w:eastAsia="Arial" w:hAnsi="Arial"/>
                <w:sz w:val="18"/>
                <w:szCs w:val="18"/>
                <w:color w:val="auto"/>
              </w:rPr>
              <w:t>$ 4.59</w:t>
            </w:r>
          </w:p>
        </w:tc>
      </w:tr>
      <w:tr>
        <w:trPr>
          <w:trHeight w:val="216"/>
        </w:trPr>
        <w:tc>
          <w:tcPr>
            <w:tcW w:w="20" w:type="dxa"/>
            <w:vAlign w:val="bottom"/>
          </w:tcPr>
          <w:p>
            <w:pPr>
              <w:spacing w:after="0"/>
              <w:rPr>
                <w:sz w:val="18"/>
                <w:szCs w:val="18"/>
                <w:color w:val="auto"/>
              </w:rPr>
            </w:pPr>
          </w:p>
        </w:tc>
        <w:tc>
          <w:tcPr>
            <w:tcW w:w="8420" w:type="dxa"/>
            <w:vAlign w:val="bottom"/>
          </w:tcPr>
          <w:p>
            <w:pPr>
              <w:ind w:left="200"/>
              <w:spacing w:after="0"/>
              <w:rPr>
                <w:sz w:val="20"/>
                <w:szCs w:val="20"/>
                <w:color w:val="auto"/>
              </w:rPr>
            </w:pPr>
            <w:r>
              <w:rPr>
                <w:rFonts w:ascii="Arial" w:cs="Arial" w:eastAsia="Arial" w:hAnsi="Arial"/>
                <w:sz w:val="18"/>
                <w:szCs w:val="18"/>
                <w:color w:val="auto"/>
              </w:rPr>
              <w:t>Granted</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235,036</w:t>
            </w:r>
          </w:p>
        </w:tc>
        <w:tc>
          <w:tcPr>
            <w:tcW w:w="300" w:type="dxa"/>
            <w:vAlign w:val="bottom"/>
          </w:tcPr>
          <w:p>
            <w:pPr>
              <w:spacing w:after="0"/>
              <w:rPr>
                <w:sz w:val="18"/>
                <w:szCs w:val="18"/>
                <w:color w:val="auto"/>
              </w:rPr>
            </w:pPr>
          </w:p>
        </w:tc>
        <w:tc>
          <w:tcPr>
            <w:tcW w:w="1640" w:type="dxa"/>
            <w:vAlign w:val="bottom"/>
            <w:gridSpan w:val="2"/>
          </w:tcPr>
          <w:p>
            <w:pPr>
              <w:jc w:val="right"/>
              <w:ind w:right="284"/>
              <w:spacing w:after="0"/>
              <w:rPr>
                <w:sz w:val="20"/>
                <w:szCs w:val="20"/>
                <w:color w:val="auto"/>
              </w:rPr>
            </w:pPr>
            <w:r>
              <w:rPr>
                <w:rFonts w:ascii="Arial" w:cs="Arial" w:eastAsia="Arial" w:hAnsi="Arial"/>
                <w:sz w:val="18"/>
                <w:szCs w:val="18"/>
                <w:color w:val="auto"/>
              </w:rPr>
              <w:t>16.64</w:t>
            </w: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Exercised</w:t>
            </w:r>
          </w:p>
        </w:tc>
        <w:tc>
          <w:tcPr>
            <w:tcW w:w="13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(32,116)</w:t>
            </w:r>
          </w:p>
        </w:tc>
        <w:tc>
          <w:tcPr>
            <w:tcW w:w="1640" w:type="dxa"/>
            <w:vAlign w:val="bottom"/>
            <w:gridSpan w:val="2"/>
            <w:shd w:val="clear" w:color="auto" w:fill="CCEEFF"/>
          </w:tcPr>
          <w:p>
            <w:pPr>
              <w:jc w:val="right"/>
              <w:ind w:right="284"/>
              <w:spacing w:after="0"/>
              <w:rPr>
                <w:sz w:val="20"/>
                <w:szCs w:val="20"/>
                <w:color w:val="auto"/>
              </w:rPr>
            </w:pPr>
            <w:r>
              <w:rPr>
                <w:rFonts w:ascii="Arial" w:cs="Arial" w:eastAsia="Arial" w:hAnsi="Arial"/>
                <w:sz w:val="18"/>
                <w:szCs w:val="18"/>
                <w:color w:val="auto"/>
              </w:rPr>
              <w:t>0.78</w:t>
            </w:r>
          </w:p>
        </w:tc>
      </w:tr>
      <w:tr>
        <w:trPr>
          <w:trHeight w:val="223"/>
        </w:trPr>
        <w:tc>
          <w:tcPr>
            <w:tcW w:w="20" w:type="dxa"/>
            <w:vAlign w:val="bottom"/>
          </w:tcPr>
          <w:p>
            <w:pPr>
              <w:spacing w:after="0"/>
              <w:rPr>
                <w:sz w:val="19"/>
                <w:szCs w:val="19"/>
                <w:color w:val="auto"/>
              </w:rPr>
            </w:pPr>
          </w:p>
        </w:tc>
        <w:tc>
          <w:tcPr>
            <w:tcW w:w="8420" w:type="dxa"/>
            <w:vAlign w:val="bottom"/>
          </w:tcPr>
          <w:p>
            <w:pPr>
              <w:ind w:left="200"/>
              <w:spacing w:after="0"/>
              <w:rPr>
                <w:sz w:val="20"/>
                <w:szCs w:val="20"/>
                <w:color w:val="auto"/>
              </w:rPr>
            </w:pPr>
            <w:r>
              <w:rPr>
                <w:rFonts w:ascii="Arial" w:cs="Arial" w:eastAsia="Arial" w:hAnsi="Arial"/>
                <w:sz w:val="18"/>
                <w:szCs w:val="18"/>
                <w:color w:val="auto"/>
              </w:rPr>
              <w:t>Forfeited</w:t>
            </w:r>
          </w:p>
        </w:tc>
        <w:tc>
          <w:tcPr>
            <w:tcW w:w="30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jc w:val="right"/>
              <w:ind w:right="284"/>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March 31, 2011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1,752,264</w:t>
            </w:r>
          </w:p>
        </w:tc>
        <w:tc>
          <w:tcPr>
            <w:tcW w:w="3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4"/>
              <w:spacing w:after="0"/>
              <w:rPr>
                <w:sz w:val="20"/>
                <w:szCs w:val="20"/>
                <w:color w:val="auto"/>
              </w:rPr>
            </w:pPr>
            <w:r>
              <w:rPr>
                <w:rFonts w:ascii="Arial" w:cs="Arial" w:eastAsia="Arial" w:hAnsi="Arial"/>
                <w:sz w:val="18"/>
                <w:szCs w:val="18"/>
                <w:color w:val="auto"/>
              </w:rPr>
              <w:t>6.28</w:t>
            </w:r>
          </w:p>
        </w:tc>
      </w:tr>
      <w:tr>
        <w:trPr>
          <w:trHeight w:val="20"/>
        </w:trPr>
        <w:tc>
          <w:tcPr>
            <w:tcW w:w="2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40" w:firstLine="222"/>
        <w:spacing w:after="0" w:line="277" w:lineRule="auto"/>
        <w:rPr>
          <w:sz w:val="20"/>
          <w:szCs w:val="20"/>
          <w:color w:val="auto"/>
        </w:rPr>
      </w:pPr>
      <w:r>
        <w:rPr>
          <w:rFonts w:ascii="Arial" w:cs="Arial" w:eastAsia="Arial" w:hAnsi="Arial"/>
          <w:sz w:val="18"/>
          <w:szCs w:val="18"/>
          <w:color w:val="auto"/>
        </w:rPr>
        <w:t>The weighted average fair value per share of options granted during 2011 was $8.00 and this was estimated on the date of grant using the Black-Scholes option pricing model with the following assumptions: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volatility</w:t>
            </w:r>
          </w:p>
        </w:tc>
        <w:tc>
          <w:tcPr>
            <w:tcW w:w="46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45.0%</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4600" w:type="dxa"/>
            <w:vAlign w:val="bottom"/>
          </w:tcPr>
          <w:p>
            <w:pPr>
              <w:jc w:val="right"/>
              <w:ind w:right="90"/>
              <w:spacing w:after="0"/>
              <w:rPr>
                <w:sz w:val="20"/>
                <w:szCs w:val="20"/>
                <w:color w:val="auto"/>
              </w:rPr>
            </w:pPr>
            <w:r>
              <w:rPr>
                <w:rFonts w:ascii="Arial" w:cs="Arial" w:eastAsia="Arial" w:hAnsi="Arial"/>
                <w:sz w:val="18"/>
                <w:szCs w:val="18"/>
                <w:color w:val="auto"/>
              </w:rPr>
              <w:t>0%</w:t>
            </w: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46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6.25</w:t>
            </w:r>
          </w:p>
        </w:tc>
      </w:tr>
      <w:tr>
        <w:trPr>
          <w:trHeight w:val="230"/>
        </w:trPr>
        <w:tc>
          <w:tcPr>
            <w:tcW w:w="6820" w:type="dxa"/>
            <w:vAlign w:val="bottom"/>
          </w:tcPr>
          <w:p>
            <w:pPr>
              <w:spacing w:after="0"/>
              <w:rPr>
                <w:sz w:val="20"/>
                <w:szCs w:val="20"/>
                <w:color w:val="auto"/>
              </w:rPr>
            </w:pPr>
            <w:r>
              <w:rPr>
                <w:rFonts w:ascii="Arial" w:cs="Arial" w:eastAsia="Arial" w:hAnsi="Arial"/>
                <w:sz w:val="18"/>
                <w:szCs w:val="18"/>
                <w:color w:val="auto"/>
              </w:rPr>
              <w:t>Weighted-average risk-free interest rate</w:t>
            </w:r>
          </w:p>
        </w:tc>
        <w:tc>
          <w:tcPr>
            <w:tcW w:w="4600" w:type="dxa"/>
            <w:vAlign w:val="bottom"/>
          </w:tcPr>
          <w:p>
            <w:pPr>
              <w:jc w:val="right"/>
              <w:ind w:right="90"/>
              <w:spacing w:after="0"/>
              <w:rPr>
                <w:sz w:val="20"/>
                <w:szCs w:val="20"/>
                <w:color w:val="auto"/>
              </w:rPr>
            </w:pPr>
            <w:r>
              <w:rPr>
                <w:rFonts w:ascii="Arial" w:cs="Arial" w:eastAsia="Arial" w:hAnsi="Arial"/>
                <w:sz w:val="18"/>
                <w:szCs w:val="18"/>
                <w:color w:val="auto"/>
              </w:rPr>
              <w:t>3.05%</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 — Income Taxes</w:t>
      </w:r>
    </w:p>
    <w:p>
      <w:pPr>
        <w:spacing w:after="0" w:line="121" w:lineRule="exact"/>
        <w:rPr>
          <w:sz w:val="20"/>
          <w:szCs w:val="20"/>
          <w:color w:val="auto"/>
        </w:rPr>
      </w:pPr>
    </w:p>
    <w:p>
      <w:pPr>
        <w:ind w:right="220" w:firstLine="222"/>
        <w:spacing w:after="0" w:line="259" w:lineRule="auto"/>
        <w:rPr>
          <w:sz w:val="20"/>
          <w:szCs w:val="20"/>
          <w:color w:val="auto"/>
        </w:rPr>
      </w:pPr>
      <w:r>
        <w:rPr>
          <w:rFonts w:ascii="Arial" w:cs="Arial" w:eastAsia="Arial" w:hAnsi="Arial"/>
          <w:sz w:val="18"/>
          <w:szCs w:val="18"/>
          <w:color w:val="auto"/>
        </w:rPr>
        <w:t>We recorded a provision for income taxes of $29,000 and $65,000 for the three months ended March 31, 2011 and 2010, respectively. We record our interim provision for income taxes based on our estimated annual effective tax rate for the year. Our provision for income taxes includes estimated federal alternative minimum taxes and state income taxes, as well as deferred tax expense resulting from the book and tax basis difference in goodwill from a prior asset acquisition.</w:t>
      </w:r>
    </w:p>
    <w:p>
      <w:pPr>
        <w:spacing w:after="0" w:line="79" w:lineRule="exact"/>
        <w:rPr>
          <w:sz w:val="20"/>
          <w:szCs w:val="20"/>
          <w:color w:val="auto"/>
        </w:rPr>
      </w:pPr>
    </w:p>
    <w:p>
      <w:pPr>
        <w:ind w:right="100" w:firstLine="215"/>
        <w:spacing w:after="0" w:line="255" w:lineRule="auto"/>
        <w:rPr>
          <w:sz w:val="20"/>
          <w:szCs w:val="20"/>
          <w:color w:val="auto"/>
        </w:rPr>
      </w:pPr>
      <w:r>
        <w:rPr>
          <w:rFonts w:ascii="Arial" w:cs="Arial" w:eastAsia="Arial" w:hAnsi="Arial"/>
          <w:sz w:val="18"/>
          <w:szCs w:val="18"/>
          <w:color w:val="auto"/>
        </w:rPr>
        <w:t>As of December 31, 2010, we had net operating loss carryforwards of $49.9 million for U.S. federal tax purposes and $31.4 million for state tax purposes. These loss carryforwards expire between 2011 and 2029. Section 382 of the U.S. Internal Revenue Code generally imposes an annual limitation on the amount of net operating loss carryforwards that might be used to offset taxable income when a corporation has undergone significant changes in stock ownership. We have performed a Section 382 analysis for the time period from our inception through December 8, 2010. During this time period it was determined that we had six separate ownership changes under Section 382. We believe that approximately $17.6 million of federal losses and $7.0 million of state losses will expire unused due to Section 382 limitations. This limitation could be further restricted if ownership changes occur in future years. Our deferred tax asset is reported net of this limitation.</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firstLine="225"/>
        <w:spacing w:after="0" w:line="259" w:lineRule="auto"/>
        <w:rPr>
          <w:sz w:val="20"/>
          <w:szCs w:val="20"/>
          <w:color w:val="auto"/>
        </w:rPr>
      </w:pPr>
      <w:r>
        <w:rPr>
          <w:rFonts w:ascii="Arial" w:cs="Arial" w:eastAsia="Arial" w:hAnsi="Arial"/>
          <w:sz w:val="18"/>
          <w:szCs w:val="18"/>
          <w:color w:val="auto"/>
        </w:rPr>
        <w:t>Realization of our net operating loss carryforwards and other deferred tax temporary differences are contingent upon future taxable earnings. Our net deferred tax assets have been reduced fully by a valuation allowance, as realization is not considered to be likely based on an assessment of the history of losses and the likelihood of sufficient future taxable income. Our deferred tax liability relates to goodwill created in a prior asset acquisition which is deductible for tax purposes.</w:t>
      </w:r>
    </w:p>
    <w:p>
      <w:pPr>
        <w:spacing w:after="0" w:line="79" w:lineRule="exact"/>
        <w:rPr>
          <w:sz w:val="20"/>
          <w:szCs w:val="20"/>
          <w:color w:val="auto"/>
        </w:rPr>
      </w:pPr>
    </w:p>
    <w:p>
      <w:pPr>
        <w:ind w:left="220"/>
        <w:spacing w:after="0"/>
        <w:rPr>
          <w:sz w:val="20"/>
          <w:szCs w:val="20"/>
          <w:color w:val="auto"/>
        </w:rPr>
      </w:pPr>
      <w:r>
        <w:rPr>
          <w:rFonts w:ascii="Arial" w:cs="Arial" w:eastAsia="Arial" w:hAnsi="Arial"/>
          <w:sz w:val="17"/>
          <w:szCs w:val="17"/>
          <w:color w:val="auto"/>
        </w:rPr>
        <w:t>We are subject to income taxes in the U.S. federal jurisdiction and various state jurisdictions. As of March 31, 2011, we are generally subject to U.S.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federal and state tax examinations for all tax years prior to 2009 due to net operating loss carryforwards.</w:t>
      </w:r>
    </w:p>
    <w:p>
      <w:pPr>
        <w:spacing w:after="0" w:line="103" w:lineRule="exact"/>
        <w:rPr>
          <w:sz w:val="20"/>
          <w:szCs w:val="20"/>
          <w:color w:val="auto"/>
        </w:rPr>
      </w:pPr>
    </w:p>
    <w:p>
      <w:pPr>
        <w:jc w:val="both"/>
        <w:ind w:right="60" w:firstLine="215"/>
        <w:spacing w:after="0" w:line="342" w:lineRule="auto"/>
        <w:rPr>
          <w:sz w:val="20"/>
          <w:szCs w:val="20"/>
          <w:color w:val="auto"/>
        </w:rPr>
      </w:pPr>
      <w:r>
        <w:rPr>
          <w:rFonts w:ascii="Arial" w:cs="Arial" w:eastAsia="Arial" w:hAnsi="Arial"/>
          <w:sz w:val="16"/>
          <w:szCs w:val="16"/>
          <w:color w:val="auto"/>
        </w:rPr>
        <w:t>As of March 31, 2011, we do not have any unrecognized tax benefits. It is our practice to recognize interest and penalties accrued on any unrecognized tax benefits as a component of income tax expense. We do not expect any material changes in our unrecognized tax positions over the next 12 months.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E — Net Income Per Share</w:t>
      </w:r>
    </w:p>
    <w:p>
      <w:pPr>
        <w:spacing w:after="0" w:line="121" w:lineRule="exact"/>
        <w:rPr>
          <w:sz w:val="20"/>
          <w:szCs w:val="20"/>
          <w:color w:val="auto"/>
        </w:rPr>
      </w:pPr>
    </w:p>
    <w:p>
      <w:pPr>
        <w:jc w:val="both"/>
        <w:ind w:right="60" w:firstLine="225"/>
        <w:spacing w:after="0" w:line="286" w:lineRule="auto"/>
        <w:rPr>
          <w:sz w:val="20"/>
          <w:szCs w:val="20"/>
          <w:color w:val="auto"/>
        </w:rPr>
      </w:pPr>
      <w:r>
        <w:rPr>
          <w:rFonts w:ascii="Arial" w:cs="Arial" w:eastAsia="Arial" w:hAnsi="Arial"/>
          <w:sz w:val="17"/>
          <w:szCs w:val="17"/>
          <w:color w:val="auto"/>
        </w:rPr>
        <w:t>Basic net income per share has been computed using the weighted average number of shares of common stock outstanding during each period. Diluted net income per share also includes the impact of our outstanding potential common shares, such as options, warrants and redeemable convertible preferred stock. Potential common shares that are anti-dilutive are excluded from the calculation of diluted net income per share.</w:t>
      </w:r>
    </w:p>
    <w:p>
      <w:pPr>
        <w:spacing w:after="0" w:line="57" w:lineRule="exact"/>
        <w:rPr>
          <w:sz w:val="20"/>
          <w:szCs w:val="20"/>
          <w:color w:val="auto"/>
        </w:rPr>
      </w:pPr>
    </w:p>
    <w:p>
      <w:pPr>
        <w:ind w:right="180" w:firstLine="222"/>
        <w:spacing w:after="0" w:line="277" w:lineRule="auto"/>
        <w:rPr>
          <w:sz w:val="20"/>
          <w:szCs w:val="20"/>
          <w:color w:val="auto"/>
        </w:rPr>
      </w:pPr>
      <w:r>
        <w:rPr>
          <w:rFonts w:ascii="Arial" w:cs="Arial" w:eastAsia="Arial" w:hAnsi="Arial"/>
          <w:sz w:val="18"/>
          <w:szCs w:val="18"/>
          <w:color w:val="auto"/>
        </w:rPr>
        <w:t>The following table presents the components of the computation of basic and diluted net income per share for the periods indicated (in thousands, except per share amounts):</w:t>
      </w:r>
    </w:p>
    <w:p>
      <w:pPr>
        <w:spacing w:after="0" w:line="166" w:lineRule="exact"/>
        <w:rPr>
          <w:sz w:val="20"/>
          <w:szCs w:val="20"/>
          <w:color w:val="auto"/>
        </w:rPr>
      </w:pPr>
    </w:p>
    <w:p>
      <w:pPr>
        <w:jc w:val="center"/>
        <w:ind w:left="9160"/>
        <w:spacing w:after="0"/>
        <w:rPr>
          <w:sz w:val="20"/>
          <w:szCs w:val="20"/>
          <w:color w:val="auto"/>
        </w:rPr>
      </w:pPr>
      <w:r>
        <w:rPr>
          <w:rFonts w:ascii="Arial" w:cs="Arial" w:eastAsia="Arial" w:hAnsi="Arial"/>
          <w:sz w:val="14"/>
          <w:szCs w:val="14"/>
          <w:color w:val="auto"/>
        </w:rPr>
        <w:t>Three Months Ended</w:t>
      </w:r>
    </w:p>
    <w:p>
      <w:pPr>
        <w:jc w:val="center"/>
        <w:ind w:left="9160"/>
        <w:spacing w:after="0" w:line="231" w:lineRule="auto"/>
        <w:rPr>
          <w:sz w:val="20"/>
          <w:szCs w:val="20"/>
          <w:color w:val="auto"/>
        </w:rPr>
      </w:pPr>
      <w:r>
        <w:rPr>
          <w:rFonts w:ascii="Arial" w:cs="Arial" w:eastAsia="Arial" w:hAnsi="Arial"/>
          <w:sz w:val="14"/>
          <w:szCs w:val="14"/>
          <w:color w:val="auto"/>
        </w:rPr>
        <w:t>March 31,</w:t>
      </w:r>
    </w:p>
    <w:tbl>
      <w:tblPr>
        <w:tblLayout w:type="fixed"/>
        <w:tblInd w:w="0" w:type="dxa"/>
        <w:tblCellMar>
          <w:top w:w="0" w:type="dxa"/>
          <w:left w:w="0" w:type="dxa"/>
          <w:bottom w:w="0" w:type="dxa"/>
          <w:right w:w="0" w:type="dxa"/>
        </w:tblCellMar>
      </w:tblPr>
      <w:tr>
        <w:trPr>
          <w:trHeight w:val="142"/>
        </w:trPr>
        <w:tc>
          <w:tcPr>
            <w:tcW w:w="67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2011</w:t>
            </w:r>
          </w:p>
        </w:tc>
        <w:tc>
          <w:tcPr>
            <w:tcW w:w="3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2010</w:t>
            </w:r>
          </w:p>
        </w:tc>
        <w:tc>
          <w:tcPr>
            <w:tcW w:w="100" w:type="dxa"/>
            <w:vAlign w:val="bottom"/>
          </w:tcPr>
          <w:p>
            <w:pPr>
              <w:spacing w:after="0"/>
              <w:rPr>
                <w:sz w:val="12"/>
                <w:szCs w:val="12"/>
                <w:color w:val="auto"/>
              </w:rPr>
            </w:pPr>
          </w:p>
        </w:tc>
      </w:tr>
      <w:tr>
        <w:trPr>
          <w:trHeight w:val="210"/>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2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0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2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492</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919</w:t>
            </w:r>
          </w:p>
        </w:tc>
      </w:tr>
      <w:tr>
        <w:trPr>
          <w:trHeight w:val="20"/>
        </w:trPr>
        <w:tc>
          <w:tcPr>
            <w:tcW w:w="67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2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00" w:type="dxa"/>
            <w:vAlign w:val="bottom"/>
          </w:tcPr>
          <w:p>
            <w:pPr>
              <w:ind w:left="220"/>
              <w:spacing w:after="0"/>
              <w:rPr>
                <w:sz w:val="20"/>
                <w:szCs w:val="20"/>
                <w:color w:val="auto"/>
              </w:rPr>
            </w:pPr>
            <w:r>
              <w:rPr>
                <w:rFonts w:ascii="Arial" w:cs="Arial" w:eastAsia="Arial" w:hAnsi="Arial"/>
                <w:sz w:val="18"/>
                <w:szCs w:val="18"/>
                <w:color w:val="auto"/>
              </w:rPr>
              <w:t>Weighted average common shares outstanding, basic</w:t>
            </w:r>
          </w:p>
        </w:tc>
        <w:tc>
          <w:tcPr>
            <w:tcW w:w="2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11,864</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327</w:t>
            </w:r>
          </w:p>
        </w:tc>
      </w:tr>
      <w:tr>
        <w:trPr>
          <w:trHeight w:val="216"/>
        </w:trPr>
        <w:tc>
          <w:tcPr>
            <w:tcW w:w="6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Options and warrants to purchase common and</w:t>
            </w:r>
          </w:p>
        </w:tc>
        <w:tc>
          <w:tcPr>
            <w:tcW w:w="2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00" w:type="dxa"/>
            <w:vAlign w:val="bottom"/>
          </w:tcPr>
          <w:p>
            <w:pPr>
              <w:ind w:left="620"/>
              <w:spacing w:after="0"/>
              <w:rPr>
                <w:sz w:val="20"/>
                <w:szCs w:val="20"/>
                <w:color w:val="auto"/>
              </w:rPr>
            </w:pPr>
            <w:r>
              <w:rPr>
                <w:rFonts w:ascii="Arial" w:cs="Arial" w:eastAsia="Arial" w:hAnsi="Arial"/>
                <w:sz w:val="18"/>
                <w:szCs w:val="18"/>
                <w:color w:val="auto"/>
              </w:rPr>
              <w:t>preferred stock</w:t>
            </w:r>
          </w:p>
        </w:tc>
        <w:tc>
          <w:tcPr>
            <w:tcW w:w="2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834</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1,104</w:t>
            </w:r>
          </w:p>
        </w:tc>
      </w:tr>
      <w:tr>
        <w:trPr>
          <w:trHeight w:val="216"/>
        </w:trPr>
        <w:tc>
          <w:tcPr>
            <w:tcW w:w="6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Redeemable convertible preferred stock</w:t>
            </w:r>
          </w:p>
        </w:tc>
        <w:tc>
          <w:tcPr>
            <w:tcW w:w="2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8,094</w:t>
            </w:r>
          </w:p>
        </w:tc>
      </w:tr>
      <w:tr>
        <w:trPr>
          <w:trHeight w:val="223"/>
        </w:trPr>
        <w:tc>
          <w:tcPr>
            <w:tcW w:w="6700" w:type="dxa"/>
            <w:vAlign w:val="bottom"/>
          </w:tcPr>
          <w:p>
            <w:pPr>
              <w:ind w:left="220"/>
              <w:spacing w:after="0"/>
              <w:rPr>
                <w:sz w:val="20"/>
                <w:szCs w:val="20"/>
                <w:color w:val="auto"/>
              </w:rPr>
            </w:pPr>
            <w:r>
              <w:rPr>
                <w:rFonts w:ascii="Arial" w:cs="Arial" w:eastAsia="Arial" w:hAnsi="Arial"/>
                <w:sz w:val="18"/>
                <w:szCs w:val="18"/>
                <w:color w:val="auto"/>
              </w:rPr>
              <w:t>Weighted average common shares outstanding, diluted</w:t>
            </w:r>
          </w:p>
        </w:tc>
        <w:tc>
          <w:tcPr>
            <w:tcW w:w="25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12,698</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9,525</w:t>
            </w:r>
          </w:p>
        </w:tc>
        <w:tc>
          <w:tcPr>
            <w:tcW w:w="100" w:type="dxa"/>
            <w:vAlign w:val="bottom"/>
          </w:tcPr>
          <w:p>
            <w:pPr>
              <w:spacing w:after="0"/>
              <w:rPr>
                <w:sz w:val="19"/>
                <w:szCs w:val="19"/>
                <w:color w:val="auto"/>
              </w:rPr>
            </w:pPr>
          </w:p>
        </w:tc>
      </w:tr>
      <w:tr>
        <w:trPr>
          <w:trHeight w:val="20"/>
        </w:trPr>
        <w:tc>
          <w:tcPr>
            <w:tcW w:w="67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w:t>
            </w:r>
          </w:p>
        </w:tc>
        <w:tc>
          <w:tcPr>
            <w:tcW w:w="2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00" w:type="dxa"/>
            <w:vAlign w:val="bottom"/>
          </w:tcPr>
          <w:p>
            <w:pPr>
              <w:ind w:left="220"/>
              <w:spacing w:after="0"/>
              <w:rPr>
                <w:sz w:val="20"/>
                <w:szCs w:val="20"/>
                <w:color w:val="auto"/>
              </w:rPr>
            </w:pPr>
            <w:r>
              <w:rPr>
                <w:rFonts w:ascii="Arial" w:cs="Arial" w:eastAsia="Arial" w:hAnsi="Arial"/>
                <w:sz w:val="18"/>
                <w:szCs w:val="18"/>
                <w:color w:val="auto"/>
              </w:rPr>
              <w:t>Basic</w:t>
            </w:r>
          </w:p>
        </w:tc>
        <w:tc>
          <w:tcPr>
            <w:tcW w:w="2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0.04</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2.81</w:t>
            </w:r>
          </w:p>
        </w:tc>
      </w:tr>
      <w:tr>
        <w:trPr>
          <w:trHeight w:val="20"/>
        </w:trPr>
        <w:tc>
          <w:tcPr>
            <w:tcW w:w="67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2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0.04</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0.10</w:t>
            </w:r>
          </w:p>
        </w:tc>
      </w:tr>
      <w:tr>
        <w:trPr>
          <w:trHeight w:val="20"/>
        </w:trPr>
        <w:tc>
          <w:tcPr>
            <w:tcW w:w="67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80" w:firstLine="222"/>
        <w:spacing w:after="0" w:line="277" w:lineRule="auto"/>
        <w:rPr>
          <w:sz w:val="20"/>
          <w:szCs w:val="20"/>
          <w:color w:val="auto"/>
        </w:rPr>
      </w:pPr>
      <w:r>
        <w:rPr>
          <w:rFonts w:ascii="Arial" w:cs="Arial" w:eastAsia="Arial" w:hAnsi="Arial"/>
          <w:sz w:val="18"/>
          <w:szCs w:val="18"/>
          <w:color w:val="auto"/>
        </w:rPr>
        <w:t>The following outstanding options, warrants and redeemable convertible preferred stock were excluded from the computation of diluted net income per share for the periods indicated because they were anti-dilutive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800" w:type="dxa"/>
            <w:vAlign w:val="bottom"/>
            <w:gridSpan w:val="3"/>
          </w:tcPr>
          <w:p>
            <w:pPr>
              <w:jc w:val="center"/>
              <w:ind w:left="501"/>
              <w:spacing w:after="0"/>
              <w:rPr>
                <w:sz w:val="20"/>
                <w:szCs w:val="20"/>
                <w:color w:val="auto"/>
              </w:rPr>
            </w:pPr>
            <w:r>
              <w:rPr>
                <w:rFonts w:ascii="Arial" w:cs="Arial" w:eastAsia="Arial" w:hAnsi="Arial"/>
                <w:sz w:val="14"/>
                <w:szCs w:val="14"/>
                <w:color w:val="auto"/>
                <w:w w:val="93"/>
              </w:rPr>
              <w:t>Three Months Ended</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10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800" w:type="dxa"/>
            <w:vAlign w:val="bottom"/>
            <w:tcBorders>
              <w:bottom w:val="single" w:sz="8" w:color="auto"/>
            </w:tcBorders>
            <w:gridSpan w:val="3"/>
          </w:tcPr>
          <w:p>
            <w:pPr>
              <w:jc w:val="center"/>
              <w:ind w:left="501"/>
              <w:spacing w:after="0"/>
              <w:rPr>
                <w:sz w:val="20"/>
                <w:szCs w:val="20"/>
                <w:color w:val="auto"/>
              </w:rPr>
            </w:pPr>
            <w:r>
              <w:rPr>
                <w:rFonts w:ascii="Arial" w:cs="Arial" w:eastAsia="Arial" w:hAnsi="Arial"/>
                <w:sz w:val="14"/>
                <w:szCs w:val="14"/>
                <w:color w:val="auto"/>
                <w:w w:val="93"/>
              </w:rPr>
              <w:t>March 31,</w:t>
            </w:r>
          </w:p>
        </w:tc>
        <w:tc>
          <w:tcPr>
            <w:tcW w:w="5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00" w:type="dxa"/>
            <w:vAlign w:val="bottom"/>
            <w:vMerge w:val="restart"/>
          </w:tcPr>
          <w:p>
            <w:pPr>
              <w:spacing w:after="0"/>
              <w:rPr>
                <w:sz w:val="20"/>
                <w:szCs w:val="20"/>
                <w:color w:val="auto"/>
              </w:rPr>
            </w:pPr>
            <w:r>
              <w:rPr>
                <w:rFonts w:ascii="Arial" w:cs="Arial" w:eastAsia="Arial" w:hAnsi="Arial"/>
                <w:sz w:val="18"/>
                <w:szCs w:val="18"/>
                <w:color w:val="auto"/>
              </w:rPr>
              <w:t>Options and warrants to purchase common and preferred stock</w:t>
            </w:r>
          </w:p>
        </w:tc>
        <w:tc>
          <w:tcPr>
            <w:tcW w:w="3940" w:type="dxa"/>
            <w:vAlign w:val="bottom"/>
          </w:tcPr>
          <w:p>
            <w:pPr>
              <w:spacing w:after="0"/>
              <w:rPr>
                <w:sz w:val="12"/>
                <w:szCs w:val="12"/>
                <w:color w:val="auto"/>
              </w:rPr>
            </w:pPr>
          </w:p>
        </w:tc>
        <w:tc>
          <w:tcPr>
            <w:tcW w:w="940" w:type="dxa"/>
            <w:vAlign w:val="bottom"/>
            <w:tcBorders>
              <w:bottom w:val="single" w:sz="8" w:color="auto"/>
            </w:tcBorders>
          </w:tcPr>
          <w:p>
            <w:pPr>
              <w:jc w:val="right"/>
              <w:ind w:right="241"/>
              <w:spacing w:after="0" w:line="142" w:lineRule="exact"/>
              <w:rPr>
                <w:sz w:val="20"/>
                <w:szCs w:val="20"/>
                <w:color w:val="auto"/>
              </w:rPr>
            </w:pPr>
            <w:r>
              <w:rPr>
                <w:rFonts w:ascii="Arial" w:cs="Arial" w:eastAsia="Arial" w:hAnsi="Arial"/>
                <w:sz w:val="14"/>
                <w:szCs w:val="14"/>
                <w:color w:val="auto"/>
              </w:rPr>
              <w:t>2011</w:t>
            </w:r>
          </w:p>
        </w:tc>
        <w:tc>
          <w:tcPr>
            <w:tcW w:w="5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96"/>
              <w:spacing w:after="0" w:line="142" w:lineRule="exact"/>
              <w:rPr>
                <w:sz w:val="20"/>
                <w:szCs w:val="20"/>
                <w:color w:val="auto"/>
              </w:rPr>
            </w:pPr>
            <w:r>
              <w:rPr>
                <w:rFonts w:ascii="Arial" w:cs="Arial" w:eastAsia="Arial" w:hAnsi="Arial"/>
                <w:sz w:val="14"/>
                <w:szCs w:val="14"/>
                <w:color w:val="auto"/>
                <w:w w:val="89"/>
              </w:rPr>
              <w:t>2010</w:t>
            </w:r>
          </w:p>
        </w:tc>
        <w:tc>
          <w:tcPr>
            <w:tcW w:w="0" w:type="dxa"/>
            <w:vAlign w:val="bottom"/>
          </w:tcPr>
          <w:p>
            <w:pPr>
              <w:spacing w:after="0"/>
              <w:rPr>
                <w:sz w:val="1"/>
                <w:szCs w:val="1"/>
                <w:color w:val="auto"/>
              </w:rPr>
            </w:pPr>
          </w:p>
        </w:tc>
      </w:tr>
      <w:tr>
        <w:trPr>
          <w:trHeight w:val="195"/>
        </w:trPr>
        <w:tc>
          <w:tcPr>
            <w:tcW w:w="5100" w:type="dxa"/>
            <w:vAlign w:val="bottom"/>
            <w:vMerge w:val="continue"/>
          </w:tcPr>
          <w:p>
            <w:pPr>
              <w:spacing w:after="0"/>
              <w:rPr>
                <w:sz w:val="16"/>
                <w:szCs w:val="16"/>
                <w:color w:val="auto"/>
              </w:rPr>
            </w:pPr>
          </w:p>
        </w:tc>
        <w:tc>
          <w:tcPr>
            <w:tcW w:w="3940" w:type="dxa"/>
            <w:vAlign w:val="bottom"/>
          </w:tcPr>
          <w:p>
            <w:pPr>
              <w:spacing w:after="0"/>
              <w:rPr>
                <w:sz w:val="16"/>
                <w:szCs w:val="16"/>
                <w:color w:val="auto"/>
              </w:rPr>
            </w:pPr>
          </w:p>
        </w:tc>
        <w:tc>
          <w:tcPr>
            <w:tcW w:w="940" w:type="dxa"/>
            <w:vAlign w:val="bottom"/>
          </w:tcPr>
          <w:p>
            <w:pPr>
              <w:jc w:val="right"/>
              <w:ind w:right="241"/>
              <w:spacing w:after="0" w:line="195" w:lineRule="exact"/>
              <w:rPr>
                <w:sz w:val="20"/>
                <w:szCs w:val="20"/>
                <w:color w:val="auto"/>
              </w:rPr>
            </w:pPr>
            <w:r>
              <w:rPr>
                <w:rFonts w:ascii="Arial" w:cs="Arial" w:eastAsia="Arial" w:hAnsi="Arial"/>
                <w:sz w:val="18"/>
                <w:szCs w:val="18"/>
                <w:color w:val="auto"/>
              </w:rPr>
              <w:t>235</w:t>
            </w: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jc w:val="right"/>
              <w:ind w:right="256"/>
              <w:spacing w:after="0" w:line="195"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5100" w:type="dxa"/>
            <w:vAlign w:val="bottom"/>
          </w:tcPr>
          <w:p>
            <w:pPr>
              <w:spacing w:after="0"/>
              <w:rPr>
                <w:sz w:val="20"/>
                <w:szCs w:val="20"/>
                <w:color w:val="auto"/>
              </w:rPr>
            </w:pPr>
            <w:r>
              <w:rPr>
                <w:rFonts w:ascii="Arial" w:cs="Arial" w:eastAsia="Arial" w:hAnsi="Arial"/>
                <w:sz w:val="18"/>
                <w:szCs w:val="18"/>
                <w:color w:val="auto"/>
              </w:rPr>
              <w:t>Redeemable convertible preferred stock</w:t>
            </w:r>
          </w:p>
        </w:tc>
        <w:tc>
          <w:tcPr>
            <w:tcW w:w="3940" w:type="dxa"/>
            <w:vAlign w:val="bottom"/>
          </w:tcPr>
          <w:p>
            <w:pPr>
              <w:spacing w:after="0"/>
              <w:rPr>
                <w:sz w:val="20"/>
                <w:szCs w:val="20"/>
                <w:color w:val="auto"/>
              </w:rPr>
            </w:pPr>
          </w:p>
        </w:tc>
        <w:tc>
          <w:tcPr>
            <w:tcW w:w="1800" w:type="dxa"/>
            <w:vAlign w:val="bottom"/>
            <w:gridSpan w:val="3"/>
          </w:tcPr>
          <w:p>
            <w:pPr>
              <w:jc w:val="right"/>
              <w:ind w:right="118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25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5"/>
        </w:trPr>
        <w:tc>
          <w:tcPr>
            <w:tcW w:w="5100" w:type="dxa"/>
            <w:vAlign w:val="bottom"/>
          </w:tcPr>
          <w:p>
            <w:pPr>
              <w:spacing w:after="0"/>
              <w:rPr>
                <w:sz w:val="24"/>
                <w:szCs w:val="24"/>
                <w:color w:val="auto"/>
              </w:rPr>
            </w:pPr>
          </w:p>
        </w:tc>
        <w:tc>
          <w:tcPr>
            <w:tcW w:w="3940" w:type="dxa"/>
            <w:vAlign w:val="bottom"/>
          </w:tcPr>
          <w:p>
            <w:pPr>
              <w:jc w:val="right"/>
              <w:ind w:right="3190"/>
              <w:spacing w:after="0"/>
              <w:rPr>
                <w:sz w:val="20"/>
                <w:szCs w:val="20"/>
                <w:color w:val="auto"/>
              </w:rPr>
            </w:pPr>
            <w:r>
              <w:rPr>
                <w:rFonts w:ascii="Arial" w:cs="Arial" w:eastAsia="Arial" w:hAnsi="Arial"/>
                <w:sz w:val="18"/>
                <w:szCs w:val="18"/>
                <w:color w:val="auto"/>
              </w:rPr>
              <w:t>9</w:t>
            </w: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5100" w:type="dxa"/>
            <w:vAlign w:val="bottom"/>
            <w:tcBorders>
              <w:bottom w:val="single" w:sz="8" w:color="808080"/>
            </w:tcBorders>
          </w:tcPr>
          <w:p>
            <w:pPr>
              <w:spacing w:after="0"/>
              <w:rPr>
                <w:sz w:val="19"/>
                <w:szCs w:val="19"/>
                <w:color w:val="auto"/>
              </w:rPr>
            </w:pPr>
          </w:p>
        </w:tc>
        <w:tc>
          <w:tcPr>
            <w:tcW w:w="394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340" w:firstLine="222"/>
        <w:spacing w:after="0" w:line="259" w:lineRule="auto"/>
        <w:rPr>
          <w:sz w:val="20"/>
          <w:szCs w:val="20"/>
          <w:color w:val="auto"/>
        </w:rPr>
      </w:pPr>
      <w:r>
        <w:rPr>
          <w:rFonts w:ascii="Arial" w:cs="Arial" w:eastAsia="Arial" w:hAnsi="Arial"/>
          <w:sz w:val="18"/>
          <w:szCs w:val="18"/>
          <w:color w:val="auto"/>
        </w:rPr>
        <w:t>We are a leading provider of on-demand supply chain management solutions, providing integration, collaboration, connectivity, visibility and data analytics to thousands of trading partners worldwide. We provide our solutions through SPSCommerce.net, a hosted software suite that improves the way suppliers, retailers, distributors and other trading partners manage and fulfill orders. We deliver our solutions to our customers over the Internet using a Software-as-a-Service model.</w:t>
      </w:r>
    </w:p>
    <w:p>
      <w:pPr>
        <w:spacing w:after="0" w:line="79" w:lineRule="exact"/>
        <w:rPr>
          <w:sz w:val="20"/>
          <w:szCs w:val="20"/>
          <w:color w:val="auto"/>
        </w:rPr>
      </w:pPr>
    </w:p>
    <w:p>
      <w:pPr>
        <w:ind w:right="40" w:firstLine="222"/>
        <w:spacing w:after="0" w:line="312" w:lineRule="auto"/>
        <w:rPr>
          <w:sz w:val="20"/>
          <w:szCs w:val="20"/>
          <w:color w:val="auto"/>
        </w:rPr>
      </w:pPr>
      <w:r>
        <w:rPr>
          <w:rFonts w:ascii="Arial" w:cs="Arial" w:eastAsia="Arial" w:hAnsi="Arial"/>
          <w:sz w:val="16"/>
          <w:szCs w:val="16"/>
          <w:color w:val="auto"/>
        </w:rPr>
        <w:t>We plan to grow our business by further penetrating the supply chain management market, increasing revenues from our customers as their businesses grow, expanding our distribution channels, expanding our international presence and developing new solutions and applications. We also intend to selectively pursue acquisitions that will add customers, allow us to expand into new regions or industries or allow us to offer new functionalities.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Financial Terms and Metrics</w:t>
      </w:r>
    </w:p>
    <w:p>
      <w:pPr>
        <w:spacing w:after="0" w:line="121" w:lineRule="exact"/>
        <w:rPr>
          <w:sz w:val="20"/>
          <w:szCs w:val="20"/>
          <w:color w:val="auto"/>
        </w:rPr>
      </w:pPr>
    </w:p>
    <w:p>
      <w:pPr>
        <w:ind w:right="160" w:firstLine="222"/>
        <w:spacing w:after="0" w:line="279" w:lineRule="auto"/>
        <w:rPr>
          <w:sz w:val="20"/>
          <w:szCs w:val="20"/>
          <w:color w:val="auto"/>
        </w:rPr>
      </w:pPr>
      <w:r>
        <w:rPr>
          <w:rFonts w:ascii="Arial" w:cs="Arial" w:eastAsia="Arial" w:hAnsi="Arial"/>
          <w:sz w:val="17"/>
          <w:szCs w:val="17"/>
          <w:color w:val="auto"/>
        </w:rPr>
        <w:t>We have several key financial terms and metrics, including annualized average recurring revenues per recurring revenue customer. During the three months ended March 31, 2011, there were no changes in the definitions of our key financial terms and metrics, which are discussed in more detail under the heading “</w:t>
      </w:r>
      <w:r>
        <w:rPr>
          <w:rFonts w:ascii="Arial" w:cs="Arial" w:eastAsia="Arial" w:hAnsi="Arial"/>
          <w:sz w:val="17"/>
          <w:szCs w:val="17"/>
          <w:i w:val="1"/>
          <w:iCs w:val="1"/>
          <w:color w:val="auto"/>
        </w:rPr>
        <w:t>Management’s Discussion and Analysis of Financial Condition and Results of Operations</w:t>
      </w:r>
      <w:r>
        <w:rPr>
          <w:rFonts w:ascii="Arial" w:cs="Arial" w:eastAsia="Arial" w:hAnsi="Arial"/>
          <w:sz w:val="17"/>
          <w:szCs w:val="17"/>
          <w:color w:val="auto"/>
        </w:rPr>
        <w:t>” included in our Annual Report on Form 10-K for the year ended December 31, 2010 as filed with the Securities and Exchange Commission on March 3, 2011.</w:t>
      </w:r>
    </w:p>
    <w:p>
      <w:pPr>
        <w:spacing w:after="0" w:line="63" w:lineRule="exact"/>
        <w:rPr>
          <w:sz w:val="20"/>
          <w:szCs w:val="20"/>
          <w:color w:val="auto"/>
        </w:rPr>
      </w:pPr>
    </w:p>
    <w:p>
      <w:pPr>
        <w:ind w:right="100" w:firstLine="222"/>
        <w:spacing w:after="0" w:line="276" w:lineRule="auto"/>
        <w:rPr>
          <w:sz w:val="20"/>
          <w:szCs w:val="20"/>
          <w:color w:val="auto"/>
        </w:rPr>
      </w:pPr>
      <w:r>
        <w:rPr>
          <w:rFonts w:ascii="Arial" w:cs="Arial" w:eastAsia="Arial" w:hAnsi="Arial"/>
          <w:sz w:val="17"/>
          <w:szCs w:val="17"/>
          <w:color w:val="auto"/>
        </w:rPr>
        <w:t>To supplement our financial statements, we also provide investors with Adjusted EBITDA and non-GAAP net income per share, both of which are non-GAAP financial measures. We believe that these non-GAAP measures provide useful information to management and investors regarding certain financial and business trends relating to our financial condition and results of operations. Our management uses these non-GAAP measures to compare the company’s performance to that of prior periods for trend analyses and planning purposes. Adjusted EBITDA is also used for purposes of determining executive and senior management incentive compensation. These measures are also presented to our board of directors.</w:t>
      </w:r>
    </w:p>
    <w:p>
      <w:pPr>
        <w:spacing w:after="0" w:line="64" w:lineRule="exact"/>
        <w:rPr>
          <w:sz w:val="20"/>
          <w:szCs w:val="20"/>
          <w:color w:val="auto"/>
        </w:rPr>
      </w:pPr>
    </w:p>
    <w:p>
      <w:pPr>
        <w:ind w:firstLine="222"/>
        <w:spacing w:after="0" w:line="257" w:lineRule="auto"/>
        <w:rPr>
          <w:sz w:val="20"/>
          <w:szCs w:val="20"/>
          <w:color w:val="auto"/>
        </w:rPr>
      </w:pPr>
      <w:r>
        <w:rPr>
          <w:rFonts w:ascii="Arial" w:cs="Arial" w:eastAsia="Arial" w:hAnsi="Arial"/>
          <w:sz w:val="18"/>
          <w:szCs w:val="18"/>
          <w:color w:val="auto"/>
        </w:rPr>
        <w:t>These non-GAAP measures should not be considered a substitute for, or superior to, financial measures calculated in accordance with generally accepted accounting principles in the United States. These non-GAAP financial measures exclude significant expenses and income that are required by GAAP to be recorded in the company’s financial statements and are subject to inherent limitations. Investors should review the reconciliations of non-GAAP financial measures to the comparable GAAP financial measures that are included in this “</w:t>
      </w:r>
      <w:r>
        <w:rPr>
          <w:rFonts w:ascii="Arial" w:cs="Arial" w:eastAsia="Arial" w:hAnsi="Arial"/>
          <w:sz w:val="18"/>
          <w:szCs w:val="18"/>
          <w:i w:val="1"/>
          <w:iCs w:val="1"/>
          <w:color w:val="auto"/>
        </w:rPr>
        <w:t>Management’s Discussion and Analysis of Financial Condition and Results of</w:t>
      </w:r>
      <w:r>
        <w:rPr>
          <w:rFonts w:ascii="Arial" w:cs="Arial" w:eastAsia="Arial" w:hAnsi="Arial"/>
          <w:sz w:val="18"/>
          <w:szCs w:val="18"/>
          <w:color w:val="auto"/>
        </w:rPr>
        <w:t xml:space="preserve"> </w:t>
      </w:r>
      <w:r>
        <w:rPr>
          <w:rFonts w:ascii="Arial" w:cs="Arial" w:eastAsia="Arial" w:hAnsi="Arial"/>
          <w:sz w:val="18"/>
          <w:szCs w:val="18"/>
          <w:i w:val="1"/>
          <w:iCs w:val="1"/>
          <w:color w:val="auto"/>
        </w:rPr>
        <w:t>Operations.</w:t>
      </w:r>
      <w:r>
        <w:rPr>
          <w:rFonts w:ascii="Arial" w:cs="Arial" w:eastAsia="Arial" w:hAnsi="Arial"/>
          <w:sz w:val="18"/>
          <w:szCs w:val="18"/>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100" w:firstLine="222"/>
        <w:spacing w:after="0" w:line="297" w:lineRule="auto"/>
        <w:rPr>
          <w:sz w:val="20"/>
          <w:szCs w:val="20"/>
          <w:color w:val="auto"/>
        </w:rPr>
      </w:pPr>
      <w:r>
        <w:rPr>
          <w:rFonts w:ascii="Arial" w:cs="Arial" w:eastAsia="Arial" w:hAnsi="Arial"/>
          <w:sz w:val="16"/>
          <w:szCs w:val="16"/>
          <w:color w:val="auto"/>
        </w:rPr>
        <w:t>This discussion of our financial condition and results of operations is based upon our financial statements, which are prepared in accordance with accounting principles generally accepted in the United States of America. The preparation of these financial statements requires us to make estimates, judgments and assumptions that affect the reported amounts of assets, liabilities, revenues, costs and expenses and related disclosures. We base our estimates of the carrying value of certain assets and liabilities on historical experience and on various other assumptions that we believe to be reasonable. On an ongoing basis, we evaluate our estimates and assumptions. Our actual results may differ from these estimates under different assumptions or conditions.</w:t>
      </w:r>
    </w:p>
    <w:p>
      <w:pPr>
        <w:spacing w:after="0" w:line="50" w:lineRule="exact"/>
        <w:rPr>
          <w:sz w:val="20"/>
          <w:szCs w:val="20"/>
          <w:color w:val="auto"/>
        </w:rPr>
      </w:pPr>
    </w:p>
    <w:p>
      <w:pPr>
        <w:ind w:firstLine="222"/>
        <w:spacing w:after="0" w:line="259" w:lineRule="auto"/>
        <w:rPr>
          <w:sz w:val="20"/>
          <w:szCs w:val="20"/>
          <w:color w:val="auto"/>
        </w:rPr>
      </w:pPr>
      <w:r>
        <w:rPr>
          <w:rFonts w:ascii="Arial" w:cs="Arial" w:eastAsia="Arial" w:hAnsi="Arial"/>
          <w:sz w:val="18"/>
          <w:szCs w:val="18"/>
          <w:color w:val="auto"/>
        </w:rPr>
        <w:t>We believe that of our significant accounting policies, the following accounting policies involve a greater degree of judgment, complexity and effect on materiality. A critical accounting policy is one that is both material to the presentation of our financial statements and requires us to make difficult, subjective or complex judgments for uncertain matters that could have a material effect on our financial condition and results of operations. Accordingly, we believe that our policies for revenue recognition, the allowance for doubtful accounts, income taxes, stock-based</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compensation and the valuation of goodwill are the most critical to aid in fully understanding and evaluating our financial condition and results of operations.</w:t>
      </w:r>
    </w:p>
    <w:p>
      <w:pPr>
        <w:spacing w:after="0" w:line="140" w:lineRule="exact"/>
        <w:rPr>
          <w:sz w:val="20"/>
          <w:szCs w:val="20"/>
          <w:color w:val="auto"/>
        </w:rPr>
      </w:pPr>
    </w:p>
    <w:p>
      <w:pPr>
        <w:ind w:right="60" w:firstLine="225"/>
        <w:spacing w:after="0" w:line="259" w:lineRule="auto"/>
        <w:rPr>
          <w:sz w:val="20"/>
          <w:szCs w:val="20"/>
          <w:color w:val="auto"/>
        </w:rPr>
      </w:pPr>
      <w:r>
        <w:rPr>
          <w:rFonts w:ascii="Arial" w:cs="Arial" w:eastAsia="Arial" w:hAnsi="Arial"/>
          <w:sz w:val="18"/>
          <w:szCs w:val="18"/>
          <w:color w:val="auto"/>
        </w:rPr>
        <w:t>During the three months ended March 31, 2011, there were no significant changes in our critical accounting policies or estimates. See Note A to our financial statements included elsewhere in this Quarterly Report on Form 10-Q and in our Annual Report on Form 10-K for the year ended December 31, 2010 as filed with the Securities and Exchange Commission on March 3, 2011 for additional information regarding our critical accounting policies, as well as a description of our other significant accounting policies.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presents our results of operations for the periods indicated (dollars in thousands):</w:t>
      </w:r>
    </w:p>
    <w:p>
      <w:pPr>
        <w:spacing w:after="0" w:line="220" w:lineRule="exact"/>
        <w:rPr>
          <w:sz w:val="20"/>
          <w:szCs w:val="20"/>
          <w:color w:val="auto"/>
        </w:rPr>
      </w:pPr>
    </w:p>
    <w:p>
      <w:pPr>
        <w:jc w:val="center"/>
        <w:ind w:left="740"/>
        <w:spacing w:after="0"/>
        <w:rPr>
          <w:sz w:val="20"/>
          <w:szCs w:val="20"/>
          <w:color w:val="auto"/>
        </w:rPr>
      </w:pPr>
      <w:r>
        <w:rPr>
          <w:rFonts w:ascii="Arial" w:cs="Arial" w:eastAsia="Arial" w:hAnsi="Arial"/>
          <w:sz w:val="14"/>
          <w:szCs w:val="14"/>
          <w:color w:val="auto"/>
        </w:rPr>
        <w:t>Three Months Ended</w:t>
      </w:r>
    </w:p>
    <w:p>
      <w:pPr>
        <w:jc w:val="center"/>
        <w:ind w:left="740"/>
        <w:spacing w:after="0" w:line="231" w:lineRule="auto"/>
        <w:rPr>
          <w:sz w:val="20"/>
          <w:szCs w:val="20"/>
          <w:color w:val="auto"/>
        </w:rPr>
      </w:pPr>
      <w:r>
        <w:rPr>
          <w:rFonts w:ascii="Arial" w:cs="Arial" w:eastAsia="Arial" w:hAnsi="Arial"/>
          <w:sz w:val="14"/>
          <w:szCs w:val="14"/>
          <w:color w:val="auto"/>
        </w:rPr>
        <w:t>March 31,</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jc w:val="right"/>
              <w:ind w:right="812"/>
              <w:spacing w:after="0" w:line="142" w:lineRule="exact"/>
              <w:rPr>
                <w:sz w:val="20"/>
                <w:szCs w:val="20"/>
                <w:color w:val="auto"/>
              </w:rPr>
            </w:pPr>
            <w:r>
              <w:rPr>
                <w:rFonts w:ascii="Arial" w:cs="Arial" w:eastAsia="Arial" w:hAnsi="Arial"/>
                <w:sz w:val="14"/>
                <w:szCs w:val="14"/>
                <w:color w:val="auto"/>
              </w:rPr>
              <w:t>2011</w:t>
            </w:r>
          </w:p>
        </w:tc>
        <w:tc>
          <w:tcPr>
            <w:tcW w:w="7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jc w:val="right"/>
              <w:ind w:right="812"/>
              <w:spacing w:after="0" w:line="142" w:lineRule="exact"/>
              <w:rPr>
                <w:sz w:val="20"/>
                <w:szCs w:val="20"/>
                <w:color w:val="auto"/>
              </w:rPr>
            </w:pPr>
            <w:r>
              <w:rPr>
                <w:rFonts w:ascii="Arial" w:cs="Arial" w:eastAsia="Arial" w:hAnsi="Arial"/>
                <w:sz w:val="14"/>
                <w:szCs w:val="14"/>
                <w:color w:val="auto"/>
              </w:rPr>
              <w:t>2010</w:t>
            </w: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20" w:type="dxa"/>
            <w:vAlign w:val="bottom"/>
            <w:gridSpan w:val="2"/>
          </w:tcPr>
          <w:p>
            <w:pPr>
              <w:jc w:val="right"/>
              <w:ind w:right="940"/>
              <w:spacing w:after="0" w:line="142" w:lineRule="exact"/>
              <w:rPr>
                <w:sz w:val="20"/>
                <w:szCs w:val="20"/>
                <w:color w:val="auto"/>
              </w:rPr>
            </w:pPr>
            <w:r>
              <w:rPr>
                <w:rFonts w:ascii="Arial" w:cs="Arial" w:eastAsia="Arial" w:hAnsi="Arial"/>
                <w:sz w:val="14"/>
                <w:szCs w:val="14"/>
                <w:color w:val="auto"/>
                <w:w w:val="93"/>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 of revenue</w:t>
            </w:r>
          </w:p>
        </w:tc>
        <w:tc>
          <w:tcPr>
            <w:tcW w:w="7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 of revenue</w:t>
            </w: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Borders>
              <w:top w:val="single" w:sz="8" w:color="auto"/>
            </w:tcBorders>
          </w:tcPr>
          <w:p>
            <w:pPr>
              <w:jc w:val="right"/>
              <w:ind w:right="299"/>
              <w:spacing w:after="0" w:line="142" w:lineRule="exact"/>
              <w:rPr>
                <w:sz w:val="20"/>
                <w:szCs w:val="20"/>
                <w:color w:val="auto"/>
              </w:rPr>
            </w:pPr>
            <w:r>
              <w:rPr>
                <w:rFonts w:ascii="Arial" w:cs="Arial" w:eastAsia="Arial" w:hAnsi="Arial"/>
                <w:sz w:val="14"/>
                <w:szCs w:val="14"/>
                <w:color w:val="auto"/>
              </w:rPr>
              <w:t>$</w:t>
            </w:r>
          </w:p>
        </w:tc>
        <w:tc>
          <w:tcPr>
            <w:tcW w:w="1260" w:type="dxa"/>
            <w:vAlign w:val="bottom"/>
            <w:tcBorders>
              <w:top w:val="single" w:sz="8" w:color="auto"/>
            </w:tcBorders>
          </w:tcPr>
          <w:p>
            <w:pPr>
              <w:jc w:val="right"/>
              <w:ind w:right="192"/>
              <w:spacing w:after="0" w:line="142"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12,649</w:t>
            </w:r>
          </w:p>
        </w:tc>
        <w:tc>
          <w:tcPr>
            <w:tcW w:w="20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100.0%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10,243</w:t>
            </w:r>
          </w:p>
        </w:tc>
        <w:tc>
          <w:tcPr>
            <w:tcW w:w="1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2,406</w:t>
            </w: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Cost of revenues</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3,321</w:t>
            </w:r>
          </w:p>
        </w:tc>
        <w:tc>
          <w:tcPr>
            <w:tcW w:w="2000" w:type="dxa"/>
            <w:vAlign w:val="bottom"/>
            <w:gridSpan w:val="2"/>
          </w:tcPr>
          <w:p>
            <w:pPr>
              <w:jc w:val="right"/>
              <w:ind w:right="720"/>
              <w:spacing w:after="0"/>
              <w:rPr>
                <w:sz w:val="20"/>
                <w:szCs w:val="20"/>
                <w:color w:val="auto"/>
              </w:rPr>
            </w:pPr>
            <w:r>
              <w:rPr>
                <w:rFonts w:ascii="Arial" w:cs="Arial" w:eastAsia="Arial" w:hAnsi="Arial"/>
                <w:sz w:val="18"/>
                <w:szCs w:val="18"/>
                <w:color w:val="auto"/>
              </w:rPr>
              <w:t>26.3</w:t>
            </w:r>
          </w:p>
        </w:tc>
        <w:tc>
          <w:tcPr>
            <w:tcW w:w="14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2,981</w:t>
            </w:r>
          </w:p>
        </w:tc>
        <w:tc>
          <w:tcPr>
            <w:tcW w:w="1700" w:type="dxa"/>
            <w:vAlign w:val="bottom"/>
            <w:gridSpan w:val="2"/>
          </w:tcPr>
          <w:p>
            <w:pPr>
              <w:jc w:val="right"/>
              <w:ind w:right="420"/>
              <w:spacing w:after="0"/>
              <w:rPr>
                <w:sz w:val="20"/>
                <w:szCs w:val="20"/>
                <w:color w:val="auto"/>
              </w:rPr>
            </w:pPr>
            <w:r>
              <w:rPr>
                <w:rFonts w:ascii="Arial" w:cs="Arial" w:eastAsia="Arial" w:hAnsi="Arial"/>
                <w:sz w:val="18"/>
                <w:szCs w:val="18"/>
                <w:color w:val="auto"/>
              </w:rPr>
              <w:t>29.1</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340</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Gross profit</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9,328</w:t>
            </w:r>
          </w:p>
        </w:tc>
        <w:tc>
          <w:tcPr>
            <w:tcW w:w="20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73.7</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7,262</w:t>
            </w:r>
          </w:p>
        </w:tc>
        <w:tc>
          <w:tcPr>
            <w:tcW w:w="17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70.9</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2,066</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23"/>
        </w:trPr>
        <w:tc>
          <w:tcPr>
            <w:tcW w:w="32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4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Sales and marketing</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5,126</w:t>
            </w:r>
          </w:p>
        </w:tc>
        <w:tc>
          <w:tcPr>
            <w:tcW w:w="20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40.5</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3,507</w:t>
            </w:r>
          </w:p>
        </w:tc>
        <w:tc>
          <w:tcPr>
            <w:tcW w:w="17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34.2</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1,619</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1,240</w:t>
            </w:r>
          </w:p>
        </w:tc>
        <w:tc>
          <w:tcPr>
            <w:tcW w:w="2000" w:type="dxa"/>
            <w:vAlign w:val="bottom"/>
            <w:gridSpan w:val="2"/>
          </w:tcPr>
          <w:p>
            <w:pPr>
              <w:jc w:val="right"/>
              <w:ind w:right="720"/>
              <w:spacing w:after="0"/>
              <w:rPr>
                <w:sz w:val="20"/>
                <w:szCs w:val="20"/>
                <w:color w:val="auto"/>
              </w:rPr>
            </w:pPr>
            <w:r>
              <w:rPr>
                <w:rFonts w:ascii="Arial" w:cs="Arial" w:eastAsia="Arial" w:hAnsi="Arial"/>
                <w:sz w:val="18"/>
                <w:szCs w:val="18"/>
                <w:color w:val="auto"/>
              </w:rPr>
              <w:t>9.8</w:t>
            </w:r>
          </w:p>
        </w:tc>
        <w:tc>
          <w:tcPr>
            <w:tcW w:w="14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1,043</w:t>
            </w:r>
          </w:p>
        </w:tc>
        <w:tc>
          <w:tcPr>
            <w:tcW w:w="1700" w:type="dxa"/>
            <w:vAlign w:val="bottom"/>
            <w:gridSpan w:val="2"/>
          </w:tcPr>
          <w:p>
            <w:pPr>
              <w:jc w:val="right"/>
              <w:ind w:right="420"/>
              <w:spacing w:after="0"/>
              <w:rPr>
                <w:sz w:val="20"/>
                <w:szCs w:val="20"/>
                <w:color w:val="auto"/>
              </w:rPr>
            </w:pPr>
            <w:r>
              <w:rPr>
                <w:rFonts w:ascii="Arial" w:cs="Arial" w:eastAsia="Arial" w:hAnsi="Arial"/>
                <w:sz w:val="18"/>
                <w:szCs w:val="18"/>
                <w:color w:val="auto"/>
              </w:rPr>
              <w:t>10.2</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197</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General and administrative</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2,455</w:t>
            </w:r>
          </w:p>
        </w:tc>
        <w:tc>
          <w:tcPr>
            <w:tcW w:w="20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19.4</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1,665</w:t>
            </w:r>
          </w:p>
        </w:tc>
        <w:tc>
          <w:tcPr>
            <w:tcW w:w="17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16.3</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00" w:type="dxa"/>
            <w:vAlign w:val="bottom"/>
          </w:tcPr>
          <w:p>
            <w:pPr>
              <w:ind w:left="400"/>
              <w:spacing w:after="0"/>
              <w:rPr>
                <w:sz w:val="20"/>
                <w:szCs w:val="20"/>
                <w:color w:val="auto"/>
              </w:rPr>
            </w:pPr>
            <w:r>
              <w:rPr>
                <w:rFonts w:ascii="Arial" w:cs="Arial" w:eastAsia="Arial" w:hAnsi="Arial"/>
                <w:sz w:val="18"/>
                <w:szCs w:val="18"/>
                <w:color w:val="auto"/>
              </w:rPr>
              <w:t>Total operating expenses</w:t>
            </w:r>
          </w:p>
        </w:tc>
        <w:tc>
          <w:tcPr>
            <w:tcW w:w="4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8,821</w:t>
            </w:r>
          </w:p>
        </w:tc>
        <w:tc>
          <w:tcPr>
            <w:tcW w:w="140" w:type="dxa"/>
            <w:vAlign w:val="bottom"/>
          </w:tcPr>
          <w:p>
            <w:pPr>
              <w:spacing w:after="0"/>
              <w:rPr>
                <w:sz w:val="19"/>
                <w:szCs w:val="19"/>
                <w:color w:val="auto"/>
              </w:rPr>
            </w:pPr>
          </w:p>
        </w:tc>
        <w:tc>
          <w:tcPr>
            <w:tcW w:w="2000" w:type="dxa"/>
            <w:vAlign w:val="bottom"/>
            <w:gridSpan w:val="2"/>
          </w:tcPr>
          <w:p>
            <w:pPr>
              <w:jc w:val="right"/>
              <w:ind w:right="720"/>
              <w:spacing w:after="0"/>
              <w:rPr>
                <w:sz w:val="20"/>
                <w:szCs w:val="20"/>
                <w:color w:val="auto"/>
              </w:rPr>
            </w:pPr>
            <w:r>
              <w:rPr>
                <w:rFonts w:ascii="Arial" w:cs="Arial" w:eastAsia="Arial" w:hAnsi="Arial"/>
                <w:sz w:val="18"/>
                <w:szCs w:val="18"/>
                <w:color w:val="auto"/>
              </w:rPr>
              <w:t>69.7</w:t>
            </w: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6,215</w:t>
            </w:r>
          </w:p>
        </w:tc>
        <w:tc>
          <w:tcPr>
            <w:tcW w:w="140" w:type="dxa"/>
            <w:vAlign w:val="bottom"/>
          </w:tcPr>
          <w:p>
            <w:pPr>
              <w:spacing w:after="0"/>
              <w:rPr>
                <w:sz w:val="19"/>
                <w:szCs w:val="19"/>
                <w:color w:val="auto"/>
              </w:rPr>
            </w:pPr>
          </w:p>
        </w:tc>
        <w:tc>
          <w:tcPr>
            <w:tcW w:w="1700" w:type="dxa"/>
            <w:vAlign w:val="bottom"/>
            <w:gridSpan w:val="2"/>
          </w:tcPr>
          <w:p>
            <w:pPr>
              <w:jc w:val="right"/>
              <w:ind w:right="420"/>
              <w:spacing w:after="0"/>
              <w:rPr>
                <w:sz w:val="20"/>
                <w:szCs w:val="20"/>
                <w:color w:val="auto"/>
              </w:rPr>
            </w:pPr>
            <w:r>
              <w:rPr>
                <w:rFonts w:ascii="Arial" w:cs="Arial" w:eastAsia="Arial" w:hAnsi="Arial"/>
                <w:sz w:val="18"/>
                <w:szCs w:val="18"/>
                <w:color w:val="auto"/>
              </w:rPr>
              <w:t>60.7</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2,606</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Income from operations</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507</w:t>
            </w:r>
          </w:p>
        </w:tc>
        <w:tc>
          <w:tcPr>
            <w:tcW w:w="20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4.0</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1,047</w:t>
            </w:r>
          </w:p>
        </w:tc>
        <w:tc>
          <w:tcPr>
            <w:tcW w:w="17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10.2</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432"/>
        </w:trPr>
        <w:tc>
          <w:tcPr>
            <w:tcW w:w="322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w:t>
            </w:r>
          </w:p>
        </w:tc>
        <w:tc>
          <w:tcPr>
            <w:tcW w:w="1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(0.4)</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32</w:t>
            </w:r>
          </w:p>
        </w:tc>
        <w:tc>
          <w:tcPr>
            <w:tcW w:w="2000" w:type="dxa"/>
            <w:vAlign w:val="bottom"/>
            <w:gridSpan w:val="2"/>
          </w:tcPr>
          <w:p>
            <w:pPr>
              <w:jc w:val="right"/>
              <w:ind w:right="720"/>
              <w:spacing w:after="0"/>
              <w:rPr>
                <w:sz w:val="20"/>
                <w:szCs w:val="20"/>
                <w:color w:val="auto"/>
              </w:rPr>
            </w:pPr>
            <w:r>
              <w:rPr>
                <w:rFonts w:ascii="Arial" w:cs="Arial" w:eastAsia="Arial" w:hAnsi="Arial"/>
                <w:sz w:val="18"/>
                <w:szCs w:val="18"/>
                <w:color w:val="auto"/>
              </w:rPr>
              <w:t>0.3</w:t>
            </w:r>
          </w:p>
        </w:tc>
        <w:tc>
          <w:tcPr>
            <w:tcW w:w="14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expense</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w:t>
            </w:r>
          </w:p>
        </w:tc>
        <w:tc>
          <w:tcPr>
            <w:tcW w:w="20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w:t>
            </w:r>
          </w:p>
        </w:tc>
        <w:tc>
          <w:tcPr>
            <w:tcW w:w="1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(0.2)</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00" w:type="dxa"/>
            <w:vAlign w:val="bottom"/>
          </w:tcPr>
          <w:p>
            <w:pPr>
              <w:ind w:left="400"/>
              <w:spacing w:after="0"/>
              <w:rPr>
                <w:sz w:val="20"/>
                <w:szCs w:val="20"/>
                <w:color w:val="auto"/>
              </w:rPr>
            </w:pPr>
            <w:r>
              <w:rPr>
                <w:rFonts w:ascii="Arial" w:cs="Arial" w:eastAsia="Arial" w:hAnsi="Arial"/>
                <w:sz w:val="18"/>
                <w:szCs w:val="18"/>
                <w:color w:val="auto"/>
              </w:rPr>
              <w:t>Total other income (expense), net</w:t>
            </w:r>
          </w:p>
        </w:tc>
        <w:tc>
          <w:tcPr>
            <w:tcW w:w="4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9"/>
                <w:szCs w:val="19"/>
                <w:color w:val="auto"/>
              </w:rPr>
            </w:pPr>
          </w:p>
        </w:tc>
        <w:tc>
          <w:tcPr>
            <w:tcW w:w="2000" w:type="dxa"/>
            <w:vAlign w:val="bottom"/>
            <w:gridSpan w:val="2"/>
          </w:tcPr>
          <w:p>
            <w:pPr>
              <w:jc w:val="right"/>
              <w:ind w:right="720"/>
              <w:spacing w:after="0"/>
              <w:rPr>
                <w:sz w:val="20"/>
                <w:szCs w:val="20"/>
                <w:color w:val="auto"/>
              </w:rPr>
            </w:pPr>
            <w:r>
              <w:rPr>
                <w:rFonts w:ascii="Arial" w:cs="Arial" w:eastAsia="Arial" w:hAnsi="Arial"/>
                <w:sz w:val="18"/>
                <w:szCs w:val="18"/>
                <w:color w:val="auto"/>
              </w:rPr>
              <w:t>0.1</w:t>
            </w: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40" w:type="dxa"/>
            <w:vAlign w:val="bottom"/>
          </w:tcPr>
          <w:p>
            <w:pPr>
              <w:spacing w:after="0"/>
              <w:rPr>
                <w:sz w:val="19"/>
                <w:szCs w:val="19"/>
                <w:color w:val="auto"/>
              </w:rPr>
            </w:pPr>
          </w:p>
        </w:tc>
        <w:tc>
          <w:tcPr>
            <w:tcW w:w="1700" w:type="dxa"/>
            <w:vAlign w:val="bottom"/>
            <w:gridSpan w:val="2"/>
          </w:tcPr>
          <w:p>
            <w:pPr>
              <w:jc w:val="right"/>
              <w:ind w:right="380"/>
              <w:spacing w:after="0"/>
              <w:rPr>
                <w:sz w:val="20"/>
                <w:szCs w:val="20"/>
                <w:color w:val="auto"/>
              </w:rPr>
            </w:pPr>
            <w:r>
              <w:rPr>
                <w:rFonts w:ascii="Arial" w:cs="Arial" w:eastAsia="Arial" w:hAnsi="Arial"/>
                <w:sz w:val="18"/>
                <w:szCs w:val="18"/>
                <w:color w:val="auto"/>
              </w:rPr>
              <w:t>(0.6)</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77</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521</w:t>
            </w:r>
          </w:p>
        </w:tc>
        <w:tc>
          <w:tcPr>
            <w:tcW w:w="20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4.1</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984</w:t>
            </w:r>
          </w:p>
        </w:tc>
        <w:tc>
          <w:tcPr>
            <w:tcW w:w="17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9.6</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200" w:type="dxa"/>
            <w:vAlign w:val="bottom"/>
          </w:tcPr>
          <w:p>
            <w:pPr>
              <w:ind w:left="200"/>
              <w:spacing w:after="0"/>
              <w:rPr>
                <w:sz w:val="20"/>
                <w:szCs w:val="20"/>
                <w:color w:val="auto"/>
              </w:rPr>
            </w:pPr>
            <w:r>
              <w:rPr>
                <w:rFonts w:ascii="Arial" w:cs="Arial" w:eastAsia="Arial" w:hAnsi="Arial"/>
                <w:sz w:val="18"/>
                <w:szCs w:val="18"/>
                <w:color w:val="auto"/>
              </w:rPr>
              <w:t>Income tax expense</w:t>
            </w: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(29)</w:t>
            </w:r>
          </w:p>
        </w:tc>
        <w:tc>
          <w:tcPr>
            <w:tcW w:w="2000" w:type="dxa"/>
            <w:vAlign w:val="bottom"/>
            <w:gridSpan w:val="2"/>
          </w:tcPr>
          <w:p>
            <w:pPr>
              <w:jc w:val="right"/>
              <w:ind w:right="660"/>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24"/>
                <w:szCs w:val="2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(65)</w:t>
            </w:r>
          </w:p>
        </w:tc>
        <w:tc>
          <w:tcPr>
            <w:tcW w:w="1700" w:type="dxa"/>
            <w:vAlign w:val="bottom"/>
            <w:gridSpan w:val="2"/>
          </w:tcPr>
          <w:p>
            <w:pPr>
              <w:jc w:val="right"/>
              <w:ind w:right="380"/>
              <w:spacing w:after="0"/>
              <w:rPr>
                <w:sz w:val="20"/>
                <w:szCs w:val="20"/>
                <w:color w:val="auto"/>
              </w:rPr>
            </w:pPr>
            <w:r>
              <w:rPr>
                <w:rFonts w:ascii="Arial" w:cs="Arial" w:eastAsia="Arial" w:hAnsi="Arial"/>
                <w:sz w:val="18"/>
                <w:szCs w:val="18"/>
                <w:color w:val="auto"/>
              </w:rPr>
              <w:t>(0.6)</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492</w:t>
            </w:r>
          </w:p>
        </w:tc>
        <w:tc>
          <w:tcPr>
            <w:tcW w:w="20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919</w:t>
            </w:r>
          </w:p>
        </w:tc>
        <w:tc>
          <w:tcPr>
            <w:tcW w:w="17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Due to rounding, totals may not equal the sum of the line items in the table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13036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81" w:lineRule="exact"/>
        <w:rPr>
          <w:sz w:val="20"/>
          <w:szCs w:val="20"/>
          <w:color w:val="auto"/>
        </w:rPr>
      </w:pPr>
    </w:p>
    <w:p>
      <w:pPr>
        <w:ind w:left="360" w:hanging="352"/>
        <w:spacing w:after="0"/>
        <w:tabs>
          <w:tab w:leader="none" w:pos="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Percentage is not meaningful.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2011 compared to Three Months Ended March 31, 2010</w:t>
      </w:r>
    </w:p>
    <w:p>
      <w:pPr>
        <w:spacing w:after="0" w:line="117" w:lineRule="exact"/>
        <w:rPr>
          <w:sz w:val="20"/>
          <w:szCs w:val="20"/>
          <w:color w:val="auto"/>
        </w:rPr>
      </w:pPr>
    </w:p>
    <w:p>
      <w:pPr>
        <w:ind w:right="20" w:firstLine="225"/>
        <w:spacing w:after="0" w:line="254" w:lineRule="auto"/>
        <w:rPr>
          <w:sz w:val="20"/>
          <w:szCs w:val="20"/>
          <w:color w:val="auto"/>
        </w:rPr>
      </w:pPr>
      <w:r>
        <w:rPr>
          <w:rFonts w:ascii="Arial" w:cs="Arial" w:eastAsia="Arial" w:hAnsi="Arial"/>
          <w:sz w:val="18"/>
          <w:szCs w:val="18"/>
          <w:i w:val="1"/>
          <w:iCs w:val="1"/>
          <w:color w:val="auto"/>
        </w:rPr>
        <w:t xml:space="preserve">Revenues. </w:t>
      </w:r>
      <w:r>
        <w:rPr>
          <w:rFonts w:ascii="Arial" w:cs="Arial" w:eastAsia="Arial" w:hAnsi="Arial"/>
          <w:sz w:val="18"/>
          <w:szCs w:val="18"/>
          <w:color w:val="auto"/>
        </w:rPr>
        <w:t>Revenues for the three months ended March 31, 2011 increased $2.4 million, or 23%, to $12.6 million from $10.2 million for the same period in</w:t>
      </w:r>
      <w:r>
        <w:rPr>
          <w:rFonts w:ascii="Arial" w:cs="Arial" w:eastAsia="Arial" w:hAnsi="Arial"/>
          <w:sz w:val="18"/>
          <w:szCs w:val="18"/>
          <w:i w:val="1"/>
          <w:iCs w:val="1"/>
          <w:color w:val="auto"/>
        </w:rPr>
        <w:t xml:space="preserve"> </w:t>
      </w:r>
      <w:r>
        <w:rPr>
          <w:rFonts w:ascii="Arial" w:cs="Arial" w:eastAsia="Arial" w:hAnsi="Arial"/>
          <w:sz w:val="18"/>
          <w:szCs w:val="18"/>
          <w:color w:val="auto"/>
        </w:rPr>
        <w:t>2010. Our fiscal quarter ended March 31, 2011 represented our 41</w:t>
      </w:r>
      <w:r>
        <w:rPr>
          <w:rFonts w:ascii="Arial" w:cs="Arial" w:eastAsia="Arial" w:hAnsi="Arial"/>
          <w:sz w:val="15"/>
          <w:szCs w:val="15"/>
          <w:color w:val="auto"/>
        </w:rPr>
        <w:t>st</w:t>
      </w:r>
      <w:r>
        <w:rPr>
          <w:rFonts w:ascii="Arial" w:cs="Arial" w:eastAsia="Arial" w:hAnsi="Arial"/>
          <w:sz w:val="18"/>
          <w:szCs w:val="18"/>
          <w:color w:val="auto"/>
        </w:rPr>
        <w:t xml:space="preserve"> consecutive quarter of increased revenues. The increase in revenues resulted from a 14% increase in recurring revenue customers to 13,040 at March 31, 2011 from 11,392 at March 31, 2010, as well as a 9% increase in annualized average recurring revenues per recurring revenue customer to $3,291 for the three months ended March 31, 2011 from $3,008 for the same period in 2010. The increase in annualized average recurring revenues per recurring revenue customer was primarily attributable to increased fees resulting from increased usage of our solutions by our recurring revenue customers. Recurring revenues from recurring revenue customers accounted for 83% of our total revenues for the three months ended March 31, 2011, compared to 82% for the same period in 2010. We anticipate that the number of recurring revenue customers and the recurring revenues per recurring</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revenue customer will continue to increase as we increase the number of solutions we offer, such as the Trading Partner Intelligence solution we introduced in late 2009, and increase the penetration of those solutions across our customer base.</w:t>
      </w:r>
    </w:p>
    <w:p>
      <w:pPr>
        <w:spacing w:after="0" w:line="62" w:lineRule="exact"/>
        <w:rPr>
          <w:sz w:val="20"/>
          <w:szCs w:val="20"/>
          <w:color w:val="auto"/>
        </w:rPr>
      </w:pPr>
    </w:p>
    <w:p>
      <w:pPr>
        <w:ind w:right="20" w:firstLine="225"/>
        <w:spacing w:after="0" w:line="297" w:lineRule="auto"/>
        <w:rPr>
          <w:sz w:val="20"/>
          <w:szCs w:val="20"/>
          <w:color w:val="auto"/>
        </w:rPr>
      </w:pPr>
      <w:r>
        <w:rPr>
          <w:rFonts w:ascii="Arial" w:cs="Arial" w:eastAsia="Arial" w:hAnsi="Arial"/>
          <w:sz w:val="16"/>
          <w:szCs w:val="16"/>
          <w:i w:val="1"/>
          <w:iCs w:val="1"/>
          <w:color w:val="auto"/>
        </w:rPr>
        <w:t xml:space="preserve">Cost of Revenues. </w:t>
      </w:r>
      <w:r>
        <w:rPr>
          <w:rFonts w:ascii="Arial" w:cs="Arial" w:eastAsia="Arial" w:hAnsi="Arial"/>
          <w:sz w:val="16"/>
          <w:szCs w:val="16"/>
          <w:color w:val="auto"/>
        </w:rPr>
        <w:t>Cost of revenues for the three months ended March 31, 2011 increased $340,000, or 11%, to $3.3 million from $3.0 million for the same</w:t>
      </w:r>
      <w:r>
        <w:rPr>
          <w:rFonts w:ascii="Arial" w:cs="Arial" w:eastAsia="Arial" w:hAnsi="Arial"/>
          <w:sz w:val="16"/>
          <w:szCs w:val="16"/>
          <w:i w:val="1"/>
          <w:iCs w:val="1"/>
          <w:color w:val="auto"/>
        </w:rPr>
        <w:t xml:space="preserve"> </w:t>
      </w:r>
      <w:r>
        <w:rPr>
          <w:rFonts w:ascii="Arial" w:cs="Arial" w:eastAsia="Arial" w:hAnsi="Arial"/>
          <w:sz w:val="16"/>
          <w:szCs w:val="16"/>
          <w:color w:val="auto"/>
        </w:rPr>
        <w:t>period in 2010. The increase in costs was primarily attributable to higher costs of personnel, depreciation and stock-based compensation, slightly offset by decreased consulting expenses. As a percentage of revenues, cost of revenues was 26% for the three months ended March 31, 2011, compared to 29% for the same period in 2010. Increased revenues allowed us to leverage our personnel and infrastructure costs and decrease our cost of revenues as a percentage of total revenues. Going forward, we anticipate that cost of revenues will increase in absolute dollars as we continue to build our business.</w:t>
      </w:r>
    </w:p>
    <w:p>
      <w:pPr>
        <w:spacing w:after="0" w:line="50" w:lineRule="exact"/>
        <w:rPr>
          <w:sz w:val="20"/>
          <w:szCs w:val="20"/>
          <w:color w:val="auto"/>
        </w:rPr>
      </w:pPr>
    </w:p>
    <w:p>
      <w:pPr>
        <w:ind w:firstLine="225"/>
        <w:spacing w:after="0" w:line="297" w:lineRule="auto"/>
        <w:rPr>
          <w:sz w:val="20"/>
          <w:szCs w:val="20"/>
          <w:color w:val="auto"/>
        </w:rPr>
      </w:pPr>
      <w:r>
        <w:rPr>
          <w:rFonts w:ascii="Arial" w:cs="Arial" w:eastAsia="Arial" w:hAnsi="Arial"/>
          <w:sz w:val="16"/>
          <w:szCs w:val="16"/>
          <w:i w:val="1"/>
          <w:iCs w:val="1"/>
          <w:color w:val="auto"/>
        </w:rPr>
        <w:t xml:space="preserve">Sales and Marketing Expenses. </w:t>
      </w:r>
      <w:r>
        <w:rPr>
          <w:rFonts w:ascii="Arial" w:cs="Arial" w:eastAsia="Arial" w:hAnsi="Arial"/>
          <w:sz w:val="16"/>
          <w:szCs w:val="16"/>
          <w:color w:val="auto"/>
        </w:rPr>
        <w:t>Sales and marketing expenses for the three months ended March 31, 2011 increased $1.6 million, or 46%, to $5.1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from $3.5 million for the same period in 2010. The increase in sales and marketing expenses was due to increased personnel costs, higher commissions earned by sales personnel from new business, and increased promotional and stock-based compensation costs. As a percentage of revenues, sales and marketing expenses were 41% for the three months ended March 31, 2011, compared to 34% for the same period in 2010. As we build our business, we will continue to add resources to our sales and marketing efforts over time, and we expect that these expenses will increase in absolute dollars.</w:t>
      </w:r>
    </w:p>
    <w:p>
      <w:pPr>
        <w:spacing w:after="0" w:line="50" w:lineRule="exact"/>
        <w:rPr>
          <w:sz w:val="20"/>
          <w:szCs w:val="20"/>
          <w:color w:val="auto"/>
        </w:rPr>
      </w:pPr>
    </w:p>
    <w:p>
      <w:pPr>
        <w:ind w:left="240"/>
        <w:spacing w:after="0"/>
        <w:rPr>
          <w:sz w:val="20"/>
          <w:szCs w:val="20"/>
          <w:color w:val="auto"/>
        </w:rPr>
      </w:pPr>
      <w:r>
        <w:rPr>
          <w:rFonts w:ascii="Arial" w:cs="Arial" w:eastAsia="Arial" w:hAnsi="Arial"/>
          <w:sz w:val="16"/>
          <w:szCs w:val="16"/>
          <w:i w:val="1"/>
          <w:iCs w:val="1"/>
          <w:color w:val="auto"/>
        </w:rPr>
        <w:t xml:space="preserve">Research and Development Expenses. </w:t>
      </w:r>
      <w:r>
        <w:rPr>
          <w:rFonts w:ascii="Arial" w:cs="Arial" w:eastAsia="Arial" w:hAnsi="Arial"/>
          <w:sz w:val="16"/>
          <w:szCs w:val="16"/>
          <w:color w:val="auto"/>
        </w:rPr>
        <w:t>Research and development expenses for the three months ended March 31, 2011 increased $200,000, or 19%, to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$1.2 million from $1.0 million for the same period in 2010. The increase in research and development expenses was due to increased personnel costs, slightly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offset by decreased consulting fees. As a percentage of revenues, research and development expenses were 10% for each of the three months ended March 31,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2011 and 2010. We expect research and development expenses will increase in absolute dollars as we continue to enhance and expand our solutions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applications.</w:t>
      </w:r>
    </w:p>
    <w:p>
      <w:pPr>
        <w:spacing w:after="0" w:line="103" w:lineRule="exact"/>
        <w:rPr>
          <w:sz w:val="20"/>
          <w:szCs w:val="20"/>
          <w:color w:val="auto"/>
        </w:rPr>
      </w:pPr>
    </w:p>
    <w:p>
      <w:pPr>
        <w:ind w:right="100" w:firstLine="225"/>
        <w:spacing w:after="0" w:line="276" w:lineRule="auto"/>
        <w:rPr>
          <w:sz w:val="20"/>
          <w:szCs w:val="20"/>
          <w:color w:val="auto"/>
        </w:rPr>
      </w:pPr>
      <w:r>
        <w:rPr>
          <w:rFonts w:ascii="Arial" w:cs="Arial" w:eastAsia="Arial" w:hAnsi="Arial"/>
          <w:sz w:val="17"/>
          <w:szCs w:val="17"/>
          <w:i w:val="1"/>
          <w:iCs w:val="1"/>
          <w:color w:val="auto"/>
        </w:rPr>
        <w:t xml:space="preserve">General and Administrative Expenses. </w:t>
      </w:r>
      <w:r>
        <w:rPr>
          <w:rFonts w:ascii="Arial" w:cs="Arial" w:eastAsia="Arial" w:hAnsi="Arial"/>
          <w:sz w:val="17"/>
          <w:szCs w:val="17"/>
          <w:color w:val="auto"/>
        </w:rPr>
        <w:t>General and administrative expenses for the three months ended March 31, 2011 increased $800,000, or 47%, to</w:t>
      </w:r>
      <w:r>
        <w:rPr>
          <w:rFonts w:ascii="Arial" w:cs="Arial" w:eastAsia="Arial" w:hAnsi="Arial"/>
          <w:sz w:val="17"/>
          <w:szCs w:val="17"/>
          <w:i w:val="1"/>
          <w:iCs w:val="1"/>
          <w:color w:val="auto"/>
        </w:rPr>
        <w:t xml:space="preserve"> </w:t>
      </w:r>
      <w:r>
        <w:rPr>
          <w:rFonts w:ascii="Arial" w:cs="Arial" w:eastAsia="Arial" w:hAnsi="Arial"/>
          <w:sz w:val="17"/>
          <w:szCs w:val="17"/>
          <w:color w:val="auto"/>
        </w:rPr>
        <w:t>$2.5 million from $1.7 million for the same period in 2010. The increase in general and administrative expenses was due to increased expenses related to being a public company, including legal and accounting fees, as well as increased stock-based compensation expense. As a percentage of revenues, general and administrative expenses were 19% for the three months ended March 31, 2011, compared to 16% for the same period in 2010. Going forward, we expect that general and administrative expenses will increase in absolute dollars.</w:t>
      </w:r>
    </w:p>
    <w:p>
      <w:pPr>
        <w:spacing w:after="0" w:line="64" w:lineRule="exact"/>
        <w:rPr>
          <w:sz w:val="20"/>
          <w:szCs w:val="20"/>
          <w:color w:val="auto"/>
        </w:rPr>
      </w:pPr>
    </w:p>
    <w:p>
      <w:pPr>
        <w:ind w:right="140" w:firstLine="225"/>
        <w:spacing w:after="0" w:line="276" w:lineRule="auto"/>
        <w:rPr>
          <w:sz w:val="20"/>
          <w:szCs w:val="20"/>
          <w:color w:val="auto"/>
        </w:rPr>
      </w:pPr>
      <w:r>
        <w:rPr>
          <w:rFonts w:ascii="Arial" w:cs="Arial" w:eastAsia="Arial" w:hAnsi="Arial"/>
          <w:sz w:val="17"/>
          <w:szCs w:val="17"/>
          <w:i w:val="1"/>
          <w:iCs w:val="1"/>
          <w:color w:val="auto"/>
        </w:rPr>
        <w:t xml:space="preserve">Other Income (Expense). </w:t>
      </w:r>
      <w:r>
        <w:rPr>
          <w:rFonts w:ascii="Arial" w:cs="Arial" w:eastAsia="Arial" w:hAnsi="Arial"/>
          <w:sz w:val="17"/>
          <w:szCs w:val="17"/>
          <w:color w:val="auto"/>
        </w:rPr>
        <w:t>We did not incur any interest expense for the three months ended March 31, 2011 as our capital lease obligations were fully</w:t>
      </w:r>
      <w:r>
        <w:rPr>
          <w:rFonts w:ascii="Arial" w:cs="Arial" w:eastAsia="Arial" w:hAnsi="Arial"/>
          <w:sz w:val="17"/>
          <w:szCs w:val="17"/>
          <w:i w:val="1"/>
          <w:iCs w:val="1"/>
          <w:color w:val="auto"/>
        </w:rPr>
        <w:t xml:space="preserve"> </w:t>
      </w:r>
      <w:r>
        <w:rPr>
          <w:rFonts w:ascii="Arial" w:cs="Arial" w:eastAsia="Arial" w:hAnsi="Arial"/>
          <w:sz w:val="17"/>
          <w:szCs w:val="17"/>
          <w:color w:val="auto"/>
        </w:rPr>
        <w:t>repaid in early January 2011. For the same period in 2010, interest expense was $45,000 and was related to outstanding indebtedness under our equipment loans and credit facility, which were repaid in the second quarter of 2010, as well as our capital lease obligations. Interest income for the three months ended March 31, 2011 was $32,000 as the result of interest earned on the net cash proceeds from our initial public offering in April 2010. Other expense was $18,000 for each of the three months ended March 31, 2011 and 2010.</w:t>
      </w:r>
    </w:p>
    <w:p>
      <w:pPr>
        <w:spacing w:after="0" w:line="64" w:lineRule="exact"/>
        <w:rPr>
          <w:sz w:val="20"/>
          <w:szCs w:val="20"/>
          <w:color w:val="auto"/>
        </w:rPr>
      </w:pPr>
    </w:p>
    <w:p>
      <w:pPr>
        <w:ind w:right="360" w:firstLine="225"/>
        <w:spacing w:after="0" w:line="259" w:lineRule="auto"/>
        <w:rPr>
          <w:sz w:val="20"/>
          <w:szCs w:val="20"/>
          <w:color w:val="auto"/>
        </w:rPr>
      </w:pPr>
      <w:r>
        <w:rPr>
          <w:rFonts w:ascii="Arial" w:cs="Arial" w:eastAsia="Arial" w:hAnsi="Arial"/>
          <w:sz w:val="18"/>
          <w:szCs w:val="18"/>
          <w:i w:val="1"/>
          <w:iCs w:val="1"/>
          <w:color w:val="auto"/>
        </w:rPr>
        <w:t xml:space="preserve">Income Tax Expense. </w:t>
      </w:r>
      <w:r>
        <w:rPr>
          <w:rFonts w:ascii="Arial" w:cs="Arial" w:eastAsia="Arial" w:hAnsi="Arial"/>
          <w:sz w:val="18"/>
          <w:szCs w:val="18"/>
          <w:color w:val="auto"/>
        </w:rPr>
        <w:t>Income tax expense was $29,000 for the three months ended March 31, 2011, compared to $65,000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March 31, 2010. We record our interim provision for income taxes based on our estimated annual effective tax rate for the year. Our provision for income taxes includes estimated federal alternative minimum taxes and state income taxes, as well as deferred tax expense resulting from the book and tax basis difference in goodwill from a prior asset acquisition.</w:t>
      </w:r>
    </w:p>
    <w:p>
      <w:pPr>
        <w:spacing w:after="0" w:line="79" w:lineRule="exact"/>
        <w:rPr>
          <w:sz w:val="20"/>
          <w:szCs w:val="20"/>
          <w:color w:val="auto"/>
        </w:rPr>
      </w:pPr>
    </w:p>
    <w:p>
      <w:pPr>
        <w:ind w:right="20" w:firstLine="225"/>
        <w:spacing w:after="0" w:line="297" w:lineRule="auto"/>
        <w:rPr>
          <w:sz w:val="20"/>
          <w:szCs w:val="20"/>
          <w:color w:val="auto"/>
        </w:rPr>
      </w:pPr>
      <w:r>
        <w:rPr>
          <w:rFonts w:ascii="Arial" w:cs="Arial" w:eastAsia="Arial" w:hAnsi="Arial"/>
          <w:sz w:val="16"/>
          <w:szCs w:val="16"/>
          <w:i w:val="1"/>
          <w:iCs w:val="1"/>
          <w:color w:val="auto"/>
        </w:rPr>
        <w:t xml:space="preserve">Adjusted EBITDA. </w:t>
      </w:r>
      <w:r>
        <w:rPr>
          <w:rFonts w:ascii="Arial" w:cs="Arial" w:eastAsia="Arial" w:hAnsi="Arial"/>
          <w:sz w:val="16"/>
          <w:szCs w:val="16"/>
          <w:color w:val="auto"/>
        </w:rPr>
        <w:t>Adjusted EBITDA, which is a non-GAAP measure of financial performance, consists of net income plus depreciation and amortization,</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 expense, interest income, income tax expense and non-cash, stock-based compensation expense. We use Adjusted EBITDA as a measure of operating performance because it assists us in comparing performance on a consistent basis, as it removes from our operating results the impact of our capital structure. We believe Adjusted EBITDA is useful to an investor in evaluating our operating performance because it is widely used to measure a company’s operating performance without regard to items such as depreciation and amortization, which can vary depending upon accounting methods and the book value of assets,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and to present a meaningful measure of corporate performance exclusive of our capital structure and the method by which assets were acquired.</w:t>
      </w:r>
    </w:p>
    <w:p>
      <w:pPr>
        <w:spacing w:after="0" w:line="12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provides a reconciliation of net income to Adjusted EBITDA (in thousands):</w:t>
      </w:r>
    </w:p>
    <w:p>
      <w:pPr>
        <w:spacing w:after="0" w:line="220" w:lineRule="exact"/>
        <w:rPr>
          <w:sz w:val="20"/>
          <w:szCs w:val="20"/>
          <w:color w:val="auto"/>
        </w:rPr>
      </w:pPr>
    </w:p>
    <w:p>
      <w:pPr>
        <w:jc w:val="center"/>
        <w:ind w:left="9160"/>
        <w:spacing w:after="0"/>
        <w:rPr>
          <w:sz w:val="20"/>
          <w:szCs w:val="20"/>
          <w:color w:val="auto"/>
        </w:rPr>
      </w:pPr>
      <w:r>
        <w:rPr>
          <w:rFonts w:ascii="Arial" w:cs="Arial" w:eastAsia="Arial" w:hAnsi="Arial"/>
          <w:sz w:val="14"/>
          <w:szCs w:val="14"/>
          <w:color w:val="auto"/>
        </w:rPr>
        <w:t>Three Months Ended</w:t>
      </w:r>
    </w:p>
    <w:p>
      <w:pPr>
        <w:jc w:val="center"/>
        <w:ind w:left="9160"/>
        <w:spacing w:after="0" w:line="231" w:lineRule="auto"/>
        <w:rPr>
          <w:sz w:val="20"/>
          <w:szCs w:val="20"/>
          <w:color w:val="auto"/>
        </w:rPr>
      </w:pPr>
      <w:r>
        <w:rPr>
          <w:rFonts w:ascii="Arial" w:cs="Arial" w:eastAsia="Arial" w:hAnsi="Arial"/>
          <w:sz w:val="14"/>
          <w:szCs w:val="14"/>
          <w:color w:val="auto"/>
        </w:rPr>
        <w:t>March 31,</w:t>
      </w:r>
    </w:p>
    <w:tbl>
      <w:tblPr>
        <w:tblLayout w:type="fixed"/>
        <w:tblInd w:w="0" w:type="dxa"/>
        <w:tblCellMar>
          <w:top w:w="0" w:type="dxa"/>
          <w:left w:w="0" w:type="dxa"/>
          <w:bottom w:w="0" w:type="dxa"/>
          <w:right w:w="0" w:type="dxa"/>
        </w:tblCellMar>
      </w:tblPr>
      <w:tr>
        <w:trPr>
          <w:trHeight w:val="142"/>
        </w:trPr>
        <w:tc>
          <w:tcPr>
            <w:tcW w:w="92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2011</w:t>
            </w:r>
          </w:p>
        </w:tc>
        <w:tc>
          <w:tcPr>
            <w:tcW w:w="3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2010</w:t>
            </w:r>
          </w:p>
        </w:tc>
        <w:tc>
          <w:tcPr>
            <w:tcW w:w="100" w:type="dxa"/>
            <w:vAlign w:val="bottom"/>
          </w:tcPr>
          <w:p>
            <w:pPr>
              <w:spacing w:after="0"/>
              <w:rPr>
                <w:sz w:val="12"/>
                <w:szCs w:val="12"/>
                <w:color w:val="auto"/>
              </w:rPr>
            </w:pPr>
          </w:p>
        </w:tc>
      </w:tr>
      <w:tr>
        <w:trPr>
          <w:trHeight w:val="210"/>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492</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919</w:t>
            </w:r>
          </w:p>
        </w:tc>
      </w:tr>
      <w:tr>
        <w:trPr>
          <w:trHeight w:val="216"/>
        </w:trPr>
        <w:tc>
          <w:tcPr>
            <w:tcW w:w="928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422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342</w:t>
            </w:r>
          </w:p>
        </w:tc>
      </w:tr>
      <w:tr>
        <w:trPr>
          <w:trHeight w:val="216"/>
        </w:trPr>
        <w:tc>
          <w:tcPr>
            <w:tcW w:w="9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w:t>
            </w:r>
          </w:p>
        </w:tc>
      </w:tr>
      <w:tr>
        <w:trPr>
          <w:trHeight w:val="216"/>
        </w:trPr>
        <w:tc>
          <w:tcPr>
            <w:tcW w:w="9280" w:type="dxa"/>
            <w:vAlign w:val="bottom"/>
          </w:tcPr>
          <w:p>
            <w:pPr>
              <w:ind w:left="220"/>
              <w:spacing w:after="0"/>
              <w:rPr>
                <w:sz w:val="20"/>
                <w:szCs w:val="20"/>
                <w:color w:val="auto"/>
              </w:rPr>
            </w:pPr>
            <w:r>
              <w:rPr>
                <w:rFonts w:ascii="Arial" w:cs="Arial" w:eastAsia="Arial" w:hAnsi="Arial"/>
                <w:sz w:val="18"/>
                <w:szCs w:val="18"/>
                <w:color w:val="auto"/>
              </w:rPr>
              <w:t>Interest income</w:t>
            </w: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(32)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9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 expense</w:t>
            </w: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8"/>
                <w:szCs w:val="18"/>
                <w:color w:val="auto"/>
              </w:rPr>
            </w:pPr>
          </w:p>
        </w:tc>
      </w:tr>
      <w:tr>
        <w:trPr>
          <w:trHeight w:val="439"/>
        </w:trPr>
        <w:tc>
          <w:tcPr>
            <w:tcW w:w="9280" w:type="dxa"/>
            <w:vAlign w:val="bottom"/>
          </w:tcPr>
          <w:p>
            <w:pPr>
              <w:spacing w:after="0"/>
              <w:rPr>
                <w:sz w:val="20"/>
                <w:szCs w:val="20"/>
                <w:color w:val="auto"/>
              </w:rPr>
            </w:pPr>
            <w:r>
              <w:rPr>
                <w:rFonts w:ascii="Arial" w:cs="Arial" w:eastAsia="Arial" w:hAnsi="Arial"/>
                <w:sz w:val="18"/>
                <w:szCs w:val="18"/>
                <w:color w:val="auto"/>
              </w:rPr>
              <w:t>EBITDA</w:t>
            </w:r>
          </w:p>
        </w:tc>
        <w:tc>
          <w:tcPr>
            <w:tcW w:w="140" w:type="dxa"/>
            <w:vAlign w:val="bottom"/>
          </w:tcPr>
          <w:p>
            <w:pPr>
              <w:spacing w:after="0"/>
              <w:rPr>
                <w:sz w:val="24"/>
                <w:szCs w:val="24"/>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911</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1,371</w:t>
            </w:r>
          </w:p>
        </w:tc>
      </w:tr>
      <w:tr>
        <w:trPr>
          <w:trHeight w:val="216"/>
        </w:trPr>
        <w:tc>
          <w:tcPr>
            <w:tcW w:w="9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Stock-based compensation expense</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312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w:t>
            </w:r>
          </w:p>
        </w:tc>
      </w:tr>
      <w:tr>
        <w:trPr>
          <w:trHeight w:val="20"/>
        </w:trPr>
        <w:tc>
          <w:tcPr>
            <w:tcW w:w="9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9"/>
        </w:trPr>
        <w:tc>
          <w:tcPr>
            <w:tcW w:w="9280" w:type="dxa"/>
            <w:vAlign w:val="bottom"/>
          </w:tcPr>
          <w:p>
            <w:pPr>
              <w:spacing w:after="0"/>
              <w:rPr>
                <w:sz w:val="20"/>
                <w:szCs w:val="20"/>
                <w:color w:val="auto"/>
              </w:rPr>
            </w:pPr>
            <w:r>
              <w:rPr>
                <w:rFonts w:ascii="Arial" w:cs="Arial" w:eastAsia="Arial" w:hAnsi="Arial"/>
                <w:sz w:val="18"/>
                <w:szCs w:val="18"/>
                <w:color w:val="auto"/>
              </w:rPr>
              <w:t>Adjusted EBITDA</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1,223</w:t>
            </w:r>
          </w:p>
        </w:tc>
        <w:tc>
          <w:tcPr>
            <w:tcW w:w="360" w:type="dxa"/>
            <w:vAlign w:val="bottom"/>
          </w:tcPr>
          <w:p>
            <w:pPr>
              <w:spacing w:after="0"/>
              <w:rPr>
                <w:sz w:val="24"/>
                <w:szCs w:val="24"/>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1,422</w:t>
            </w:r>
          </w:p>
        </w:tc>
      </w:tr>
      <w:tr>
        <w:trPr>
          <w:trHeight w:val="20"/>
        </w:trPr>
        <w:tc>
          <w:tcPr>
            <w:tcW w:w="9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80" w:firstLine="225"/>
        <w:spacing w:after="0" w:line="259" w:lineRule="auto"/>
        <w:rPr>
          <w:sz w:val="20"/>
          <w:szCs w:val="20"/>
          <w:color w:val="auto"/>
        </w:rPr>
      </w:pPr>
      <w:r>
        <w:rPr>
          <w:rFonts w:ascii="Arial" w:cs="Arial" w:eastAsia="Arial" w:hAnsi="Arial"/>
          <w:sz w:val="18"/>
          <w:szCs w:val="18"/>
          <w:i w:val="1"/>
          <w:iCs w:val="1"/>
          <w:color w:val="auto"/>
        </w:rPr>
        <w:t xml:space="preserve">Non-GAAP Net Income per Share. </w:t>
      </w:r>
      <w:r>
        <w:rPr>
          <w:rFonts w:ascii="Arial" w:cs="Arial" w:eastAsia="Arial" w:hAnsi="Arial"/>
          <w:sz w:val="18"/>
          <w:szCs w:val="18"/>
          <w:color w:val="auto"/>
        </w:rPr>
        <w:t>Non-GAAP net income per share, which is also a non-GAAP measure of financial performance, consists of net income</w:t>
      </w:r>
      <w:r>
        <w:rPr>
          <w:rFonts w:ascii="Arial" w:cs="Arial" w:eastAsia="Arial" w:hAnsi="Arial"/>
          <w:sz w:val="18"/>
          <w:szCs w:val="18"/>
          <w:i w:val="1"/>
          <w:iCs w:val="1"/>
          <w:color w:val="auto"/>
        </w:rPr>
        <w:t xml:space="preserve"> </w:t>
      </w:r>
      <w:r>
        <w:rPr>
          <w:rFonts w:ascii="Arial" w:cs="Arial" w:eastAsia="Arial" w:hAnsi="Arial"/>
          <w:sz w:val="18"/>
          <w:szCs w:val="18"/>
          <w:color w:val="auto"/>
        </w:rPr>
        <w:t>plus non-cash, stock-based compensation expense and amortization expense related to intangible assets divided by the weighted average number of shares of common stock outstanding during each period. We believe non-GAAP net income per share is useful to an investor because it is widely used to measure a company’s operating performance.</w:t>
      </w:r>
    </w:p>
    <w:p>
      <w:pPr>
        <w:spacing w:after="0" w:line="7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provides a reconciliation of net income to non-GAAP net income per share (in thousands, except per share amounts):</w:t>
      </w:r>
    </w:p>
    <w:p>
      <w:pPr>
        <w:spacing w:after="0" w:line="220" w:lineRule="exact"/>
        <w:rPr>
          <w:sz w:val="20"/>
          <w:szCs w:val="20"/>
          <w:color w:val="auto"/>
        </w:rPr>
      </w:pPr>
    </w:p>
    <w:p>
      <w:pPr>
        <w:jc w:val="center"/>
        <w:ind w:left="9160"/>
        <w:spacing w:after="0"/>
        <w:rPr>
          <w:sz w:val="20"/>
          <w:szCs w:val="20"/>
          <w:color w:val="auto"/>
        </w:rPr>
      </w:pPr>
      <w:r>
        <w:rPr>
          <w:rFonts w:ascii="Arial" w:cs="Arial" w:eastAsia="Arial" w:hAnsi="Arial"/>
          <w:sz w:val="14"/>
          <w:szCs w:val="14"/>
          <w:color w:val="auto"/>
        </w:rPr>
        <w:t>Three Months Ended</w:t>
      </w:r>
    </w:p>
    <w:p>
      <w:pPr>
        <w:jc w:val="center"/>
        <w:ind w:left="9160"/>
        <w:spacing w:after="0" w:line="231" w:lineRule="auto"/>
        <w:rPr>
          <w:sz w:val="20"/>
          <w:szCs w:val="20"/>
          <w:color w:val="auto"/>
        </w:rPr>
      </w:pPr>
      <w:r>
        <w:rPr>
          <w:rFonts w:ascii="Arial" w:cs="Arial" w:eastAsia="Arial" w:hAnsi="Arial"/>
          <w:sz w:val="14"/>
          <w:szCs w:val="14"/>
          <w:color w:val="auto"/>
        </w:rPr>
        <w:t>March 31,</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2011</w:t>
            </w:r>
          </w:p>
        </w:tc>
        <w:tc>
          <w:tcPr>
            <w:tcW w:w="3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492</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200"/>
              <w:spacing w:after="0"/>
              <w:rPr>
                <w:sz w:val="20"/>
                <w:szCs w:val="20"/>
                <w:color w:val="auto"/>
              </w:rPr>
            </w:pPr>
            <w:r>
              <w:rPr>
                <w:rFonts w:ascii="Arial" w:cs="Arial" w:eastAsia="Arial" w:hAnsi="Arial"/>
                <w:sz w:val="18"/>
                <w:szCs w:val="18"/>
                <w:color w:val="auto"/>
              </w:rPr>
              <w:t>Stock-based compensation expense</w:t>
            </w:r>
          </w:p>
        </w:tc>
        <w:tc>
          <w:tcPr>
            <w:tcW w:w="4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312</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of intangible assets</w:t>
            </w:r>
          </w:p>
        </w:tc>
        <w:tc>
          <w:tcPr>
            <w:tcW w:w="4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520" w:type="dxa"/>
            <w:vAlign w:val="bottom"/>
            <w:gridSpan w:val="2"/>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520" w:type="dxa"/>
            <w:vAlign w:val="bottom"/>
            <w:gridSpan w:val="2"/>
          </w:tcPr>
          <w:p>
            <w:pPr>
              <w:spacing w:after="0"/>
              <w:rPr>
                <w:sz w:val="20"/>
                <w:szCs w:val="20"/>
                <w:color w:val="auto"/>
              </w:rPr>
            </w:pPr>
            <w:r>
              <w:rPr>
                <w:rFonts w:ascii="Arial" w:cs="Arial" w:eastAsia="Arial" w:hAnsi="Arial"/>
                <w:sz w:val="18"/>
                <w:szCs w:val="18"/>
                <w:color w:val="auto"/>
              </w:rPr>
              <w:t>Non-GAAP net income</w:t>
            </w:r>
          </w:p>
        </w:tc>
        <w:tc>
          <w:tcPr>
            <w:tcW w:w="49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804</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970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50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Shares used to compute non-GAAP net income</w:t>
            </w:r>
          </w:p>
        </w:tc>
        <w:tc>
          <w:tcPr>
            <w:tcW w:w="4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per share</w:t>
            </w:r>
          </w:p>
        </w:tc>
        <w:tc>
          <w:tcPr>
            <w:tcW w:w="4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4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11,864</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00" w:type="dxa"/>
            <w:vAlign w:val="bottom"/>
          </w:tcPr>
          <w:p>
            <w:pPr>
              <w:ind w:left="200"/>
              <w:spacing w:after="0"/>
              <w:rPr>
                <w:sz w:val="20"/>
                <w:szCs w:val="20"/>
                <w:color w:val="auto"/>
              </w:rPr>
            </w:pPr>
            <w:r>
              <w:rPr>
                <w:rFonts w:ascii="Arial" w:cs="Arial" w:eastAsia="Arial" w:hAnsi="Arial"/>
                <w:sz w:val="18"/>
                <w:szCs w:val="18"/>
                <w:color w:val="auto"/>
              </w:rPr>
              <w:t>Diluted</w:t>
            </w:r>
          </w:p>
        </w:tc>
        <w:tc>
          <w:tcPr>
            <w:tcW w:w="4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12,698</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9,525</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4500" w:type="dxa"/>
            <w:vAlign w:val="bottom"/>
          </w:tcPr>
          <w:p>
            <w:pPr>
              <w:spacing w:after="0"/>
              <w:rPr>
                <w:sz w:val="17"/>
                <w:szCs w:val="17"/>
                <w:color w:val="auto"/>
              </w:rPr>
            </w:pPr>
          </w:p>
        </w:tc>
        <w:tc>
          <w:tcPr>
            <w:tcW w:w="4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Non-GAAP net income per share</w:t>
            </w:r>
          </w:p>
        </w:tc>
        <w:tc>
          <w:tcPr>
            <w:tcW w:w="4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200"/>
              <w:spacing w:after="0"/>
              <w:rPr>
                <w:sz w:val="20"/>
                <w:szCs w:val="20"/>
                <w:color w:val="auto"/>
              </w:rPr>
            </w:pPr>
            <w:r>
              <w:rPr>
                <w:rFonts w:ascii="Arial" w:cs="Arial" w:eastAsia="Arial" w:hAnsi="Arial"/>
                <w:sz w:val="18"/>
                <w:szCs w:val="18"/>
                <w:color w:val="auto"/>
              </w:rPr>
              <w:t>Basic</w:t>
            </w:r>
          </w:p>
        </w:tc>
        <w:tc>
          <w:tcPr>
            <w:tcW w:w="49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0.07</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4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0.06</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4760" w:type="dxa"/>
            <w:vAlign w:val="bottom"/>
          </w:tcPr>
          <w:p>
            <w:pPr>
              <w:jc w:val="right"/>
              <w:ind w:right="3390"/>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500" w:type="dxa"/>
            <w:vAlign w:val="bottom"/>
            <w:tcBorders>
              <w:bottom w:val="single" w:sz="8" w:color="808080"/>
            </w:tcBorders>
          </w:tcPr>
          <w:p>
            <w:pPr>
              <w:spacing w:after="0"/>
              <w:rPr>
                <w:sz w:val="19"/>
                <w:szCs w:val="19"/>
                <w:color w:val="auto"/>
              </w:rPr>
            </w:pPr>
          </w:p>
        </w:tc>
        <w:tc>
          <w:tcPr>
            <w:tcW w:w="47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140" w:firstLine="215"/>
        <w:spacing w:after="0" w:line="264" w:lineRule="auto"/>
        <w:rPr>
          <w:sz w:val="20"/>
          <w:szCs w:val="20"/>
          <w:color w:val="auto"/>
        </w:rPr>
      </w:pPr>
      <w:r>
        <w:rPr>
          <w:rFonts w:ascii="Arial" w:cs="Arial" w:eastAsia="Arial" w:hAnsi="Arial"/>
          <w:sz w:val="18"/>
          <w:szCs w:val="18"/>
          <w:color w:val="auto"/>
        </w:rPr>
        <w:t>At March 31, 2011, our principal sources of liquidity were cash and cash equivalents of $40.4 million and accounts receivable, net of allowance for doubtful accounts, of $6.4 million. Our working capital at March 31, 2011 was $43.5 million compared to $42.6 million at December 31, 2010. The increase in working capital from December 31, 2010 to March 31, 2011 resulted primarily from the following:</w:t>
      </w:r>
    </w:p>
    <w:p>
      <w:pPr>
        <w:spacing w:after="0" w:line="73" w:lineRule="exact"/>
        <w:rPr>
          <w:sz w:val="20"/>
          <w:szCs w:val="20"/>
          <w:color w:val="auto"/>
        </w:rPr>
      </w:pPr>
    </w:p>
    <w:p>
      <w:pPr>
        <w:ind w:left="660" w:hanging="436"/>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$782,000 increase in net accounts receivable, due to new business for the three months ended March 31, 2011;</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4"/>
        </w:numPr>
        <w:rPr>
          <w:rFonts w:ascii="Arial" w:cs="Arial" w:eastAsia="Arial" w:hAnsi="Arial"/>
          <w:sz w:val="16"/>
          <w:szCs w:val="16"/>
          <w:b w:val="1"/>
          <w:bCs w:val="1"/>
          <w:color w:val="auto"/>
        </w:rPr>
      </w:pPr>
      <w:r>
        <w:rPr>
          <w:rFonts w:ascii="Arial" w:cs="Arial" w:eastAsia="Arial" w:hAnsi="Arial"/>
          <w:sz w:val="16"/>
          <w:szCs w:val="16"/>
          <w:color w:val="auto"/>
        </w:rPr>
        <w:t>$167,000 increase in deferred costs, current, for expenses related to increased implementation resources and commission payments for new business;</w:t>
      </w:r>
    </w:p>
    <w:p>
      <w:pPr>
        <w:spacing w:after="0" w:line="153" w:lineRule="exact"/>
        <w:rPr>
          <w:rFonts w:ascii="Arial" w:cs="Arial" w:eastAsia="Arial" w:hAnsi="Arial"/>
          <w:sz w:val="16"/>
          <w:szCs w:val="16"/>
          <w:b w:val="1"/>
          <w:bCs w:val="1"/>
          <w:color w:val="auto"/>
        </w:rPr>
      </w:pPr>
    </w:p>
    <w:p>
      <w:pPr>
        <w:ind w:left="660" w:hanging="436"/>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$360,000 increase in prepaid expenses and other current assets, related to the renewal of a prepaid service contract;</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$122,000 decrease in capital lease obligations, current, as all of our outstanding capital leases were repaid;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$581,000 increase in accounts payable, primarily due to timing of payments for equipment purchases, professional services and rent;</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4"/>
        </w:numPr>
        <w:rPr>
          <w:rFonts w:ascii="Arial" w:cs="Arial" w:eastAsia="Arial" w:hAnsi="Arial"/>
          <w:sz w:val="16"/>
          <w:szCs w:val="16"/>
          <w:b w:val="1"/>
          <w:bCs w:val="1"/>
          <w:color w:val="auto"/>
        </w:rPr>
      </w:pPr>
      <w:r>
        <w:rPr>
          <w:rFonts w:ascii="Arial" w:cs="Arial" w:eastAsia="Arial" w:hAnsi="Arial"/>
          <w:sz w:val="16"/>
          <w:szCs w:val="16"/>
          <w:color w:val="auto"/>
        </w:rPr>
        <w:t>$215,000 decrease in accrued compensation and benefits, due to payments made in early 2011 for bonuses accrued as of December 31, 2010; and,</w:t>
      </w:r>
    </w:p>
    <w:p>
      <w:pPr>
        <w:spacing w:after="0" w:line="153" w:lineRule="exact"/>
        <w:rPr>
          <w:rFonts w:ascii="Arial" w:cs="Arial" w:eastAsia="Arial" w:hAnsi="Arial"/>
          <w:sz w:val="16"/>
          <w:szCs w:val="16"/>
          <w:b w:val="1"/>
          <w:bCs w:val="1"/>
          <w:color w:val="auto"/>
        </w:rPr>
      </w:pPr>
    </w:p>
    <w:p>
      <w:pPr>
        <w:ind w:left="660" w:hanging="436"/>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$137,000 increase in accrued expenses and other current liabilities, primarily due to an increase in accruals for professional services;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Flows from Operating Activities</w:t>
      </w:r>
    </w:p>
    <w:p>
      <w:pPr>
        <w:spacing w:after="0" w:line="117" w:lineRule="exact"/>
        <w:rPr>
          <w:sz w:val="20"/>
          <w:szCs w:val="20"/>
          <w:color w:val="auto"/>
        </w:rPr>
      </w:pPr>
    </w:p>
    <w:p>
      <w:pPr>
        <w:ind w:right="60" w:firstLine="225"/>
        <w:spacing w:after="0" w:line="264" w:lineRule="auto"/>
        <w:rPr>
          <w:sz w:val="20"/>
          <w:szCs w:val="20"/>
          <w:color w:val="auto"/>
        </w:rPr>
      </w:pPr>
      <w:r>
        <w:rPr>
          <w:rFonts w:ascii="Arial" w:cs="Arial" w:eastAsia="Arial" w:hAnsi="Arial"/>
          <w:sz w:val="18"/>
          <w:szCs w:val="18"/>
          <w:color w:val="auto"/>
        </w:rPr>
        <w:t>Net cash provided by operating activities was $560,000 for the three months ended March 31, 2011 compared to $254,000 for the same period in 2010. The approximate $400,000 decrease in net income was more than offset by the changes in non-cash expenses, including increased stock-based compensation, and the changes in working capital accounts as discussed above.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Flows from Investing Activities</w:t>
      </w:r>
    </w:p>
    <w:p>
      <w:pPr>
        <w:spacing w:after="0" w:line="117" w:lineRule="exact"/>
        <w:rPr>
          <w:sz w:val="20"/>
          <w:szCs w:val="20"/>
          <w:color w:val="auto"/>
        </w:rPr>
      </w:pPr>
    </w:p>
    <w:p>
      <w:pPr>
        <w:jc w:val="both"/>
        <w:ind w:right="220" w:firstLine="225"/>
        <w:spacing w:after="0" w:line="264" w:lineRule="auto"/>
        <w:rPr>
          <w:sz w:val="20"/>
          <w:szCs w:val="20"/>
          <w:color w:val="auto"/>
        </w:rPr>
      </w:pPr>
      <w:r>
        <w:rPr>
          <w:rFonts w:ascii="Arial" w:cs="Arial" w:eastAsia="Arial" w:hAnsi="Arial"/>
          <w:sz w:val="18"/>
          <w:szCs w:val="18"/>
          <w:color w:val="auto"/>
        </w:rPr>
        <w:t>Net cash used in investing activities was $488,000 for the three months ended March 31, 2011 and $130,000 for the same period in 2010, all for capital expenditures. Our capital expenditures are for supporting our business growth and existing customer base, as well as for our internal use such as equipment for our employees.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Flows from Financing Activities</w:t>
      </w:r>
    </w:p>
    <w:p>
      <w:pPr>
        <w:spacing w:after="0" w:line="117" w:lineRule="exact"/>
        <w:rPr>
          <w:sz w:val="20"/>
          <w:szCs w:val="20"/>
          <w:color w:val="auto"/>
        </w:rPr>
      </w:pPr>
    </w:p>
    <w:p>
      <w:pPr>
        <w:ind w:right="200" w:firstLine="225"/>
        <w:spacing w:after="0" w:line="264" w:lineRule="auto"/>
        <w:rPr>
          <w:sz w:val="20"/>
          <w:szCs w:val="20"/>
          <w:color w:val="auto"/>
        </w:rPr>
      </w:pPr>
      <w:r>
        <w:rPr>
          <w:rFonts w:ascii="Arial" w:cs="Arial" w:eastAsia="Arial" w:hAnsi="Arial"/>
          <w:sz w:val="18"/>
          <w:szCs w:val="18"/>
          <w:color w:val="auto"/>
        </w:rPr>
        <w:t>Net cash used in financing activities was $98,000 for the three months ended March 31, 2011, representing payments of capital lease obligations slightly offset by net proceeds from the exercise of stock options. Net cash used in financing activities was $59,000 for the three months ended March 31, 2010, representing net repayments on outstanding indebtedness.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Facility</w:t>
      </w:r>
    </w:p>
    <w:p>
      <w:pPr>
        <w:spacing w:after="0" w:line="117" w:lineRule="exact"/>
        <w:rPr>
          <w:sz w:val="20"/>
          <w:szCs w:val="20"/>
          <w:color w:val="auto"/>
        </w:rPr>
      </w:pPr>
    </w:p>
    <w:p>
      <w:pPr>
        <w:ind w:right="400" w:firstLine="222"/>
        <w:spacing w:after="0" w:line="277" w:lineRule="auto"/>
        <w:rPr>
          <w:sz w:val="20"/>
          <w:szCs w:val="20"/>
          <w:color w:val="auto"/>
        </w:rPr>
      </w:pPr>
      <w:r>
        <w:rPr>
          <w:rFonts w:ascii="Arial" w:cs="Arial" w:eastAsia="Arial" w:hAnsi="Arial"/>
          <w:sz w:val="18"/>
          <w:szCs w:val="18"/>
          <w:color w:val="auto"/>
        </w:rPr>
        <w:t>We terminated our previous credit facility with BlueCrest Venture Finance Master Fund Limited effective March 31, 2010. We continue to review our future needs for a credit facility.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Adequacy of Capital Resources</w:t>
      </w:r>
    </w:p>
    <w:p>
      <w:pPr>
        <w:spacing w:after="0" w:line="117" w:lineRule="exact"/>
        <w:rPr>
          <w:sz w:val="20"/>
          <w:szCs w:val="20"/>
          <w:color w:val="auto"/>
        </w:rPr>
      </w:pPr>
    </w:p>
    <w:p>
      <w:pPr>
        <w:ind w:firstLine="225"/>
        <w:spacing w:after="0" w:line="279" w:lineRule="auto"/>
        <w:rPr>
          <w:sz w:val="20"/>
          <w:szCs w:val="20"/>
          <w:color w:val="auto"/>
        </w:rPr>
      </w:pPr>
      <w:r>
        <w:rPr>
          <w:rFonts w:ascii="Arial" w:cs="Arial" w:eastAsia="Arial" w:hAnsi="Arial"/>
          <w:sz w:val="17"/>
          <w:szCs w:val="17"/>
          <w:color w:val="auto"/>
        </w:rPr>
        <w:t>Our future capital requirements may vary significantly from those now planned and will depend on many factors, including the costs to develop and implement new solutions and applications, the sales and marketing resources needed to further penetrate our market and gain acceptance of new solutions and applications we develop, the expansion of our operations in the United States and internationally, the response of competitors to our solutions and applications and our use of capital for acquisitions, if any. Historically, we have experienced increases in our</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expenditures consistent with the growth in our operations and personnel, and we anticipate that our expenditures will increase as we continue to grow our business.</w:t>
      </w:r>
    </w:p>
    <w:p>
      <w:pPr>
        <w:spacing w:after="0" w:line="62" w:lineRule="exact"/>
        <w:rPr>
          <w:sz w:val="20"/>
          <w:szCs w:val="20"/>
          <w:color w:val="auto"/>
        </w:rPr>
      </w:pPr>
    </w:p>
    <w:p>
      <w:pPr>
        <w:ind w:right="560" w:firstLine="222"/>
        <w:spacing w:after="0" w:line="277" w:lineRule="auto"/>
        <w:rPr>
          <w:sz w:val="20"/>
          <w:szCs w:val="20"/>
          <w:color w:val="auto"/>
        </w:rPr>
      </w:pPr>
      <w:r>
        <w:rPr>
          <w:rFonts w:ascii="Arial" w:cs="Arial" w:eastAsia="Arial" w:hAnsi="Arial"/>
          <w:sz w:val="18"/>
          <w:szCs w:val="18"/>
          <w:color w:val="auto"/>
        </w:rPr>
        <w:t>We believe our cash and cash equivalents and cash flows from our operations will be sufficient to meet our working capital and capital expenditure requirements for at least the next twelve months.</w:t>
      </w:r>
    </w:p>
    <w:p>
      <w:pPr>
        <w:spacing w:after="0" w:line="62"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Inflation and changing prices did not have a material effect on our business during the three months ended March 31, 2011. We do not expect that inflation or changing prices will materially affect our business in the foreseeable future.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120" w:firstLine="222"/>
        <w:spacing w:after="0" w:line="277" w:lineRule="auto"/>
        <w:rPr>
          <w:sz w:val="20"/>
          <w:szCs w:val="20"/>
          <w:color w:val="auto"/>
        </w:rPr>
      </w:pPr>
      <w:r>
        <w:rPr>
          <w:rFonts w:ascii="Arial" w:cs="Arial" w:eastAsia="Arial" w:hAnsi="Arial"/>
          <w:sz w:val="18"/>
          <w:szCs w:val="18"/>
          <w:color w:val="auto"/>
        </w:rPr>
        <w:t>We do not have any off-balance sheet arrangements, investments in special purpose entities or undisclosed borrowings or debt. Additionally, we are not a party to any derivative contracts or synthetic leases.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360" w:firstLine="225"/>
        <w:spacing w:after="0" w:line="286" w:lineRule="auto"/>
        <w:rPr>
          <w:sz w:val="20"/>
          <w:szCs w:val="20"/>
          <w:color w:val="auto"/>
        </w:rPr>
      </w:pPr>
      <w:r>
        <w:rPr>
          <w:rFonts w:ascii="Arial" w:cs="Arial" w:eastAsia="Arial" w:hAnsi="Arial"/>
          <w:sz w:val="17"/>
          <w:szCs w:val="17"/>
          <w:color w:val="auto"/>
        </w:rPr>
        <w:t>See Note A to our financial statements elsewhere in this Quarterly Report on Form 10-Q and in our Annual Report on Form 10-K for the year ended December 31, 2010 as filed with the Securities and Exchange Commission on March 3, 2011 for a full description of recent accounting pronouncements, including the respective expected dates of adoption and effects on our results of operations and financial condition.</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340" w:firstLine="222"/>
        <w:spacing w:after="0" w:line="277" w:lineRule="auto"/>
        <w:rPr>
          <w:sz w:val="20"/>
          <w:szCs w:val="20"/>
          <w:color w:val="auto"/>
        </w:rPr>
      </w:pPr>
      <w:r>
        <w:rPr>
          <w:rFonts w:ascii="Arial" w:cs="Arial" w:eastAsia="Arial" w:hAnsi="Arial"/>
          <w:sz w:val="18"/>
          <w:szCs w:val="18"/>
          <w:color w:val="auto"/>
        </w:rPr>
        <w:t>We are a smaller reporting company as defined by Rule 12b-2 of the Exchange Act and are not required to provide the information required under this item.</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17" w:lineRule="exact"/>
        <w:rPr>
          <w:sz w:val="20"/>
          <w:szCs w:val="20"/>
          <w:color w:val="auto"/>
        </w:rPr>
      </w:pPr>
    </w:p>
    <w:p>
      <w:pPr>
        <w:ind w:right="40" w:firstLine="215"/>
        <w:spacing w:after="0" w:line="291" w:lineRule="auto"/>
        <w:rPr>
          <w:sz w:val="20"/>
          <w:szCs w:val="20"/>
          <w:color w:val="auto"/>
        </w:rPr>
      </w:pPr>
      <w:r>
        <w:rPr>
          <w:rFonts w:ascii="Arial" w:cs="Arial" w:eastAsia="Arial" w:hAnsi="Arial"/>
          <w:sz w:val="16"/>
          <w:szCs w:val="16"/>
          <w:color w:val="auto"/>
        </w:rPr>
        <w:t>As of the end of the period covered by this Quarterly Report on Form 10-Q, our management has evaluated, under the supervision and with the participation of our Chief Executive Officer and Chief Financial Officer, the effectiveness of our disclosure controls and procedures (as defined in Rules 13a-15(e) and 15d-15(e) under the Securities Exchange Act of 1934). Disclosure controls and procedures are designed to ensure that information required to be disclosed in our reports filed under the Securities Exchange Act of 1934 is recorded, processed, summarized and reported within the time periods specified in the Securities and Exchange Commission’s rules and forms and that such information is accumulated and communicated to our management, including our Chief Executive Officer and Chief Financial Officer, to allow timely decisions regarding required disclosure. Based on this evaluation, our Chief Executive Officer and Chief Financial Officer concluded that our disclosure controls and procedures were effective as of March 31, 2011.</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ind w:right="520" w:firstLine="222"/>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quarter ended March 31, 2011 that have materially affected, or are reasonably likely to materially affect, our internal control over financial reporting.</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firstLine="222"/>
        <w:spacing w:after="0" w:line="342" w:lineRule="auto"/>
        <w:rPr>
          <w:sz w:val="20"/>
          <w:szCs w:val="20"/>
          <w:color w:val="auto"/>
        </w:rPr>
      </w:pPr>
      <w:r>
        <w:rPr>
          <w:rFonts w:ascii="Arial" w:cs="Arial" w:eastAsia="Arial" w:hAnsi="Arial"/>
          <w:sz w:val="16"/>
          <w:szCs w:val="16"/>
          <w:color w:val="auto"/>
        </w:rPr>
        <w:t>We are not currently subject to any material legal proceedings. From time to time, however, we may be engaged in legal actions arising from our normal business activities. Any such actions, even those that lack merit, could result in the expenditure of significant financial and managerial resources.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40" w:firstLine="222"/>
        <w:spacing w:after="0" w:line="277" w:lineRule="auto"/>
        <w:rPr>
          <w:sz w:val="20"/>
          <w:szCs w:val="20"/>
          <w:color w:val="auto"/>
        </w:rPr>
      </w:pPr>
      <w:r>
        <w:rPr>
          <w:rFonts w:ascii="Arial" w:cs="Arial" w:eastAsia="Arial" w:hAnsi="Arial"/>
          <w:sz w:val="18"/>
          <w:szCs w:val="18"/>
          <w:color w:val="auto"/>
        </w:rPr>
        <w:t xml:space="preserve">There have been no material changes in our risk factors from those disclosed under the heading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 our Annual Report on Form 10-K for the year ended December 31, 2010 as filed with the Securities and Exchange Commission on March 3, 2011.</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exhibits filed as part of this Quarterly Report on Form 10-Q are listed in the Exhibit Index immediately following the signatures to this report.</w:t>
      </w:r>
    </w:p>
    <w:p>
      <w:pPr>
        <w:spacing w:after="0" w:line="2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419"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tabs>
          <w:tab w:leader="none" w:pos="5760" w:val="left"/>
        </w:tabs>
        <w:rPr>
          <w:sz w:val="20"/>
          <w:szCs w:val="20"/>
          <w:color w:val="auto"/>
        </w:rPr>
      </w:pPr>
      <w:r>
        <w:rPr>
          <w:rFonts w:ascii="Arial" w:cs="Arial" w:eastAsia="Arial" w:hAnsi="Arial"/>
          <w:sz w:val="18"/>
          <w:szCs w:val="18"/>
          <w:color w:val="auto"/>
        </w:rPr>
        <w:t>Dated: May 5, 2011</w:t>
      </w:r>
      <w:r>
        <w:rPr>
          <w:sz w:val="20"/>
          <w:szCs w:val="20"/>
          <w:color w:val="auto"/>
        </w:rPr>
        <w:tab/>
      </w:r>
      <w:r>
        <w:rPr>
          <w:rFonts w:ascii="Arial" w:cs="Arial" w:eastAsia="Arial" w:hAnsi="Arial"/>
          <w:sz w:val="16"/>
          <w:szCs w:val="16"/>
          <w:color w:val="auto"/>
        </w:rPr>
        <w:t>SPS COMMERCE, INC.</w:t>
      </w:r>
    </w:p>
    <w:p>
      <w:pPr>
        <w:spacing w:after="0" w:line="225"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 KIMBERLY K. NELSON</w:t>
      </w:r>
    </w:p>
    <w:p>
      <w:pPr>
        <w:spacing w:after="0" w:line="2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Kimberly K.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3667125</wp:posOffset>
            </wp:positionH>
            <wp:positionV relativeFrom="paragraph">
              <wp:posOffset>-130810</wp:posOffset>
            </wp:positionV>
            <wp:extent cx="281305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813050" cy="8890"/>
                    </a:xfrm>
                    <a:prstGeom prst="rect">
                      <a:avLst/>
                    </a:prstGeom>
                    <a:noFill/>
                  </pic:spPr>
                </pic:pic>
              </a:graphicData>
            </a:graphic>
          </wp:anchor>
        </w:drawing>
      </w:r>
    </w:p>
    <w:p>
      <w:pPr>
        <w:spacing w:after="0" w:line="3" w:lineRule="exact"/>
        <w:rPr>
          <w:sz w:val="20"/>
          <w:szCs w:val="20"/>
          <w:color w:val="auto"/>
        </w:rPr>
      </w:pPr>
    </w:p>
    <w:p>
      <w:pPr>
        <w:ind w:left="5780"/>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40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419" w:right="4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EXHIBIT INDEX</w:t>
      </w:r>
    </w:p>
    <w:p>
      <w:pPr>
        <w:spacing w:after="0" w:line="224" w:lineRule="exact"/>
        <w:rPr>
          <w:sz w:val="20"/>
          <w:szCs w:val="20"/>
          <w:color w:val="auto"/>
        </w:rPr>
      </w:pPr>
    </w:p>
    <w:p>
      <w:pPr>
        <w:ind w:left="140"/>
        <w:spacing w:after="0"/>
        <w:rPr>
          <w:sz w:val="20"/>
          <w:szCs w:val="20"/>
          <w:color w:val="auto"/>
        </w:rPr>
      </w:pPr>
      <w:r>
        <w:rPr>
          <w:rFonts w:ascii="Arial" w:cs="Arial" w:eastAsia="Arial" w:hAnsi="Arial"/>
          <w:sz w:val="14"/>
          <w:szCs w:val="14"/>
          <w:i w:val="1"/>
          <w:iCs w:val="1"/>
          <w:color w:val="auto"/>
        </w:rPr>
        <w:t>Exhibit</w:t>
      </w:r>
    </w:p>
    <w:p>
      <w:pPr>
        <w:ind w:left="120"/>
        <w:spacing w:after="0"/>
        <w:tabs>
          <w:tab w:leader="none" w:pos="900" w:val="left"/>
        </w:tabs>
        <w:rPr>
          <w:sz w:val="20"/>
          <w:szCs w:val="20"/>
          <w:color w:val="auto"/>
        </w:rPr>
      </w:pPr>
      <w:r>
        <w:rPr>
          <w:rFonts w:ascii="Arial" w:cs="Arial" w:eastAsia="Arial" w:hAnsi="Arial"/>
          <w:sz w:val="14"/>
          <w:szCs w:val="14"/>
          <w:i w:val="1"/>
          <w:iCs w:val="1"/>
          <w:color w:val="auto"/>
        </w:rPr>
        <w:t>Number</w:t>
      </w:r>
      <w:r>
        <w:rPr>
          <w:sz w:val="20"/>
          <w:szCs w:val="20"/>
          <w:color w:val="auto"/>
        </w:rPr>
        <w:tab/>
      </w:r>
      <w:r>
        <w:rPr>
          <w:rFonts w:ascii="Arial" w:cs="Arial" w:eastAsia="Arial" w:hAnsi="Arial"/>
          <w:sz w:val="14"/>
          <w:szCs w:val="14"/>
          <w:i w:val="1"/>
          <w:i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0" w:lineRule="exact"/>
        <w:rPr>
          <w:sz w:val="20"/>
          <w:szCs w:val="20"/>
          <w:color w:val="auto"/>
        </w:rPr>
      </w:pPr>
    </w:p>
    <w:p>
      <w:pPr>
        <w:ind w:left="200"/>
        <w:spacing w:after="0"/>
        <w:tabs>
          <w:tab w:leader="none" w:pos="9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Principal Executive Officer pursuant to Rules 13a-14(a) under the Securities Exchange Act of 1934, as amended (filed herewith).</w:t>
      </w:r>
    </w:p>
    <w:p>
      <w:pPr>
        <w:spacing w:after="0" w:line="225" w:lineRule="exact"/>
        <w:rPr>
          <w:sz w:val="20"/>
          <w:szCs w:val="20"/>
          <w:color w:val="auto"/>
        </w:rPr>
      </w:pPr>
    </w:p>
    <w:p>
      <w:pPr>
        <w:ind w:left="200"/>
        <w:spacing w:after="0"/>
        <w:tabs>
          <w:tab w:leader="none" w:pos="9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Principal Financial Officer pursuant to Rules 13a-14(a) under the Securities Exchange Act of 1934, as amended (filed herewith).</w:t>
      </w:r>
    </w:p>
    <w:p>
      <w:pPr>
        <w:spacing w:after="0" w:line="225" w:lineRule="exact"/>
        <w:rPr>
          <w:sz w:val="20"/>
          <w:szCs w:val="20"/>
          <w:color w:val="auto"/>
        </w:rPr>
      </w:pPr>
    </w:p>
    <w:p>
      <w:pPr>
        <w:ind w:left="920" w:right="120" w:hanging="730"/>
        <w:spacing w:after="0" w:line="277" w:lineRule="auto"/>
        <w:tabs>
          <w:tab w:leader="none" w:pos="90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Certification of Chief Executive Officer and Chief Financial Officer pursuant to 18 U.S.C. Sec. 1350, as adopted pursuant to Section 906 of the Sarbanes-Oxley Act of 2002 (filed herewith).</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19" w:right="27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 OF THE SARBANES-OXLEY 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Archie C. Black, certify that:</w:t>
      </w:r>
    </w:p>
    <w:p>
      <w:pPr>
        <w:spacing w:after="0" w:line="117" w:lineRule="exact"/>
        <w:rPr>
          <w:sz w:val="20"/>
          <w:szCs w:val="20"/>
          <w:color w:val="auto"/>
        </w:rPr>
      </w:pPr>
    </w:p>
    <w:p>
      <w:pPr>
        <w:ind w:left="660" w:hanging="43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SPS Commerce, Inc.;</w:t>
      </w:r>
    </w:p>
    <w:p>
      <w:pPr>
        <w:spacing w:after="0" w:line="130" w:lineRule="exact"/>
        <w:rPr>
          <w:rFonts w:ascii="Arial" w:cs="Arial" w:eastAsia="Arial" w:hAnsi="Arial"/>
          <w:sz w:val="18"/>
          <w:szCs w:val="18"/>
          <w:color w:val="auto"/>
        </w:rPr>
      </w:pPr>
    </w:p>
    <w:p>
      <w:pPr>
        <w:jc w:val="both"/>
        <w:ind w:left="660" w:right="280" w:hanging="436"/>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660" w:right="240" w:hanging="436"/>
        <w:spacing w:after="0" w:line="308"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660" w:right="280" w:hanging="436"/>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360" w:right="40" w:hanging="447"/>
        <w:spacing w:after="0" w:line="264" w:lineRule="auto"/>
        <w:tabs>
          <w:tab w:leader="none" w:pos="136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1360" w:right="160" w:hanging="447"/>
        <w:spacing w:after="0" w:line="264" w:lineRule="auto"/>
        <w:tabs>
          <w:tab w:leader="none" w:pos="136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1360" w:right="300" w:hanging="447"/>
        <w:spacing w:after="0" w:line="342" w:lineRule="auto"/>
        <w:tabs>
          <w:tab w:leader="none" w:pos="1360" w:val="left"/>
        </w:tabs>
        <w:numPr>
          <w:ilvl w:val="1"/>
          <w:numId w:val="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1360" w:right="200" w:hanging="447"/>
        <w:spacing w:after="0" w:line="264" w:lineRule="auto"/>
        <w:tabs>
          <w:tab w:leader="none" w:pos="1360"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100" w:hanging="436"/>
        <w:spacing w:after="0" w:line="308"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60" w:right="580" w:hanging="447"/>
        <w:spacing w:after="0" w:line="342" w:lineRule="auto"/>
        <w:tabs>
          <w:tab w:leader="none" w:pos="1360" w:val="left"/>
        </w:tabs>
        <w:numPr>
          <w:ilvl w:val="1"/>
          <w:numId w:val="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360" w:right="200" w:hanging="447"/>
        <w:spacing w:after="0" w:line="277" w:lineRule="auto"/>
        <w:tabs>
          <w:tab w:leader="none" w:pos="13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ARCHIE C. BLACK</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Archie C.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-130810</wp:posOffset>
            </wp:positionV>
            <wp:extent cx="265874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(principal executive officer)</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May 5, 2011</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1" w:right="23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ind w:right="2300" w:firstLine="2307"/>
        <w:spacing w:after="0" w:line="378" w:lineRule="auto"/>
        <w:rPr>
          <w:sz w:val="20"/>
          <w:szCs w:val="20"/>
          <w:color w:val="auto"/>
        </w:rPr>
      </w:pPr>
      <w:r>
        <w:rPr>
          <w:rFonts w:ascii="Arial" w:cs="Arial" w:eastAsia="Arial" w:hAnsi="Arial"/>
          <w:sz w:val="18"/>
          <w:szCs w:val="18"/>
          <w:b w:val="1"/>
          <w:bCs w:val="1"/>
          <w:color w:val="auto"/>
        </w:rPr>
        <w:t xml:space="preserve">CERTIFICATION PURSUANT TO SECTION 302 OF THE SARBANES-OXLEY ACT </w:t>
      </w:r>
      <w:r>
        <w:rPr>
          <w:rFonts w:ascii="Arial" w:cs="Arial" w:eastAsia="Arial" w:hAnsi="Arial"/>
          <w:sz w:val="18"/>
          <w:szCs w:val="18"/>
          <w:color w:val="auto"/>
        </w:rPr>
        <w:t>I, Kimberly K. Nelson, certify that:</w:t>
      </w:r>
    </w:p>
    <w:p>
      <w:pPr>
        <w:ind w:left="660" w:hanging="43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SPS Commerce, Inc.;</w:t>
      </w:r>
    </w:p>
    <w:p>
      <w:pPr>
        <w:spacing w:after="0" w:line="130" w:lineRule="exact"/>
        <w:rPr>
          <w:rFonts w:ascii="Arial" w:cs="Arial" w:eastAsia="Arial" w:hAnsi="Arial"/>
          <w:sz w:val="18"/>
          <w:szCs w:val="18"/>
          <w:color w:val="auto"/>
        </w:rPr>
      </w:pPr>
    </w:p>
    <w:p>
      <w:pPr>
        <w:jc w:val="both"/>
        <w:ind w:left="660" w:right="280" w:hanging="436"/>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660" w:right="240" w:hanging="436"/>
        <w:spacing w:after="0" w:line="308"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660" w:right="280" w:hanging="436"/>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360" w:right="40" w:hanging="447"/>
        <w:spacing w:after="0" w:line="264" w:lineRule="auto"/>
        <w:tabs>
          <w:tab w:leader="none" w:pos="136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1360" w:right="160" w:hanging="447"/>
        <w:spacing w:after="0" w:line="264" w:lineRule="auto"/>
        <w:tabs>
          <w:tab w:leader="none" w:pos="136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1360" w:right="300" w:hanging="447"/>
        <w:spacing w:after="0" w:line="342" w:lineRule="auto"/>
        <w:tabs>
          <w:tab w:leader="none" w:pos="1360" w:val="left"/>
        </w:tabs>
        <w:numPr>
          <w:ilvl w:val="1"/>
          <w:numId w:val="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1360" w:right="200" w:hanging="447"/>
        <w:spacing w:after="0" w:line="264" w:lineRule="auto"/>
        <w:tabs>
          <w:tab w:leader="none" w:pos="136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100" w:hanging="436"/>
        <w:spacing w:after="0" w:line="308"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60" w:right="580" w:hanging="447"/>
        <w:spacing w:after="0" w:line="342" w:lineRule="auto"/>
        <w:tabs>
          <w:tab w:leader="none" w:pos="1360" w:val="left"/>
        </w:tabs>
        <w:numPr>
          <w:ilvl w:val="1"/>
          <w:numId w:val="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360" w:right="200" w:hanging="447"/>
        <w:spacing w:after="0" w:line="277" w:lineRule="auto"/>
        <w:tabs>
          <w:tab w:leader="none" w:pos="136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KIMBERLY K. NELSON</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Kimberly K.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-130810</wp:posOffset>
            </wp:positionV>
            <wp:extent cx="265874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May 5, 2011</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jc w:val="both"/>
        <w:ind w:right="200" w:firstLine="225"/>
        <w:spacing w:after="0" w:line="312" w:lineRule="auto"/>
        <w:rPr>
          <w:sz w:val="20"/>
          <w:szCs w:val="20"/>
          <w:color w:val="auto"/>
        </w:rPr>
      </w:pPr>
      <w:r>
        <w:rPr>
          <w:rFonts w:ascii="Arial" w:cs="Arial" w:eastAsia="Arial" w:hAnsi="Arial"/>
          <w:sz w:val="16"/>
          <w:szCs w:val="16"/>
          <w:color w:val="auto"/>
        </w:rPr>
        <w:t>In connection with the Quarterly Report on Form 10-Q of SPS Commerce, Inc. (the “Company”) for the period ended March 31, 2011, as filed with the Securities and Exchange Commission on the date hereof (the “Report”), the undersigned, the Chief Executive Officer and the Chief Financial Officer of the Company, hereby certify, pursuant to and for purposes of 18 U.S.C. §1350, as adopted pursuant to Section 906 of the Sarbanes-Oxley Act of 2002, that:</w:t>
      </w:r>
    </w:p>
    <w:p>
      <w:pPr>
        <w:spacing w:after="0" w:line="39" w:lineRule="exact"/>
        <w:rPr>
          <w:sz w:val="20"/>
          <w:szCs w:val="20"/>
          <w:color w:val="auto"/>
        </w:rPr>
      </w:pPr>
    </w:p>
    <w:p>
      <w:pPr>
        <w:ind w:left="660" w:hanging="43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ARCHIE C. BLACK</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Archie C.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-130810</wp:posOffset>
            </wp:positionV>
            <wp:extent cx="265874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00" w:lineRule="exact"/>
        <w:rPr>
          <w:sz w:val="20"/>
          <w:szCs w:val="20"/>
          <w:color w:val="auto"/>
        </w:rPr>
      </w:pPr>
    </w:p>
    <w:p>
      <w:pPr>
        <w:spacing w:after="0" w:line="227"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KIMBERLY K. NELSON</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Kimberly K.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-130810</wp:posOffset>
            </wp:positionV>
            <wp:extent cx="265874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May 5, 2011</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o"/>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1."/>
      <w:numFmt w:val="decimal"/>
      <w:start w:val="1"/>
    </w:lvl>
    <w:lvl w:ilvl="1">
      <w:lvlJc w:val="left"/>
      <w:lvlText w:val="%2."/>
      <w:numFmt w:val="lowerLetter"/>
      <w:start w:val="1"/>
    </w:lvl>
  </w:abstractNum>
  <w:abstractNum w:abstractNumId="5">
    <w:nsid w:val="2EB141F2"/>
    <w:multiLevelType w:val="hybridMultilevel"/>
    <w:lvl w:ilvl="0">
      <w:lvlJc w:val="left"/>
      <w:lvlText w:val="%1."/>
      <w:numFmt w:val="decimal"/>
      <w:start w:val="1"/>
    </w:lvl>
    <w:lvl w:ilvl="1">
      <w:lvlJc w:val="left"/>
      <w:lvlText w:val="%2."/>
      <w:numFmt w:val="lowerLetter"/>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2019-12-10T19:23:44Z</dcterms:created>
  <dcterms:modified xsi:type="dcterms:W3CDTF">2019-12-10T19:23:44Z</dcterms:modified>
</cp:coreProperties>
</file>