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10-Q/A</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2876"/>
        <w:gridCol w:w="2876"/>
        <w:gridCol w:w="407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ind w:left="0" w:right="0" w:hanging="490"/>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Commission file number 001-34702</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SPS COMMERCE, INC.</w:t>
      </w:r>
    </w:p>
    <w:p>
      <w:pPr>
        <w:pStyle w:val="TextBody"/>
        <w:bidi w:val="0"/>
        <w:spacing w:before="0" w:after="0"/>
        <w:jc w:val="center"/>
        <w:rPr/>
      </w:pPr>
      <w:r>
        <w:rPr/>
        <w:drawing>
          <wp:inline distT="0" distB="0" distL="0" distR="0">
            <wp:extent cx="9144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8763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(Exact Name of Registrant as Specified in its Charter)</w:t>
      </w:r>
    </w:p>
    <w:tbl>
      <w:tblPr>
        <w:tblW w:w="3719" w:type="dxa"/>
        <w:jc w:val="center"/>
        <w:tblInd w:w="0" w:type="dxa"/>
        <w:tblLayout w:type="fixed"/>
        <w:tblCellMar>
          <w:top w:w="28" w:type="dxa"/>
          <w:left w:w="28" w:type="dxa"/>
          <w:bottom w:w="28" w:type="dxa"/>
          <w:right w:w="28" w:type="dxa"/>
        </w:tblCellMar>
      </w:tblPr>
      <w:tblGrid>
        <w:gridCol w:w="819"/>
        <w:gridCol w:w="718"/>
        <w:gridCol w:w="727"/>
        <w:gridCol w:w="425"/>
        <w:gridCol w:w="425"/>
        <w:gridCol w:w="60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41-2015127</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(State or other jurisdiction of</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(I.R.S. Employer</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333 South Seventh Street, Suite 1000, Minneapolis, MN 55402</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(612) 435-9400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1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24"/>
        <w:gridCol w:w="424"/>
        <w:gridCol w:w="426"/>
        <w:gridCol w:w="109"/>
        <w:gridCol w:w="109"/>
        <w:gridCol w:w="109"/>
        <w:gridCol w:w="1181"/>
        <w:gridCol w:w="1181"/>
        <w:gridCol w:w="1672"/>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1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 (Nasdaq Global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jc w:val="left"/>
        <w:rPr/>
      </w:pPr>
      <w:r>
        <w:rPr>
          <w:rFonts w:ascii="Times New Roman;serif" w:hAnsi="Times New Roman;serif"/>
          <w:b w:val="false"/>
          <w:color w:val="000000"/>
          <w:sz w:val="18"/>
        </w:rPr>
        <w:t>The number of shares of the registrant’s common stock, par value $0.001 per share, outstanding at April 23, 2026 was 36,712,702 sh</w:t>
      </w:r>
      <w:r>
        <w:rPr>
          <w:rFonts w:ascii="Times New Roman;serif" w:hAnsi="Times New Roman;serif"/>
          <w:b w:val="false"/>
          <w:color w:val="000000"/>
          <w:sz w:val="18"/>
          <w:shd w:fill="FFFFFF" w:val="clear"/>
        </w:rPr>
        <w:t>ares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68" w:before="0" w:after="0"/>
        <w:jc w:val="center"/>
        <w:rPr>
          <w:rFonts w:ascii="Times New Roman;serif" w:hAnsi="Times New Roman;serif"/>
          <w:b/>
          <w:color w:val="00AAE5"/>
          <w:sz w:val="20"/>
        </w:rPr>
      </w:pPr>
      <w:r>
        <w:rPr>
          <w:rFonts w:ascii="Times New Roman;serif" w:hAnsi="Times New Roman;serif"/>
          <w:b/>
          <w:color w:val="00AAE5"/>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SPS Commerce, Inc. (the “Company”) is filing this Amendment No. 1 on Form 10-Q/A (this “Amendment”) to its Quarterly Report on Form 10-Q for the quarterly period ended March 31, 2026, which was originally filed with the Securities and Exchange Commission (the “SEC”) on April 30, 2026 (the “Original Filing”). This Amendment is being filed to revise Part II “Item 5. Other Information” to add disclosure regarding a Rule 10b5-1 trading arrangement (as defined in Item 408(a) of Regulation S-K) entered into by Chadwick Collins, Chief Executive Officer and Director of the Company, during the quarter ended March 31, 2026, which was inadvertently omitted from the disclosure included in the Original Filing.</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as required by Rule 12b-15 of the Securities Exchange Act of 1934, as amended (the “Exchange Act”), new certifications by the Company’s principal executive officer and principal financial officer are filed herewith as exhibits to this Amendment, under Part II, Item 6 hereof, pursuant to Rule 13a-14(a) or 15d-14(a) of the Exchange Act. Because no financial statements are included in this Amendment and this Amendment does not contain or amend any disclosure with respect to Items 307 and 308 of Regulation S-K, paragraphs 3, 4 and 5 of the certifications have been omitted. The Company is also not including new certifications under Section 1350 of Chapter 63 of Title 18 of the United States Code (18 U.S.C. 1350) (Section 906 of the Sarbanes-Oxley Act of 2002), as no financial statements are being filed with this Amendment.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as expressly set forth herein, this Amendment does not, and does not purport to, amend, update or restate the information in the Original Filing or reflect any events that have occurred after the date the Original Filing was made. Information not affected by this Amendment remains unchanged and reflects the disclosures made at the time as of which the Original Filing was made. No changes have been made to the financial statements of the Company as contained in the Original Filing. Accordingly, this Amendment should be read together with the Original Filing and the Company’s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5.    Other Information</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Insider Adoption or Termination of Trading Arrangements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following officers (as defined in Rule 16a-1(f) of the Exchange Act) adopted written plans for the sale of our securities that are intended to satisfy the affirmative defense of Rule 10b5-1(c) of the Exchange Act:</w:t>
      </w:r>
    </w:p>
    <w:tbl>
      <w:tblPr>
        <w:tblW w:w="10205" w:type="dxa"/>
        <w:jc w:val="left"/>
        <w:tblInd w:w="0" w:type="dxa"/>
        <w:tblLayout w:type="fixed"/>
        <w:tblCellMar>
          <w:top w:w="28" w:type="dxa"/>
          <w:left w:w="28" w:type="dxa"/>
          <w:bottom w:w="28" w:type="dxa"/>
          <w:right w:w="28" w:type="dxa"/>
        </w:tblCellMar>
      </w:tblPr>
      <w:tblGrid>
        <w:gridCol w:w="454"/>
        <w:gridCol w:w="366"/>
        <w:gridCol w:w="371"/>
        <w:gridCol w:w="885"/>
        <w:gridCol w:w="746"/>
        <w:gridCol w:w="756"/>
        <w:gridCol w:w="390"/>
        <w:gridCol w:w="363"/>
        <w:gridCol w:w="364"/>
        <w:gridCol w:w="500"/>
        <w:gridCol w:w="356"/>
        <w:gridCol w:w="351"/>
        <w:gridCol w:w="516"/>
        <w:gridCol w:w="516"/>
        <w:gridCol w:w="517"/>
        <w:gridCol w:w="803"/>
        <w:gridCol w:w="803"/>
        <w:gridCol w:w="1148"/>
      </w:tblGrid>
      <w:tr>
        <w:trPr/>
        <w:tc>
          <w:tcPr>
            <w:tcW w:w="4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Adoption Date</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Earliest Sale Date</w:t>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or Termination Date</w:t>
            </w:r>
          </w:p>
        </w:tc>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Aggregate Number of Shares of the Company's Common Stock to be Sold</w:t>
            </w:r>
            <w:r>
              <w:rPr>
                <w:rFonts w:ascii="Times New Roman;serif" w:hAnsi="Times New Roman;serif"/>
                <w:b/>
                <w:color w:val="000000"/>
                <w:sz w:val="10"/>
              </w:rPr>
              <w:t>(1)</w:t>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Chief Financial Officer</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2026</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2027</w:t>
            </w:r>
          </w:p>
        </w:tc>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19,453</w:t>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Eduardo Rosini</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&amp; Chief Commercial Officer</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47,595</w:t>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10, 2026</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2027</w:t>
            </w:r>
          </w:p>
        </w:tc>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69,553</w:t>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720"/>
        <w:jc w:val="left"/>
        <w:rPr/>
      </w:pPr>
      <w:r>
        <w:rPr>
          <w:rFonts w:ascii="Times New Roman;serif" w:hAnsi="Times New Roman;serif"/>
          <w:b w:val="false"/>
          <w:i/>
          <w:color w:val="000000"/>
          <w:sz w:val="12"/>
        </w:rPr>
        <w:t xml:space="preserve">(1) </w:t>
      </w:r>
      <w:r>
        <w:rPr>
          <w:rFonts w:ascii="Times New Roman;serif" w:hAnsi="Times New Roman;serif"/>
          <w:b w:val="false"/>
          <w:i/>
          <w:color w:val="000000"/>
          <w:sz w:val="18"/>
        </w:rPr>
        <w:t xml:space="preserve">The number of shares is the maximum number of shares to be sold but the actual activity may be lower. Transaction(s) may be contingent upon future events such as performance factors, tax withholding obligations, and/or future market price(s).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other Rule 10b5-1(c) trading arrangements or non-Rule 10b5-1(c) trading arrangements adopted, modified or terminated by the Company's officers and directors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AAE5"/>
          <w:sz w:val="20"/>
        </w:rPr>
      </w:pPr>
      <w:r>
        <w:rPr>
          <w:rFonts w:ascii="Times New Roman;serif" w:hAnsi="Times New Roman;serif"/>
          <w:b/>
          <w:color w:val="00AAE5"/>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q1_2026exex311ceofor10-qa.htm">
              <w:r>
                <w:rPr>
                  <w:rStyle w:val="InternetLink"/>
                  <w:rFonts w:ascii="Times New Roman;serif" w:hAnsi="Times New Roman;serif"/>
                  <w:b w:val="false"/>
                  <w:color w:val="0000EE"/>
                  <w:sz w:val="20"/>
                  <w:u w:val="single"/>
                </w:rPr>
                <w:t>Certification of Principal Executive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_2026exex312cfofor10-qa.htm">
              <w:r>
                <w:rPr>
                  <w:rStyle w:val="InternetLink"/>
                  <w:rFonts w:ascii="Times New Roman;serif" w:hAnsi="Times New Roman;serif"/>
                  <w:b w:val="false"/>
                  <w:color w:val="0000EE"/>
                  <w:sz w:val="20"/>
                  <w:u w:val="single"/>
                </w:rPr>
                <w:t>Certification of Principal Financial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Interactive Data Files Pursuant to Rule 405 of Regulation S-T (filed herewith).</w:t>
            </w:r>
            <w:r>
              <w:rPr>
                <w:color w:val="000000"/>
              </w:rPr>
              <w:t xml:space="preserve"> </w:t>
            </w:r>
            <w:r>
              <w:rPr>
                <w:rFonts w:ascii="Times New Roman;serif" w:hAnsi="Times New Roman;serif"/>
                <w:b w:val="false"/>
                <w:color w:val="000000"/>
                <w:sz w:val="20"/>
              </w:rPr>
              <w:t>The XBRL instance document does not appear in the Interactive Data File because its tags are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10-Q/A,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08" w:type="dxa"/>
        <w:jc w:val="left"/>
        <w:tblInd w:w="0" w:type="dxa"/>
        <w:tblLayout w:type="fixed"/>
        <w:tblCellMar>
          <w:top w:w="28" w:type="dxa"/>
          <w:left w:w="28" w:type="dxa"/>
          <w:bottom w:w="28" w:type="dxa"/>
          <w:right w:w="28" w:type="dxa"/>
        </w:tblCellMar>
      </w:tblPr>
      <w:tblGrid>
        <w:gridCol w:w="618"/>
        <w:gridCol w:w="544"/>
        <w:gridCol w:w="547"/>
        <w:gridCol w:w="1315"/>
        <w:gridCol w:w="1315"/>
        <w:gridCol w:w="186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SPS COMMERCE,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Chadwick Collins,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10-Q/A of SPS Commerce, Inc.;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Del Preto,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10-Q/A of SPS Commerce, Inc.;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4841" w:type="dxa"/>
        <w:jc w:val="left"/>
        <w:tblInd w:w="0" w:type="dxa"/>
        <w:tblLayout w:type="fixed"/>
        <w:tblCellMar>
          <w:top w:w="28" w:type="dxa"/>
          <w:left w:w="28" w:type="dxa"/>
          <w:bottom w:w="28" w:type="dxa"/>
          <w:right w:w="28" w:type="dxa"/>
        </w:tblCellMar>
      </w:tblPr>
      <w:tblGrid>
        <w:gridCol w:w="1615"/>
        <w:gridCol w:w="1421"/>
        <w:gridCol w:w="1433"/>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1339</Words>
  <Characters>7119</Characters>
  <CharactersWithSpaces>8346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