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40"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40" w:before="240" w:after="24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40" w:before="12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120" w:after="24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40" w:before="120" w:after="283"/>
        <w:jc w:val="center"/>
        <w:rPr>
          <w:rFonts w:ascii="Times New Roman;serif" w:hAnsi="Times New Roman;serif"/>
          <w:b/>
          <w:color w:val="000000"/>
          <w:sz w:val="24"/>
          <w:u w:val="single"/>
        </w:rPr>
      </w:pPr>
      <w:r>
        <w:rPr>
          <w:rFonts w:ascii="Times New Roman;serif" w:hAnsi="Times New Roman;serif"/>
          <w:b/>
          <w:color w:val="000000"/>
          <w:sz w:val="24"/>
          <w:u w:val="single"/>
        </w:rPr>
        <w:t>July 30, 2026</w:t>
      </w:r>
    </w:p>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40" w:before="120" w:after="283"/>
        <w:jc w:val="center"/>
        <w:rPr>
          <w:rFonts w:ascii="Times New Roman;serif" w:hAnsi="Times New Roman;serif"/>
          <w:b/>
          <w:color w:val="000000"/>
          <w:sz w:val="28"/>
          <w:u w:val="single"/>
        </w:rPr>
      </w:pPr>
      <w:r>
        <w:rPr>
          <w:rFonts w:ascii="Times New Roman;serif" w:hAnsi="Times New Roman;serif"/>
          <w:b/>
          <w:color w:val="000000"/>
          <w:sz w:val="28"/>
          <w:u w:val="single"/>
        </w:rPr>
        <w:t>SPS COMMERCE, INC.</w:t>
      </w:r>
    </w:p>
    <w:p>
      <w:pPr>
        <w:pStyle w:val="TextBody"/>
        <w:bidi w:val="0"/>
        <w:spacing w:before="0" w:after="0"/>
        <w:jc w:val="center"/>
        <w:rPr/>
      </w:pPr>
      <w:r>
        <w:rPr/>
      </w:r>
    </w:p>
    <w:p>
      <w:pPr>
        <w:pStyle w:val="TextBody"/>
        <w:bidi w:val="0"/>
        <w:spacing w:before="0" w:after="240"/>
        <w:jc w:val="center"/>
        <w:rPr/>
      </w:pPr>
      <w:r>
        <w:rPr/>
        <w:drawing>
          <wp:inline distT="0" distB="0" distL="0" distR="0">
            <wp:extent cx="63817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8175" cy="609600"/>
                    </a:xfrm>
                    <a:prstGeom prst="rect">
                      <a:avLst/>
                    </a:prstGeom>
                  </pic:spPr>
                </pic:pic>
              </a:graphicData>
            </a:graphic>
          </wp:inline>
        </w:drawing>
      </w:r>
      <w:bookmarkStart w:id="0" w:name="i-1"/>
      <w:bookmarkEnd w:id="0"/>
    </w:p>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86" w:type="dxa"/>
        <w:jc w:val="center"/>
        <w:tblInd w:w="0" w:type="dxa"/>
        <w:tblLayout w:type="fixed"/>
        <w:tblCellMar>
          <w:top w:w="28" w:type="dxa"/>
          <w:left w:w="28" w:type="dxa"/>
          <w:bottom w:w="28" w:type="dxa"/>
          <w:right w:w="28" w:type="dxa"/>
        </w:tblCellMar>
      </w:tblPr>
      <w:tblGrid>
        <w:gridCol w:w="726"/>
        <w:gridCol w:w="638"/>
        <w:gridCol w:w="645"/>
        <w:gridCol w:w="109"/>
        <w:gridCol w:w="109"/>
        <w:gridCol w:w="109"/>
        <w:gridCol w:w="762"/>
        <w:gridCol w:w="762"/>
        <w:gridCol w:w="770"/>
        <w:gridCol w:w="109"/>
        <w:gridCol w:w="109"/>
        <w:gridCol w:w="109"/>
        <w:gridCol w:w="884"/>
        <w:gridCol w:w="884"/>
        <w:gridCol w:w="1261"/>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41-2015127</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1" w:type="dxa"/>
        <w:jc w:val="center"/>
        <w:tblInd w:w="0" w:type="dxa"/>
        <w:tblLayout w:type="fixed"/>
        <w:tblCellMar>
          <w:top w:w="28" w:type="dxa"/>
          <w:left w:w="28" w:type="dxa"/>
          <w:bottom w:w="28" w:type="dxa"/>
          <w:right w:w="28" w:type="dxa"/>
        </w:tblCellMar>
      </w:tblPr>
      <w:tblGrid>
        <w:gridCol w:w="1217"/>
        <w:gridCol w:w="1067"/>
        <w:gridCol w:w="1075"/>
        <w:gridCol w:w="109"/>
        <w:gridCol w:w="109"/>
        <w:gridCol w:w="109"/>
        <w:gridCol w:w="303"/>
        <w:gridCol w:w="303"/>
        <w:gridCol w:w="429"/>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333 South Seventh Street, Suite 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Minneapolis, 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55402</w:t>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(612) 435-9400 </w:t>
      </w:r>
    </w:p>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4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Not Applicable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88" w:type="dxa"/>
        <w:jc w:val="left"/>
        <w:tblInd w:w="0" w:type="dxa"/>
        <w:tblLayout w:type="fixed"/>
        <w:tblCellMar>
          <w:top w:w="28" w:type="dxa"/>
          <w:left w:w="28" w:type="dxa"/>
          <w:bottom w:w="28" w:type="dxa"/>
          <w:right w:w="28" w:type="dxa"/>
        </w:tblCellMar>
      </w:tblPr>
      <w:tblGrid>
        <w:gridCol w:w="1290"/>
        <w:gridCol w:w="1133"/>
        <w:gridCol w:w="1146"/>
        <w:gridCol w:w="564"/>
        <w:gridCol w:w="564"/>
        <w:gridCol w:w="566"/>
        <w:gridCol w:w="1121"/>
        <w:gridCol w:w="1121"/>
        <w:gridCol w:w="1583"/>
      </w:tblGrid>
      <w:tr>
        <w:trPr/>
        <w:tc>
          <w:tcPr>
            <w:tcW w:w="129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72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SPSC</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569" w:type="dxa"/>
            <w:gridSpan w:val="3"/>
            <w:vMerge w:val="continue"/>
            <w:tcBorders/>
            <w:tcMar>
              <w:top w:w="0" w:type="dxa"/>
              <w:left w:w="0" w:type="dxa"/>
              <w:bottom w:w="0" w:type="dxa"/>
              <w:right w:w="0" w:type="dxa"/>
            </w:tcMar>
            <w:vAlign w:val="center"/>
          </w:tcPr>
          <w:p>
            <w:pPr>
              <w:pStyle w:val="Normal"/>
              <w:bidi w:val="0"/>
              <w:jc w:val="left"/>
              <w:rPr/>
            </w:pPr>
            <w:r>
              <w:rPr/>
            </w:r>
          </w:p>
        </w:tc>
        <w:tc>
          <w:tcPr>
            <w:tcW w:w="1694" w:type="dxa"/>
            <w:gridSpan w:val="3"/>
            <w:vMerge w:val="continue"/>
            <w:tcBorders/>
            <w:tcMar>
              <w:top w:w="0" w:type="dxa"/>
              <w:left w:w="0" w:type="dxa"/>
              <w:bottom w:w="0" w:type="dxa"/>
              <w:right w:w="0" w:type="dxa"/>
            </w:tcMar>
            <w:vAlign w:val="center"/>
          </w:tcPr>
          <w:p>
            <w:pPr>
              <w:pStyle w:val="Normal"/>
              <w:bidi w:val="0"/>
              <w:jc w:val="left"/>
              <w:rPr/>
            </w:pPr>
            <w:r>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120" w:after="120"/>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40" w:before="120" w:after="120"/>
        <w:jc w:val="righ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lineRule="auto" w:line="268" w:before="0" w:after="0"/>
        <w:ind w:left="0" w:right="0" w:firstLine="72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July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SPS Commerce, Inc. (the “Company”) issued a press release disclosing its results of operations and financial condition for our three and six months ended June 30, 2026</w:t>
      </w:r>
      <w:r>
        <w:rPr>
          <w:rFonts w:ascii="Times New Roman;serif" w:hAnsi="Times New Roman;serif"/>
          <w:b w:val="false"/>
          <w:color w:val="000000"/>
          <w:sz w:val="20"/>
          <w:shd w:fill="FFFFFF" w:val="clear"/>
        </w:rPr>
        <w:t>. A copy of the press release is attached hereto as Exhibit 99.1.</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Cautionary Statement Regarding Forward-Looking Information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statements in this Current Report on Form 8-K may contain forward-looking statements within the meaning of the safe harbor provisions under the Private Securities Litigation Reform Act of 1995 including, but not limited to, the Company’s plans to repurchase shares of its common stock, the timing and amount of any share repurchases under the program, if any, the effects of the repurchase program on future results of operations or financial condition, and the timing and impact of the leadership transitions. These statements involve known and unknown risks, uncertainties and other factors which may cause the results of the Company to be materially different than those expressed or implied in such statements. Certain of these risk factors and others are included in documents the Company files with the Securities and Exchange Commission, including but not limited to, the Company’s Annual Report on Form 10-K for the year ended December 31, 2025, as well as subsequent reports filed with the Securities and Exchange Commission. In addition, these forward-looking statements are subject to factors and uncertainties related to the leadership transitions, including disruptions and uncertainties related thereto, the ability of a successor to have the desired level of experience and expertise, the potential impact on the Company’s business and future strategic direction resulting from the officer transitions, and the Company’s ability to retain other key members of senior management. Other unknown or unpredictable factors also could have material adverse effects on the Company’s future results. The forward-looking statements included in this report are made only as of the date hereof. The Company cannot guarantee future results, levels of activity, performance or achievements. Accordingly, you should not place undue reliance on these forward-looking statements. Finally, the Company expressly disclaims any intent or obligation to update or revise any forward-looking statements, whether as a result of new information, future events, or otherwise.</w:t>
      </w:r>
    </w:p>
    <w:p>
      <w:pPr>
        <w:pStyle w:val="TextBody"/>
        <w:bidi w:val="0"/>
        <w:spacing w:before="0" w:after="0"/>
        <w:ind w:left="0" w:right="0" w:firstLine="7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both"/>
        <w:rPr/>
      </w:pPr>
      <w:r>
        <w:rPr>
          <w:rFonts w:ascii="Times New Roman;serif" w:hAnsi="Times New Roman;serif"/>
          <w:b w:val="false"/>
          <w:color w:val="000000"/>
          <w:sz w:val="20"/>
        </w:rPr>
        <w:t>(d)    </w:t>
      </w:r>
      <w:r>
        <w:rPr>
          <w:rFonts w:ascii="Times New Roman;serif" w:hAnsi="Times New Roman;serif"/>
          <w:b w:val="false"/>
          <w:color w:val="000000"/>
          <w:sz w:val="20"/>
          <w:u w:val="single"/>
        </w:rPr>
        <w:t>Exhibits</w:t>
      </w:r>
    </w:p>
    <w:tbl>
      <w:tblPr>
        <w:tblW w:w="7679" w:type="dxa"/>
        <w:jc w:val="left"/>
        <w:tblInd w:w="0" w:type="dxa"/>
        <w:tblLayout w:type="fixed"/>
        <w:tblCellMar>
          <w:top w:w="28" w:type="dxa"/>
          <w:left w:w="28" w:type="dxa"/>
          <w:bottom w:w="28" w:type="dxa"/>
          <w:right w:w="28" w:type="dxa"/>
        </w:tblCellMar>
      </w:tblPr>
      <w:tblGrid>
        <w:gridCol w:w="391"/>
        <w:gridCol w:w="344"/>
        <w:gridCol w:w="345"/>
        <w:gridCol w:w="1927"/>
        <w:gridCol w:w="1927"/>
        <w:gridCol w:w="274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r_q226.htm">
              <w:r>
                <w:rPr>
                  <w:rStyle w:val="InternetLink"/>
                  <w:rFonts w:ascii="Times New Roman;serif" w:hAnsi="Times New Roman;serif"/>
                  <w:b w:val="false"/>
                  <w:color w:val="3051F2"/>
                  <w:sz w:val="20"/>
                  <w:u w:val="single"/>
                </w:rPr>
                <w:t>99.1</w:t>
              </w:r>
            </w:hyperlink>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r_q226.htm">
              <w:r>
                <w:rPr>
                  <w:rStyle w:val="InternetLink"/>
                  <w:rFonts w:ascii="Times New Roman;serif" w:hAnsi="Times New Roman;serif"/>
                  <w:b w:val="false"/>
                  <w:color w:val="000080"/>
                  <w:sz w:val="20"/>
                  <w:u w:val="single"/>
                </w:rPr>
                <w:t xml:space="preserve">Press Release dated </w:t>
              </w:r>
            </w:hyperlink>
            <w:hyperlink w:anchor="er_q226.htm">
              <w:r>
                <w:rPr>
                  <w:rStyle w:val="InternetLink"/>
                  <w:rFonts w:ascii="Times New Roman;serif" w:hAnsi="Times New Roman;serif"/>
                  <w:b w:val="false"/>
                  <w:color w:val="000080"/>
                  <w:sz w:val="20"/>
                  <w:u w:val="single"/>
                </w:rPr>
                <w:t>July</w:t>
              </w:r>
            </w:hyperlink>
            <w:hyperlink w:anchor="er_q226.htm">
              <w:r>
                <w:rPr>
                  <w:rStyle w:val="InternetLink"/>
                  <w:rFonts w:ascii="Times New Roman;serif" w:hAnsi="Times New Roman;serif"/>
                  <w:b w:val="false"/>
                  <w:color w:val="000080"/>
                  <w:sz w:val="20"/>
                  <w:u w:val="single"/>
                </w:rPr>
                <w:t xml:space="preserve"> </w:t>
              </w:r>
            </w:hyperlink>
            <w:hyperlink w:anchor="er_q226.htm">
              <w:r>
                <w:rPr>
                  <w:rStyle w:val="InternetLink"/>
                  <w:rFonts w:ascii="Times New Roman;serif" w:hAnsi="Times New Roman;serif"/>
                  <w:b w:val="false"/>
                  <w:color w:val="000080"/>
                  <w:sz w:val="20"/>
                  <w:u w:val="single"/>
                </w:rPr>
                <w:t>30</w:t>
              </w:r>
            </w:hyperlink>
            <w:hyperlink w:anchor="er_q226.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tbl>
      <w:tblPr>
        <w:tblW w:w="7231" w:type="dxa"/>
        <w:jc w:val="left"/>
        <w:tblInd w:w="0" w:type="dxa"/>
        <w:tblLayout w:type="fixed"/>
        <w:tblCellMar>
          <w:top w:w="28" w:type="dxa"/>
          <w:left w:w="28" w:type="dxa"/>
          <w:bottom w:w="28" w:type="dxa"/>
          <w:right w:w="28" w:type="dxa"/>
        </w:tblCellMar>
      </w:tblPr>
      <w:tblGrid>
        <w:gridCol w:w="618"/>
        <w:gridCol w:w="544"/>
        <w:gridCol w:w="547"/>
        <w:gridCol w:w="341"/>
        <w:gridCol w:w="341"/>
        <w:gridCol w:w="341"/>
        <w:gridCol w:w="1315"/>
        <w:gridCol w:w="1315"/>
        <w:gridCol w:w="186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SPS COMMERCE,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10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JOSEPH DEL PRETO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Joseph Del Preto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6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286000" cy="6572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286000" cy="657225"/>
                    </a:xfrm>
                    <a:prstGeom prst="rect">
                      <a:avLst/>
                    </a:prstGeom>
                  </pic:spPr>
                </pic:pic>
              </a:graphicData>
            </a:graphic>
          </wp:inline>
        </w:drawing>
      </w:r>
    </w:p>
    <w:p>
      <w:pPr>
        <w:pStyle w:val="TextBody"/>
        <w:bidi w:val="0"/>
        <w:spacing w:before="0" w:after="0"/>
        <w:jc w:val="right"/>
        <w:rPr/>
      </w:pPr>
      <w:r>
        <w:rPr/>
      </w:r>
    </w:p>
    <w:p>
      <w:pPr>
        <w:pStyle w:val="TextBody"/>
        <w:bidi w:val="0"/>
        <w:spacing w:before="0" w:after="2"/>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2"/>
        <w:jc w:val="center"/>
        <w:rPr>
          <w:rFonts w:ascii="sans-serif" w:hAnsi="sans-serif"/>
          <w:b/>
          <w:i/>
          <w:color w:val="000000"/>
          <w:sz w:val="22"/>
        </w:rPr>
      </w:pPr>
      <w:r>
        <w:rPr>
          <w:rFonts w:ascii="sans-serif" w:hAnsi="sans-serif"/>
          <w:b/>
          <w:i/>
          <w:color w:val="000000"/>
          <w:sz w:val="22"/>
        </w:rPr>
        <w:t>SPS Commerce Reports Strong Second Quarter 2026 Financial Results</w:t>
      </w:r>
    </w:p>
    <w:p>
      <w:pPr>
        <w:pStyle w:val="TextBody"/>
        <w:bidi w:val="0"/>
        <w:spacing w:lineRule="auto" w:line="417" w:before="0" w:after="2"/>
        <w:jc w:val="center"/>
        <w:rPr>
          <w:rFonts w:ascii="sans-serif" w:hAnsi="sans-serif"/>
          <w:b w:val="false"/>
          <w:i/>
          <w:color w:val="000000"/>
          <w:sz w:val="22"/>
        </w:rPr>
      </w:pPr>
      <w:r>
        <w:rPr>
          <w:rFonts w:ascii="sans-serif" w:hAnsi="sans-serif"/>
          <w:b w:val="false"/>
          <w:i/>
          <w:color w:val="000000"/>
          <w:sz w:val="22"/>
        </w:rPr>
        <w:t xml:space="preserve">Second quarter 2026 revenue and Adjusted EBITDA exceed high end of guidance range </w:t>
      </w:r>
    </w:p>
    <w:p>
      <w:pPr>
        <w:pStyle w:val="TextBody"/>
        <w:bidi w:val="0"/>
        <w:spacing w:lineRule="auto" w:line="417" w:before="0" w:after="2"/>
        <w:jc w:val="center"/>
        <w:rPr>
          <w:rFonts w:ascii="sans-serif" w:hAnsi="sans-serif"/>
          <w:b w:val="false"/>
          <w:i/>
          <w:color w:val="000000"/>
          <w:sz w:val="22"/>
        </w:rPr>
      </w:pPr>
      <w:r>
        <w:rPr>
          <w:rFonts w:ascii="sans-serif" w:hAnsi="sans-serif"/>
          <w:b w:val="false"/>
          <w:i/>
          <w:color w:val="000000"/>
          <w:sz w:val="22"/>
        </w:rPr>
        <w:t xml:space="preserve">Company provides updated full year 2026 guidance following recently completed divestiture </w:t>
      </w:r>
    </w:p>
    <w:p>
      <w:pPr>
        <w:pStyle w:val="TextBody"/>
        <w:bidi w:val="0"/>
        <w:spacing w:before="0" w:after="0"/>
        <w:jc w:val="left"/>
        <w:rPr/>
      </w:pPr>
      <w:r>
        <w:rPr/>
      </w:r>
    </w:p>
    <w:p>
      <w:pPr>
        <w:pStyle w:val="TextBody"/>
        <w:bidi w:val="0"/>
        <w:spacing w:lineRule="auto" w:line="300" w:before="0" w:after="2"/>
        <w:jc w:val="left"/>
        <w:rPr/>
      </w:pPr>
      <w:r>
        <w:rPr>
          <w:rFonts w:ascii="sans-serif" w:hAnsi="sans-serif"/>
          <w:b w:val="false"/>
          <w:color w:val="000000"/>
          <w:sz w:val="22"/>
        </w:rPr>
        <w:t>MINNEAPOLIS, July 30, 2026 (GLOBE NEWSWIRE) -- SPS Commerce, Inc. (NASDAQ: SPSC), the leading intelligent supply chain network, today announced financial results for the second</w:t>
      </w:r>
      <w:r>
        <w:rPr>
          <w:color w:val="000000"/>
        </w:rPr>
        <w:t xml:space="preserve"> </w:t>
      </w:r>
      <w:r>
        <w:rPr>
          <w:rFonts w:ascii="sans-serif" w:hAnsi="sans-serif"/>
          <w:b w:val="false"/>
          <w:color w:val="000000"/>
          <w:sz w:val="22"/>
        </w:rPr>
        <w:t>quarter ended June 30, 2026.</w:t>
      </w:r>
    </w:p>
    <w:p>
      <w:pPr>
        <w:pStyle w:val="TextBody"/>
        <w:bidi w:val="0"/>
        <w:spacing w:lineRule="auto" w:line="300" w:before="160" w:after="160"/>
        <w:jc w:val="left"/>
        <w:rPr>
          <w:rFonts w:ascii="sans-serif" w:hAnsi="sans-serif"/>
          <w:b/>
          <w:color w:val="000000"/>
          <w:sz w:val="22"/>
          <w:u w:val="single"/>
        </w:rPr>
      </w:pPr>
      <w:r>
        <w:rPr>
          <w:rFonts w:ascii="sans-serif" w:hAnsi="sans-serif"/>
          <w:b/>
          <w:color w:val="000000"/>
          <w:sz w:val="22"/>
          <w:u w:val="single"/>
        </w:rPr>
        <w:t>Financial Highlights</w:t>
      </w:r>
    </w:p>
    <w:p>
      <w:pPr>
        <w:pStyle w:val="TextBody"/>
        <w:bidi w:val="0"/>
        <w:spacing w:lineRule="auto" w:line="300" w:before="0" w:after="2"/>
        <w:jc w:val="left"/>
        <w:rPr>
          <w:rFonts w:ascii="sans-serif" w:hAnsi="sans-serif"/>
          <w:b/>
          <w:color w:val="000000"/>
          <w:sz w:val="22"/>
        </w:rPr>
      </w:pPr>
      <w:r>
        <w:rPr>
          <w:rFonts w:ascii="sans-serif" w:hAnsi="sans-serif"/>
          <w:b/>
          <w:color w:val="000000"/>
          <w:sz w:val="22"/>
        </w:rPr>
        <w:t>Second Quarter 2026 Financial Highlights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Revenue was $197.8 million in the second quarter of 2026, compared to $187.4 million in the second quarter of 2025, reflecting 6% growth.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Recurring revenue grew 6% from the second quarter of 2025.</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Net income was $6.9 million or $0.19 per diluted share, compared to net income of $19.7 million or $0.52 per diluted share in the second quarter of 2025.</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Non-GAAP income was $46.4 million or $1.27 per diluted share, compared to non-GAAP income of $38.0 million or $1.00 per diluted share in the second quarter of 2025.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Adjusted EBITDA for the second quarter of 2026 increased 19% to $66.6 million compared to the second quarter of 2025.</w:t>
      </w:r>
    </w:p>
    <w:p>
      <w:pPr>
        <w:pStyle w:val="TextBody"/>
        <w:bidi w:val="0"/>
        <w:spacing w:lineRule="auto" w:line="300" w:before="0" w:after="2"/>
        <w:ind w:left="0" w:right="0" w:hanging="360"/>
        <w:jc w:val="left"/>
        <w:rPr/>
      </w:pPr>
      <w:r>
        <w:rPr>
          <w:color w:val="000000"/>
        </w:rPr>
        <w:t>•</w:t>
      </w:r>
      <w:r>
        <w:rPr>
          <w:rFonts w:ascii="sans-serif" w:hAnsi="sans-serif"/>
          <w:b w:val="false"/>
          <w:color w:val="000000"/>
          <w:sz w:val="22"/>
        </w:rPr>
        <w:t xml:space="preserve">Share repurchases in the second quarter of 2026 totaled $51.2 million.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276" w:before="0" w:after="0"/>
        <w:jc w:val="left"/>
        <w:rPr>
          <w:color w:val="000000"/>
        </w:rPr>
      </w:pPr>
      <w:r>
        <w:rPr>
          <w:color w:val="000000"/>
        </w:rPr>
        <w:t>“</w:t>
      </w:r>
      <w:r>
        <w:rPr>
          <w:rFonts w:ascii="sans-serif" w:hAnsi="sans-serif"/>
          <w:b w:val="false"/>
          <w:color w:val="000000"/>
          <w:sz w:val="22"/>
        </w:rPr>
        <w:t>SPS Commerce is executing its growth and innovation roadmap. MAX, our agentic capabilities embedded within SPS' supply chain network, has already delivered tangible value to beta users, equating to hundreds of thousands of dollars in savings to individual customers in just a matter of three months. We are excited about MAX’s launch to all SPS Fulfillment customers later this summer,” said Chad Collins, CEO of SPS Commerce. “No other company can match the unique combination of AI capabilities, 25 years of proprietary data, deep domain expertise, and expansive network access to drive this kind of tangible value, collaboration, and operational efficiencies that SPS offers today.”</w:t>
      </w:r>
    </w:p>
    <w:p>
      <w:pPr>
        <w:pStyle w:val="TextBody"/>
        <w:bidi w:val="0"/>
        <w:spacing w:before="0" w:after="0"/>
        <w:jc w:val="left"/>
        <w:rPr/>
      </w:pPr>
      <w:r>
        <w:rPr/>
      </w:r>
    </w:p>
    <w:p>
      <w:pPr>
        <w:pStyle w:val="TextBody"/>
        <w:bidi w:val="0"/>
        <w:spacing w:lineRule="auto" w:line="276" w:before="0" w:after="0"/>
        <w:jc w:val="left"/>
        <w:rPr/>
      </w:pPr>
      <w:r>
        <w:rPr>
          <w:color w:val="000000"/>
        </w:rPr>
        <w:t>“</w:t>
      </w:r>
      <w:r>
        <w:rPr>
          <w:rFonts w:ascii="sans-serif" w:hAnsi="sans-serif"/>
          <w:b w:val="false"/>
          <w:color w:val="000000"/>
          <w:sz w:val="22"/>
        </w:rPr>
        <w:t>Solid second-quarter performance reflects up-sell and cross-sell momentum across our core business,” said Joe Del Preto, CFO of SPS Commerce. “We continue to demonstrate operational rigor, exceeding our margin expansion goals while simultaneously rolling out our AI strategy across the SPS network.”</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left"/>
        <w:rPr>
          <w:rFonts w:ascii="sans-serif" w:hAnsi="sans-serif"/>
          <w:b/>
          <w:color w:val="000000"/>
          <w:sz w:val="22"/>
          <w:u w:val="single"/>
        </w:rPr>
      </w:pPr>
      <w:r>
        <w:rPr>
          <w:rFonts w:ascii="sans-serif" w:hAnsi="sans-serif"/>
          <w:b/>
          <w:color w:val="000000"/>
          <w:sz w:val="22"/>
          <w:u w:val="single"/>
        </w:rPr>
        <w:t>Guidance</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As a result of the divestiture of the 3P Revenue Recovery business on June 30, 2026, guidance factors in a reduction of approximately $10.5 million in revenue to the second half of 2026. The divestiture is expected to be neutral to Adjusted EBITDA in the second half of 2026.</w:t>
      </w:r>
    </w:p>
    <w:p>
      <w:pPr>
        <w:pStyle w:val="TextBody"/>
        <w:bidi w:val="0"/>
        <w:spacing w:before="0" w:after="2"/>
        <w:jc w:val="left"/>
        <w:rPr/>
      </w:pPr>
      <w:r>
        <w:rPr/>
      </w:r>
    </w:p>
    <w:p>
      <w:pPr>
        <w:pStyle w:val="TextBody"/>
        <w:bidi w:val="0"/>
        <w:spacing w:lineRule="auto" w:line="300" w:before="0" w:after="2"/>
        <w:jc w:val="left"/>
        <w:rPr>
          <w:rFonts w:ascii="sans-serif" w:hAnsi="sans-serif"/>
          <w:b/>
          <w:color w:val="000000"/>
          <w:sz w:val="22"/>
        </w:rPr>
      </w:pPr>
      <w:r>
        <w:rPr>
          <w:rFonts w:ascii="sans-serif" w:hAnsi="sans-serif"/>
          <w:b/>
          <w:color w:val="000000"/>
          <w:sz w:val="22"/>
        </w:rPr>
        <w:t>Third Quarter 2026 Guidance</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Revenue is expected to be in the range of $196.3 million to $198.3 million.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Net income per diluted share is expected to be in the range of $0.72 to $0.76, with fully diluted weighted average shares outstanding of 36.8 million shares.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Non-GAAP income per diluted share is expected to be in the range of $1.20 to $1.23.</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Adjusted EBITDA is expected to be in the range of $67.4 million to $69.4 million.</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Non-cash, share-based compensation expense is expected to be $16.4 million, depreciation expense is expected to be $5.4 million, and amortization expense is expected to be $8.5 million.</w:t>
      </w:r>
    </w:p>
    <w:p>
      <w:pPr>
        <w:pStyle w:val="TextBody"/>
        <w:bidi w:val="0"/>
        <w:spacing w:before="0" w:after="2"/>
        <w:jc w:val="left"/>
        <w:rPr/>
      </w:pPr>
      <w:r>
        <w:rPr/>
      </w:r>
    </w:p>
    <w:p>
      <w:pPr>
        <w:pStyle w:val="TextBody"/>
        <w:bidi w:val="0"/>
        <w:spacing w:lineRule="auto" w:line="300" w:before="0" w:after="2"/>
        <w:jc w:val="left"/>
        <w:rPr>
          <w:rFonts w:ascii="sans-serif" w:hAnsi="sans-serif"/>
          <w:b/>
          <w:color w:val="000000"/>
          <w:sz w:val="22"/>
        </w:rPr>
      </w:pPr>
      <w:r>
        <w:rPr>
          <w:rFonts w:ascii="sans-serif" w:hAnsi="sans-serif"/>
          <w:b/>
          <w:color w:val="000000"/>
          <w:sz w:val="22"/>
        </w:rPr>
        <w:t>Fiscal Year 2026 Guidance</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Revenue is expected to be in the range of $788.4 million to $793.4 million, representing 5% to 6%</w:t>
      </w:r>
      <w:r>
        <w:rPr>
          <w:color w:val="000000"/>
        </w:rPr>
        <w:t xml:space="preserve"> </w:t>
      </w:r>
      <w:r>
        <w:rPr>
          <w:rFonts w:ascii="sans-serif" w:hAnsi="sans-serif"/>
          <w:b w:val="false"/>
          <w:color w:val="000000"/>
          <w:sz w:val="22"/>
        </w:rPr>
        <w:t xml:space="preserve">growth over 2025.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Net income per diluted share is expected to be in the range of $2.24 to $2.33, with fully diluted weighted average shares outstanding of 36.9 million shares.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Non-GAAP income per diluted share is expected to be in the range of $4.84 to $4.93.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Adjusted EBITDA is expected to be in the range of $264.6 million to $269.1 million, reflecting an Adjusted EBITDA margin of 34% at the midpoint, an increase of approximately 300 basis points compared to full year 2025.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Non-cash, share-based compensation expense is expected to be $69.8 million, depreciation expense is expected to be $23.4 million, and amortization expense is expected to be $35.6 million. </w:t>
      </w:r>
    </w:p>
    <w:p>
      <w:pPr>
        <w:pStyle w:val="TextBody"/>
        <w:bidi w:val="0"/>
        <w:spacing w:before="0" w:after="2"/>
        <w:jc w:val="left"/>
        <w:rPr/>
      </w:pPr>
      <w:r>
        <w:rPr/>
      </w:r>
    </w:p>
    <w:p>
      <w:pPr>
        <w:pStyle w:val="TextBody"/>
        <w:bidi w:val="0"/>
        <w:spacing w:lineRule="auto" w:line="300" w:before="0" w:after="2"/>
        <w:jc w:val="left"/>
        <w:rPr>
          <w:rFonts w:ascii="sans-serif" w:hAnsi="sans-serif"/>
          <w:b w:val="false"/>
          <w:color w:val="000000"/>
          <w:sz w:val="22"/>
        </w:rPr>
      </w:pPr>
      <w:r>
        <w:rPr>
          <w:rFonts w:ascii="sans-serif" w:hAnsi="sans-serif"/>
          <w:b w:val="false"/>
          <w:color w:val="000000"/>
          <w:sz w:val="22"/>
        </w:rPr>
        <w:t>The forward-looking measures and the underlying assumptions involve significant known and unknown risks and uncertainties, and actual results may vary materially. The Company does not present a reconciliation of the forward-looking non-GAAP financial measures, including Adjusted EBITDA, Adjusted EBITDA margin, and non-GAAP income per share, to the most directly comparable GAAP financial measures because it is impractical to forecast certain items without unreasonable efforts due to the uncertainty and inherent difficulty of predicting, within a reasonable range, the occurrence and financial impact of and the periods in which such items may be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60" w:after="160"/>
        <w:jc w:val="left"/>
        <w:rPr>
          <w:rFonts w:ascii="sans-serif" w:hAnsi="sans-serif"/>
          <w:b/>
          <w:color w:val="000000"/>
          <w:sz w:val="22"/>
          <w:u w:val="single"/>
        </w:rPr>
      </w:pPr>
      <w:r>
        <w:rPr>
          <w:rFonts w:ascii="sans-serif" w:hAnsi="sans-serif"/>
          <w:b/>
          <w:color w:val="000000"/>
          <w:sz w:val="22"/>
          <w:u w:val="single"/>
        </w:rPr>
        <w:t>Quarterly Conference Call</w:t>
      </w:r>
    </w:p>
    <w:p>
      <w:pPr>
        <w:pStyle w:val="TextBody"/>
        <w:bidi w:val="0"/>
        <w:spacing w:lineRule="auto" w:line="268" w:before="0" w:after="0"/>
        <w:jc w:val="left"/>
        <w:rPr/>
      </w:pPr>
      <w:r>
        <w:rPr>
          <w:rFonts w:ascii="sans-serif" w:hAnsi="sans-serif"/>
          <w:b w:val="false"/>
          <w:color w:val="000000"/>
          <w:sz w:val="22"/>
        </w:rPr>
        <w:t xml:space="preserve">To access the call, please dial 1-833-816-1382, or outside the U.S. 1-412-317-0475 at least 15 minutes prior to the 3:30 p.m. CT start time. Please ask to join the SPS Commerce Q2 2026 conference call. A live webcast of the call will also be available at </w:t>
      </w:r>
      <w:r>
        <w:rPr>
          <w:rFonts w:ascii="sans-serif" w:hAnsi="sans-serif"/>
          <w:b w:val="false"/>
          <w:color w:val="0000FF"/>
          <w:sz w:val="22"/>
        </w:rPr>
        <w:t>http://investors.spscommerce.com</w:t>
      </w:r>
      <w:r>
        <w:rPr>
          <w:color w:val="000000"/>
        </w:rPr>
        <w:t xml:space="preserve"> </w:t>
      </w:r>
      <w:r>
        <w:rPr>
          <w:rFonts w:ascii="sans-serif" w:hAnsi="sans-serif"/>
          <w:b w:val="false"/>
          <w:color w:val="000000"/>
          <w:sz w:val="22"/>
        </w:rPr>
        <w:t>under the Events and Presentations menu.</w:t>
      </w:r>
      <w:r>
        <w:rPr>
          <w:color w:val="000000"/>
        </w:rPr>
        <w:t xml:space="preserve"> </w:t>
      </w:r>
      <w:r>
        <w:rPr>
          <w:rFonts w:ascii="sans-serif" w:hAnsi="sans-serif"/>
          <w:b w:val="false"/>
          <w:color w:val="000000"/>
          <w:sz w:val="22"/>
        </w:rPr>
        <w:t xml:space="preserve">The replay will also be available on our website at </w:t>
      </w:r>
      <w:r>
        <w:rPr>
          <w:rFonts w:ascii="sans-serif" w:hAnsi="sans-serif"/>
          <w:b w:val="false"/>
          <w:color w:val="0000FF"/>
          <w:sz w:val="22"/>
        </w:rPr>
        <w:t>http://investors.spscommerce.com</w:t>
      </w:r>
      <w:r>
        <w:rPr>
          <w:rFonts w:ascii="sans-serif" w:hAnsi="sans-serif"/>
          <w:b w:val="false"/>
          <w:color w:val="000000"/>
          <w:sz w:val="22"/>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60" w:after="160"/>
        <w:jc w:val="left"/>
        <w:rPr>
          <w:rFonts w:ascii="sans-serif" w:hAnsi="sans-serif"/>
          <w:b/>
          <w:color w:val="000000"/>
          <w:sz w:val="22"/>
          <w:u w:val="single"/>
        </w:rPr>
      </w:pPr>
      <w:r>
        <w:rPr>
          <w:rFonts w:ascii="sans-serif" w:hAnsi="sans-serif"/>
          <w:b/>
          <w:color w:val="000000"/>
          <w:sz w:val="22"/>
          <w:u w:val="single"/>
        </w:rPr>
        <w:t>About SPS Commerce</w: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SPS Commerce (NASDAQ: SPSC) is the leading intelligent supply chain network, connecting trading partners around the globe to optimize supply chain operations with all retail partners. Our AI-powered network connects 300,000+ trading relationships worldwide and moves more than 750M transactions and over $650B in gross merchandise value each year. From retailers and brands to manufacturers, distributors, and logistics providers, SPS is trusted by seven of the top ten largest retailers, and over two-thirds of today’s fastest growing brands. Our multi-solution portfolio orchestrates the data, decisions, and relationships that keep the world's supply chains moving forward. With nearly 3,000 employees and global offices, SPS Commerce is headquartered in Minneapolis, Minnesota. For more information, visit www.spscommerce.com.</w:t>
      </w:r>
    </w:p>
    <w:p>
      <w:pPr>
        <w:pStyle w:val="TextBody"/>
        <w:bidi w:val="0"/>
        <w:spacing w:before="0" w:after="2"/>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SPS COMMERCE, SPS, SPS logo and INFINITE RETAIL POWER are marks of SPS Commerce, Inc. and registered in the U.S. Patent and Trademark Office, along with other SPS marks. Such marks may also be registered or otherwise protected in other countries. </w:t>
      </w:r>
    </w:p>
    <w:p>
      <w:pPr>
        <w:pStyle w:val="TextBody"/>
        <w:bidi w:val="0"/>
        <w:spacing w:before="0" w:after="2"/>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SPS-F</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60" w:after="160"/>
        <w:jc w:val="left"/>
        <w:rPr>
          <w:rFonts w:ascii="sans-serif" w:hAnsi="sans-serif"/>
          <w:b/>
          <w:color w:val="000000"/>
          <w:sz w:val="22"/>
          <w:u w:val="single"/>
        </w:rPr>
      </w:pPr>
      <w:r>
        <w:rPr>
          <w:rFonts w:ascii="sans-serif" w:hAnsi="sans-serif"/>
          <w:b/>
          <w:color w:val="000000"/>
          <w:sz w:val="22"/>
          <w:u w:val="single"/>
        </w:rPr>
        <w:t>Use of Non-GAAP Financial Measures</w:t>
      </w:r>
    </w:p>
    <w:p>
      <w:pPr>
        <w:pStyle w:val="TextBody"/>
        <w:bidi w:val="0"/>
        <w:spacing w:lineRule="auto" w:line="288" w:before="0" w:after="2"/>
        <w:jc w:val="left"/>
        <w:rPr>
          <w:rFonts w:ascii="sans-serif" w:hAnsi="sans-serif"/>
          <w:b w:val="false"/>
          <w:color w:val="000000"/>
          <w:sz w:val="22"/>
        </w:rPr>
      </w:pPr>
      <w:r>
        <w:rPr>
          <w:rFonts w:ascii="sans-serif" w:hAnsi="sans-serif"/>
          <w:b w:val="false"/>
          <w:color w:val="000000"/>
          <w:sz w:val="22"/>
        </w:rPr>
        <w:t>To supplement our condensed consolidated financial statements, we provide investors with Adjusted EBITDA, Adjusted EBITDA Margin, and non-GAAP income per share, all of which are non-GAAP financial measures. We believe that these non-GAAP financial measures provide useful information to our management, Board of Directors, and investors regarding certain financial and business trends relating to our financial condition and results of operations.</w:t>
      </w:r>
    </w:p>
    <w:p>
      <w:pPr>
        <w:pStyle w:val="TextBody"/>
        <w:bidi w:val="0"/>
        <w:spacing w:before="0" w:after="2"/>
        <w:jc w:val="left"/>
        <w:rPr/>
      </w:pPr>
      <w:r>
        <w:rPr/>
      </w:r>
    </w:p>
    <w:p>
      <w:pPr>
        <w:pStyle w:val="TextBody"/>
        <w:bidi w:val="0"/>
        <w:spacing w:lineRule="auto" w:line="288" w:before="0" w:after="2"/>
        <w:jc w:val="left"/>
        <w:rPr>
          <w:rFonts w:ascii="sans-serif" w:hAnsi="sans-serif"/>
          <w:b w:val="false"/>
          <w:color w:val="000000"/>
          <w:sz w:val="22"/>
        </w:rPr>
      </w:pPr>
      <w:r>
        <w:rPr>
          <w:rFonts w:ascii="sans-serif" w:hAnsi="sans-serif"/>
          <w:b w:val="false"/>
          <w:color w:val="000000"/>
          <w:sz w:val="22"/>
        </w:rPr>
        <w:t>Our management uses these non-GAAP financial measures to compare our performance to that of prior periods for trend analyses and planning purposes. Adjusted EBITDA is also used for purposes of determining executive and senior management incentive compensation. We believe these non-GAAP financial measures are useful to an investor as they are widely used in evaluating operating performance. Adjusted EBITDA and Adjusted EBITDA Margin are used to measure operating performance without regard to items such as depreciation and amortization, which can vary depending upon accounting methods and the book value of assets, and to present a meaningful measure of corporate performance exclusive of capital structure and the method by which assets were acquired.</w:t>
      </w:r>
    </w:p>
    <w:p>
      <w:pPr>
        <w:pStyle w:val="TextBody"/>
        <w:bidi w:val="0"/>
        <w:spacing w:before="0" w:after="0"/>
        <w:jc w:val="left"/>
        <w:rPr/>
      </w:pPr>
      <w:r>
        <w:rPr/>
      </w:r>
    </w:p>
    <w:p>
      <w:pPr>
        <w:pStyle w:val="TextBody"/>
        <w:bidi w:val="0"/>
        <w:spacing w:lineRule="auto" w:line="288" w:before="0" w:after="2"/>
        <w:jc w:val="left"/>
        <w:rPr>
          <w:rFonts w:ascii="sans-serif" w:hAnsi="sans-serif"/>
          <w:b w:val="false"/>
          <w:color w:val="000000"/>
          <w:sz w:val="22"/>
        </w:rPr>
      </w:pPr>
      <w:r>
        <w:rPr>
          <w:rFonts w:ascii="sans-serif" w:hAnsi="sans-serif"/>
          <w:b w:val="false"/>
          <w:color w:val="000000"/>
          <w:sz w:val="22"/>
        </w:rPr>
        <w:t xml:space="preserve">These non-GAAP financial measures should not be considered a substitute for, or superior to, financial measures calculated in accordance with GAAP. These non-GAAP financial measures exclude significant expenses and income that are required by GAAP to be recorded in our condensed consolidated financial statements and are subject to inherent limitations. Investors should review the reconciliations of non-GAAP financial measures to the comparable GAAP financial measures that are included in this press release. </w:t>
      </w:r>
    </w:p>
    <w:p>
      <w:pPr>
        <w:pStyle w:val="TextBody"/>
        <w:bidi w:val="0"/>
        <w:spacing w:lineRule="auto" w:line="300" w:before="160" w:after="160"/>
        <w:jc w:val="left"/>
        <w:rPr>
          <w:rFonts w:ascii="sans-serif" w:hAnsi="sans-serif"/>
          <w:b/>
          <w:color w:val="000000"/>
          <w:sz w:val="22"/>
        </w:rPr>
      </w:pPr>
      <w:r>
        <w:rPr>
          <w:rFonts w:ascii="sans-serif" w:hAnsi="sans-serif"/>
          <w:b/>
          <w:color w:val="000000"/>
          <w:sz w:val="22"/>
        </w:rPr>
        <w:t>Adjusted EBITDA Measures:</w:t>
      </w:r>
    </w:p>
    <w:p>
      <w:pPr>
        <w:pStyle w:val="TextBody"/>
        <w:bidi w:val="0"/>
        <w:spacing w:lineRule="auto" w:line="288" w:before="160" w:after="160"/>
        <w:jc w:val="left"/>
        <w:rPr/>
      </w:pPr>
      <w:r>
        <w:rPr>
          <w:rFonts w:ascii="sans-serif" w:hAnsi="sans-serif"/>
          <w:b w:val="false"/>
          <w:color w:val="000000"/>
          <w:sz w:val="22"/>
          <w:u w:val="single"/>
        </w:rPr>
        <w:t>Adjusted EBITDA</w:t>
      </w:r>
      <w:r>
        <w:rPr>
          <w:color w:val="000000"/>
        </w:rPr>
        <w:t xml:space="preserve"> </w:t>
      </w:r>
      <w:r>
        <w:rPr>
          <w:rFonts w:ascii="sans-serif" w:hAnsi="sans-serif"/>
          <w:b w:val="false"/>
          <w:color w:val="000000"/>
          <w:sz w:val="22"/>
          <w:shd w:fill="FFFFFF" w:val="clear"/>
        </w:rPr>
        <w:t>consists of net income adjusted for income tax expense, depreciation and amortization expense, stock-based compensation expense, realized gain from investments and foreign currency transactions, investment income, loss on sale of business, and other adjustments as necessary for a fair presentation. Other adjustments for the three and six months ended June 30, 2026, include</w:t>
      </w:r>
      <w:r>
        <w:rPr>
          <w:rFonts w:ascii="sans-serif" w:hAnsi="sans-serif"/>
          <w:b w:val="false"/>
          <w:color w:val="000000"/>
          <w:sz w:val="22"/>
        </w:rPr>
        <w:t xml:space="preserve">d the expense impact from disposals of other equipment, remeasurement of an acquired earn-out liability, and one-time divestiture exit and disposal costs. Net income is the most directly comparable GAAP measure of financial performance. </w:t>
      </w:r>
    </w:p>
    <w:p>
      <w:pPr>
        <w:pStyle w:val="TextBody"/>
        <w:bidi w:val="0"/>
        <w:spacing w:lineRule="auto" w:line="288" w:before="240" w:after="160"/>
        <w:jc w:val="left"/>
        <w:rPr/>
      </w:pPr>
      <w:r>
        <w:rPr>
          <w:rFonts w:ascii="sans-serif" w:hAnsi="sans-serif"/>
          <w:b w:val="false"/>
          <w:color w:val="000000"/>
          <w:sz w:val="22"/>
          <w:u w:val="single"/>
        </w:rPr>
        <w:t>Adjusted EBITDA Margin</w:t>
      </w:r>
      <w:r>
        <w:rPr>
          <w:color w:val="000000"/>
        </w:rPr>
        <w:t xml:space="preserve"> </w:t>
      </w:r>
      <w:r>
        <w:rPr>
          <w:rFonts w:ascii="sans-serif" w:hAnsi="sans-serif"/>
          <w:b w:val="false"/>
          <w:color w:val="000000"/>
          <w:sz w:val="22"/>
        </w:rPr>
        <w:t>consists of Adjusted EBITDA divided by revenue. Margin, the comparable GAAP measure of financial performance, consists of net income divided by revenue.</w:t>
      </w:r>
    </w:p>
    <w:p>
      <w:pPr>
        <w:pStyle w:val="TextBody"/>
        <w:bidi w:val="0"/>
        <w:spacing w:lineRule="auto" w:line="300" w:before="0" w:after="160"/>
        <w:jc w:val="left"/>
        <w:rPr>
          <w:rFonts w:ascii="sans-serif" w:hAnsi="sans-serif"/>
          <w:b/>
          <w:color w:val="000000"/>
          <w:sz w:val="22"/>
        </w:rPr>
      </w:pPr>
      <w:r>
        <w:rPr>
          <w:rFonts w:ascii="sans-serif" w:hAnsi="sans-serif"/>
          <w:b/>
          <w:color w:val="000000"/>
          <w:sz w:val="22"/>
        </w:rPr>
        <w:t>Non-GAAP Income Per Share Measure:</w:t>
      </w:r>
    </w:p>
    <w:p>
      <w:pPr>
        <w:pStyle w:val="TextBody"/>
        <w:bidi w:val="0"/>
        <w:spacing w:lineRule="auto" w:line="288" w:before="160" w:after="283"/>
        <w:jc w:val="left"/>
        <w:rPr/>
      </w:pPr>
      <w:r>
        <w:rPr>
          <w:rFonts w:ascii="sans-serif" w:hAnsi="sans-serif"/>
          <w:b w:val="false"/>
          <w:color w:val="000000"/>
          <w:sz w:val="22"/>
          <w:u w:val="single"/>
        </w:rPr>
        <w:t>Non-GAAP income per share</w:t>
      </w:r>
      <w:r>
        <w:rPr>
          <w:color w:val="000000"/>
        </w:rPr>
        <w:t xml:space="preserve"> </w:t>
      </w:r>
      <w:r>
        <w:rPr>
          <w:rFonts w:ascii="sans-serif" w:hAnsi="sans-serif"/>
          <w:b w:val="false"/>
          <w:color w:val="000000"/>
          <w:sz w:val="22"/>
        </w:rPr>
        <w:t>consists of net income adjusted for stock-based compensation expense, amortization expense related to intangible assets, realized gain from investments and foreign currency transactions, loss on sale of business, and other adjustments as necessary for a fair presentation, including for the three and six months ended June 30, 2026, the expense impact from disposals of other equipment, remeasurement of an acquired earn-out liability, and one-time divestiture exit and disposal costs, and the corresponding tax impacts of the adjustments to net income, divided by the weighted average number of shares of common and diluted stock outstanding during each period. Net income per share, the most directly comparable GAAP measure of financial performance, consists of net income divided by the weighted average number of shares of common and diluted stock outstanding during each period.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160" w:after="160"/>
        <w:jc w:val="left"/>
        <w:rPr>
          <w:rFonts w:ascii="sans-serif" w:hAnsi="sans-serif"/>
          <w:b/>
          <w:color w:val="000000"/>
          <w:sz w:val="22"/>
          <w:u w:val="single"/>
        </w:rPr>
      </w:pPr>
      <w:r>
        <w:rPr>
          <w:rFonts w:ascii="sans-serif" w:hAnsi="sans-serif"/>
          <w:b/>
          <w:color w:val="000000"/>
          <w:sz w:val="22"/>
          <w:u w:val="single"/>
        </w:rPr>
        <w:t>Forward-Looking Statements</w:t>
      </w:r>
    </w:p>
    <w:p>
      <w:pPr>
        <w:pStyle w:val="TextBody"/>
        <w:bidi w:val="0"/>
        <w:spacing w:lineRule="auto" w:line="300" w:before="0" w:after="160"/>
        <w:jc w:val="left"/>
        <w:rPr/>
      </w:pPr>
      <w:r>
        <w:rPr>
          <w:rFonts w:ascii="sans-serif" w:hAnsi="sans-serif"/>
          <w:b w:val="false"/>
          <w:color w:val="000000"/>
          <w:sz w:val="22"/>
        </w:rPr>
        <w:t>This press release may contain forward-looking statements, including information about management's view of SPS Commerce's future expectations, plans and prospects, including our views regarding future execution within our business, the opportunity we see in the retail supply chain world and our perform</w:t>
      </w:r>
      <w:r>
        <w:rPr>
          <w:rFonts w:ascii="sans-serif" w:hAnsi="sans-serif"/>
          <w:b w:val="false"/>
          <w:color w:val="000000"/>
          <w:sz w:val="22"/>
          <w:shd w:fill="FFFFFF" w:val="clear"/>
        </w:rPr>
        <w:t xml:space="preserve">ance for the third quarter and full year of </w:t>
      </w:r>
      <w:r>
        <w:rPr>
          <w:rFonts w:ascii="sans-serif" w:hAnsi="sans-serif"/>
          <w:b w:val="false"/>
          <w:color w:val="000000"/>
          <w:sz w:val="22"/>
        </w:rPr>
        <w:t>2026</w:t>
      </w:r>
      <w:r>
        <w:rPr>
          <w:rFonts w:ascii="sans-serif" w:hAnsi="sans-serif"/>
          <w:b w:val="false"/>
          <w:color w:val="000000"/>
          <w:sz w:val="22"/>
          <w:shd w:fill="FFFFFF" w:val="clear"/>
        </w:rPr>
        <w:t xml:space="preserve">, within the safe harbor provisions under The Private Securities Litigation Reform Act of 1995. These statements involve known and unknown risks, uncertainties and other factors which may cause the results of SPS Commerce to be materially different than those expressed or implied in such statements. Certain of these risk </w:t>
      </w:r>
      <w:r>
        <w:rPr>
          <w:rFonts w:ascii="sans-serif" w:hAnsi="sans-serif"/>
          <w:b w:val="false"/>
          <w:color w:val="000000"/>
          <w:sz w:val="22"/>
        </w:rPr>
        <w:t xml:space="preserve">factors and others are included in documents SPS Commerce files with the Securities and Exchange Commission, including but not limited to, SPS Commerce's Annual Report on Form 10-K for the year ended December 31, 2025, as well as subsequent reports filed with the Securities and Exchange Commission. Other unknown or unpredictable factors also could have material adverse effects on SPS Commerce's future results. The forward-looking statements included in this press release are made only as of the date hereof. SPS Commerce cannot guarantee future results, levels of activity, performance or achievements. Accordingly, you should not place undue reliance on these forward-looking statements. Finally, SPS Commerce expressly disclaims any intent or obligation to update or revise any forward-looking statements, whether as a result of new information, future events,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40" w:after="2"/>
        <w:jc w:val="center"/>
        <w:rPr>
          <w:rFonts w:ascii="sans-serif" w:hAnsi="sans-serif"/>
          <w:b/>
          <w:color w:val="000000"/>
          <w:sz w:val="20"/>
        </w:rPr>
      </w:pPr>
      <w:r>
        <w:rPr>
          <w:rFonts w:ascii="sans-serif" w:hAnsi="sans-serif"/>
          <w:b/>
          <w:color w:val="000000"/>
          <w:sz w:val="20"/>
        </w:rPr>
        <w:t>SPS COMMERCE, INC.</w:t>
      </w:r>
    </w:p>
    <w:p>
      <w:pPr>
        <w:pStyle w:val="TextBody"/>
        <w:bidi w:val="0"/>
        <w:spacing w:lineRule="auto" w:line="288" w:before="0" w:after="2"/>
        <w:jc w:val="center"/>
        <w:rPr>
          <w:rFonts w:ascii="sans-serif" w:hAnsi="sans-serif"/>
          <w:b/>
          <w:color w:val="000000"/>
          <w:sz w:val="20"/>
        </w:rPr>
      </w:pPr>
      <w:r>
        <w:rPr>
          <w:rFonts w:ascii="sans-serif" w:hAnsi="sans-serif"/>
          <w:b/>
          <w:color w:val="000000"/>
          <w:sz w:val="20"/>
        </w:rPr>
        <w:t>CONSOLIDATED BALANCE SHEETS</w:t>
      </w:r>
    </w:p>
    <w:p>
      <w:pPr>
        <w:pStyle w:val="TextBody"/>
        <w:bidi w:val="0"/>
        <w:spacing w:lineRule="auto" w:line="288" w:before="0" w:after="2"/>
        <w:jc w:val="center"/>
        <w:rPr>
          <w:rFonts w:ascii="sans-serif" w:hAnsi="sans-serif"/>
          <w:b w:val="false"/>
          <w:color w:val="000000"/>
          <w:sz w:val="20"/>
        </w:rPr>
      </w:pPr>
      <w:r>
        <w:rPr>
          <w:rFonts w:ascii="sans-serif" w:hAnsi="sans-serif"/>
          <w:b w:val="false"/>
          <w:color w:val="000000"/>
          <w:sz w:val="20"/>
        </w:rPr>
        <w:t>(Unaudited; In thousands, except shares)</w:t>
      </w:r>
    </w:p>
    <w:p>
      <w:pPr>
        <w:pStyle w:val="TextBody"/>
        <w:bidi w:val="0"/>
        <w:spacing w:before="0" w:after="2"/>
        <w:jc w:val="left"/>
        <w:rPr/>
      </w:pPr>
      <w:r>
        <w:rPr/>
      </w:r>
    </w:p>
    <w:tbl>
      <w:tblPr>
        <w:tblW w:w="7067" w:type="dxa"/>
        <w:jc w:val="left"/>
        <w:tblInd w:w="0" w:type="dxa"/>
        <w:tblLayout w:type="fixed"/>
        <w:tblCellMar>
          <w:top w:w="28" w:type="dxa"/>
          <w:left w:w="28" w:type="dxa"/>
          <w:bottom w:w="28" w:type="dxa"/>
          <w:right w:w="28" w:type="dxa"/>
        </w:tblCellMar>
      </w:tblPr>
      <w:tblGrid>
        <w:gridCol w:w="1457"/>
        <w:gridCol w:w="1277"/>
        <w:gridCol w:w="1286"/>
        <w:gridCol w:w="211"/>
        <w:gridCol w:w="976"/>
        <w:gridCol w:w="109"/>
        <w:gridCol w:w="109"/>
        <w:gridCol w:w="109"/>
        <w:gridCol w:w="109"/>
        <w:gridCol w:w="224"/>
        <w:gridCol w:w="1037"/>
        <w:gridCol w:w="163"/>
      </w:tblGrid>
      <w:tr>
        <w:trPr/>
        <w:tc>
          <w:tcPr>
            <w:tcW w:w="145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7"/>
              </w:rPr>
            </w:pPr>
            <w:r>
              <w:rPr>
                <w:rFonts w:ascii="sans-serif" w:hAnsi="sans-serif"/>
                <w:b/>
                <w:color w:val="000000"/>
                <w:sz w:val="17"/>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7"/>
              </w:rPr>
            </w:pPr>
            <w:r>
              <w:rPr>
                <w:rFonts w:ascii="sans-serif" w:hAnsi="sans-serif"/>
                <w:b/>
                <w:color w:val="000000"/>
                <w:sz w:val="17"/>
              </w:rPr>
              <w:t>December 31,</w:t>
              <w:br/>
              <w:t>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7"/>
              </w:rPr>
            </w:pPr>
            <w:r>
              <w:rPr>
                <w:rFonts w:ascii="sans-serif" w:hAnsi="sans-serif"/>
                <w:b/>
                <w:color w:val="000000"/>
                <w:sz w:val="17"/>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173,167 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151,355 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Accounts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71,681 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75,295 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(7,994)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(7,129)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Accounts receivable, net</w:t>
            </w:r>
          </w:p>
        </w:tc>
        <w:tc>
          <w:tcPr>
            <w:tcW w:w="118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7"/>
              </w:rPr>
            </w:pPr>
            <w:r>
              <w:rPr>
                <w:rFonts w:ascii="sans-serif" w:hAnsi="sans-serif"/>
                <w:b w:val="false"/>
                <w:color w:val="000000"/>
                <w:sz w:val="17"/>
              </w:rPr>
              <w:t>63,687 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7"/>
              </w:rPr>
            </w:pPr>
            <w:r>
              <w:rPr>
                <w:rFonts w:ascii="sans-serif" w:hAnsi="sans-serif"/>
                <w:b w:val="false"/>
                <w:color w:val="000000"/>
                <w:sz w:val="17"/>
              </w:rPr>
              <w:t>68,166 </w:t>
            </w:r>
          </w:p>
        </w:tc>
        <w:tc>
          <w:tcPr>
            <w:tcW w:w="16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Deferred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64,001 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66,693 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29,541 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49,090 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330,396 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335,304 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44,142 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43,117 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4,985 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5,025 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539,411 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541,719 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172,446 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215,815 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Other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Deferred costs,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20,296 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20,719 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Deferred income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493 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Other assets,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13,239 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7,667 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1,125,429 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1,169,859 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7"/>
              </w:rPr>
            </w:pPr>
            <w:r>
              <w:rPr>
                <w:rFonts w:ascii="sans-serif" w:hAnsi="sans-serif"/>
                <w:b/>
                <w:color w:val="000000"/>
                <w:sz w:val="17"/>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13,757 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Accrued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39,470 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47,577 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14,901 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13,074 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80,867 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75,590 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4,353 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146,262 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154,351 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Other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Deferred revenue,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5,288 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Operating lease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2,839 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Deferred income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30,928 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33,201 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left"/>
              <w:rPr>
                <w:rFonts w:ascii="sans-serif" w:hAnsi="sans-serif"/>
                <w:b w:val="false"/>
                <w:color w:val="000000"/>
                <w:sz w:val="17"/>
              </w:rPr>
            </w:pPr>
            <w:r>
              <w:rPr>
                <w:rFonts w:ascii="sans-serif" w:hAnsi="sans-serif"/>
                <w:b w:val="false"/>
                <w:color w:val="000000"/>
                <w:sz w:val="17"/>
              </w:rPr>
              <w:t>Other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287 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186,947 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195,966 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Commitments and contingencies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Treasury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(276,922)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(177,949)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763,354 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722,737 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456,031 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429,438 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(4,021)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(373)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938,482 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973,893 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7"/>
              </w:rPr>
            </w:pPr>
            <w:r>
              <w:rPr>
                <w:rFonts w:ascii="sans-serif" w:hAnsi="sans-serif"/>
                <w:b w:val="false"/>
                <w:color w:val="000000"/>
                <w:sz w:val="17"/>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1,125,429 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7"/>
              </w:rPr>
            </w:pPr>
            <w:r>
              <w:rPr>
                <w:rFonts w:ascii="sans-serif" w:hAnsi="sans-serif"/>
                <w:b w:val="false"/>
                <w:color w:val="000000"/>
                <w:sz w:val="17"/>
              </w:rPr>
              <w:t>1,169,859 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24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40" w:after="2"/>
        <w:jc w:val="center"/>
        <w:rPr>
          <w:rFonts w:ascii="sans-serif" w:hAnsi="sans-serif"/>
          <w:b/>
          <w:color w:val="000000"/>
          <w:sz w:val="20"/>
        </w:rPr>
      </w:pPr>
      <w:r>
        <w:rPr>
          <w:rFonts w:ascii="sans-serif" w:hAnsi="sans-serif"/>
          <w:b/>
          <w:color w:val="000000"/>
          <w:sz w:val="20"/>
        </w:rPr>
        <w:t>SPS COMMERCE, INC.</w:t>
      </w:r>
    </w:p>
    <w:p>
      <w:pPr>
        <w:pStyle w:val="TextBody"/>
        <w:bidi w:val="0"/>
        <w:spacing w:lineRule="auto" w:line="288" w:before="0" w:after="2"/>
        <w:jc w:val="center"/>
        <w:rPr>
          <w:rFonts w:ascii="sans-serif" w:hAnsi="sans-serif"/>
          <w:b/>
          <w:color w:val="000000"/>
          <w:sz w:val="20"/>
        </w:rPr>
      </w:pPr>
      <w:r>
        <w:rPr>
          <w:rFonts w:ascii="sans-serif" w:hAnsi="sans-serif"/>
          <w:b/>
          <w:color w:val="000000"/>
          <w:sz w:val="20"/>
        </w:rPr>
        <w:t>CONSOLIDATED STATEMENTS OF INCOME</w:t>
      </w:r>
    </w:p>
    <w:p>
      <w:pPr>
        <w:pStyle w:val="TextBody"/>
        <w:bidi w:val="0"/>
        <w:spacing w:lineRule="auto" w:line="288" w:before="0" w:after="2"/>
        <w:jc w:val="center"/>
        <w:rPr>
          <w:rFonts w:ascii="sans-serif" w:hAnsi="sans-serif"/>
          <w:b w:val="false"/>
          <w:color w:val="000000"/>
          <w:sz w:val="20"/>
        </w:rPr>
      </w:pPr>
      <w:r>
        <w:rPr>
          <w:rFonts w:ascii="sans-serif" w:hAnsi="sans-serif"/>
          <w:b w:val="false"/>
          <w:color w:val="000000"/>
          <w:sz w:val="20"/>
        </w:rPr>
        <w:t>(Unaudited; in thousands, except per share amounts)</w:t>
      </w:r>
    </w:p>
    <w:p>
      <w:pPr>
        <w:pStyle w:val="TextBody"/>
        <w:bidi w:val="0"/>
        <w:spacing w:before="0" w:after="2"/>
        <w:jc w:val="center"/>
        <w:rPr/>
      </w:pPr>
      <w:r>
        <w:rPr/>
      </w:r>
    </w:p>
    <w:tbl>
      <w:tblPr>
        <w:tblW w:w="10205" w:type="dxa"/>
        <w:jc w:val="center"/>
        <w:tblInd w:w="0" w:type="dxa"/>
        <w:tblLayout w:type="fixed"/>
        <w:tblCellMar>
          <w:top w:w="28" w:type="dxa"/>
          <w:left w:w="28" w:type="dxa"/>
          <w:bottom w:w="28" w:type="dxa"/>
          <w:right w:w="28" w:type="dxa"/>
        </w:tblCellMar>
      </w:tblPr>
      <w:tblGrid>
        <w:gridCol w:w="1636"/>
        <w:gridCol w:w="1206"/>
        <w:gridCol w:w="1212"/>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5"/>
      </w:tblGrid>
      <w:tr>
        <w:trPr/>
        <w:tc>
          <w:tcPr>
            <w:tcW w:w="163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Three Months Ended</w:t>
            </w:r>
          </w:p>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Six Months Ended</w:t>
              <w:br/>
              <w:t>June 30,</w:t>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2025</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Revenues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197,815 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187,400 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389,936 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368,949 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Cost of revenues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116,740 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Gross profit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138,787 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127,574 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271,691 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252,209 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Operating expenses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Sales and marketing</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88,670 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85,068 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Research and development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16,957 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34,874 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34,710 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General and administrative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36,646 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30,890 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61,908 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Amortization of intangible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18,097 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Loss on sale of business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operating expenses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130,374 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101,104 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238,719 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199,783 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Income from operations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26,470 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32,972 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52,426 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Other income,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2,980 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Income before income taxes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27,243 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36,374 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55,406 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Income tax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13,477 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19,733 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26,593 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41,929 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income per share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Basic</w:t>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Diluted</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Weighted average common shares used to compute net income per share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Basic</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37,965 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37,978 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Diluted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36,577 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38,099 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38,132 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before="0" w:after="2"/>
        <w:jc w:val="left"/>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240" w:after="2"/>
        <w:jc w:val="center"/>
        <w:rPr/>
      </w:pPr>
      <w:r>
        <w:rPr/>
      </w:r>
    </w:p>
    <w:p>
      <w:pPr>
        <w:pStyle w:val="TextBody"/>
        <w:bidi w:val="0"/>
        <w:spacing w:before="0" w:after="2"/>
        <w:jc w:val="center"/>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
        <w:jc w:val="center"/>
        <w:rPr>
          <w:rFonts w:ascii="sans-serif" w:hAnsi="sans-serif"/>
          <w:b/>
          <w:color w:val="000000"/>
          <w:sz w:val="20"/>
        </w:rPr>
      </w:pPr>
      <w:r>
        <w:rPr>
          <w:rFonts w:ascii="sans-serif" w:hAnsi="sans-serif"/>
          <w:b/>
          <w:color w:val="000000"/>
          <w:sz w:val="20"/>
        </w:rPr>
        <w:t>SPS COMMERCE, INC.</w:t>
      </w:r>
    </w:p>
    <w:p>
      <w:pPr>
        <w:pStyle w:val="TextBody"/>
        <w:bidi w:val="0"/>
        <w:spacing w:lineRule="auto" w:line="288" w:before="0" w:after="2"/>
        <w:jc w:val="center"/>
        <w:rPr>
          <w:rFonts w:ascii="sans-serif" w:hAnsi="sans-serif"/>
          <w:b/>
          <w:color w:val="000000"/>
          <w:sz w:val="20"/>
        </w:rPr>
      </w:pPr>
      <w:r>
        <w:rPr>
          <w:rFonts w:ascii="sans-serif" w:hAnsi="sans-serif"/>
          <w:b/>
          <w:color w:val="000000"/>
          <w:sz w:val="20"/>
        </w:rPr>
        <w:t>CONSOLIDATED STATEMENTS OF CASH FLOWS</w:t>
      </w:r>
    </w:p>
    <w:p>
      <w:pPr>
        <w:pStyle w:val="TextBody"/>
        <w:bidi w:val="0"/>
        <w:spacing w:lineRule="auto" w:line="288" w:before="0" w:after="2"/>
        <w:jc w:val="center"/>
        <w:rPr>
          <w:rFonts w:ascii="sans-serif" w:hAnsi="sans-serif"/>
          <w:b w:val="false"/>
          <w:color w:val="000000"/>
          <w:sz w:val="20"/>
        </w:rPr>
      </w:pPr>
      <w:r>
        <w:rPr>
          <w:rFonts w:ascii="sans-serif" w:hAnsi="sans-serif"/>
          <w:b w:val="false"/>
          <w:color w:val="000000"/>
          <w:sz w:val="20"/>
        </w:rPr>
        <w:t>(Unaudited; in thousands)</w:t>
      </w:r>
    </w:p>
    <w:p>
      <w:pPr>
        <w:pStyle w:val="TextBody"/>
        <w:bidi w:val="0"/>
        <w:spacing w:before="0" w:after="2"/>
        <w:jc w:val="center"/>
        <w:rPr/>
      </w:pPr>
      <w:r>
        <w:rPr/>
      </w:r>
    </w:p>
    <w:tbl>
      <w:tblPr>
        <w:tblW w:w="10148" w:type="dxa"/>
        <w:jc w:val="center"/>
        <w:tblInd w:w="0" w:type="dxa"/>
        <w:tblLayout w:type="fixed"/>
        <w:tblCellMar>
          <w:top w:w="28" w:type="dxa"/>
          <w:left w:w="28" w:type="dxa"/>
          <w:bottom w:w="28" w:type="dxa"/>
          <w:right w:w="28" w:type="dxa"/>
        </w:tblCellMar>
      </w:tblPr>
      <w:tblGrid>
        <w:gridCol w:w="2615"/>
        <w:gridCol w:w="2293"/>
        <w:gridCol w:w="2306"/>
        <w:gridCol w:w="226"/>
        <w:gridCol w:w="946"/>
        <w:gridCol w:w="109"/>
        <w:gridCol w:w="109"/>
        <w:gridCol w:w="109"/>
        <w:gridCol w:w="109"/>
        <w:gridCol w:w="226"/>
        <w:gridCol w:w="946"/>
        <w:gridCol w:w="154"/>
      </w:tblGrid>
      <w:tr>
        <w:trPr/>
        <w:tc>
          <w:tcPr>
            <w:tcW w:w="2615"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Six Months Ended</w:t>
            </w:r>
          </w:p>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June 30,</w:t>
            </w:r>
          </w:p>
        </w:tc>
      </w:tr>
      <w:tr>
        <w:trPr/>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2025</w:t>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Cash flows from operating activities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26,593 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41,929 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Reconciliation of net income to net cash provided by operating activities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Deferred income taxes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Depreciation and amortization of property and equipment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Amortization of intangible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Provision for credit losses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Stock-based compensation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28,865 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Loss on sale of business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Other,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Changes in assets and liabilities, net of effects of acquisitions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Accounts receivable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Deferred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Other assets and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Accounts payable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Accrued compensation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Accrued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Deferred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Operating leases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cash provided by operating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121,659 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72,306 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Cash flows from investing activities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Purchases of property and equipment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(15,738)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(12,815)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Proceeds from sale,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Acquisition of business,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(142,628)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cash used in investing activities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(6,970)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(155,443)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Cash flows from financing activities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Repurchases of common stock</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(98,358)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(59,558)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proceeds from exercise of options to purchase common stock</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proceeds from employee stock purchase plan activity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cash used in financing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(93,171)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(51,726)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Effect of foreign currency exchange rate changes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increase (decrease) in cash and cash equivalents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(133,414)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Cash and cash equivalents at beginning of period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151,355 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241,017 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Cash and cash equivalents at end of period</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173,167 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107,603 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40" w:after="2"/>
        <w:jc w:val="center"/>
        <w:rPr>
          <w:rFonts w:ascii="sans-serif" w:hAnsi="sans-serif"/>
          <w:b/>
          <w:color w:val="000000"/>
          <w:sz w:val="16"/>
        </w:rPr>
      </w:pPr>
      <w:r>
        <w:rPr>
          <w:rFonts w:ascii="sans-serif" w:hAnsi="sans-serif"/>
          <w:b/>
          <w:color w:val="000000"/>
          <w:sz w:val="16"/>
        </w:rPr>
        <w:t>SPS COMMERCE, INC.</w:t>
      </w:r>
    </w:p>
    <w:p>
      <w:pPr>
        <w:pStyle w:val="TextBody"/>
        <w:bidi w:val="0"/>
        <w:spacing w:lineRule="auto" w:line="288" w:before="0" w:after="2"/>
        <w:jc w:val="center"/>
        <w:rPr>
          <w:rFonts w:ascii="sans-serif" w:hAnsi="sans-serif"/>
          <w:b/>
          <w:color w:val="000000"/>
          <w:sz w:val="16"/>
        </w:rPr>
      </w:pPr>
      <w:r>
        <w:rPr>
          <w:rFonts w:ascii="sans-serif" w:hAnsi="sans-serif"/>
          <w:b/>
          <w:color w:val="000000"/>
          <w:sz w:val="16"/>
        </w:rPr>
        <w:t>NON-GAAP RECONCILIATIONS</w:t>
      </w:r>
    </w:p>
    <w:p>
      <w:pPr>
        <w:pStyle w:val="TextBody"/>
        <w:bidi w:val="0"/>
        <w:spacing w:lineRule="auto" w:line="288" w:before="0" w:after="2"/>
        <w:jc w:val="center"/>
        <w:rPr>
          <w:rFonts w:ascii="sans-serif" w:hAnsi="sans-serif"/>
          <w:b w:val="false"/>
          <w:color w:val="000000"/>
          <w:sz w:val="16"/>
        </w:rPr>
      </w:pPr>
      <w:r>
        <w:rPr>
          <w:rFonts w:ascii="sans-serif" w:hAnsi="sans-serif"/>
          <w:b w:val="false"/>
          <w:color w:val="000000"/>
          <w:sz w:val="16"/>
        </w:rPr>
        <w:t>(Unaudited; in thousands, except Margin, Adjusted EBITDA Margin, and per share amounts)</w:t>
      </w:r>
    </w:p>
    <w:p>
      <w:pPr>
        <w:pStyle w:val="TextBody"/>
        <w:bidi w:val="0"/>
        <w:spacing w:before="0" w:after="2"/>
        <w:jc w:val="center"/>
        <w:rPr/>
      </w:pPr>
      <w:r>
        <w:rPr/>
      </w:r>
    </w:p>
    <w:tbl>
      <w:tblPr>
        <w:tblW w:w="10205" w:type="dxa"/>
        <w:jc w:val="center"/>
        <w:tblInd w:w="0" w:type="dxa"/>
        <w:tblLayout w:type="fixed"/>
        <w:tblCellMar>
          <w:top w:w="28" w:type="dxa"/>
          <w:left w:w="28" w:type="dxa"/>
          <w:bottom w:w="28" w:type="dxa"/>
          <w:right w:w="28" w:type="dxa"/>
        </w:tblCellMar>
      </w:tblPr>
      <w:tblGrid>
        <w:gridCol w:w="1798"/>
        <w:gridCol w:w="1501"/>
        <w:gridCol w:w="150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798"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Adjusted EBITDA</w:t>
            </w:r>
          </w:p>
        </w:tc>
      </w:tr>
      <w:tr>
        <w:trPr/>
        <w:tc>
          <w:tcPr>
            <w:tcW w:w="4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Six Months Ended</w:t>
              <w:br/>
              <w:t>June 30,</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2025</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6,864 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19,733 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26,593 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41,929 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9,781 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13,477 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Depreciation and amortization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4,991 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9,948 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18,701 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18,097 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36,769 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28,865 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Realized gain from investments and foreign currency transactions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(473)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Investment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(2,362)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(2,537)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Loss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23,454 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23,454 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66,632 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56,052 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124,563 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110,425 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tbl>
      <w:tblPr>
        <w:tblW w:w="7563" w:type="dxa"/>
        <w:jc w:val="center"/>
        <w:tblInd w:w="0" w:type="dxa"/>
        <w:tblLayout w:type="fixed"/>
        <w:tblCellMar>
          <w:top w:w="28" w:type="dxa"/>
          <w:left w:w="28" w:type="dxa"/>
          <w:bottom w:w="28" w:type="dxa"/>
          <w:right w:w="28" w:type="dxa"/>
        </w:tblCellMar>
      </w:tblPr>
      <w:tblGrid>
        <w:gridCol w:w="770"/>
        <w:gridCol w:w="677"/>
        <w:gridCol w:w="682"/>
        <w:gridCol w:w="291"/>
        <w:gridCol w:w="233"/>
        <w:gridCol w:w="548"/>
        <w:gridCol w:w="150"/>
        <w:gridCol w:w="150"/>
        <w:gridCol w:w="150"/>
        <w:gridCol w:w="291"/>
        <w:gridCol w:w="233"/>
        <w:gridCol w:w="548"/>
        <w:gridCol w:w="109"/>
        <w:gridCol w:w="109"/>
        <w:gridCol w:w="109"/>
        <w:gridCol w:w="255"/>
        <w:gridCol w:w="233"/>
        <w:gridCol w:w="548"/>
        <w:gridCol w:w="132"/>
        <w:gridCol w:w="132"/>
        <w:gridCol w:w="132"/>
        <w:gridCol w:w="255"/>
        <w:gridCol w:w="219"/>
        <w:gridCol w:w="607"/>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7563" w:type="dxa"/>
            <w:gridSpan w:val="24"/>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Adjusted EBITDA Margin</w:t>
            </w:r>
          </w:p>
        </w:tc>
      </w:tr>
      <w:tr>
        <w:trPr/>
        <w:tc>
          <w:tcPr>
            <w:tcW w:w="2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Six Months Ended</w:t>
              <w:br/>
              <w:t>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Revenue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197,815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187,400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389,936</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368,949</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Net income</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6,864</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19,733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26,593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41,929</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Margin</w:t>
            </w:r>
          </w:p>
        </w:tc>
        <w:tc>
          <w:tcPr>
            <w:tcW w:w="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11 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7 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11 </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Adjusted EBITDA</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66,632</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56,052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124,563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110,425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Adjusted EBITDA Margin</w:t>
            </w:r>
          </w:p>
        </w:tc>
        <w:tc>
          <w:tcPr>
            <w:tcW w:w="5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34 </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30 </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32 </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30 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r>
    </w:tbl>
    <w:p>
      <w:pPr>
        <w:pStyle w:val="TextBody"/>
        <w:bidi w:val="0"/>
        <w:spacing w:before="0" w:after="2"/>
        <w:jc w:val="center"/>
        <w:rPr/>
      </w:pPr>
      <w:r>
        <w:rPr/>
      </w:r>
    </w:p>
    <w:tbl>
      <w:tblPr>
        <w:tblW w:w="10205" w:type="dxa"/>
        <w:jc w:val="center"/>
        <w:tblInd w:w="0" w:type="dxa"/>
        <w:tblLayout w:type="fixed"/>
        <w:tblCellMar>
          <w:top w:w="28" w:type="dxa"/>
          <w:left w:w="28" w:type="dxa"/>
          <w:bottom w:w="28" w:type="dxa"/>
          <w:right w:w="28" w:type="dxa"/>
        </w:tblCellMar>
      </w:tblPr>
      <w:tblGrid>
        <w:gridCol w:w="1813"/>
        <w:gridCol w:w="1592"/>
        <w:gridCol w:w="160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1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Non-GAAP Income per Share</w:t>
            </w:r>
          </w:p>
        </w:tc>
      </w:tr>
      <w:tr>
        <w:trPr/>
        <w:tc>
          <w:tcPr>
            <w:tcW w:w="5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6"/>
              </w:rPr>
            </w:pPr>
            <w:r>
              <w:rPr>
                <w:rFonts w:ascii="sans-serif" w:hAnsi="sans-serif"/>
                <w:b/>
                <w:color w:val="000000"/>
                <w:sz w:val="16"/>
              </w:rPr>
              <w:t>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6,864 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19,733 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26,593 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41,929 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18,696 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28,865 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9,381 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18,701 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18,097 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Realized gain from investments and foreign currency transactions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(473)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Loss on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23,454 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23,454 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1,119 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Income tax effects of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(11,770)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(6,285)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(17,649)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(13,570)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Non-GAAP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46,377 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37,954 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87,511 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75,967 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Shares used to compute net income and non-GAAP income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36,953 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37,978 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38,099 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38,132 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Net income per share, basic</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Non-GAAP adjustments to net income per share,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0.90 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Non-GAAP income per share, 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2.00 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Net income per share,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Non-GAAP adjustments to net income per share,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Non-GAAP income per share, diluted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16"/>
              </w:rPr>
            </w:pPr>
            <w:r>
              <w:rPr>
                <w:rFonts w:ascii="sans-serif" w:hAnsi="sans-serif"/>
                <w:b w:val="false"/>
                <w:color w:val="000000"/>
                <w:sz w:val="16"/>
              </w:rPr>
              <w:t>1.99 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88" w:before="0" w:after="2"/>
        <w:jc w:val="left"/>
        <w:rPr>
          <w:rFonts w:ascii="sans-serif" w:hAnsi="sans-serif"/>
          <w:b w:val="false"/>
          <w:i/>
          <w:color w:val="000000"/>
          <w:sz w:val="16"/>
        </w:rPr>
      </w:pPr>
      <w:r>
        <w:rPr>
          <w:rFonts w:ascii="sans-serif" w:hAnsi="sans-serif"/>
          <w:b w:val="false"/>
          <w:i/>
          <w:color w:val="000000"/>
          <w:sz w:val="16"/>
        </w:rPr>
        <w:t>The annual per share amounts may not cross-sum due to rounding.</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3477</Words>
  <Characters>19638</Characters>
  <CharactersWithSpaces>22732</CharactersWithSpaces>
  <Paragraphs>681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