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48"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38"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3923030</wp:posOffset>
            </wp:positionH>
            <wp:positionV relativeFrom="paragraph">
              <wp:posOffset>-7620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001-34702</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30480</wp:posOffset>
            </wp:positionV>
            <wp:extent cx="56578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ectPr>
          <w:pgSz w:w="11900" w:h="16838" w:orient="portrait"/>
          <w:cols w:equalWidth="0" w:num="1">
            <w:col w:w="11240"/>
          </w:cols>
          <w:pgMar w:left="320" w:top="206" w:right="339" w:bottom="1440" w:gutter="0" w:footer="0" w:header="0"/>
        </w:sectPr>
      </w:pPr>
    </w:p>
    <w:p>
      <w:pPr>
        <w:spacing w:after="0" w:line="127"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41-2015127</w:t>
      </w:r>
    </w:p>
    <w:p>
      <w:pPr>
        <w:spacing w:after="0" w:line="31" w:lineRule="exact"/>
        <w:rPr>
          <w:sz w:val="24"/>
          <w:szCs w:val="24"/>
          <w:color w:val="auto"/>
        </w:rPr>
      </w:pPr>
    </w:p>
    <w:p>
      <w:pPr>
        <w:sectPr>
          <w:pgSz w:w="11900" w:h="16838" w:orient="portrait"/>
          <w:cols w:equalWidth="0" w:num="2">
            <w:col w:w="7280" w:space="720"/>
            <w:col w:w="3240"/>
          </w:cols>
          <w:pgMar w:left="320" w:top="206" w:right="339" w:bottom="1440" w:gutter="0" w:footer="0" w:header="0"/>
          <w:type w:val="continuous"/>
        </w:sectPr>
      </w:pPr>
    </w:p>
    <w:p>
      <w:pPr>
        <w:spacing w:after="0" w:line="19" w:lineRule="exact"/>
        <w:rPr>
          <w:sz w:val="24"/>
          <w:szCs w:val="24"/>
          <w:color w:val="auto"/>
        </w:rPr>
      </w:pPr>
    </w:p>
    <w:p>
      <w:pPr>
        <w:ind w:left="1960"/>
        <w:spacing w:after="0"/>
        <w:rPr>
          <w:sz w:val="20"/>
          <w:szCs w:val="20"/>
          <w:color w:val="auto"/>
        </w:rPr>
      </w:pPr>
      <w:r>
        <w:rPr>
          <w:rFonts w:ascii="Arial" w:cs="Arial" w:eastAsia="Arial" w:hAnsi="Arial"/>
          <w:sz w:val="12"/>
          <w:szCs w:val="12"/>
          <w:b w:val="1"/>
          <w:bCs w:val="1"/>
          <w:i w:val="1"/>
          <w:iCs w:val="1"/>
          <w:color w:val="auto"/>
        </w:rPr>
        <w:t>(State or other jurisdiction of</w:t>
      </w:r>
    </w:p>
    <w:p>
      <w:pPr>
        <w:spacing w:after="0" w:line="4" w:lineRule="exact"/>
        <w:rPr>
          <w:sz w:val="24"/>
          <w:szCs w:val="24"/>
          <w:color w:val="auto"/>
        </w:rPr>
      </w:pPr>
    </w:p>
    <w:p>
      <w:pPr>
        <w:ind w:left="1900"/>
        <w:spacing w:after="0"/>
        <w:rPr>
          <w:sz w:val="20"/>
          <w:szCs w:val="20"/>
          <w:color w:val="auto"/>
        </w:rPr>
      </w:pPr>
      <w:r>
        <w:rPr>
          <w:rFonts w:ascii="Arial" w:cs="Arial" w:eastAsia="Arial" w:hAnsi="Arial"/>
          <w:sz w:val="12"/>
          <w:szCs w:val="12"/>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14"/>
          <w:szCs w:val="14"/>
          <w:b w:val="1"/>
          <w:bCs w:val="1"/>
          <w:i w:val="1"/>
          <w:iCs w:val="1"/>
          <w:color w:val="auto"/>
        </w:rPr>
        <w:t>(I.R.S. Employer</w:t>
      </w:r>
    </w:p>
    <w:p>
      <w:pPr>
        <w:jc w:val="center"/>
        <w:ind w:right="2260"/>
        <w:spacing w:after="0"/>
        <w:rPr>
          <w:sz w:val="20"/>
          <w:szCs w:val="20"/>
          <w:color w:val="auto"/>
        </w:rPr>
      </w:pPr>
      <w:r>
        <w:rPr>
          <w:rFonts w:ascii="Arial" w:cs="Arial" w:eastAsia="Arial" w:hAnsi="Arial"/>
          <w:sz w:val="13"/>
          <w:szCs w:val="13"/>
          <w:b w:val="1"/>
          <w:bCs w:val="1"/>
          <w:i w:val="1"/>
          <w:iCs w:val="1"/>
          <w:color w:val="auto"/>
        </w:rPr>
        <w:t>Identification No.)</w:t>
      </w:r>
    </w:p>
    <w:p>
      <w:pPr>
        <w:spacing w:after="0" w:line="109" w:lineRule="exact"/>
        <w:rPr>
          <w:sz w:val="24"/>
          <w:szCs w:val="24"/>
          <w:color w:val="auto"/>
        </w:rPr>
      </w:pPr>
    </w:p>
    <w:p>
      <w:pPr>
        <w:sectPr>
          <w:pgSz w:w="11900" w:h="16838" w:orient="portrait"/>
          <w:cols w:equalWidth="0" w:num="2">
            <w:col w:w="7160" w:space="720"/>
            <w:col w:w="3360"/>
          </w:cols>
          <w:pgMar w:left="320" w:top="206"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333 South Seventh Street, Suite 1000, Minneapolis, MN 55402</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of principal executive offices, including Zip Code)</w:t>
      </w:r>
    </w:p>
    <w:p>
      <w:pPr>
        <w:sectPr>
          <w:pgSz w:w="11900" w:h="16838" w:orient="portrait"/>
          <w:cols w:equalWidth="0" w:num="1">
            <w:col w:w="11240"/>
          </w:cols>
          <w:pgMar w:left="320" w:top="206" w:right="339" w:bottom="1440" w:gutter="0" w:footer="0" w:header="0"/>
          <w:type w:val="continuous"/>
        </w:sectPr>
      </w:pP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Trading Symbol</w:t>
            </w: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360" w:type="dxa"/>
            <w:vAlign w:val="bottom"/>
            <w:gridSpan w:val="2"/>
            <w:vMerge w:val="continue"/>
          </w:tcPr>
          <w:p>
            <w:pPr>
              <w:spacing w:after="0"/>
              <w:rPr>
                <w:sz w:val="14"/>
                <w:szCs w:val="14"/>
                <w:color w:val="auto"/>
              </w:rPr>
            </w:pPr>
          </w:p>
        </w:tc>
        <w:tc>
          <w:tcPr>
            <w:tcW w:w="4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$0.001 per share</w:t>
            </w:r>
          </w:p>
        </w:tc>
        <w:tc>
          <w:tcPr>
            <w:tcW w:w="12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SPSC</w:t>
            </w:r>
          </w:p>
        </w:tc>
        <w:tc>
          <w:tcPr>
            <w:tcW w:w="120" w:type="dxa"/>
            <w:vAlign w:val="bottom"/>
          </w:tcPr>
          <w:p>
            <w:pPr>
              <w:spacing w:after="0"/>
              <w:rPr>
                <w:sz w:val="15"/>
                <w:szCs w:val="15"/>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 (Nasdaq Global Market)</w:t>
            </w:r>
          </w:p>
        </w:tc>
        <w:tc>
          <w:tcPr>
            <w:tcW w:w="0" w:type="dxa"/>
            <w:vAlign w:val="bottom"/>
          </w:tcPr>
          <w:p>
            <w:pPr>
              <w:spacing w:after="0"/>
              <w:rPr>
                <w:sz w:val="1"/>
                <w:szCs w:val="1"/>
                <w:color w:val="auto"/>
              </w:rPr>
            </w:pPr>
          </w:p>
        </w:tc>
      </w:tr>
    </w:tbl>
    <w:p>
      <w:pPr>
        <w:spacing w:after="0" w:line="78" w:lineRule="exact"/>
        <w:rPr>
          <w:sz w:val="24"/>
          <w:szCs w:val="24"/>
          <w:color w:val="auto"/>
        </w:rPr>
      </w:pPr>
    </w:p>
    <w:p>
      <w:pPr>
        <w:jc w:val="both"/>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4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4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060" w:type="dxa"/>
            <w:vAlign w:val="bottom"/>
          </w:tcPr>
          <w:p>
            <w:pPr>
              <w:ind w:left="294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July 24, 2020 was 35,128,208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360" w:type="dxa"/>
            <w:vAlign w:val="bottom"/>
          </w:tcPr>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tc>
        <w:tc>
          <w:tcPr>
            <w:tcW w:w="0" w:type="dxa"/>
            <w:vAlign w:val="bottom"/>
          </w:tcPr>
          <w:p>
            <w:pPr>
              <w:spacing w:after="0"/>
              <w:rPr>
                <w:sz w:val="1"/>
                <w:szCs w:val="1"/>
                <w:color w:val="auto"/>
              </w:rPr>
            </w:pPr>
          </w:p>
        </w:tc>
      </w:tr>
      <w:tr>
        <w:trPr>
          <w:trHeight w:val="401"/>
        </w:trPr>
        <w:tc>
          <w:tcPr>
            <w:tcW w:w="920" w:type="dxa"/>
            <w:vAlign w:val="bottom"/>
          </w:tcPr>
          <w:p>
            <w:pPr>
              <w:spacing w:after="0"/>
              <w:rPr>
                <w:sz w:val="24"/>
                <w:szCs w:val="24"/>
                <w:color w:val="auto"/>
              </w:rPr>
            </w:pPr>
          </w:p>
        </w:tc>
        <w:tc>
          <w:tcPr>
            <w:tcW w:w="7960" w:type="dxa"/>
            <w:vAlign w:val="bottom"/>
          </w:tcPr>
          <w:p>
            <w:pPr>
              <w:jc w:val="center"/>
              <w:ind w:left="1350"/>
              <w:spacing w:after="0"/>
              <w:rPr>
                <w:sz w:val="20"/>
                <w:szCs w:val="20"/>
                <w:color w:val="auto"/>
              </w:rPr>
            </w:pPr>
            <w:r>
              <w:rPr>
                <w:rFonts w:ascii="Arial" w:cs="Arial" w:eastAsia="Arial" w:hAnsi="Arial"/>
                <w:sz w:val="18"/>
                <w:szCs w:val="18"/>
                <w:b w:val="1"/>
                <w:bCs w:val="1"/>
                <w:color w:val="auto"/>
                <w:w w:val="98"/>
              </w:rPr>
              <w:t>SPS COMMERCE, INC.</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96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QUARTERLY REPORT ON FORM 10-Q</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7960" w:type="dxa"/>
            <w:vAlign w:val="bottom"/>
          </w:tcPr>
          <w:p>
            <w:pPr>
              <w:jc w:val="center"/>
              <w:ind w:left="1350"/>
              <w:spacing w:after="0"/>
              <w:rPr>
                <w:sz w:val="20"/>
                <w:szCs w:val="20"/>
                <w:color w:val="auto"/>
              </w:rPr>
            </w:pPr>
            <w:r>
              <w:rPr>
                <w:rFonts w:ascii="Arial" w:cs="Arial" w:eastAsia="Arial" w:hAnsi="Arial"/>
                <w:sz w:val="18"/>
                <w:szCs w:val="18"/>
                <w:b w:val="1"/>
                <w:bCs w:val="1"/>
                <w:color w:val="auto"/>
                <w:w w:val="98"/>
              </w:rPr>
              <w:t>TABLE OF CONTENTS</w:t>
            </w: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80" w:type="dxa"/>
            <w:vAlign w:val="bottom"/>
            <w:gridSpan w:val="2"/>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8880" w:type="dxa"/>
            <w:vAlign w:val="bottom"/>
            <w:gridSpan w:val="2"/>
            <w:vMerge w:val="continue"/>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7960" w:type="dxa"/>
            <w:vAlign w:val="bottom"/>
          </w:tcPr>
          <w:p>
            <w:pPr>
              <w:ind w:left="1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7960" w:type="dxa"/>
            <w:vAlign w:val="bottom"/>
          </w:tcPr>
          <w:p>
            <w:pPr>
              <w:ind w:left="1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7960" w:type="dxa"/>
            <w:vAlign w:val="bottom"/>
          </w:tcPr>
          <w:p>
            <w:pPr>
              <w:ind w:left="1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Comprehensive Income</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7960" w:type="dxa"/>
            <w:vAlign w:val="bottom"/>
          </w:tcPr>
          <w:p>
            <w:pPr>
              <w:ind w:left="1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Stockholders’ Equity</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7960" w:type="dxa"/>
            <w:vAlign w:val="bottom"/>
          </w:tcPr>
          <w:p>
            <w:pPr>
              <w:ind w:left="1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7960" w:type="dxa"/>
            <w:vAlign w:val="bottom"/>
          </w:tcPr>
          <w:p>
            <w:pPr>
              <w:ind w:left="1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7960" w:type="dxa"/>
            <w:vAlign w:val="bottom"/>
          </w:tcPr>
          <w:p>
            <w:pPr>
              <w:ind w:left="1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7960" w:type="dxa"/>
            <w:vAlign w:val="bottom"/>
          </w:tcPr>
          <w:p>
            <w:pPr>
              <w:ind w:left="1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Quantitative and Qualitative Disclosures About Market Risk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7960" w:type="dxa"/>
            <w:vAlign w:val="bottom"/>
          </w:tcPr>
          <w:p>
            <w:pPr>
              <w:ind w:left="1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Controls and Procedures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38"/>
        </w:trPr>
        <w:tc>
          <w:tcPr>
            <w:tcW w:w="8880" w:type="dxa"/>
            <w:vAlign w:val="bottom"/>
            <w:gridSpan w:val="2"/>
          </w:tcPr>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PART II. OTHER INFORMATION</w:t>
              </w:r>
            </w:hyperlink>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7960" w:type="dxa"/>
            <w:vAlign w:val="bottom"/>
          </w:tcPr>
          <w:p>
            <w:pPr>
              <w:ind w:left="1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Proceedings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7960" w:type="dxa"/>
            <w:vAlign w:val="bottom"/>
          </w:tcPr>
          <w:p>
            <w:pPr>
              <w:ind w:left="1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7960" w:type="dxa"/>
            <w:vAlign w:val="bottom"/>
          </w:tcPr>
          <w:p>
            <w:pPr>
              <w:ind w:left="1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Unregistered Sales of Equity Securities and Use of Proceeds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7960" w:type="dxa"/>
            <w:vAlign w:val="bottom"/>
          </w:tcPr>
          <w:p>
            <w:pPr>
              <w:ind w:left="1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Defaults Upon Senior Securities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37"/>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7960" w:type="dxa"/>
            <w:vAlign w:val="bottom"/>
          </w:tcPr>
          <w:p>
            <w:pPr>
              <w:ind w:left="1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Mine Safety Disclosures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7960" w:type="dxa"/>
            <w:vAlign w:val="bottom"/>
          </w:tcPr>
          <w:p>
            <w:pPr>
              <w:ind w:left="1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7960" w:type="dxa"/>
            <w:vAlign w:val="bottom"/>
          </w:tcPr>
          <w:p>
            <w:pPr>
              <w:ind w:left="1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Exhibits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38"/>
        </w:trPr>
        <w:tc>
          <w:tcPr>
            <w:tcW w:w="920" w:type="dxa"/>
            <w:vAlign w:val="bottom"/>
          </w:tcPr>
          <w:p>
            <w:pPr>
              <w:spacing w:after="0"/>
              <w:rPr>
                <w:rFonts w:ascii="Arial" w:cs="Arial" w:eastAsia="Arial" w:hAnsi="Arial"/>
                <w:sz w:val="18"/>
                <w:szCs w:val="18"/>
                <w:b w:val="1"/>
                <w:bCs w:val="1"/>
                <w:u w:val="single" w:color="auto"/>
                <w:color w:val="0000EE"/>
                <w:w w:val="96"/>
              </w:rPr>
            </w:pPr>
            <w:hyperlink w:anchor="page31">
              <w:r>
                <w:rPr>
                  <w:rFonts w:ascii="Arial" w:cs="Arial" w:eastAsia="Arial" w:hAnsi="Arial"/>
                  <w:sz w:val="18"/>
                  <w:szCs w:val="18"/>
                  <w:b w:val="1"/>
                  <w:bCs w:val="1"/>
                  <w:u w:val="single" w:color="auto"/>
                  <w:color w:val="0000EE"/>
                  <w:w w:val="96"/>
                </w:rPr>
                <w:t>Signatures</w:t>
              </w:r>
            </w:hyperlink>
          </w:p>
        </w:tc>
        <w:tc>
          <w:tcPr>
            <w:tcW w:w="79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“SPS,” and “SPS Commerce” refer to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20574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
        <w:spacing w:after="0"/>
        <w:tabs>
          <w:tab w:leader="none" w:pos="558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 w:name="page3"/>
    <w:bookmarkEnd w:id="2"/>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 – FINANCIAL INFORMATION</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 except shares)</w:t>
            </w: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09"/>
        </w:trPr>
        <w:tc>
          <w:tcPr>
            <w:tcW w:w="7760" w:type="dxa"/>
            <w:vAlign w:val="bottom"/>
            <w:shd w:val="clear" w:color="auto" w:fill="CFF0FC"/>
          </w:tcPr>
          <w:p>
            <w:pPr>
              <w:ind w:left="348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center"/>
              <w:ind w:right="540"/>
              <w:spacing w:after="0"/>
              <w:rPr>
                <w:sz w:val="20"/>
                <w:szCs w:val="20"/>
                <w:color w:val="auto"/>
              </w:rPr>
            </w:pPr>
            <w:r>
              <w:rPr>
                <w:rFonts w:ascii="Arial" w:cs="Arial" w:eastAsia="Arial" w:hAnsi="Arial"/>
                <w:sz w:val="16"/>
                <w:szCs w:val="16"/>
                <w:color w:val="auto"/>
                <w:w w:val="93"/>
              </w:rPr>
              <w:t>(unaudited)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179,252</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50,775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34,284</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37,840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33,001</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380"/>
              <w:spacing w:after="0"/>
              <w:rPr>
                <w:sz w:val="20"/>
                <w:szCs w:val="20"/>
                <w:color w:val="auto"/>
              </w:rPr>
            </w:pPr>
            <w:r>
              <w:rPr>
                <w:rFonts w:ascii="Arial" w:cs="Arial" w:eastAsia="Arial" w:hAnsi="Arial"/>
                <w:sz w:val="16"/>
                <w:szCs w:val="16"/>
                <w:color w:val="auto"/>
              </w:rPr>
              <w:t>Allowance for credit losses</w:t>
            </w: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(3,663)</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(1,469)</w:t>
            </w:r>
          </w:p>
        </w:tc>
      </w:tr>
      <w:tr>
        <w:trPr>
          <w:trHeight w:val="21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34,177</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31,532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35,797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35,274</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8,378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11,279</w:t>
            </w:r>
          </w:p>
        </w:tc>
        <w:tc>
          <w:tcPr>
            <w:tcW w:w="100" w:type="dxa"/>
            <w:vAlign w:val="bottom"/>
            <w:shd w:val="clear" w:color="auto" w:fill="CFF0FC"/>
          </w:tcPr>
          <w:p>
            <w:pPr>
              <w:spacing w:after="0"/>
              <w:rPr>
                <w:sz w:val="19"/>
                <w:szCs w:val="19"/>
                <w:color w:val="auto"/>
              </w:rPr>
            </w:pPr>
          </w:p>
        </w:tc>
      </w:tr>
      <w:tr>
        <w:trPr>
          <w:trHeight w:val="207"/>
        </w:trPr>
        <w:tc>
          <w:tcPr>
            <w:tcW w:w="77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303,977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291,621</w:t>
            </w:r>
          </w:p>
        </w:tc>
        <w:tc>
          <w:tcPr>
            <w:tcW w:w="100" w:type="dxa"/>
            <w:vAlign w:val="bottom"/>
          </w:tcPr>
          <w:p>
            <w:pPr>
              <w:spacing w:after="0"/>
              <w:rPr>
                <w:sz w:val="17"/>
                <w:szCs w:val="17"/>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less accumulated depreciation of $55,377 and $50,574, respectively</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25,510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23,752</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15,744</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75,883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76,845</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19,790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22,668</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INVESTMENTS</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costs, non-current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10,852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11,667</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Deferred income tax assets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2,630</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 non-current</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2,513</w:t>
            </w:r>
          </w:p>
        </w:tc>
        <w:tc>
          <w:tcPr>
            <w:tcW w:w="100" w:type="dxa"/>
            <w:vAlign w:val="bottom"/>
            <w:shd w:val="clear" w:color="auto" w:fill="CFF0FC"/>
          </w:tcPr>
          <w:p>
            <w:pPr>
              <w:spacing w:after="0"/>
              <w:rPr>
                <w:sz w:val="19"/>
                <w:szCs w:val="19"/>
                <w:color w:val="auto"/>
              </w:rPr>
            </w:pPr>
          </w:p>
        </w:tc>
      </w:tr>
      <w:tr>
        <w:trPr>
          <w:trHeight w:val="247"/>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461,663</w:t>
            </w:r>
          </w:p>
        </w:tc>
        <w:tc>
          <w:tcPr>
            <w:tcW w:w="2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447,440</w:t>
            </w:r>
          </w:p>
        </w:tc>
        <w:tc>
          <w:tcPr>
            <w:tcW w:w="100" w:type="dxa"/>
            <w:vAlign w:val="bottom"/>
            <w:tcBorders>
              <w:bottom w:val="single" w:sz="8" w:color="CFF0FC"/>
            </w:tcBorders>
          </w:tcPr>
          <w:p>
            <w:pPr>
              <w:spacing w:after="0"/>
              <w:rPr>
                <w:sz w:val="21"/>
                <w:szCs w:val="21"/>
                <w:color w:val="auto"/>
              </w:rPr>
            </w:pPr>
          </w:p>
        </w:tc>
      </w:tr>
      <w:tr>
        <w:trPr>
          <w:trHeight w:val="199"/>
        </w:trPr>
        <w:tc>
          <w:tcPr>
            <w:tcW w:w="7760" w:type="dxa"/>
            <w:vAlign w:val="bottom"/>
            <w:shd w:val="clear" w:color="auto" w:fill="CFF0FC"/>
          </w:tcPr>
          <w:p>
            <w:pPr>
              <w:ind w:left="20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4,274</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16,950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22,303</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6,207</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36,273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31,463</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3,783</w:t>
            </w:r>
          </w:p>
        </w:tc>
        <w:tc>
          <w:tcPr>
            <w:tcW w:w="100" w:type="dxa"/>
            <w:vAlign w:val="bottom"/>
            <w:shd w:val="clear" w:color="auto" w:fill="CFF0FC"/>
          </w:tcPr>
          <w:p>
            <w:pPr>
              <w:spacing w:after="0"/>
              <w:rPr>
                <w:sz w:val="19"/>
                <w:szCs w:val="19"/>
                <w:color w:val="auto"/>
              </w:rPr>
            </w:pPr>
          </w:p>
        </w:tc>
      </w:tr>
      <w:tr>
        <w:trPr>
          <w:trHeight w:val="206"/>
        </w:trPr>
        <w:tc>
          <w:tcPr>
            <w:tcW w:w="776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66,735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68,030</w:t>
            </w:r>
          </w:p>
        </w:tc>
        <w:tc>
          <w:tcPr>
            <w:tcW w:w="100" w:type="dxa"/>
            <w:vAlign w:val="bottom"/>
          </w:tcPr>
          <w:p>
            <w:pPr>
              <w:spacing w:after="0"/>
              <w:rPr>
                <w:sz w:val="17"/>
                <w:szCs w:val="17"/>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Deferred revenue, non-current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2,851</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20,085</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Deferred income tax liabilities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liabilities, non-current</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FF0FC"/>
          </w:tcPr>
          <w:p>
            <w:pPr>
              <w:spacing w:after="0"/>
              <w:rPr>
                <w:sz w:val="19"/>
                <w:szCs w:val="19"/>
                <w:color w:val="auto"/>
              </w:rPr>
            </w:pPr>
          </w:p>
        </w:tc>
      </w:tr>
      <w:tr>
        <w:trPr>
          <w:trHeight w:val="206"/>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88,353</w:t>
            </w:r>
          </w:p>
        </w:tc>
        <w:tc>
          <w:tcPr>
            <w:tcW w:w="28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92,564</w:t>
            </w:r>
          </w:p>
        </w:tc>
        <w:tc>
          <w:tcPr>
            <w:tcW w:w="100" w:type="dxa"/>
            <w:vAlign w:val="bottom"/>
            <w:tcBorders>
              <w:bottom w:val="single" w:sz="8" w:color="CFF0FC"/>
            </w:tcBorders>
          </w:tcPr>
          <w:p>
            <w:pPr>
              <w:spacing w:after="0"/>
              <w:rPr>
                <w:sz w:val="17"/>
                <w:szCs w:val="17"/>
                <w:color w:val="auto"/>
              </w:rPr>
            </w:pPr>
          </w:p>
        </w:tc>
      </w:tr>
      <w:tr>
        <w:trPr>
          <w:trHeight w:val="213"/>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$0.001 par value; 5,000,000 shares authorized; 0 shares issued and outstanding</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7760" w:type="dxa"/>
            <w:vAlign w:val="bottom"/>
          </w:tcPr>
          <w:p>
            <w:pPr>
              <w:ind w:left="260"/>
              <w:spacing w:after="0"/>
              <w:rPr>
                <w:sz w:val="20"/>
                <w:szCs w:val="20"/>
                <w:color w:val="auto"/>
              </w:rPr>
            </w:pPr>
            <w:r>
              <w:rPr>
                <w:rFonts w:ascii="Arial" w:cs="Arial" w:eastAsia="Arial" w:hAnsi="Arial"/>
                <w:sz w:val="16"/>
                <w:szCs w:val="16"/>
                <w:color w:val="auto"/>
                <w:w w:val="93"/>
              </w:rPr>
              <w:t>Common stock, $0.001 par value; 55,000,000 shares authorized; 36,739,368 and 36,104,619 shares issued; and</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760" w:type="dxa"/>
            <w:vAlign w:val="bottom"/>
          </w:tcPr>
          <w:p>
            <w:pPr>
              <w:ind w:left="260"/>
              <w:spacing w:after="0"/>
              <w:rPr>
                <w:sz w:val="20"/>
                <w:szCs w:val="20"/>
                <w:color w:val="auto"/>
              </w:rPr>
            </w:pPr>
            <w:r>
              <w:rPr>
                <w:rFonts w:ascii="Arial" w:cs="Arial" w:eastAsia="Arial" w:hAnsi="Arial"/>
                <w:sz w:val="16"/>
                <w:szCs w:val="16"/>
                <w:color w:val="auto"/>
              </w:rPr>
              <w:t>35,126,118 and 34,863,271 outstanding, respectively</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Treasury stock, at cost; 1,613,250 and 1,241,348 shares, respectively</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(65,247)</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(46,297)</w:t>
            </w: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373,686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354,115</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68,613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48,973</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(3,779)</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(1,951)</w:t>
            </w:r>
          </w:p>
        </w:tc>
      </w:tr>
      <w:tr>
        <w:trPr>
          <w:trHeight w:val="21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373,310</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354,876</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7760" w:type="dxa"/>
            <w:vAlign w:val="bottom"/>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461,663</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447,440</w:t>
            </w:r>
          </w:p>
        </w:tc>
        <w:tc>
          <w:tcPr>
            <w:tcW w:w="100" w:type="dxa"/>
            <w:vAlign w:val="bottom"/>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20574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80"/>
        <w:spacing w:after="0"/>
        <w:tabs>
          <w:tab w:leader="none" w:pos="558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 w:name="page4"/>
    <w:bookmarkEnd w:id="3"/>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 (Unaudited)</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tcBorders>
              <w:bottom w:val="single" w:sz="8" w:color="CFF0FC"/>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75,573</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68,529</w:t>
            </w:r>
          </w:p>
        </w:tc>
        <w:tc>
          <w:tcPr>
            <w:tcW w:w="14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149,765</w:t>
            </w: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47,870</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51,247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101,895</w:t>
            </w:r>
          </w:p>
        </w:tc>
        <w:tc>
          <w:tcPr>
            <w:tcW w:w="2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36,910</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7,466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15,034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24,652</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79,248</w:t>
            </w:r>
          </w:p>
        </w:tc>
        <w:tc>
          <w:tcPr>
            <w:tcW w:w="2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11,111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22,647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Change in earn-out liability</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12,579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23,442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2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20,709</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(expense)</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(1,748)</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investments, net of tax of $3, $37, $26 and $67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8"/>
                <w:szCs w:val="18"/>
                <w:color w:val="auto"/>
                <w:w w:val="92"/>
              </w:rPr>
              <w:t>Reclassification of gain on investments into earnings, net of tax of ($27),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($29), ($53) and ($60)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(158)</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56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comprehensive income (expense)</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13,238</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9,109</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18,881</w:t>
            </w:r>
          </w:p>
        </w:tc>
        <w:tc>
          <w:tcPr>
            <w:tcW w:w="24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w w:val="94"/>
              </w:rPr>
              <w:t>Weighted average common shares used to compute net income per share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35,051</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36,016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35,995</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Shares and per share data have been adjusted for all periods presented to reflect a two-for-one stock split effective August 22, 2019.</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20574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80"/>
        <w:spacing w:after="0"/>
        <w:tabs>
          <w:tab w:leader="none" w:pos="558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right"/>
              <w:spacing w:after="0"/>
              <w:rPr>
                <w:rFonts w:ascii="Arial" w:cs="Arial" w:eastAsia="Arial" w:hAnsi="Arial"/>
                <w:sz w:val="13"/>
                <w:szCs w:val="13"/>
                <w:u w:val="single" w:color="auto"/>
                <w:color w:val="0000EE"/>
                <w:w w:val="95"/>
              </w:rPr>
            </w:pPr>
            <w:hyperlink w:anchor="page2">
              <w:r>
                <w:rPr>
                  <w:rFonts w:ascii="Arial" w:cs="Arial" w:eastAsia="Arial" w:hAnsi="Arial"/>
                  <w:sz w:val="13"/>
                  <w:szCs w:val="13"/>
                  <w:u w:val="single" w:color="auto"/>
                  <w:color w:val="0000EE"/>
                  <w:w w:val="95"/>
                </w:rPr>
                <w:t>Table of Contents</w:t>
              </w:r>
            </w:hyperlink>
          </w:p>
        </w:tc>
        <w:tc>
          <w:tcPr>
            <w:tcW w:w="0" w:type="dxa"/>
            <w:vAlign w:val="bottom"/>
          </w:tcPr>
          <w:p>
            <w:pPr>
              <w:spacing w:after="0"/>
              <w:rPr>
                <w:sz w:val="1"/>
                <w:szCs w:val="1"/>
                <w:color w:val="auto"/>
              </w:rPr>
            </w:pPr>
          </w:p>
        </w:tc>
      </w:tr>
      <w:tr>
        <w:trPr>
          <w:trHeight w:val="401"/>
        </w:trPr>
        <w:tc>
          <w:tcPr>
            <w:tcW w:w="3680" w:type="dxa"/>
            <w:vAlign w:val="bottom"/>
          </w:tcPr>
          <w:p>
            <w:pPr>
              <w:spacing w:after="0"/>
              <w:rPr>
                <w:sz w:val="24"/>
                <w:szCs w:val="24"/>
                <w:color w:val="auto"/>
              </w:rPr>
            </w:pPr>
          </w:p>
        </w:tc>
        <w:tc>
          <w:tcPr>
            <w:tcW w:w="386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9"/>
              </w:rPr>
              <w:t>SPS COMMERCE, INC. AND SUBSIDIARIES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40" w:type="dxa"/>
            <w:vAlign w:val="bottom"/>
            <w:gridSpan w:val="24"/>
          </w:tcPr>
          <w:p>
            <w:pPr>
              <w:jc w:val="center"/>
              <w:ind w:left="1932"/>
              <w:spacing w:after="0"/>
              <w:rPr>
                <w:sz w:val="20"/>
                <w:szCs w:val="20"/>
                <w:color w:val="auto"/>
              </w:rPr>
            </w:pPr>
            <w:r>
              <w:rPr>
                <w:rFonts w:ascii="Arial" w:cs="Arial" w:eastAsia="Arial" w:hAnsi="Arial"/>
                <w:sz w:val="18"/>
                <w:szCs w:val="18"/>
                <w:b w:val="1"/>
                <w:bCs w:val="1"/>
                <w:color w:val="auto"/>
                <w:w w:val="99"/>
              </w:rPr>
              <w:t>CONDENSED CONSOLIDATED STATEMENTS OF STOCKHOLDERS’ EQUITY</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4"/>
              </w:rPr>
              <w:t>Retained</w:t>
            </w: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000" w:type="dxa"/>
            <w:vAlign w:val="bottom"/>
            <w:gridSpan w:val="4"/>
          </w:tcPr>
          <w:p>
            <w:pPr>
              <w:ind w:left="10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56"/>
        </w:trPr>
        <w:tc>
          <w:tcPr>
            <w:tcW w:w="3680" w:type="dxa"/>
            <w:vAlign w:val="bottom"/>
            <w:tcBorders>
              <w:bottom w:val="single" w:sz="8" w:color="CCF0FC"/>
            </w:tcBorders>
          </w:tcPr>
          <w:p>
            <w:pPr>
              <w:spacing w:after="0"/>
              <w:rPr>
                <w:sz w:val="20"/>
                <w:szCs w:val="20"/>
                <w:color w:val="auto"/>
              </w:rPr>
            </w:pPr>
            <w:r>
              <w:rPr>
                <w:rFonts w:ascii="Arial" w:cs="Arial" w:eastAsia="Arial" w:hAnsi="Arial"/>
                <w:sz w:val="13"/>
                <w:szCs w:val="13"/>
                <w:b w:val="1"/>
                <w:bCs w:val="1"/>
                <w:color w:val="auto"/>
              </w:rPr>
              <w:t>(In thousands, except shares) (Unaudited)</w:t>
            </w:r>
          </w:p>
        </w:tc>
        <w:tc>
          <w:tcPr>
            <w:tcW w:w="120" w:type="dxa"/>
            <w:vAlign w:val="bottom"/>
            <w:tcBorders>
              <w:bottom w:val="single" w:sz="8" w:color="CCF0FC"/>
            </w:tcBorders>
          </w:tcPr>
          <w:p>
            <w:pPr>
              <w:spacing w:after="0"/>
              <w:rPr>
                <w:sz w:val="13"/>
                <w:szCs w:val="13"/>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CF0FC"/>
            </w:tcBorders>
          </w:tcPr>
          <w:p>
            <w:pPr>
              <w:spacing w:after="0"/>
              <w:rPr>
                <w:sz w:val="13"/>
                <w:szCs w:val="13"/>
                <w:color w:val="auto"/>
              </w:rPr>
            </w:pPr>
          </w:p>
        </w:tc>
        <w:tc>
          <w:tcPr>
            <w:tcW w:w="60" w:type="dxa"/>
            <w:vAlign w:val="bottom"/>
            <w:tcBorders>
              <w:bottom w:val="single" w:sz="8" w:color="CCF0FC"/>
            </w:tcBorders>
          </w:tcPr>
          <w:p>
            <w:pPr>
              <w:spacing w:after="0"/>
              <w:rPr>
                <w:sz w:val="13"/>
                <w:szCs w:val="13"/>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CF0FC"/>
            </w:tcBorders>
          </w:tcPr>
          <w:p>
            <w:pPr>
              <w:spacing w:after="0"/>
              <w:rPr>
                <w:sz w:val="13"/>
                <w:szCs w:val="13"/>
                <w:color w:val="auto"/>
              </w:rPr>
            </w:pPr>
          </w:p>
        </w:tc>
        <w:tc>
          <w:tcPr>
            <w:tcW w:w="4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Borders>
              <w:bottom w:val="single" w:sz="8" w:color="CCF0FC"/>
            </w:tcBorders>
          </w:tcPr>
          <w:p>
            <w:pPr>
              <w:spacing w:after="0"/>
              <w:rPr>
                <w:sz w:val="13"/>
                <w:szCs w:val="13"/>
                <w:color w:val="auto"/>
              </w:rPr>
            </w:pPr>
          </w:p>
        </w:tc>
        <w:tc>
          <w:tcPr>
            <w:tcW w:w="2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Capital</w:t>
            </w:r>
          </w:p>
        </w:tc>
        <w:tc>
          <w:tcPr>
            <w:tcW w:w="60" w:type="dxa"/>
            <w:vAlign w:val="bottom"/>
            <w:tcBorders>
              <w:bottom w:val="single" w:sz="8" w:color="CCF0FC"/>
            </w:tcBorders>
          </w:tcPr>
          <w:p>
            <w:pPr>
              <w:spacing w:after="0"/>
              <w:rPr>
                <w:sz w:val="13"/>
                <w:szCs w:val="13"/>
                <w:color w:val="auto"/>
              </w:rPr>
            </w:pPr>
          </w:p>
        </w:tc>
        <w:tc>
          <w:tcPr>
            <w:tcW w:w="14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93"/>
              </w:rPr>
              <w:t>Earnings</w:t>
            </w:r>
          </w:p>
        </w:tc>
        <w:tc>
          <w:tcPr>
            <w:tcW w:w="180" w:type="dxa"/>
            <w:vAlign w:val="bottom"/>
            <w:tcBorders>
              <w:bottom w:val="single" w:sz="8" w:color="CC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85"/>
              </w:rPr>
              <w:t>Loss</w:t>
            </w:r>
          </w:p>
        </w:tc>
        <w:tc>
          <w:tcPr>
            <w:tcW w:w="10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Borders>
              <w:bottom w:val="single" w:sz="8" w:color="CC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80" w:type="dxa"/>
            <w:vAlign w:val="bottom"/>
            <w:shd w:val="clear" w:color="auto" w:fill="CCF0FC"/>
          </w:tcPr>
          <w:p>
            <w:pPr>
              <w:spacing w:after="0"/>
              <w:rPr>
                <w:sz w:val="20"/>
                <w:szCs w:val="20"/>
                <w:color w:val="auto"/>
              </w:rPr>
            </w:pPr>
            <w:r>
              <w:rPr>
                <w:rFonts w:ascii="Arial" w:cs="Arial" w:eastAsia="Arial" w:hAnsi="Arial"/>
                <w:sz w:val="13"/>
                <w:szCs w:val="13"/>
                <w:color w:val="auto"/>
              </w:rPr>
              <w:t>Balances, March 31, 2019</w:t>
            </w:r>
          </w:p>
        </w:tc>
        <w:tc>
          <w:tcPr>
            <w:tcW w:w="120" w:type="dxa"/>
            <w:vAlign w:val="bottom"/>
            <w:tcBorders>
              <w:right w:val="single" w:sz="8" w:color="CCF0FC"/>
            </w:tcBorders>
            <w:shd w:val="clear" w:color="auto" w:fill="CCF0FC"/>
          </w:tcPr>
          <w:p>
            <w:pPr>
              <w:spacing w:after="0"/>
              <w:rPr>
                <w:sz w:val="13"/>
                <w:szCs w:val="13"/>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34,935,364</w:t>
            </w:r>
          </w:p>
        </w:tc>
        <w:tc>
          <w:tcPr>
            <w:tcW w:w="140" w:type="dxa"/>
            <w:vAlign w:val="bottom"/>
            <w:tcBorders>
              <w:left w:val="single" w:sz="8" w:color="CCF0FC"/>
            </w:tcBorders>
            <w:shd w:val="clear" w:color="auto" w:fill="CCF0FC"/>
          </w:tcPr>
          <w:p>
            <w:pPr>
              <w:spacing w:after="0"/>
              <w:rPr>
                <w:sz w:val="13"/>
                <w:szCs w:val="13"/>
                <w:color w:val="auto"/>
              </w:rPr>
            </w:pPr>
          </w:p>
        </w:tc>
        <w:tc>
          <w:tcPr>
            <w:tcW w:w="100" w:type="dxa"/>
            <w:vAlign w:val="bottom"/>
            <w:tcBorders>
              <w:right w:val="single" w:sz="8" w:color="CCF0FC"/>
            </w:tcBorders>
            <w:shd w:val="clear" w:color="auto" w:fill="CCF0FC"/>
          </w:tcPr>
          <w:p>
            <w:pPr>
              <w:spacing w:after="0"/>
              <w:rPr>
                <w:sz w:val="13"/>
                <w:szCs w:val="13"/>
                <w:color w:val="auto"/>
              </w:rPr>
            </w:pPr>
          </w:p>
        </w:tc>
        <w:tc>
          <w:tcPr>
            <w:tcW w:w="400" w:type="dxa"/>
            <w:vAlign w:val="bottom"/>
            <w:shd w:val="clear" w:color="auto" w:fill="CCF0FC"/>
          </w:tcPr>
          <w:p>
            <w:pPr>
              <w:jc w:val="right"/>
              <w:ind w:right="253"/>
              <w:spacing w:after="0"/>
              <w:rPr>
                <w:sz w:val="20"/>
                <w:szCs w:val="20"/>
                <w:color w:val="auto"/>
              </w:rPr>
            </w:pPr>
            <w:r>
              <w:rPr>
                <w:rFonts w:ascii="Arial" w:cs="Arial" w:eastAsia="Arial" w:hAnsi="Arial"/>
                <w:sz w:val="13"/>
                <w:szCs w:val="13"/>
                <w:color w:val="auto"/>
                <w:w w:val="82"/>
              </w:rPr>
              <w:t>$</w:t>
            </w:r>
          </w:p>
        </w:tc>
        <w:tc>
          <w:tcPr>
            <w:tcW w:w="30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36</w:t>
            </w:r>
          </w:p>
        </w:tc>
        <w:tc>
          <w:tcPr>
            <w:tcW w:w="200" w:type="dxa"/>
            <w:vAlign w:val="bottom"/>
            <w:gridSpan w:val="2"/>
            <w:shd w:val="clear" w:color="auto" w:fill="CCF0FC"/>
          </w:tcPr>
          <w:p>
            <w:pPr>
              <w:spacing w:after="0"/>
              <w:rPr>
                <w:sz w:val="13"/>
                <w:szCs w:val="13"/>
                <w:color w:val="auto"/>
              </w:rPr>
            </w:pPr>
          </w:p>
        </w:tc>
        <w:tc>
          <w:tcPr>
            <w:tcW w:w="6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891,248</w:t>
            </w:r>
          </w:p>
        </w:tc>
        <w:tc>
          <w:tcPr>
            <w:tcW w:w="220" w:type="dxa"/>
            <w:vAlign w:val="bottom"/>
            <w:tcBorders>
              <w:left w:val="single" w:sz="8" w:color="CCF0FC"/>
            </w:tcBorders>
            <w:gridSpan w:val="2"/>
            <w:shd w:val="clear" w:color="auto" w:fill="CCF0FC"/>
          </w:tcPr>
          <w:p>
            <w:pPr>
              <w:spacing w:after="0"/>
              <w:rPr>
                <w:sz w:val="13"/>
                <w:szCs w:val="13"/>
                <w:color w:val="auto"/>
              </w:rPr>
            </w:pPr>
          </w:p>
        </w:tc>
        <w:tc>
          <w:tcPr>
            <w:tcW w:w="8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F0FC"/>
          </w:tcPr>
          <w:p>
            <w:pPr>
              <w:jc w:val="right"/>
              <w:ind w:right="120"/>
              <w:spacing w:after="0"/>
              <w:rPr>
                <w:sz w:val="20"/>
                <w:szCs w:val="20"/>
                <w:color w:val="auto"/>
              </w:rPr>
            </w:pPr>
            <w:r>
              <w:rPr>
                <w:rFonts w:ascii="Arial" w:cs="Arial" w:eastAsia="Arial" w:hAnsi="Arial"/>
                <w:sz w:val="13"/>
                <w:szCs w:val="13"/>
                <w:color w:val="auto"/>
              </w:rPr>
              <w:t>(28,645)</w:t>
            </w:r>
          </w:p>
        </w:tc>
        <w:tc>
          <w:tcPr>
            <w:tcW w:w="100" w:type="dxa"/>
            <w:vAlign w:val="bottom"/>
            <w:gridSpan w:val="2"/>
            <w:shd w:val="clear" w:color="auto" w:fill="CCF0FC"/>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339,712</w:t>
            </w:r>
          </w:p>
        </w:tc>
        <w:tc>
          <w:tcPr>
            <w:tcW w:w="60" w:type="dxa"/>
            <w:vAlign w:val="bottom"/>
            <w:tcBorders>
              <w:left w:val="single" w:sz="8" w:color="CCF0FC"/>
            </w:tcBorders>
            <w:shd w:val="clear" w:color="auto" w:fill="CCF0FC"/>
          </w:tcPr>
          <w:p>
            <w:pPr>
              <w:spacing w:after="0"/>
              <w:rPr>
                <w:sz w:val="13"/>
                <w:szCs w:val="13"/>
                <w:color w:val="auto"/>
              </w:rPr>
            </w:pPr>
          </w:p>
        </w:tc>
        <w:tc>
          <w:tcPr>
            <w:tcW w:w="220" w:type="dxa"/>
            <w:vAlign w:val="bottom"/>
            <w:tcBorders>
              <w:right w:val="single" w:sz="8" w:color="CCF0FC"/>
            </w:tcBorders>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22,074</w:t>
            </w:r>
          </w:p>
        </w:tc>
        <w:tc>
          <w:tcPr>
            <w:tcW w:w="180" w:type="dxa"/>
            <w:vAlign w:val="bottom"/>
            <w:shd w:val="clear" w:color="auto" w:fill="CCF0FC"/>
          </w:tcPr>
          <w:p>
            <w:pPr>
              <w:spacing w:after="0"/>
              <w:rPr>
                <w:sz w:val="13"/>
                <w:szCs w:val="13"/>
                <w:color w:val="auto"/>
              </w:rPr>
            </w:pPr>
          </w:p>
        </w:tc>
        <w:tc>
          <w:tcPr>
            <w:tcW w:w="180" w:type="dxa"/>
            <w:vAlign w:val="bottom"/>
            <w:shd w:val="clear" w:color="auto" w:fill="CCF0FC"/>
          </w:tcPr>
          <w:p>
            <w:pPr>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0FC"/>
          </w:tcPr>
          <w:p>
            <w:pPr>
              <w:jc w:val="right"/>
              <w:ind w:right="40"/>
              <w:spacing w:after="0"/>
              <w:rPr>
                <w:sz w:val="20"/>
                <w:szCs w:val="20"/>
                <w:color w:val="auto"/>
              </w:rPr>
            </w:pPr>
            <w:r>
              <w:rPr>
                <w:rFonts w:ascii="Arial" w:cs="Arial" w:eastAsia="Arial" w:hAnsi="Arial"/>
                <w:sz w:val="13"/>
                <w:szCs w:val="13"/>
                <w:color w:val="auto"/>
              </w:rPr>
              <w:t>(2,473)</w:t>
            </w:r>
          </w:p>
        </w:tc>
        <w:tc>
          <w:tcPr>
            <w:tcW w:w="22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330,704</w:t>
            </w:r>
          </w:p>
        </w:tc>
        <w:tc>
          <w:tcPr>
            <w:tcW w:w="10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F0FC"/>
              <w:bottom w:val="single" w:sz="8" w:color="CCF0FC"/>
            </w:tcBorders>
            <w:vMerge w:val="restart"/>
          </w:tcPr>
          <w:p>
            <w:pPr>
              <w:ind w:left="140"/>
              <w:spacing w:after="0"/>
              <w:rPr>
                <w:sz w:val="20"/>
                <w:szCs w:val="20"/>
                <w:color w:val="auto"/>
              </w:rPr>
            </w:pPr>
            <w:r>
              <w:rPr>
                <w:rFonts w:ascii="Arial" w:cs="Arial" w:eastAsia="Arial" w:hAnsi="Arial"/>
                <w:sz w:val="13"/>
                <w:szCs w:val="13"/>
                <w:color w:val="auto"/>
              </w:rPr>
              <w:t>Stock-based compensation</w:t>
            </w:r>
          </w:p>
        </w:tc>
        <w:tc>
          <w:tcPr>
            <w:tcW w:w="120" w:type="dxa"/>
            <w:vAlign w:val="bottom"/>
            <w:tcBorders>
              <w:top w:val="single" w:sz="8" w:color="CC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60" w:type="dxa"/>
            <w:vAlign w:val="bottom"/>
            <w:tcBorders>
              <w:top w:val="single" w:sz="8" w:color="CC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0FC"/>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2,542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2,542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Exercise of stock options and issuance of restricted stock</w:t>
            </w:r>
          </w:p>
        </w:tc>
        <w:tc>
          <w:tcPr>
            <w:tcW w:w="86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86,264</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30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60" w:type="dxa"/>
            <w:vAlign w:val="bottom"/>
            <w:shd w:val="clear" w:color="auto" w:fill="CCF0FC"/>
          </w:tcPr>
          <w:p>
            <w:pPr>
              <w:spacing w:after="0"/>
              <w:rPr>
                <w:sz w:val="14"/>
                <w:szCs w:val="14"/>
                <w:color w:val="auto"/>
              </w:rPr>
            </w:pPr>
          </w:p>
        </w:tc>
        <w:tc>
          <w:tcPr>
            <w:tcW w:w="6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899</w:t>
            </w:r>
          </w:p>
        </w:tc>
        <w:tc>
          <w:tcPr>
            <w:tcW w:w="60" w:type="dxa"/>
            <w:vAlign w:val="bottom"/>
            <w:tcBorders>
              <w:left w:val="single" w:sz="8" w:color="CCF0FC"/>
            </w:tcBorders>
            <w:shd w:val="clear" w:color="auto" w:fill="CCF0FC"/>
          </w:tcPr>
          <w:p>
            <w:pPr>
              <w:spacing w:after="0"/>
              <w:rPr>
                <w:sz w:val="14"/>
                <w:szCs w:val="14"/>
                <w:color w:val="auto"/>
              </w:rPr>
            </w:pPr>
          </w:p>
        </w:tc>
        <w:tc>
          <w:tcPr>
            <w:tcW w:w="14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899</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3"/>
                <w:szCs w:val="13"/>
                <w:color w:val="auto"/>
              </w:rPr>
              <w:t>Employee stock purchase plan</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30,814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1,079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Repurchases of common stock</w:t>
            </w:r>
          </w:p>
        </w:tc>
        <w:tc>
          <w:tcPr>
            <w:tcW w:w="1000" w:type="dxa"/>
            <w:vAlign w:val="bottom"/>
            <w:gridSpan w:val="3"/>
            <w:shd w:val="clear" w:color="auto" w:fill="CCF0FC"/>
          </w:tcPr>
          <w:p>
            <w:pPr>
              <w:jc w:val="right"/>
              <w:ind w:right="40"/>
              <w:spacing w:after="0"/>
              <w:rPr>
                <w:sz w:val="20"/>
                <w:szCs w:val="20"/>
                <w:color w:val="auto"/>
              </w:rPr>
            </w:pPr>
            <w:r>
              <w:rPr>
                <w:rFonts w:ascii="Arial" w:cs="Arial" w:eastAsia="Arial" w:hAnsi="Arial"/>
                <w:sz w:val="13"/>
                <w:szCs w:val="13"/>
                <w:color w:val="auto"/>
              </w:rPr>
              <w:t>(116,230)</w:t>
            </w: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30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F0FC"/>
          </w:tcPr>
          <w:p>
            <w:pPr>
              <w:jc w:val="right"/>
              <w:spacing w:after="0"/>
              <w:rPr>
                <w:sz w:val="20"/>
                <w:szCs w:val="20"/>
                <w:color w:val="auto"/>
              </w:rPr>
            </w:pPr>
            <w:r>
              <w:rPr>
                <w:rFonts w:ascii="Arial" w:cs="Arial" w:eastAsia="Arial" w:hAnsi="Arial"/>
                <w:sz w:val="13"/>
                <w:szCs w:val="13"/>
                <w:color w:val="auto"/>
              </w:rPr>
              <w:t>116,230</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120"/>
              <w:spacing w:after="0"/>
              <w:rPr>
                <w:sz w:val="20"/>
                <w:szCs w:val="20"/>
                <w:color w:val="auto"/>
              </w:rPr>
            </w:pPr>
            <w:r>
              <w:rPr>
                <w:rFonts w:ascii="Arial" w:cs="Arial" w:eastAsia="Arial" w:hAnsi="Arial"/>
                <w:sz w:val="13"/>
                <w:szCs w:val="13"/>
                <w:color w:val="auto"/>
              </w:rPr>
              <w:t>(6,000)</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6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8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(6,000)</w:t>
            </w: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8,796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120" w:type="dxa"/>
            <w:vAlign w:val="bottom"/>
            <w:tcBorders>
              <w:right w:val="single" w:sz="8" w:color="CCF0FC"/>
            </w:tcBorders>
            <w:shd w:val="clear" w:color="auto" w:fill="CCF0FC"/>
          </w:tcPr>
          <w:p>
            <w:pPr>
              <w:spacing w:after="0"/>
              <w:rPr>
                <w:sz w:val="14"/>
                <w:szCs w:val="14"/>
                <w:color w:val="auto"/>
              </w:rPr>
            </w:pPr>
          </w:p>
        </w:tc>
        <w:tc>
          <w:tcPr>
            <w:tcW w:w="88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30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60" w:type="dxa"/>
            <w:vAlign w:val="bottom"/>
            <w:shd w:val="clear" w:color="auto" w:fill="CCF0FC"/>
          </w:tcPr>
          <w:p>
            <w:pPr>
              <w:spacing w:after="0"/>
              <w:rPr>
                <w:sz w:val="14"/>
                <w:szCs w:val="14"/>
                <w:color w:val="auto"/>
              </w:rPr>
            </w:pPr>
          </w:p>
        </w:tc>
        <w:tc>
          <w:tcPr>
            <w:tcW w:w="6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6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7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3"/>
                <w:szCs w:val="13"/>
                <w:color w:val="auto"/>
              </w:rPr>
              <w:t>Unrealized gain on investments, net of tax</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w w:val="97"/>
              </w:rPr>
              <w:t>Reclassification of gain on investments into earnings, net of tax</w:t>
            </w:r>
          </w:p>
        </w:tc>
        <w:tc>
          <w:tcPr>
            <w:tcW w:w="120" w:type="dxa"/>
            <w:vAlign w:val="bottom"/>
            <w:tcBorders>
              <w:right w:val="single" w:sz="8" w:color="CCF0FC"/>
            </w:tcBorders>
            <w:shd w:val="clear" w:color="auto" w:fill="CCF0FC"/>
          </w:tcPr>
          <w:p>
            <w:pPr>
              <w:spacing w:after="0"/>
              <w:rPr>
                <w:sz w:val="14"/>
                <w:szCs w:val="14"/>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30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60" w:type="dxa"/>
            <w:vAlign w:val="bottom"/>
            <w:shd w:val="clear" w:color="auto" w:fill="CCF0FC"/>
          </w:tcPr>
          <w:p>
            <w:pPr>
              <w:spacing w:after="0"/>
              <w:rPr>
                <w:sz w:val="14"/>
                <w:szCs w:val="14"/>
                <w:color w:val="auto"/>
              </w:rPr>
            </w:pPr>
          </w:p>
        </w:tc>
        <w:tc>
          <w:tcPr>
            <w:tcW w:w="6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left w:val="single" w:sz="8" w:color="CCF0FC"/>
            </w:tcBorders>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F0FC"/>
            </w:tcBorders>
            <w:shd w:val="clear" w:color="auto" w:fill="CCF0FC"/>
          </w:tcPr>
          <w:p>
            <w:pPr>
              <w:spacing w:after="0"/>
              <w:rPr>
                <w:sz w:val="14"/>
                <w:szCs w:val="14"/>
                <w:color w:val="auto"/>
              </w:rPr>
            </w:pPr>
          </w:p>
        </w:tc>
        <w:tc>
          <w:tcPr>
            <w:tcW w:w="14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40"/>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8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3"/>
                <w:szCs w:val="13"/>
                <w:color w:val="auto"/>
              </w:rPr>
              <w:t>Balances, June 30, 2019</w:t>
            </w:r>
          </w:p>
        </w:tc>
        <w:tc>
          <w:tcPr>
            <w:tcW w:w="1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34,936,212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200" w:type="dxa"/>
            <w:vAlign w:val="bottom"/>
            <w:gridSpan w:val="2"/>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1,007,478</w:t>
            </w:r>
          </w:p>
        </w:tc>
        <w:tc>
          <w:tcPr>
            <w:tcW w:w="22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(34,645)</w:t>
            </w:r>
          </w:p>
        </w:tc>
        <w:tc>
          <w:tcPr>
            <w:tcW w:w="100" w:type="dxa"/>
            <w:vAlign w:val="bottom"/>
            <w:gridSpan w:val="2"/>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344,232</w:t>
            </w:r>
          </w:p>
        </w:tc>
        <w:tc>
          <w:tcPr>
            <w:tcW w:w="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30,870</w:t>
            </w: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(2,160)</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338,333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8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CCF0FC"/>
              <w:right w:val="single" w:sz="8" w:color="CCF0FC"/>
            </w:tcBorders>
            <w:shd w:val="clear" w:color="auto" w:fill="CCF0FC"/>
          </w:tcPr>
          <w:p>
            <w:pPr>
              <w:spacing w:after="0"/>
              <w:rPr>
                <w:sz w:val="12"/>
                <w:szCs w:val="12"/>
                <w:color w:val="auto"/>
              </w:rPr>
            </w:pPr>
          </w:p>
        </w:tc>
        <w:tc>
          <w:tcPr>
            <w:tcW w:w="740" w:type="dxa"/>
            <w:vAlign w:val="bottom"/>
            <w:tcBorders>
              <w:top w:val="single" w:sz="8" w:color="auto"/>
              <w:bottom w:val="single" w:sz="8" w:color="auto"/>
            </w:tcBorders>
            <w:shd w:val="clear" w:color="auto" w:fill="CCF0FC"/>
          </w:tcPr>
          <w:p>
            <w:pPr>
              <w:spacing w:after="0"/>
              <w:rPr>
                <w:sz w:val="12"/>
                <w:szCs w:val="12"/>
                <w:color w:val="auto"/>
              </w:rPr>
            </w:pPr>
          </w:p>
        </w:tc>
        <w:tc>
          <w:tcPr>
            <w:tcW w:w="140" w:type="dxa"/>
            <w:vAlign w:val="bottom"/>
            <w:tcBorders>
              <w:top w:val="single" w:sz="8" w:color="CCF0FC"/>
              <w:left w:val="single" w:sz="8" w:color="CCF0FC"/>
            </w:tcBorders>
            <w:shd w:val="clear" w:color="auto" w:fill="CCF0FC"/>
          </w:tcPr>
          <w:p>
            <w:pPr>
              <w:spacing w:after="0"/>
              <w:rPr>
                <w:sz w:val="12"/>
                <w:szCs w:val="12"/>
                <w:color w:val="auto"/>
              </w:rPr>
            </w:pPr>
          </w:p>
        </w:tc>
        <w:tc>
          <w:tcPr>
            <w:tcW w:w="100" w:type="dxa"/>
            <w:vAlign w:val="bottom"/>
            <w:tcBorders>
              <w:top w:val="single" w:sz="8" w:color="CCF0FC"/>
              <w:right w:val="single" w:sz="8" w:color="CCF0FC"/>
            </w:tcBorders>
            <w:shd w:val="clear" w:color="auto" w:fill="CCF0FC"/>
          </w:tcPr>
          <w:p>
            <w:pPr>
              <w:spacing w:after="0"/>
              <w:rPr>
                <w:sz w:val="12"/>
                <w:szCs w:val="12"/>
                <w:color w:val="auto"/>
              </w:rPr>
            </w:pPr>
          </w:p>
        </w:tc>
        <w:tc>
          <w:tcPr>
            <w:tcW w:w="400" w:type="dxa"/>
            <w:vAlign w:val="bottom"/>
            <w:tcBorders>
              <w:top w:val="single" w:sz="8" w:color="auto"/>
              <w:bottom w:val="single" w:sz="8" w:color="auto"/>
            </w:tcBorders>
            <w:shd w:val="clear" w:color="auto" w:fill="CCF0FC"/>
          </w:tcPr>
          <w:p>
            <w:pPr>
              <w:spacing w:after="0"/>
              <w:rPr>
                <w:sz w:val="12"/>
                <w:szCs w:val="12"/>
                <w:color w:val="auto"/>
              </w:rPr>
            </w:pPr>
          </w:p>
        </w:tc>
        <w:tc>
          <w:tcPr>
            <w:tcW w:w="260" w:type="dxa"/>
            <w:vAlign w:val="bottom"/>
            <w:tcBorders>
              <w:top w:val="single" w:sz="8" w:color="auto"/>
              <w:bottom w:val="single" w:sz="8" w:color="auto"/>
            </w:tcBorders>
            <w:shd w:val="clear" w:color="auto" w:fill="CCF0FC"/>
          </w:tcPr>
          <w:p>
            <w:pPr>
              <w:spacing w:after="0"/>
              <w:rPr>
                <w:sz w:val="12"/>
                <w:szCs w:val="12"/>
                <w:color w:val="auto"/>
              </w:rPr>
            </w:pPr>
          </w:p>
        </w:tc>
        <w:tc>
          <w:tcPr>
            <w:tcW w:w="40" w:type="dxa"/>
            <w:vAlign w:val="bottom"/>
            <w:tcBorders>
              <w:top w:val="single" w:sz="8" w:color="auto"/>
              <w:bottom w:val="single" w:sz="8" w:color="auto"/>
            </w:tcBorders>
            <w:shd w:val="clear" w:color="auto" w:fill="CCF0FC"/>
          </w:tcPr>
          <w:p>
            <w:pPr>
              <w:spacing w:after="0"/>
              <w:rPr>
                <w:sz w:val="12"/>
                <w:szCs w:val="12"/>
                <w:color w:val="auto"/>
              </w:rPr>
            </w:pPr>
          </w:p>
        </w:tc>
        <w:tc>
          <w:tcPr>
            <w:tcW w:w="140" w:type="dxa"/>
            <w:vAlign w:val="bottom"/>
            <w:tcBorders>
              <w:top w:val="single" w:sz="8" w:color="CCF0FC"/>
            </w:tcBorders>
            <w:shd w:val="clear" w:color="auto" w:fill="CCF0FC"/>
          </w:tcPr>
          <w:p>
            <w:pPr>
              <w:spacing w:after="0"/>
              <w:rPr>
                <w:sz w:val="12"/>
                <w:szCs w:val="12"/>
                <w:color w:val="auto"/>
              </w:rPr>
            </w:pPr>
          </w:p>
        </w:tc>
        <w:tc>
          <w:tcPr>
            <w:tcW w:w="60" w:type="dxa"/>
            <w:vAlign w:val="bottom"/>
            <w:tcBorders>
              <w:top w:val="single" w:sz="8" w:color="CCF0FC"/>
            </w:tcBorders>
            <w:shd w:val="clear" w:color="auto" w:fill="CCF0FC"/>
          </w:tcPr>
          <w:p>
            <w:pPr>
              <w:spacing w:after="0"/>
              <w:rPr>
                <w:sz w:val="12"/>
                <w:szCs w:val="12"/>
                <w:color w:val="auto"/>
              </w:rPr>
            </w:pPr>
          </w:p>
        </w:tc>
        <w:tc>
          <w:tcPr>
            <w:tcW w:w="660" w:type="dxa"/>
            <w:vAlign w:val="bottom"/>
            <w:tcBorders>
              <w:top w:val="single" w:sz="8" w:color="auto"/>
              <w:bottom w:val="single" w:sz="8" w:color="auto"/>
            </w:tcBorders>
            <w:shd w:val="clear" w:color="auto" w:fill="CCF0FC"/>
          </w:tcPr>
          <w:p>
            <w:pPr>
              <w:spacing w:after="0"/>
              <w:rPr>
                <w:sz w:val="12"/>
                <w:szCs w:val="12"/>
                <w:color w:val="auto"/>
              </w:rPr>
            </w:pPr>
          </w:p>
        </w:tc>
        <w:tc>
          <w:tcPr>
            <w:tcW w:w="180" w:type="dxa"/>
            <w:vAlign w:val="bottom"/>
            <w:tcBorders>
              <w:top w:val="single" w:sz="8" w:color="CCF0FC"/>
              <w:left w:val="single" w:sz="8" w:color="CCF0FC"/>
            </w:tcBorders>
            <w:shd w:val="clear" w:color="auto" w:fill="CCF0FC"/>
          </w:tcPr>
          <w:p>
            <w:pPr>
              <w:spacing w:after="0"/>
              <w:rPr>
                <w:sz w:val="12"/>
                <w:szCs w:val="12"/>
                <w:color w:val="auto"/>
              </w:rPr>
            </w:pPr>
          </w:p>
        </w:tc>
        <w:tc>
          <w:tcPr>
            <w:tcW w:w="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bottom w:val="single" w:sz="8" w:color="auto"/>
            </w:tcBorders>
            <w:shd w:val="clear" w:color="auto" w:fill="CCF0FC"/>
          </w:tcPr>
          <w:p>
            <w:pPr>
              <w:spacing w:after="0"/>
              <w:rPr>
                <w:sz w:val="12"/>
                <w:szCs w:val="12"/>
                <w:color w:val="auto"/>
              </w:rPr>
            </w:pPr>
          </w:p>
        </w:tc>
        <w:tc>
          <w:tcPr>
            <w:tcW w:w="600" w:type="dxa"/>
            <w:vAlign w:val="bottom"/>
            <w:tcBorders>
              <w:top w:val="single" w:sz="8" w:color="auto"/>
              <w:bottom w:val="single" w:sz="8" w:color="auto"/>
            </w:tcBorders>
            <w:shd w:val="clear" w:color="auto" w:fill="CCF0FC"/>
          </w:tcPr>
          <w:p>
            <w:pPr>
              <w:spacing w:after="0"/>
              <w:rPr>
                <w:sz w:val="12"/>
                <w:szCs w:val="12"/>
                <w:color w:val="auto"/>
              </w:rPr>
            </w:pPr>
          </w:p>
        </w:tc>
        <w:tc>
          <w:tcPr>
            <w:tcW w:w="200" w:type="dxa"/>
            <w:vAlign w:val="bottom"/>
            <w:tcBorders>
              <w:top w:val="single" w:sz="8" w:color="CCF0FC"/>
              <w:left w:val="single" w:sz="8" w:color="CCF0FC"/>
            </w:tcBorders>
            <w:shd w:val="clear" w:color="auto" w:fill="CCF0FC"/>
          </w:tcPr>
          <w:p>
            <w:pPr>
              <w:spacing w:after="0"/>
              <w:rPr>
                <w:sz w:val="12"/>
                <w:szCs w:val="12"/>
                <w:color w:val="auto"/>
              </w:rPr>
            </w:pPr>
          </w:p>
        </w:tc>
        <w:tc>
          <w:tcPr>
            <w:tcW w:w="2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bottom w:val="single" w:sz="8" w:color="auto"/>
            </w:tcBorders>
            <w:shd w:val="clear" w:color="auto" w:fill="CCF0FC"/>
          </w:tcPr>
          <w:p>
            <w:pPr>
              <w:spacing w:after="0"/>
              <w:rPr>
                <w:sz w:val="12"/>
                <w:szCs w:val="12"/>
                <w:color w:val="auto"/>
              </w:rPr>
            </w:pPr>
          </w:p>
        </w:tc>
        <w:tc>
          <w:tcPr>
            <w:tcW w:w="600" w:type="dxa"/>
            <w:vAlign w:val="bottom"/>
            <w:tcBorders>
              <w:top w:val="single" w:sz="8" w:color="auto"/>
              <w:bottom w:val="single" w:sz="8" w:color="auto"/>
            </w:tcBorders>
            <w:shd w:val="clear" w:color="auto" w:fill="CCF0FC"/>
          </w:tcPr>
          <w:p>
            <w:pPr>
              <w:spacing w:after="0"/>
              <w:rPr>
                <w:sz w:val="12"/>
                <w:szCs w:val="12"/>
                <w:color w:val="auto"/>
              </w:rPr>
            </w:pPr>
          </w:p>
        </w:tc>
        <w:tc>
          <w:tcPr>
            <w:tcW w:w="60" w:type="dxa"/>
            <w:vAlign w:val="bottom"/>
            <w:tcBorders>
              <w:top w:val="single" w:sz="8" w:color="CCF0FC"/>
              <w:left w:val="single" w:sz="8" w:color="CCF0FC"/>
            </w:tcBorders>
            <w:shd w:val="clear" w:color="auto" w:fill="CCF0FC"/>
          </w:tcPr>
          <w:p>
            <w:pPr>
              <w:spacing w:after="0"/>
              <w:rPr>
                <w:sz w:val="12"/>
                <w:szCs w:val="12"/>
                <w:color w:val="auto"/>
              </w:rPr>
            </w:pP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right w:val="single" w:sz="8" w:color="CCF0FC"/>
            </w:tcBorders>
            <w:shd w:val="clear" w:color="auto" w:fill="CCF0FC"/>
          </w:tcPr>
          <w:p>
            <w:pPr>
              <w:spacing w:after="0"/>
              <w:rPr>
                <w:sz w:val="12"/>
                <w:szCs w:val="12"/>
                <w:color w:val="auto"/>
              </w:rPr>
            </w:pPr>
          </w:p>
        </w:tc>
        <w:tc>
          <w:tcPr>
            <w:tcW w:w="640" w:type="dxa"/>
            <w:vAlign w:val="bottom"/>
            <w:tcBorders>
              <w:top w:val="single" w:sz="8" w:color="auto"/>
              <w:bottom w:val="single" w:sz="8" w:color="auto"/>
            </w:tcBorders>
            <w:shd w:val="clear" w:color="auto" w:fill="CCF0FC"/>
          </w:tcPr>
          <w:p>
            <w:pPr>
              <w:spacing w:after="0"/>
              <w:rPr>
                <w:sz w:val="12"/>
                <w:szCs w:val="12"/>
                <w:color w:val="auto"/>
              </w:rPr>
            </w:pPr>
          </w:p>
        </w:tc>
        <w:tc>
          <w:tcPr>
            <w:tcW w:w="180" w:type="dxa"/>
            <w:vAlign w:val="bottom"/>
            <w:tcBorders>
              <w:top w:val="single" w:sz="8" w:color="CCF0FC"/>
            </w:tcBorders>
            <w:shd w:val="clear" w:color="auto" w:fill="CCF0FC"/>
          </w:tcPr>
          <w:p>
            <w:pPr>
              <w:spacing w:after="0"/>
              <w:rPr>
                <w:sz w:val="12"/>
                <w:szCs w:val="12"/>
                <w:color w:val="auto"/>
              </w:rPr>
            </w:pPr>
          </w:p>
        </w:tc>
        <w:tc>
          <w:tcPr>
            <w:tcW w:w="180" w:type="dxa"/>
            <w:vAlign w:val="bottom"/>
            <w:tcBorders>
              <w:top w:val="single" w:sz="8" w:color="auto"/>
              <w:bottom w:val="single" w:sz="8" w:color="auto"/>
            </w:tcBorders>
            <w:shd w:val="clear" w:color="auto" w:fill="CCF0FC"/>
          </w:tcPr>
          <w:p>
            <w:pPr>
              <w:spacing w:after="0"/>
              <w:rPr>
                <w:sz w:val="12"/>
                <w:szCs w:val="12"/>
                <w:color w:val="auto"/>
              </w:rPr>
            </w:pPr>
          </w:p>
        </w:tc>
        <w:tc>
          <w:tcPr>
            <w:tcW w:w="720" w:type="dxa"/>
            <w:vAlign w:val="bottom"/>
            <w:tcBorders>
              <w:top w:val="single" w:sz="8" w:color="auto"/>
              <w:bottom w:val="single" w:sz="8" w:color="auto"/>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bottom w:val="single" w:sz="8" w:color="auto"/>
            </w:tcBorders>
            <w:shd w:val="clear" w:color="auto" w:fill="CCF0FC"/>
          </w:tcPr>
          <w:p>
            <w:pPr>
              <w:spacing w:after="0"/>
              <w:rPr>
                <w:sz w:val="12"/>
                <w:szCs w:val="12"/>
                <w:color w:val="auto"/>
              </w:rPr>
            </w:pPr>
          </w:p>
        </w:tc>
        <w:tc>
          <w:tcPr>
            <w:tcW w:w="680" w:type="dxa"/>
            <w:vAlign w:val="bottom"/>
            <w:tcBorders>
              <w:top w:val="single" w:sz="8" w:color="auto"/>
              <w:bottom w:val="single" w:sz="8" w:color="auto"/>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80" w:type="dxa"/>
            <w:vAlign w:val="bottom"/>
          </w:tcPr>
          <w:p>
            <w:pPr>
              <w:spacing w:after="0"/>
              <w:rPr>
                <w:sz w:val="20"/>
                <w:szCs w:val="20"/>
                <w:color w:val="auto"/>
              </w:rPr>
            </w:pPr>
            <w:r>
              <w:rPr>
                <w:rFonts w:ascii="Arial" w:cs="Arial" w:eastAsia="Arial" w:hAnsi="Arial"/>
                <w:sz w:val="13"/>
                <w:szCs w:val="13"/>
                <w:color w:val="auto"/>
              </w:rPr>
              <w:t>Balances, March 31, 2020</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34,992,825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200" w:type="dxa"/>
            <w:vAlign w:val="bottom"/>
            <w:gridSpan w:val="2"/>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1,481,623</w:t>
            </w:r>
          </w:p>
        </w:tc>
        <w:tc>
          <w:tcPr>
            <w:tcW w:w="22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(58,297)</w:t>
            </w:r>
          </w:p>
        </w:tc>
        <w:tc>
          <w:tcPr>
            <w:tcW w:w="100" w:type="dxa"/>
            <w:vAlign w:val="bottom"/>
            <w:gridSpan w:val="2"/>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361,853</w:t>
            </w:r>
          </w:p>
        </w:tc>
        <w:tc>
          <w:tcPr>
            <w:tcW w:w="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57,419</w:t>
            </w: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(5,823)</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355,188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80" w:type="dxa"/>
            <w:vAlign w:val="bottom"/>
            <w:tcBorders>
              <w:top w:val="single" w:sz="8" w:color="CCF0FC"/>
            </w:tcBorders>
            <w:shd w:val="clear" w:color="auto" w:fill="CCF0FC"/>
          </w:tcPr>
          <w:p>
            <w:pPr>
              <w:ind w:left="140"/>
              <w:spacing w:after="0" w:line="143" w:lineRule="exact"/>
              <w:rPr>
                <w:sz w:val="20"/>
                <w:szCs w:val="20"/>
                <w:color w:val="auto"/>
              </w:rPr>
            </w:pPr>
            <w:r>
              <w:rPr>
                <w:rFonts w:ascii="Arial" w:cs="Arial" w:eastAsia="Arial" w:hAnsi="Arial"/>
                <w:sz w:val="13"/>
                <w:szCs w:val="13"/>
                <w:color w:val="auto"/>
              </w:rPr>
              <w:t>Stock-based compensation</w:t>
            </w:r>
          </w:p>
        </w:tc>
        <w:tc>
          <w:tcPr>
            <w:tcW w:w="120" w:type="dxa"/>
            <w:vAlign w:val="bottom"/>
            <w:tcBorders>
              <w:top w:val="single" w:sz="8" w:color="CCF0FC"/>
              <w:right w:val="single" w:sz="8" w:color="CCF0FC"/>
            </w:tcBorders>
            <w:shd w:val="clear" w:color="auto" w:fill="CCF0FC"/>
          </w:tcPr>
          <w:p>
            <w:pPr>
              <w:spacing w:after="0"/>
              <w:rPr>
                <w:sz w:val="12"/>
                <w:szCs w:val="12"/>
                <w:color w:val="auto"/>
              </w:rPr>
            </w:pPr>
          </w:p>
        </w:tc>
        <w:tc>
          <w:tcPr>
            <w:tcW w:w="74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F0FC"/>
              <w:left w:val="single" w:sz="8" w:color="CCF0FC"/>
            </w:tcBorders>
            <w:shd w:val="clear" w:color="auto" w:fill="CCF0FC"/>
          </w:tcPr>
          <w:p>
            <w:pPr>
              <w:spacing w:after="0"/>
              <w:rPr>
                <w:sz w:val="12"/>
                <w:szCs w:val="12"/>
                <w:color w:val="auto"/>
              </w:rPr>
            </w:pPr>
          </w:p>
        </w:tc>
        <w:tc>
          <w:tcPr>
            <w:tcW w:w="100" w:type="dxa"/>
            <w:vAlign w:val="bottom"/>
            <w:tcBorders>
              <w:top w:val="single" w:sz="8" w:color="CCF0FC"/>
              <w:right w:val="single" w:sz="8" w:color="CCF0FC"/>
            </w:tcBorders>
            <w:shd w:val="clear" w:color="auto" w:fill="CCF0FC"/>
          </w:tcPr>
          <w:p>
            <w:pPr>
              <w:spacing w:after="0"/>
              <w:rPr>
                <w:sz w:val="12"/>
                <w:szCs w:val="12"/>
                <w:color w:val="auto"/>
              </w:rPr>
            </w:pPr>
          </w:p>
        </w:tc>
        <w:tc>
          <w:tcPr>
            <w:tcW w:w="400" w:type="dxa"/>
            <w:vAlign w:val="bottom"/>
            <w:tcBorders>
              <w:top w:val="single" w:sz="8" w:color="auto"/>
            </w:tcBorders>
            <w:shd w:val="clear" w:color="auto" w:fill="CCF0FC"/>
          </w:tcPr>
          <w:p>
            <w:pPr>
              <w:spacing w:after="0"/>
              <w:rPr>
                <w:sz w:val="12"/>
                <w:szCs w:val="12"/>
                <w:color w:val="auto"/>
              </w:rPr>
            </w:pPr>
          </w:p>
        </w:tc>
        <w:tc>
          <w:tcPr>
            <w:tcW w:w="300" w:type="dxa"/>
            <w:vAlign w:val="bottom"/>
            <w:tcBorders>
              <w:top w:val="single" w:sz="8" w:color="auto"/>
            </w:tcBorders>
            <w:gridSpan w:val="2"/>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F0FC"/>
            </w:tcBorders>
            <w:shd w:val="clear" w:color="auto" w:fill="CCF0FC"/>
          </w:tcPr>
          <w:p>
            <w:pPr>
              <w:spacing w:after="0"/>
              <w:rPr>
                <w:sz w:val="12"/>
                <w:szCs w:val="12"/>
                <w:color w:val="auto"/>
              </w:rPr>
            </w:pPr>
          </w:p>
        </w:tc>
        <w:tc>
          <w:tcPr>
            <w:tcW w:w="60" w:type="dxa"/>
            <w:vAlign w:val="bottom"/>
            <w:tcBorders>
              <w:top w:val="single" w:sz="8" w:color="CCF0FC"/>
            </w:tcBorders>
            <w:shd w:val="clear" w:color="auto" w:fill="CCF0FC"/>
          </w:tcPr>
          <w:p>
            <w:pPr>
              <w:spacing w:after="0"/>
              <w:rPr>
                <w:sz w:val="12"/>
                <w:szCs w:val="12"/>
                <w:color w:val="auto"/>
              </w:rPr>
            </w:pPr>
          </w:p>
        </w:tc>
        <w:tc>
          <w:tcPr>
            <w:tcW w:w="66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F0FC"/>
              <w:left w:val="single" w:sz="8" w:color="CCF0FC"/>
            </w:tcBorders>
            <w:shd w:val="clear" w:color="auto" w:fill="CCF0FC"/>
          </w:tcPr>
          <w:p>
            <w:pPr>
              <w:spacing w:after="0"/>
              <w:rPr>
                <w:sz w:val="12"/>
                <w:szCs w:val="12"/>
                <w:color w:val="auto"/>
              </w:rPr>
            </w:pPr>
          </w:p>
        </w:tc>
        <w:tc>
          <w:tcPr>
            <w:tcW w:w="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F0FC"/>
              <w:left w:val="single" w:sz="8" w:color="CCF0FC"/>
            </w:tcBorders>
            <w:shd w:val="clear" w:color="auto" w:fill="CCF0FC"/>
          </w:tcPr>
          <w:p>
            <w:pPr>
              <w:spacing w:after="0"/>
              <w:rPr>
                <w:sz w:val="12"/>
                <w:szCs w:val="12"/>
                <w:color w:val="auto"/>
              </w:rPr>
            </w:pPr>
          </w:p>
        </w:tc>
        <w:tc>
          <w:tcPr>
            <w:tcW w:w="2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4,628</w:t>
            </w:r>
          </w:p>
        </w:tc>
        <w:tc>
          <w:tcPr>
            <w:tcW w:w="60" w:type="dxa"/>
            <w:vAlign w:val="bottom"/>
            <w:tcBorders>
              <w:top w:val="single" w:sz="8" w:color="CCF0FC"/>
              <w:left w:val="single" w:sz="8" w:color="CCF0FC"/>
            </w:tcBorders>
            <w:shd w:val="clear" w:color="auto" w:fill="CCF0FC"/>
          </w:tcPr>
          <w:p>
            <w:pPr>
              <w:spacing w:after="0"/>
              <w:rPr>
                <w:sz w:val="12"/>
                <w:szCs w:val="12"/>
                <w:color w:val="auto"/>
              </w:rPr>
            </w:pP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right w:val="single" w:sz="8" w:color="CCF0FC"/>
            </w:tcBorders>
            <w:shd w:val="clear" w:color="auto" w:fill="CCF0FC"/>
          </w:tcPr>
          <w:p>
            <w:pPr>
              <w:spacing w:after="0"/>
              <w:rPr>
                <w:sz w:val="12"/>
                <w:szCs w:val="12"/>
                <w:color w:val="auto"/>
              </w:rPr>
            </w:pPr>
          </w:p>
        </w:tc>
        <w:tc>
          <w:tcPr>
            <w:tcW w:w="64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F0FC"/>
            </w:tcBorders>
            <w:shd w:val="clear" w:color="auto" w:fill="CCF0FC"/>
          </w:tcPr>
          <w:p>
            <w:pPr>
              <w:spacing w:after="0"/>
              <w:rPr>
                <w:sz w:val="12"/>
                <w:szCs w:val="12"/>
                <w:color w:val="auto"/>
              </w:rPr>
            </w:pPr>
          </w:p>
        </w:tc>
        <w:tc>
          <w:tcPr>
            <w:tcW w:w="180" w:type="dxa"/>
            <w:vAlign w:val="bottom"/>
            <w:tcBorders>
              <w:top w:val="single" w:sz="8" w:color="auto"/>
            </w:tcBorders>
            <w:shd w:val="clear" w:color="auto" w:fill="CCF0FC"/>
          </w:tcPr>
          <w:p>
            <w:pPr>
              <w:spacing w:after="0"/>
              <w:rPr>
                <w:sz w:val="12"/>
                <w:szCs w:val="12"/>
                <w:color w:val="auto"/>
              </w:rPr>
            </w:pPr>
          </w:p>
        </w:tc>
        <w:tc>
          <w:tcPr>
            <w:tcW w:w="72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tcBorders>
            <w:shd w:val="clear" w:color="auto" w:fill="CCF0FC"/>
          </w:tcPr>
          <w:p>
            <w:pPr>
              <w:spacing w:after="0"/>
              <w:rPr>
                <w:sz w:val="12"/>
                <w:szCs w:val="12"/>
                <w:color w:val="auto"/>
              </w:rPr>
            </w:pPr>
          </w:p>
        </w:tc>
        <w:tc>
          <w:tcPr>
            <w:tcW w:w="68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4,628</w:t>
            </w:r>
          </w:p>
        </w:tc>
        <w:tc>
          <w:tcPr>
            <w:tcW w:w="100" w:type="dxa"/>
            <w:vAlign w:val="bottom"/>
            <w:tcBorders>
              <w:top w:val="single" w:sz="8" w:color="CCF0FC"/>
            </w:tcBorders>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3"/>
                <w:szCs w:val="13"/>
                <w:color w:val="auto"/>
              </w:rPr>
              <w:t>Exercise of stock options and issuance of restricted stock</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233,852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5,742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Employee stock purchase plan</w:t>
            </w:r>
          </w:p>
        </w:tc>
        <w:tc>
          <w:tcPr>
            <w:tcW w:w="86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31,068</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30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60" w:type="dxa"/>
            <w:vAlign w:val="bottom"/>
            <w:shd w:val="clear" w:color="auto" w:fill="CCF0FC"/>
          </w:tcPr>
          <w:p>
            <w:pPr>
              <w:spacing w:after="0"/>
              <w:rPr>
                <w:sz w:val="14"/>
                <w:szCs w:val="14"/>
                <w:color w:val="auto"/>
              </w:rPr>
            </w:pPr>
          </w:p>
        </w:tc>
        <w:tc>
          <w:tcPr>
            <w:tcW w:w="6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1,463</w:t>
            </w:r>
          </w:p>
        </w:tc>
        <w:tc>
          <w:tcPr>
            <w:tcW w:w="60" w:type="dxa"/>
            <w:vAlign w:val="bottom"/>
            <w:tcBorders>
              <w:left w:val="single" w:sz="8" w:color="CCF0FC"/>
            </w:tcBorders>
            <w:shd w:val="clear" w:color="auto" w:fill="CCF0FC"/>
          </w:tcPr>
          <w:p>
            <w:pPr>
              <w:spacing w:after="0"/>
              <w:rPr>
                <w:sz w:val="14"/>
                <w:szCs w:val="14"/>
                <w:color w:val="auto"/>
              </w:rPr>
            </w:pPr>
          </w:p>
        </w:tc>
        <w:tc>
          <w:tcPr>
            <w:tcW w:w="14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1,463</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1000" w:type="dxa"/>
            <w:vAlign w:val="bottom"/>
            <w:gridSpan w:val="3"/>
          </w:tcPr>
          <w:p>
            <w:pPr>
              <w:jc w:val="right"/>
              <w:ind w:right="40"/>
              <w:spacing w:after="0"/>
              <w:rPr>
                <w:sz w:val="20"/>
                <w:szCs w:val="20"/>
                <w:color w:val="auto"/>
              </w:rPr>
            </w:pPr>
            <w:r>
              <w:rPr>
                <w:rFonts w:ascii="Arial" w:cs="Arial" w:eastAsia="Arial" w:hAnsi="Arial"/>
                <w:sz w:val="13"/>
                <w:szCs w:val="13"/>
                <w:color w:val="auto"/>
              </w:rPr>
              <w:t>(131,627)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131,627</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(6,950)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(6,950)</w:t>
            </w: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Net income</w:t>
            </w:r>
          </w:p>
        </w:tc>
        <w:tc>
          <w:tcPr>
            <w:tcW w:w="120" w:type="dxa"/>
            <w:vAlign w:val="bottom"/>
            <w:tcBorders>
              <w:right w:val="single" w:sz="8" w:color="CCF0FC"/>
            </w:tcBorders>
            <w:shd w:val="clear" w:color="auto" w:fill="CCF0FC"/>
          </w:tcPr>
          <w:p>
            <w:pPr>
              <w:spacing w:after="0"/>
              <w:rPr>
                <w:sz w:val="14"/>
                <w:szCs w:val="14"/>
                <w:color w:val="auto"/>
              </w:rPr>
            </w:pPr>
          </w:p>
        </w:tc>
        <w:tc>
          <w:tcPr>
            <w:tcW w:w="88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30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60" w:type="dxa"/>
            <w:vAlign w:val="bottom"/>
            <w:shd w:val="clear" w:color="auto" w:fill="CCF0FC"/>
          </w:tcPr>
          <w:p>
            <w:pPr>
              <w:spacing w:after="0"/>
              <w:rPr>
                <w:sz w:val="14"/>
                <w:szCs w:val="14"/>
                <w:color w:val="auto"/>
              </w:rPr>
            </w:pPr>
          </w:p>
        </w:tc>
        <w:tc>
          <w:tcPr>
            <w:tcW w:w="6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6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11,194</w:t>
            </w:r>
          </w:p>
        </w:tc>
        <w:tc>
          <w:tcPr>
            <w:tcW w:w="18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11,194</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Unrealized gain on investments, net of tax</w:t>
            </w:r>
          </w:p>
        </w:tc>
        <w:tc>
          <w:tcPr>
            <w:tcW w:w="120" w:type="dxa"/>
            <w:vAlign w:val="bottom"/>
            <w:tcBorders>
              <w:right w:val="single" w:sz="8" w:color="CCF0FC"/>
            </w:tcBorders>
            <w:shd w:val="clear" w:color="auto" w:fill="CCF0FC"/>
          </w:tcPr>
          <w:p>
            <w:pPr>
              <w:spacing w:after="0"/>
              <w:rPr>
                <w:sz w:val="14"/>
                <w:szCs w:val="14"/>
                <w:color w:val="auto"/>
              </w:rPr>
            </w:pPr>
          </w:p>
        </w:tc>
        <w:tc>
          <w:tcPr>
            <w:tcW w:w="88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30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60" w:type="dxa"/>
            <w:vAlign w:val="bottom"/>
            <w:shd w:val="clear" w:color="auto" w:fill="CCF0FC"/>
          </w:tcPr>
          <w:p>
            <w:pPr>
              <w:spacing w:after="0"/>
              <w:rPr>
                <w:sz w:val="14"/>
                <w:szCs w:val="14"/>
                <w:color w:val="auto"/>
              </w:rPr>
            </w:pPr>
          </w:p>
        </w:tc>
        <w:tc>
          <w:tcPr>
            <w:tcW w:w="6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6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7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3"/>
                <w:szCs w:val="13"/>
                <w:color w:val="auto"/>
                <w:w w:val="97"/>
              </w:rPr>
              <w:t>Reclassification of gain on investments into earnings, net of tax</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spacing w:after="0"/>
              <w:rPr>
                <w:sz w:val="20"/>
                <w:szCs w:val="20"/>
                <w:color w:val="auto"/>
              </w:rPr>
            </w:pPr>
            <w:r>
              <w:rPr>
                <w:rFonts w:ascii="Arial" w:cs="Arial" w:eastAsia="Arial" w:hAnsi="Arial"/>
                <w:sz w:val="13"/>
                <w:szCs w:val="13"/>
                <w:color w:val="auto"/>
              </w:rPr>
              <w:t>Balances, June 30, 2020</w:t>
            </w:r>
          </w:p>
        </w:tc>
        <w:tc>
          <w:tcPr>
            <w:tcW w:w="86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35,126,118</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jc w:val="right"/>
              <w:ind w:right="253"/>
              <w:spacing w:after="0"/>
              <w:rPr>
                <w:sz w:val="20"/>
                <w:szCs w:val="20"/>
                <w:color w:val="auto"/>
              </w:rPr>
            </w:pPr>
            <w:r>
              <w:rPr>
                <w:rFonts w:ascii="Arial" w:cs="Arial" w:eastAsia="Arial" w:hAnsi="Arial"/>
                <w:sz w:val="13"/>
                <w:szCs w:val="13"/>
                <w:color w:val="auto"/>
                <w:w w:val="82"/>
              </w:rPr>
              <w:t>$</w:t>
            </w:r>
          </w:p>
        </w:tc>
        <w:tc>
          <w:tcPr>
            <w:tcW w:w="30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37</w:t>
            </w:r>
          </w:p>
        </w:tc>
        <w:tc>
          <w:tcPr>
            <w:tcW w:w="860" w:type="dxa"/>
            <w:vAlign w:val="bottom"/>
            <w:gridSpan w:val="3"/>
            <w:shd w:val="clear" w:color="auto" w:fill="CCF0FC"/>
          </w:tcPr>
          <w:p>
            <w:pPr>
              <w:jc w:val="right"/>
              <w:spacing w:after="0"/>
              <w:rPr>
                <w:sz w:val="20"/>
                <w:szCs w:val="20"/>
                <w:color w:val="auto"/>
              </w:rPr>
            </w:pPr>
            <w:r>
              <w:rPr>
                <w:rFonts w:ascii="Arial" w:cs="Arial" w:eastAsia="Arial" w:hAnsi="Arial"/>
                <w:sz w:val="13"/>
                <w:szCs w:val="13"/>
                <w:color w:val="auto"/>
              </w:rPr>
              <w:t>1,613,250</w:t>
            </w:r>
          </w:p>
        </w:tc>
        <w:tc>
          <w:tcPr>
            <w:tcW w:w="300" w:type="dxa"/>
            <w:vAlign w:val="bottom"/>
            <w:tcBorders>
              <w:left w:val="single" w:sz="8" w:color="CCF0FC"/>
            </w:tcBorders>
            <w:gridSpan w:val="3"/>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F0FC"/>
          </w:tcPr>
          <w:p>
            <w:pPr>
              <w:jc w:val="right"/>
              <w:ind w:right="120"/>
              <w:spacing w:after="0"/>
              <w:rPr>
                <w:sz w:val="20"/>
                <w:szCs w:val="20"/>
                <w:color w:val="auto"/>
              </w:rPr>
            </w:pPr>
            <w:r>
              <w:rPr>
                <w:rFonts w:ascii="Arial" w:cs="Arial" w:eastAsia="Arial" w:hAnsi="Arial"/>
                <w:sz w:val="13"/>
                <w:szCs w:val="13"/>
                <w:color w:val="auto"/>
              </w:rPr>
              <w:t>(65,247)</w:t>
            </w:r>
          </w:p>
        </w:tc>
        <w:tc>
          <w:tcPr>
            <w:tcW w:w="100" w:type="dxa"/>
            <w:vAlign w:val="bottom"/>
            <w:gridSpan w:val="2"/>
            <w:shd w:val="clear" w:color="auto" w:fill="CCF0FC"/>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373,686</w:t>
            </w:r>
          </w:p>
        </w:tc>
        <w:tc>
          <w:tcPr>
            <w:tcW w:w="60" w:type="dxa"/>
            <w:vAlign w:val="bottom"/>
            <w:tcBorders>
              <w:left w:val="single" w:sz="8" w:color="CCF0FC"/>
            </w:tcBorders>
            <w:shd w:val="clear" w:color="auto" w:fill="CCF0FC"/>
          </w:tcPr>
          <w:p>
            <w:pPr>
              <w:spacing w:after="0"/>
              <w:rPr>
                <w:sz w:val="14"/>
                <w:szCs w:val="14"/>
                <w:color w:val="auto"/>
              </w:rPr>
            </w:pPr>
          </w:p>
        </w:tc>
        <w:tc>
          <w:tcPr>
            <w:tcW w:w="220" w:type="dxa"/>
            <w:vAlign w:val="bottom"/>
            <w:tcBorders>
              <w:right w:val="single" w:sz="8" w:color="CCF0FC"/>
            </w:tcBorders>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68,613</w:t>
            </w:r>
          </w:p>
        </w:tc>
        <w:tc>
          <w:tcPr>
            <w:tcW w:w="18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0FC"/>
          </w:tcPr>
          <w:p>
            <w:pPr>
              <w:jc w:val="right"/>
              <w:ind w:right="40"/>
              <w:spacing w:after="0"/>
              <w:rPr>
                <w:sz w:val="20"/>
                <w:szCs w:val="20"/>
                <w:color w:val="auto"/>
              </w:rPr>
            </w:pPr>
            <w:r>
              <w:rPr>
                <w:rFonts w:ascii="Arial" w:cs="Arial" w:eastAsia="Arial" w:hAnsi="Arial"/>
                <w:sz w:val="13"/>
                <w:szCs w:val="13"/>
                <w:color w:val="auto"/>
              </w:rPr>
              <w:t>(3,779)</w:t>
            </w:r>
          </w:p>
        </w:tc>
        <w:tc>
          <w:tcPr>
            <w:tcW w:w="22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373,310</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60" w:type="dxa"/>
            <w:vAlign w:val="bottom"/>
            <w:tcBorders>
              <w:top w:val="single" w:sz="8" w:color="CC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0FC"/>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313"/>
              <w:spacing w:after="0"/>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0"/>
              </w:rPr>
              <w:t>Retained</w:t>
            </w: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000" w:type="dxa"/>
            <w:vAlign w:val="bottom"/>
            <w:gridSpan w:val="4"/>
          </w:tcPr>
          <w:p>
            <w:pPr>
              <w:ind w:left="10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56"/>
        </w:trPr>
        <w:tc>
          <w:tcPr>
            <w:tcW w:w="3680" w:type="dxa"/>
            <w:vAlign w:val="bottom"/>
            <w:tcBorders>
              <w:bottom w:val="single" w:sz="8" w:color="CCF0FC"/>
            </w:tcBorders>
          </w:tcPr>
          <w:p>
            <w:pPr>
              <w:spacing w:after="0"/>
              <w:rPr>
                <w:sz w:val="13"/>
                <w:szCs w:val="13"/>
                <w:color w:val="auto"/>
              </w:rPr>
            </w:pPr>
          </w:p>
        </w:tc>
        <w:tc>
          <w:tcPr>
            <w:tcW w:w="120" w:type="dxa"/>
            <w:vAlign w:val="bottom"/>
            <w:tcBorders>
              <w:bottom w:val="single" w:sz="8" w:color="CCF0FC"/>
            </w:tcBorders>
          </w:tcPr>
          <w:p>
            <w:pPr>
              <w:spacing w:after="0"/>
              <w:rPr>
                <w:sz w:val="13"/>
                <w:szCs w:val="13"/>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66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3"/>
                <w:szCs w:val="13"/>
                <w:b w:val="1"/>
                <w:bCs w:val="1"/>
                <w:color w:val="auto"/>
              </w:rPr>
              <w:t>Amount</w:t>
            </w:r>
          </w:p>
        </w:tc>
        <w:tc>
          <w:tcPr>
            <w:tcW w:w="40" w:type="dxa"/>
            <w:vAlign w:val="bottom"/>
            <w:tcBorders>
              <w:bottom w:val="single" w:sz="8" w:color="CCF0FC"/>
            </w:tcBorders>
          </w:tcPr>
          <w:p>
            <w:pPr>
              <w:spacing w:after="0"/>
              <w:rPr>
                <w:sz w:val="13"/>
                <w:szCs w:val="13"/>
                <w:color w:val="auto"/>
              </w:rPr>
            </w:pPr>
          </w:p>
        </w:tc>
        <w:tc>
          <w:tcPr>
            <w:tcW w:w="140" w:type="dxa"/>
            <w:vAlign w:val="bottom"/>
            <w:tcBorders>
              <w:bottom w:val="single" w:sz="8" w:color="CC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C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Borders>
              <w:bottom w:val="single" w:sz="8" w:color="CC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Capital</w:t>
            </w:r>
          </w:p>
        </w:tc>
        <w:tc>
          <w:tcPr>
            <w:tcW w:w="60" w:type="dxa"/>
            <w:vAlign w:val="bottom"/>
            <w:tcBorders>
              <w:bottom w:val="single" w:sz="8" w:color="CCF0FC"/>
            </w:tcBorders>
          </w:tcPr>
          <w:p>
            <w:pPr>
              <w:spacing w:after="0"/>
              <w:rPr>
                <w:sz w:val="13"/>
                <w:szCs w:val="13"/>
                <w:color w:val="auto"/>
              </w:rPr>
            </w:pPr>
          </w:p>
        </w:tc>
        <w:tc>
          <w:tcPr>
            <w:tcW w:w="14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820" w:type="dxa"/>
            <w:vAlign w:val="bottom"/>
            <w:tcBorders>
              <w:bottom w:val="single" w:sz="8" w:color="CCF0FC"/>
            </w:tcBorders>
            <w:gridSpan w:val="2"/>
          </w:tcPr>
          <w:p>
            <w:pPr>
              <w:jc w:val="right"/>
              <w:ind w:right="280"/>
              <w:spacing w:after="0"/>
              <w:rPr>
                <w:sz w:val="20"/>
                <w:szCs w:val="20"/>
                <w:color w:val="auto"/>
              </w:rPr>
            </w:pPr>
            <w:r>
              <w:rPr>
                <w:rFonts w:ascii="Arial" w:cs="Arial" w:eastAsia="Arial" w:hAnsi="Arial"/>
                <w:sz w:val="13"/>
                <w:szCs w:val="13"/>
                <w:b w:val="1"/>
                <w:bCs w:val="1"/>
                <w:color w:val="auto"/>
                <w:w w:val="93"/>
              </w:rPr>
              <w:t>Earnings</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85"/>
              </w:rPr>
              <w:t>Loss</w:t>
            </w:r>
          </w:p>
        </w:tc>
        <w:tc>
          <w:tcPr>
            <w:tcW w:w="10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Borders>
              <w:bottom w:val="single" w:sz="8" w:color="CC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80" w:type="dxa"/>
            <w:vAlign w:val="bottom"/>
            <w:shd w:val="clear" w:color="auto" w:fill="CCF0FC"/>
          </w:tcPr>
          <w:p>
            <w:pPr>
              <w:spacing w:after="0"/>
              <w:rPr>
                <w:sz w:val="20"/>
                <w:szCs w:val="20"/>
                <w:color w:val="auto"/>
              </w:rPr>
            </w:pPr>
            <w:r>
              <w:rPr>
                <w:rFonts w:ascii="Arial" w:cs="Arial" w:eastAsia="Arial" w:hAnsi="Arial"/>
                <w:sz w:val="13"/>
                <w:szCs w:val="13"/>
                <w:color w:val="auto"/>
              </w:rPr>
              <w:t>Balances, December 31, 2018</w:t>
            </w:r>
          </w:p>
        </w:tc>
        <w:tc>
          <w:tcPr>
            <w:tcW w:w="120" w:type="dxa"/>
            <w:vAlign w:val="bottom"/>
            <w:tcBorders>
              <w:right w:val="single" w:sz="8" w:color="CCF0FC"/>
            </w:tcBorders>
            <w:shd w:val="clear" w:color="auto" w:fill="CCF0FC"/>
          </w:tcPr>
          <w:p>
            <w:pPr>
              <w:spacing w:after="0"/>
              <w:rPr>
                <w:sz w:val="13"/>
                <w:szCs w:val="13"/>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34,691,472</w:t>
            </w:r>
          </w:p>
        </w:tc>
        <w:tc>
          <w:tcPr>
            <w:tcW w:w="140" w:type="dxa"/>
            <w:vAlign w:val="bottom"/>
            <w:tcBorders>
              <w:left w:val="single" w:sz="8" w:color="CCF0FC"/>
            </w:tcBorders>
            <w:shd w:val="clear" w:color="auto" w:fill="CCF0FC"/>
          </w:tcPr>
          <w:p>
            <w:pPr>
              <w:spacing w:after="0"/>
              <w:rPr>
                <w:sz w:val="13"/>
                <w:szCs w:val="13"/>
                <w:color w:val="auto"/>
              </w:rPr>
            </w:pPr>
          </w:p>
        </w:tc>
        <w:tc>
          <w:tcPr>
            <w:tcW w:w="10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F0FC"/>
          </w:tcPr>
          <w:p>
            <w:pPr>
              <w:spacing w:after="0"/>
              <w:rPr>
                <w:sz w:val="13"/>
                <w:szCs w:val="13"/>
                <w:color w:val="auto"/>
              </w:rPr>
            </w:pPr>
          </w:p>
        </w:tc>
        <w:tc>
          <w:tcPr>
            <w:tcW w:w="2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w:t>
            </w:r>
          </w:p>
        </w:tc>
        <w:tc>
          <w:tcPr>
            <w:tcW w:w="40" w:type="dxa"/>
            <w:vAlign w:val="bottom"/>
            <w:shd w:val="clear" w:color="auto" w:fill="CCF0FC"/>
          </w:tcPr>
          <w:p>
            <w:pPr>
              <w:spacing w:after="0"/>
              <w:rPr>
                <w:sz w:val="13"/>
                <w:szCs w:val="13"/>
                <w:color w:val="auto"/>
              </w:rPr>
            </w:pPr>
          </w:p>
        </w:tc>
        <w:tc>
          <w:tcPr>
            <w:tcW w:w="860" w:type="dxa"/>
            <w:vAlign w:val="bottom"/>
            <w:gridSpan w:val="3"/>
            <w:shd w:val="clear" w:color="auto" w:fill="CCF0FC"/>
          </w:tcPr>
          <w:p>
            <w:pPr>
              <w:jc w:val="right"/>
              <w:spacing w:after="0"/>
              <w:rPr>
                <w:sz w:val="20"/>
                <w:szCs w:val="20"/>
                <w:color w:val="auto"/>
              </w:rPr>
            </w:pPr>
            <w:r>
              <w:rPr>
                <w:rFonts w:ascii="Arial" w:cs="Arial" w:eastAsia="Arial" w:hAnsi="Arial"/>
                <w:sz w:val="13"/>
                <w:szCs w:val="13"/>
                <w:color w:val="auto"/>
              </w:rPr>
              <w:t>823,784</w:t>
            </w:r>
          </w:p>
        </w:tc>
        <w:tc>
          <w:tcPr>
            <w:tcW w:w="300" w:type="dxa"/>
            <w:vAlign w:val="bottom"/>
            <w:tcBorders>
              <w:left w:val="single" w:sz="8" w:color="CCF0FC"/>
            </w:tcBorders>
            <w:gridSpan w:val="3"/>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F0FC"/>
          </w:tcPr>
          <w:p>
            <w:pPr>
              <w:jc w:val="right"/>
              <w:ind w:right="160"/>
              <w:spacing w:after="0"/>
              <w:rPr>
                <w:sz w:val="20"/>
                <w:szCs w:val="20"/>
                <w:color w:val="auto"/>
              </w:rPr>
            </w:pPr>
            <w:r>
              <w:rPr>
                <w:rFonts w:ascii="Arial" w:cs="Arial" w:eastAsia="Arial" w:hAnsi="Arial"/>
                <w:sz w:val="13"/>
                <w:szCs w:val="13"/>
                <w:color w:val="auto"/>
              </w:rPr>
              <w:t>(25,679)</w:t>
            </w:r>
          </w:p>
        </w:tc>
        <w:tc>
          <w:tcPr>
            <w:tcW w:w="100" w:type="dxa"/>
            <w:vAlign w:val="bottom"/>
            <w:gridSpan w:val="2"/>
            <w:shd w:val="clear" w:color="auto" w:fill="CCF0FC"/>
          </w:tcPr>
          <w:p>
            <w:pPr>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332,574</w:t>
            </w:r>
          </w:p>
        </w:tc>
        <w:tc>
          <w:tcPr>
            <w:tcW w:w="60" w:type="dxa"/>
            <w:vAlign w:val="bottom"/>
            <w:tcBorders>
              <w:left w:val="single" w:sz="8" w:color="CCF0FC"/>
            </w:tcBorders>
            <w:shd w:val="clear" w:color="auto" w:fill="CCF0FC"/>
          </w:tcPr>
          <w:p>
            <w:pPr>
              <w:spacing w:after="0"/>
              <w:rPr>
                <w:sz w:val="13"/>
                <w:szCs w:val="13"/>
                <w:color w:val="auto"/>
              </w:rPr>
            </w:pPr>
          </w:p>
        </w:tc>
        <w:tc>
          <w:tcPr>
            <w:tcW w:w="220" w:type="dxa"/>
            <w:vAlign w:val="bottom"/>
            <w:tcBorders>
              <w:right w:val="single" w:sz="8" w:color="CCF0FC"/>
            </w:tcBorders>
            <w:gridSpan w:val="2"/>
            <w:shd w:val="clear" w:color="auto" w:fill="CCF0FC"/>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15,261</w:t>
            </w:r>
          </w:p>
        </w:tc>
        <w:tc>
          <w:tcPr>
            <w:tcW w:w="180" w:type="dxa"/>
            <w:vAlign w:val="bottom"/>
            <w:shd w:val="clear" w:color="auto" w:fill="CCF0FC"/>
          </w:tcPr>
          <w:p>
            <w:pPr>
              <w:spacing w:after="0"/>
              <w:rPr>
                <w:sz w:val="13"/>
                <w:szCs w:val="13"/>
                <w:color w:val="auto"/>
              </w:rPr>
            </w:pPr>
          </w:p>
        </w:tc>
        <w:tc>
          <w:tcPr>
            <w:tcW w:w="180" w:type="dxa"/>
            <w:vAlign w:val="bottom"/>
            <w:shd w:val="clear" w:color="auto" w:fill="CCF0FC"/>
          </w:tcPr>
          <w:p>
            <w:pPr>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0FC"/>
          </w:tcPr>
          <w:p>
            <w:pPr>
              <w:jc w:val="right"/>
              <w:ind w:right="40"/>
              <w:spacing w:after="0"/>
              <w:rPr>
                <w:sz w:val="20"/>
                <w:szCs w:val="20"/>
                <w:color w:val="auto"/>
              </w:rPr>
            </w:pPr>
            <w:r>
              <w:rPr>
                <w:rFonts w:ascii="Arial" w:cs="Arial" w:eastAsia="Arial" w:hAnsi="Arial"/>
                <w:sz w:val="13"/>
                <w:szCs w:val="13"/>
                <w:color w:val="auto"/>
              </w:rPr>
              <w:t>(3,218)</w:t>
            </w:r>
          </w:p>
        </w:tc>
        <w:tc>
          <w:tcPr>
            <w:tcW w:w="22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318,974</w:t>
            </w:r>
          </w:p>
        </w:tc>
        <w:tc>
          <w:tcPr>
            <w:tcW w:w="10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F0FC"/>
              <w:bottom w:val="single" w:sz="8" w:color="CCF0FC"/>
            </w:tcBorders>
            <w:vMerge w:val="restart"/>
          </w:tcPr>
          <w:p>
            <w:pPr>
              <w:ind w:left="140"/>
              <w:spacing w:after="0"/>
              <w:rPr>
                <w:sz w:val="20"/>
                <w:szCs w:val="20"/>
                <w:color w:val="auto"/>
              </w:rPr>
            </w:pPr>
            <w:r>
              <w:rPr>
                <w:rFonts w:ascii="Arial" w:cs="Arial" w:eastAsia="Arial" w:hAnsi="Arial"/>
                <w:sz w:val="13"/>
                <w:szCs w:val="13"/>
                <w:color w:val="auto"/>
              </w:rPr>
              <w:t>Stock-based compensation</w:t>
            </w:r>
          </w:p>
        </w:tc>
        <w:tc>
          <w:tcPr>
            <w:tcW w:w="120" w:type="dxa"/>
            <w:vAlign w:val="bottom"/>
            <w:tcBorders>
              <w:top w:val="single" w:sz="8" w:color="CC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F0FC"/>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0FC"/>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7,508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7,508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Exercise of stock options and issuance of restricted stock</w:t>
            </w:r>
          </w:p>
        </w:tc>
        <w:tc>
          <w:tcPr>
            <w:tcW w:w="86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403,142</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30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60" w:type="dxa"/>
            <w:vAlign w:val="bottom"/>
            <w:shd w:val="clear" w:color="auto" w:fill="CCF0FC"/>
          </w:tcPr>
          <w:p>
            <w:pPr>
              <w:spacing w:after="0"/>
              <w:rPr>
                <w:sz w:val="14"/>
                <w:szCs w:val="14"/>
                <w:color w:val="auto"/>
              </w:rPr>
            </w:pPr>
          </w:p>
        </w:tc>
        <w:tc>
          <w:tcPr>
            <w:tcW w:w="6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3,371</w:t>
            </w:r>
          </w:p>
        </w:tc>
        <w:tc>
          <w:tcPr>
            <w:tcW w:w="60" w:type="dxa"/>
            <w:vAlign w:val="bottom"/>
            <w:tcBorders>
              <w:left w:val="single" w:sz="8" w:color="CCF0FC"/>
            </w:tcBorders>
            <w:shd w:val="clear" w:color="auto" w:fill="CCF0FC"/>
          </w:tcPr>
          <w:p>
            <w:pPr>
              <w:spacing w:after="0"/>
              <w:rPr>
                <w:sz w:val="14"/>
                <w:szCs w:val="14"/>
                <w:color w:val="auto"/>
              </w:rPr>
            </w:pPr>
          </w:p>
        </w:tc>
        <w:tc>
          <w:tcPr>
            <w:tcW w:w="14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3,371</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3"/>
                <w:szCs w:val="13"/>
                <w:color w:val="auto"/>
              </w:rPr>
              <w:t>Employee stock purchase plan</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30,814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1,079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Repurchases of common stock</w:t>
            </w:r>
          </w:p>
        </w:tc>
        <w:tc>
          <w:tcPr>
            <w:tcW w:w="86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(183,694)</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30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F0FC"/>
          </w:tcPr>
          <w:p>
            <w:pPr>
              <w:jc w:val="right"/>
              <w:spacing w:after="0"/>
              <w:rPr>
                <w:sz w:val="20"/>
                <w:szCs w:val="20"/>
                <w:color w:val="auto"/>
              </w:rPr>
            </w:pPr>
            <w:r>
              <w:rPr>
                <w:rFonts w:ascii="Arial" w:cs="Arial" w:eastAsia="Arial" w:hAnsi="Arial"/>
                <w:sz w:val="13"/>
                <w:szCs w:val="13"/>
                <w:color w:val="auto"/>
              </w:rPr>
              <w:t>183,694</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160"/>
              <w:spacing w:after="0"/>
              <w:rPr>
                <w:sz w:val="20"/>
                <w:szCs w:val="20"/>
                <w:color w:val="auto"/>
              </w:rPr>
            </w:pPr>
            <w:r>
              <w:rPr>
                <w:rFonts w:ascii="Arial" w:cs="Arial" w:eastAsia="Arial" w:hAnsi="Arial"/>
                <w:sz w:val="13"/>
                <w:szCs w:val="13"/>
                <w:color w:val="auto"/>
              </w:rPr>
              <w:t>(8,966)</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6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8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(8,966)</w:t>
            </w: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3"/>
                <w:szCs w:val="13"/>
                <w:color w:val="auto"/>
              </w:rPr>
              <w:t>Settlement and subsequent return of shares</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(5,522)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Net income</w:t>
            </w:r>
          </w:p>
        </w:tc>
        <w:tc>
          <w:tcPr>
            <w:tcW w:w="120" w:type="dxa"/>
            <w:vAlign w:val="bottom"/>
            <w:tcBorders>
              <w:right w:val="single" w:sz="8" w:color="CCF0FC"/>
            </w:tcBorders>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30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60" w:type="dxa"/>
            <w:vAlign w:val="bottom"/>
            <w:shd w:val="clear" w:color="auto" w:fill="CCF0FC"/>
          </w:tcPr>
          <w:p>
            <w:pPr>
              <w:spacing w:after="0"/>
              <w:rPr>
                <w:sz w:val="14"/>
                <w:szCs w:val="14"/>
                <w:color w:val="auto"/>
              </w:rPr>
            </w:pPr>
          </w:p>
        </w:tc>
        <w:tc>
          <w:tcPr>
            <w:tcW w:w="6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6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15,609</w:t>
            </w:r>
          </w:p>
        </w:tc>
        <w:tc>
          <w:tcPr>
            <w:tcW w:w="18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15,609</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Unrealized loss on investments, net of tax</w:t>
            </w:r>
          </w:p>
        </w:tc>
        <w:tc>
          <w:tcPr>
            <w:tcW w:w="120" w:type="dxa"/>
            <w:vAlign w:val="bottom"/>
            <w:tcBorders>
              <w:right w:val="single" w:sz="8" w:color="CCF0FC"/>
            </w:tcBorders>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30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60" w:type="dxa"/>
            <w:vAlign w:val="bottom"/>
            <w:shd w:val="clear" w:color="auto" w:fill="CCF0FC"/>
          </w:tcPr>
          <w:p>
            <w:pPr>
              <w:spacing w:after="0"/>
              <w:rPr>
                <w:sz w:val="14"/>
                <w:szCs w:val="14"/>
                <w:color w:val="auto"/>
              </w:rPr>
            </w:pPr>
          </w:p>
        </w:tc>
        <w:tc>
          <w:tcPr>
            <w:tcW w:w="6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6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40"/>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8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3"/>
                <w:szCs w:val="13"/>
                <w:color w:val="auto"/>
                <w:w w:val="97"/>
              </w:rPr>
              <w:t>Reclassification of loss on investments into earnings, net of tax</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Adoption of ASU 2018-02</w:t>
            </w:r>
          </w:p>
        </w:tc>
        <w:tc>
          <w:tcPr>
            <w:tcW w:w="120" w:type="dxa"/>
            <w:vAlign w:val="bottom"/>
            <w:tcBorders>
              <w:right w:val="single" w:sz="8" w:color="CCF0FC"/>
            </w:tcBorders>
            <w:shd w:val="clear" w:color="auto" w:fill="CCF0FC"/>
          </w:tcPr>
          <w:p>
            <w:pPr>
              <w:spacing w:after="0"/>
              <w:rPr>
                <w:sz w:val="14"/>
                <w:szCs w:val="14"/>
                <w:color w:val="auto"/>
              </w:rPr>
            </w:pPr>
          </w:p>
        </w:tc>
        <w:tc>
          <w:tcPr>
            <w:tcW w:w="7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tcBorders>
              <w:bottom w:val="single" w:sz="8" w:color="auto"/>
            </w:tcBorders>
            <w:shd w:val="clear" w:color="auto" w:fill="CCF0FC"/>
          </w:tcPr>
          <w:p>
            <w:pPr>
              <w:spacing w:after="0"/>
              <w:rPr>
                <w:sz w:val="14"/>
                <w:szCs w:val="14"/>
                <w:color w:val="auto"/>
              </w:rPr>
            </w:pPr>
          </w:p>
        </w:tc>
        <w:tc>
          <w:tcPr>
            <w:tcW w:w="26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F0FC"/>
          </w:tcPr>
          <w:p>
            <w:pPr>
              <w:spacing w:after="0"/>
              <w:rPr>
                <w:sz w:val="14"/>
                <w:szCs w:val="14"/>
                <w:color w:val="auto"/>
              </w:rPr>
            </w:pPr>
          </w:p>
        </w:tc>
        <w:tc>
          <w:tcPr>
            <w:tcW w:w="140" w:type="dxa"/>
            <w:vAlign w:val="bottom"/>
            <w:shd w:val="clear" w:color="auto" w:fill="CCF0FC"/>
          </w:tcPr>
          <w:p>
            <w:pPr>
              <w:spacing w:after="0"/>
              <w:rPr>
                <w:sz w:val="14"/>
                <w:szCs w:val="14"/>
                <w:color w:val="auto"/>
              </w:rPr>
            </w:pPr>
          </w:p>
        </w:tc>
        <w:tc>
          <w:tcPr>
            <w:tcW w:w="60" w:type="dxa"/>
            <w:vAlign w:val="bottom"/>
            <w:tcBorders>
              <w:bottom w:val="single" w:sz="8" w:color="auto"/>
            </w:tcBorders>
            <w:shd w:val="clear" w:color="auto" w:fill="CCF0FC"/>
          </w:tcPr>
          <w:p>
            <w:pPr>
              <w:spacing w:after="0"/>
              <w:rPr>
                <w:sz w:val="14"/>
                <w:szCs w:val="14"/>
                <w:color w:val="auto"/>
              </w:rPr>
            </w:pPr>
          </w:p>
        </w:tc>
        <w:tc>
          <w:tcPr>
            <w:tcW w:w="66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tcBorders>
              <w:bottom w:val="single" w:sz="8" w:color="auto"/>
            </w:tcBorders>
            <w:shd w:val="clear" w:color="auto" w:fill="CCF0FC"/>
          </w:tcPr>
          <w:p>
            <w:pPr>
              <w:spacing w:after="0"/>
              <w:rPr>
                <w:sz w:val="14"/>
                <w:szCs w:val="14"/>
                <w:color w:val="auto"/>
              </w:rPr>
            </w:pPr>
          </w:p>
        </w:tc>
        <w:tc>
          <w:tcPr>
            <w:tcW w:w="80" w:type="dxa"/>
            <w:vAlign w:val="bottom"/>
            <w:tcBorders>
              <w:bottom w:val="single" w:sz="8" w:color="auto"/>
            </w:tcBorders>
            <w:shd w:val="clear" w:color="auto" w:fill="CCF0FC"/>
          </w:tcPr>
          <w:p>
            <w:pPr>
              <w:spacing w:after="0"/>
              <w:rPr>
                <w:sz w:val="14"/>
                <w:szCs w:val="14"/>
                <w:color w:val="auto"/>
              </w:rPr>
            </w:pPr>
          </w:p>
        </w:tc>
        <w:tc>
          <w:tcPr>
            <w:tcW w:w="6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left w:val="single" w:sz="8" w:color="CCF0FC"/>
            </w:tcBorders>
            <w:shd w:val="clear" w:color="auto" w:fill="CCF0FC"/>
          </w:tcPr>
          <w:p>
            <w:pPr>
              <w:spacing w:after="0"/>
              <w:rPr>
                <w:sz w:val="14"/>
                <w:szCs w:val="14"/>
                <w:color w:val="auto"/>
              </w:rPr>
            </w:pPr>
          </w:p>
        </w:tc>
        <w:tc>
          <w:tcPr>
            <w:tcW w:w="20" w:type="dxa"/>
            <w:vAlign w:val="bottom"/>
            <w:tcBorders>
              <w:bottom w:val="single" w:sz="8" w:color="auto"/>
            </w:tcBorders>
            <w:shd w:val="clear" w:color="auto" w:fill="CCF0FC"/>
          </w:tcPr>
          <w:p>
            <w:pPr>
              <w:spacing w:after="0"/>
              <w:rPr>
                <w:sz w:val="14"/>
                <w:szCs w:val="14"/>
                <w:color w:val="auto"/>
              </w:rPr>
            </w:pPr>
          </w:p>
        </w:tc>
        <w:tc>
          <w:tcPr>
            <w:tcW w:w="80" w:type="dxa"/>
            <w:vAlign w:val="bottom"/>
            <w:tcBorders>
              <w:bottom w:val="single" w:sz="8" w:color="auto"/>
            </w:tcBorders>
            <w:shd w:val="clear" w:color="auto" w:fill="CCF0FC"/>
          </w:tcPr>
          <w:p>
            <w:pPr>
              <w:spacing w:after="0"/>
              <w:rPr>
                <w:sz w:val="14"/>
                <w:szCs w:val="14"/>
                <w:color w:val="auto"/>
              </w:rPr>
            </w:pPr>
          </w:p>
        </w:tc>
        <w:tc>
          <w:tcPr>
            <w:tcW w:w="6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F0FC"/>
            </w:tcBorders>
            <w:shd w:val="clear" w:color="auto" w:fill="CCF0FC"/>
          </w:tcPr>
          <w:p>
            <w:pPr>
              <w:spacing w:after="0"/>
              <w:rPr>
                <w:sz w:val="14"/>
                <w:szCs w:val="14"/>
                <w:color w:val="auto"/>
              </w:rPr>
            </w:pPr>
          </w:p>
        </w:tc>
        <w:tc>
          <w:tcPr>
            <w:tcW w:w="140" w:type="dxa"/>
            <w:vAlign w:val="bottom"/>
            <w:shd w:val="clear" w:color="auto" w:fill="CCF0FC"/>
          </w:tcPr>
          <w:p>
            <w:pPr>
              <w:spacing w:after="0"/>
              <w:rPr>
                <w:sz w:val="14"/>
                <w:szCs w:val="14"/>
                <w:color w:val="auto"/>
              </w:rPr>
            </w:pPr>
          </w:p>
        </w:tc>
        <w:tc>
          <w:tcPr>
            <w:tcW w:w="80" w:type="dxa"/>
            <w:vAlign w:val="bottom"/>
            <w:tcBorders>
              <w:bottom w:val="single" w:sz="8" w:color="auto"/>
              <w:right w:val="single" w:sz="8" w:color="CCF0FC"/>
            </w:tcBorders>
            <w:shd w:val="clear" w:color="auto" w:fill="CCF0FC"/>
          </w:tcPr>
          <w:p>
            <w:pPr>
              <w:spacing w:after="0"/>
              <w:rPr>
                <w:sz w:val="14"/>
                <w:szCs w:val="14"/>
                <w:color w:val="auto"/>
              </w:rPr>
            </w:pPr>
          </w:p>
        </w:tc>
        <w:tc>
          <w:tcPr>
            <w:tcW w:w="6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180" w:type="dxa"/>
            <w:vAlign w:val="bottom"/>
            <w:tcBorders>
              <w:bottom w:val="single" w:sz="8" w:color="auto"/>
            </w:tcBorders>
            <w:shd w:val="clear" w:color="auto" w:fill="CCF0FC"/>
          </w:tcPr>
          <w:p>
            <w:pPr>
              <w:spacing w:after="0"/>
              <w:rPr>
                <w:sz w:val="14"/>
                <w:szCs w:val="14"/>
                <w:color w:val="auto"/>
              </w:rPr>
            </w:pPr>
          </w:p>
        </w:tc>
        <w:tc>
          <w:tcPr>
            <w:tcW w:w="72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20" w:type="dxa"/>
            <w:vAlign w:val="bottom"/>
            <w:tcBorders>
              <w:bottom w:val="single" w:sz="8" w:color="auto"/>
            </w:tcBorders>
            <w:shd w:val="clear" w:color="auto" w:fill="CCF0FC"/>
          </w:tcPr>
          <w:p>
            <w:pPr>
              <w:spacing w:after="0"/>
              <w:rPr>
                <w:sz w:val="14"/>
                <w:szCs w:val="14"/>
                <w:color w:val="auto"/>
              </w:rPr>
            </w:pPr>
          </w:p>
        </w:tc>
        <w:tc>
          <w:tcPr>
            <w:tcW w:w="68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20"/>
                <w:szCs w:val="20"/>
                <w:color w:val="auto"/>
              </w:rPr>
            </w:pPr>
            <w:r>
              <w:rPr>
                <w:rFonts w:ascii="Arial" w:cs="Arial" w:eastAsia="Arial" w:hAnsi="Arial"/>
                <w:sz w:val="13"/>
                <w:szCs w:val="13"/>
                <w:color w:val="auto"/>
              </w:rPr>
              <w:t>Balances, June 30, 2019</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34,936,212</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36</w:t>
            </w:r>
          </w:p>
        </w:tc>
        <w:tc>
          <w:tcPr>
            <w:tcW w:w="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1,007,478</w:t>
            </w: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(34,645)</w:t>
            </w:r>
          </w:p>
        </w:tc>
        <w:tc>
          <w:tcPr>
            <w:tcW w:w="100" w:type="dxa"/>
            <w:vAlign w:val="bottom"/>
            <w:gridSpan w:val="2"/>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344,232</w:t>
            </w:r>
          </w:p>
        </w:tc>
        <w:tc>
          <w:tcPr>
            <w:tcW w:w="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30,870</w:t>
            </w: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(2,160)</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338,333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8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CCF0FC"/>
              <w:right w:val="single" w:sz="8" w:color="CCF0FC"/>
            </w:tcBorders>
            <w:shd w:val="clear" w:color="auto" w:fill="CCF0FC"/>
          </w:tcPr>
          <w:p>
            <w:pPr>
              <w:spacing w:after="0"/>
              <w:rPr>
                <w:sz w:val="12"/>
                <w:szCs w:val="12"/>
                <w:color w:val="auto"/>
              </w:rPr>
            </w:pPr>
          </w:p>
        </w:tc>
        <w:tc>
          <w:tcPr>
            <w:tcW w:w="740" w:type="dxa"/>
            <w:vAlign w:val="bottom"/>
            <w:tcBorders>
              <w:top w:val="single" w:sz="8" w:color="auto"/>
            </w:tcBorders>
            <w:shd w:val="clear" w:color="auto" w:fill="CCF0FC"/>
          </w:tcPr>
          <w:p>
            <w:pPr>
              <w:spacing w:after="0"/>
              <w:rPr>
                <w:sz w:val="12"/>
                <w:szCs w:val="12"/>
                <w:color w:val="auto"/>
              </w:rPr>
            </w:pPr>
          </w:p>
        </w:tc>
        <w:tc>
          <w:tcPr>
            <w:tcW w:w="140" w:type="dxa"/>
            <w:vAlign w:val="bottom"/>
            <w:tcBorders>
              <w:top w:val="single" w:sz="8" w:color="CCF0FC"/>
              <w:left w:val="single" w:sz="8" w:color="CCF0FC"/>
            </w:tcBorders>
            <w:shd w:val="clear" w:color="auto" w:fill="CCF0FC"/>
          </w:tcPr>
          <w:p>
            <w:pPr>
              <w:spacing w:after="0"/>
              <w:rPr>
                <w:sz w:val="12"/>
                <w:szCs w:val="12"/>
                <w:color w:val="auto"/>
              </w:rPr>
            </w:pPr>
          </w:p>
        </w:tc>
        <w:tc>
          <w:tcPr>
            <w:tcW w:w="100" w:type="dxa"/>
            <w:vAlign w:val="bottom"/>
            <w:tcBorders>
              <w:top w:val="single" w:sz="8" w:color="CCF0FC"/>
              <w:right w:val="single" w:sz="8" w:color="CCF0FC"/>
            </w:tcBorders>
            <w:shd w:val="clear" w:color="auto" w:fill="CCF0FC"/>
          </w:tcPr>
          <w:p>
            <w:pPr>
              <w:spacing w:after="0"/>
              <w:rPr>
                <w:sz w:val="12"/>
                <w:szCs w:val="12"/>
                <w:color w:val="auto"/>
              </w:rPr>
            </w:pPr>
          </w:p>
        </w:tc>
        <w:tc>
          <w:tcPr>
            <w:tcW w:w="400" w:type="dxa"/>
            <w:vAlign w:val="bottom"/>
            <w:tcBorders>
              <w:top w:val="single" w:sz="8" w:color="auto"/>
            </w:tcBorders>
            <w:shd w:val="clear" w:color="auto" w:fill="CCF0FC"/>
          </w:tcPr>
          <w:p>
            <w:pPr>
              <w:spacing w:after="0"/>
              <w:rPr>
                <w:sz w:val="12"/>
                <w:szCs w:val="12"/>
                <w:color w:val="auto"/>
              </w:rPr>
            </w:pPr>
          </w:p>
        </w:tc>
        <w:tc>
          <w:tcPr>
            <w:tcW w:w="260" w:type="dxa"/>
            <w:vAlign w:val="bottom"/>
            <w:tcBorders>
              <w:top w:val="single" w:sz="8" w:color="auto"/>
            </w:tcBorders>
            <w:shd w:val="clear" w:color="auto" w:fill="CCF0FC"/>
          </w:tcPr>
          <w:p>
            <w:pPr>
              <w:spacing w:after="0"/>
              <w:rPr>
                <w:sz w:val="12"/>
                <w:szCs w:val="12"/>
                <w:color w:val="auto"/>
              </w:rPr>
            </w:pPr>
          </w:p>
        </w:tc>
        <w:tc>
          <w:tcPr>
            <w:tcW w:w="40" w:type="dxa"/>
            <w:vAlign w:val="bottom"/>
            <w:tcBorders>
              <w:top w:val="single" w:sz="8" w:color="CCF0FC"/>
            </w:tcBorders>
            <w:shd w:val="clear" w:color="auto" w:fill="CCF0FC"/>
          </w:tcPr>
          <w:p>
            <w:pPr>
              <w:spacing w:after="0"/>
              <w:rPr>
                <w:sz w:val="12"/>
                <w:szCs w:val="12"/>
                <w:color w:val="auto"/>
              </w:rPr>
            </w:pPr>
          </w:p>
        </w:tc>
        <w:tc>
          <w:tcPr>
            <w:tcW w:w="140" w:type="dxa"/>
            <w:vAlign w:val="bottom"/>
            <w:tcBorders>
              <w:top w:val="single" w:sz="8" w:color="CCF0FC"/>
            </w:tcBorders>
            <w:shd w:val="clear" w:color="auto" w:fill="CCF0FC"/>
          </w:tcPr>
          <w:p>
            <w:pPr>
              <w:spacing w:after="0"/>
              <w:rPr>
                <w:sz w:val="12"/>
                <w:szCs w:val="12"/>
                <w:color w:val="auto"/>
              </w:rPr>
            </w:pPr>
          </w:p>
        </w:tc>
        <w:tc>
          <w:tcPr>
            <w:tcW w:w="60" w:type="dxa"/>
            <w:vAlign w:val="bottom"/>
            <w:tcBorders>
              <w:top w:val="single" w:sz="8" w:color="auto"/>
            </w:tcBorders>
            <w:shd w:val="clear" w:color="auto" w:fill="CCF0FC"/>
          </w:tcPr>
          <w:p>
            <w:pPr>
              <w:spacing w:after="0"/>
              <w:rPr>
                <w:sz w:val="12"/>
                <w:szCs w:val="12"/>
                <w:color w:val="auto"/>
              </w:rPr>
            </w:pPr>
          </w:p>
        </w:tc>
        <w:tc>
          <w:tcPr>
            <w:tcW w:w="660" w:type="dxa"/>
            <w:vAlign w:val="bottom"/>
            <w:tcBorders>
              <w:top w:val="single" w:sz="8" w:color="auto"/>
            </w:tcBorders>
            <w:shd w:val="clear" w:color="auto" w:fill="CCF0FC"/>
          </w:tcPr>
          <w:p>
            <w:pPr>
              <w:spacing w:after="0"/>
              <w:rPr>
                <w:sz w:val="12"/>
                <w:szCs w:val="12"/>
                <w:color w:val="auto"/>
              </w:rPr>
            </w:pPr>
          </w:p>
        </w:tc>
        <w:tc>
          <w:tcPr>
            <w:tcW w:w="180" w:type="dxa"/>
            <w:vAlign w:val="bottom"/>
            <w:tcBorders>
              <w:top w:val="single" w:sz="8" w:color="CCF0FC"/>
              <w:left w:val="single" w:sz="8" w:color="CCF0FC"/>
            </w:tcBorders>
            <w:shd w:val="clear" w:color="auto" w:fill="CCF0FC"/>
          </w:tcPr>
          <w:p>
            <w:pPr>
              <w:spacing w:after="0"/>
              <w:rPr>
                <w:sz w:val="12"/>
                <w:szCs w:val="12"/>
                <w:color w:val="auto"/>
              </w:rPr>
            </w:pPr>
          </w:p>
        </w:tc>
        <w:tc>
          <w:tcPr>
            <w:tcW w:w="40" w:type="dxa"/>
            <w:vAlign w:val="bottom"/>
            <w:tcBorders>
              <w:top w:val="single" w:sz="8" w:color="auto"/>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spacing w:after="0"/>
              <w:rPr>
                <w:sz w:val="12"/>
                <w:szCs w:val="12"/>
                <w:color w:val="auto"/>
              </w:rPr>
            </w:pPr>
          </w:p>
        </w:tc>
        <w:tc>
          <w:tcPr>
            <w:tcW w:w="200" w:type="dxa"/>
            <w:vAlign w:val="bottom"/>
            <w:tcBorders>
              <w:top w:val="single" w:sz="8" w:color="CCF0FC"/>
              <w:left w:val="single" w:sz="8" w:color="CCF0FC"/>
            </w:tcBorders>
            <w:shd w:val="clear" w:color="auto" w:fill="CCF0FC"/>
          </w:tcPr>
          <w:p>
            <w:pPr>
              <w:spacing w:after="0"/>
              <w:rPr>
                <w:sz w:val="12"/>
                <w:szCs w:val="12"/>
                <w:color w:val="auto"/>
              </w:rPr>
            </w:pPr>
          </w:p>
        </w:tc>
        <w:tc>
          <w:tcPr>
            <w:tcW w:w="20" w:type="dxa"/>
            <w:vAlign w:val="bottom"/>
            <w:tcBorders>
              <w:top w:val="single" w:sz="8" w:color="auto"/>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spacing w:after="0"/>
              <w:rPr>
                <w:sz w:val="12"/>
                <w:szCs w:val="12"/>
                <w:color w:val="auto"/>
              </w:rPr>
            </w:pPr>
          </w:p>
        </w:tc>
        <w:tc>
          <w:tcPr>
            <w:tcW w:w="60" w:type="dxa"/>
            <w:vAlign w:val="bottom"/>
            <w:tcBorders>
              <w:top w:val="single" w:sz="8" w:color="CCF0FC"/>
              <w:left w:val="single" w:sz="8" w:color="CCF0FC"/>
            </w:tcBorders>
            <w:shd w:val="clear" w:color="auto" w:fill="CCF0FC"/>
          </w:tcPr>
          <w:p>
            <w:pPr>
              <w:spacing w:after="0"/>
              <w:rPr>
                <w:sz w:val="12"/>
                <w:szCs w:val="12"/>
                <w:color w:val="auto"/>
              </w:rPr>
            </w:pP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right w:val="single" w:sz="8" w:color="CCF0FC"/>
            </w:tcBorders>
            <w:shd w:val="clear" w:color="auto" w:fill="CCF0FC"/>
          </w:tcPr>
          <w:p>
            <w:pPr>
              <w:spacing w:after="0"/>
              <w:rPr>
                <w:sz w:val="12"/>
                <w:szCs w:val="12"/>
                <w:color w:val="auto"/>
              </w:rPr>
            </w:pPr>
          </w:p>
        </w:tc>
        <w:tc>
          <w:tcPr>
            <w:tcW w:w="640" w:type="dxa"/>
            <w:vAlign w:val="bottom"/>
            <w:tcBorders>
              <w:top w:val="single" w:sz="8" w:color="auto"/>
            </w:tcBorders>
            <w:shd w:val="clear" w:color="auto" w:fill="CCF0FC"/>
          </w:tcPr>
          <w:p>
            <w:pPr>
              <w:spacing w:after="0"/>
              <w:rPr>
                <w:sz w:val="12"/>
                <w:szCs w:val="12"/>
                <w:color w:val="auto"/>
              </w:rPr>
            </w:pPr>
          </w:p>
        </w:tc>
        <w:tc>
          <w:tcPr>
            <w:tcW w:w="180" w:type="dxa"/>
            <w:vAlign w:val="bottom"/>
            <w:tcBorders>
              <w:top w:val="single" w:sz="8" w:color="CCF0FC"/>
            </w:tcBorders>
            <w:shd w:val="clear" w:color="auto" w:fill="CCF0FC"/>
          </w:tcPr>
          <w:p>
            <w:pPr>
              <w:spacing w:after="0"/>
              <w:rPr>
                <w:sz w:val="12"/>
                <w:szCs w:val="12"/>
                <w:color w:val="auto"/>
              </w:rPr>
            </w:pPr>
          </w:p>
        </w:tc>
        <w:tc>
          <w:tcPr>
            <w:tcW w:w="180" w:type="dxa"/>
            <w:vAlign w:val="bottom"/>
            <w:tcBorders>
              <w:top w:val="single" w:sz="8" w:color="auto"/>
            </w:tcBorders>
            <w:shd w:val="clear" w:color="auto" w:fill="CCF0FC"/>
          </w:tcPr>
          <w:p>
            <w:pPr>
              <w:spacing w:after="0"/>
              <w:rPr>
                <w:sz w:val="12"/>
                <w:szCs w:val="12"/>
                <w:color w:val="auto"/>
              </w:rPr>
            </w:pPr>
          </w:p>
        </w:tc>
        <w:tc>
          <w:tcPr>
            <w:tcW w:w="720" w:type="dxa"/>
            <w:vAlign w:val="bottom"/>
            <w:tcBorders>
              <w:top w:val="single" w:sz="8" w:color="auto"/>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tcBorders>
            <w:shd w:val="clear" w:color="auto" w:fill="CCF0FC"/>
          </w:tcPr>
          <w:p>
            <w:pPr>
              <w:spacing w:after="0"/>
              <w:rPr>
                <w:sz w:val="12"/>
                <w:szCs w:val="12"/>
                <w:color w:val="auto"/>
              </w:rPr>
            </w:pPr>
          </w:p>
        </w:tc>
        <w:tc>
          <w:tcPr>
            <w:tcW w:w="680" w:type="dxa"/>
            <w:vAlign w:val="bottom"/>
            <w:tcBorders>
              <w:top w:val="single" w:sz="8" w:color="auto"/>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680" w:type="dxa"/>
            <w:vAlign w:val="bottom"/>
          </w:tcPr>
          <w:p>
            <w:pPr>
              <w:spacing w:after="0"/>
              <w:rPr>
                <w:sz w:val="20"/>
                <w:szCs w:val="20"/>
                <w:color w:val="auto"/>
              </w:rPr>
            </w:pPr>
            <w:r>
              <w:rPr>
                <w:rFonts w:ascii="Arial" w:cs="Arial" w:eastAsia="Arial" w:hAnsi="Arial"/>
                <w:sz w:val="13"/>
                <w:szCs w:val="13"/>
                <w:color w:val="auto"/>
              </w:rPr>
              <w:t>Balances, December 31, 2019</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34,863,271</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36</w:t>
            </w:r>
          </w:p>
        </w:tc>
        <w:tc>
          <w:tcPr>
            <w:tcW w:w="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1,241,348</w:t>
            </w: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(46,297)</w:t>
            </w:r>
          </w:p>
        </w:tc>
        <w:tc>
          <w:tcPr>
            <w:tcW w:w="100" w:type="dxa"/>
            <w:vAlign w:val="bottom"/>
            <w:gridSpan w:val="2"/>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354,115</w:t>
            </w:r>
          </w:p>
        </w:tc>
        <w:tc>
          <w:tcPr>
            <w:tcW w:w="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48,973</w:t>
            </w: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(1,951)</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354,876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80" w:type="dxa"/>
            <w:vAlign w:val="bottom"/>
            <w:tcBorders>
              <w:top w:val="single" w:sz="8" w:color="CCF0FC"/>
            </w:tcBorders>
            <w:shd w:val="clear" w:color="auto" w:fill="CCF0FC"/>
          </w:tcPr>
          <w:p>
            <w:pPr>
              <w:ind w:left="140"/>
              <w:spacing w:after="0" w:line="143" w:lineRule="exact"/>
              <w:rPr>
                <w:sz w:val="20"/>
                <w:szCs w:val="20"/>
                <w:color w:val="auto"/>
              </w:rPr>
            </w:pPr>
            <w:r>
              <w:rPr>
                <w:rFonts w:ascii="Arial" w:cs="Arial" w:eastAsia="Arial" w:hAnsi="Arial"/>
                <w:sz w:val="13"/>
                <w:szCs w:val="13"/>
                <w:color w:val="auto"/>
              </w:rPr>
              <w:t>Stock-based compensation</w:t>
            </w:r>
          </w:p>
        </w:tc>
        <w:tc>
          <w:tcPr>
            <w:tcW w:w="120" w:type="dxa"/>
            <w:vAlign w:val="bottom"/>
            <w:tcBorders>
              <w:top w:val="single" w:sz="8" w:color="CCF0FC"/>
              <w:right w:val="single" w:sz="8" w:color="CCF0FC"/>
            </w:tcBorders>
            <w:shd w:val="clear" w:color="auto" w:fill="CCF0FC"/>
          </w:tcPr>
          <w:p>
            <w:pPr>
              <w:spacing w:after="0"/>
              <w:rPr>
                <w:sz w:val="12"/>
                <w:szCs w:val="12"/>
                <w:color w:val="auto"/>
              </w:rPr>
            </w:pPr>
          </w:p>
        </w:tc>
        <w:tc>
          <w:tcPr>
            <w:tcW w:w="74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F0FC"/>
              <w:left w:val="single" w:sz="8" w:color="CCF0FC"/>
            </w:tcBorders>
            <w:shd w:val="clear" w:color="auto" w:fill="CCF0FC"/>
          </w:tcPr>
          <w:p>
            <w:pPr>
              <w:spacing w:after="0"/>
              <w:rPr>
                <w:sz w:val="12"/>
                <w:szCs w:val="12"/>
                <w:color w:val="auto"/>
              </w:rPr>
            </w:pPr>
          </w:p>
        </w:tc>
        <w:tc>
          <w:tcPr>
            <w:tcW w:w="100" w:type="dxa"/>
            <w:vAlign w:val="bottom"/>
            <w:tcBorders>
              <w:top w:val="single" w:sz="8" w:color="CCF0FC"/>
              <w:right w:val="single" w:sz="8" w:color="CCF0FC"/>
            </w:tcBorders>
            <w:shd w:val="clear" w:color="auto" w:fill="CCF0FC"/>
          </w:tcPr>
          <w:p>
            <w:pPr>
              <w:spacing w:after="0"/>
              <w:rPr>
                <w:sz w:val="12"/>
                <w:szCs w:val="12"/>
                <w:color w:val="auto"/>
              </w:rPr>
            </w:pPr>
          </w:p>
        </w:tc>
        <w:tc>
          <w:tcPr>
            <w:tcW w:w="400" w:type="dxa"/>
            <w:vAlign w:val="bottom"/>
            <w:tcBorders>
              <w:top w:val="single" w:sz="8" w:color="auto"/>
            </w:tcBorders>
            <w:shd w:val="clear" w:color="auto" w:fill="CCF0FC"/>
          </w:tcPr>
          <w:p>
            <w:pPr>
              <w:spacing w:after="0"/>
              <w:rPr>
                <w:sz w:val="12"/>
                <w:szCs w:val="12"/>
                <w:color w:val="auto"/>
              </w:rPr>
            </w:pPr>
          </w:p>
        </w:tc>
        <w:tc>
          <w:tcPr>
            <w:tcW w:w="26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F0FC"/>
            </w:tcBorders>
            <w:shd w:val="clear" w:color="auto" w:fill="CCF0FC"/>
          </w:tcPr>
          <w:p>
            <w:pPr>
              <w:spacing w:after="0"/>
              <w:rPr>
                <w:sz w:val="12"/>
                <w:szCs w:val="12"/>
                <w:color w:val="auto"/>
              </w:rPr>
            </w:pPr>
          </w:p>
        </w:tc>
        <w:tc>
          <w:tcPr>
            <w:tcW w:w="140" w:type="dxa"/>
            <w:vAlign w:val="bottom"/>
            <w:tcBorders>
              <w:top w:val="single" w:sz="8" w:color="CCF0FC"/>
            </w:tcBorders>
            <w:shd w:val="clear" w:color="auto" w:fill="CCF0FC"/>
          </w:tcPr>
          <w:p>
            <w:pPr>
              <w:spacing w:after="0"/>
              <w:rPr>
                <w:sz w:val="12"/>
                <w:szCs w:val="12"/>
                <w:color w:val="auto"/>
              </w:rPr>
            </w:pPr>
          </w:p>
        </w:tc>
        <w:tc>
          <w:tcPr>
            <w:tcW w:w="60" w:type="dxa"/>
            <w:vAlign w:val="bottom"/>
            <w:tcBorders>
              <w:top w:val="single" w:sz="8" w:color="auto"/>
            </w:tcBorders>
            <w:shd w:val="clear" w:color="auto" w:fill="CCF0FC"/>
          </w:tcPr>
          <w:p>
            <w:pPr>
              <w:spacing w:after="0"/>
              <w:rPr>
                <w:sz w:val="12"/>
                <w:szCs w:val="12"/>
                <w:color w:val="auto"/>
              </w:rPr>
            </w:pPr>
          </w:p>
        </w:tc>
        <w:tc>
          <w:tcPr>
            <w:tcW w:w="66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F0FC"/>
              <w:left w:val="single" w:sz="8" w:color="CCF0FC"/>
            </w:tcBorders>
            <w:shd w:val="clear" w:color="auto" w:fill="CCF0FC"/>
          </w:tcPr>
          <w:p>
            <w:pPr>
              <w:spacing w:after="0"/>
              <w:rPr>
                <w:sz w:val="12"/>
                <w:szCs w:val="12"/>
                <w:color w:val="auto"/>
              </w:rPr>
            </w:pPr>
          </w:p>
        </w:tc>
        <w:tc>
          <w:tcPr>
            <w:tcW w:w="40" w:type="dxa"/>
            <w:vAlign w:val="bottom"/>
            <w:tcBorders>
              <w:top w:val="single" w:sz="8" w:color="auto"/>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F0FC"/>
              <w:left w:val="single" w:sz="8" w:color="CCF0FC"/>
            </w:tcBorders>
            <w:shd w:val="clear" w:color="auto" w:fill="CCF0FC"/>
          </w:tcPr>
          <w:p>
            <w:pPr>
              <w:spacing w:after="0"/>
              <w:rPr>
                <w:sz w:val="12"/>
                <w:szCs w:val="12"/>
                <w:color w:val="auto"/>
              </w:rPr>
            </w:pPr>
          </w:p>
        </w:tc>
        <w:tc>
          <w:tcPr>
            <w:tcW w:w="20" w:type="dxa"/>
            <w:vAlign w:val="bottom"/>
            <w:tcBorders>
              <w:top w:val="single" w:sz="8" w:color="auto"/>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8,596</w:t>
            </w:r>
          </w:p>
        </w:tc>
        <w:tc>
          <w:tcPr>
            <w:tcW w:w="60" w:type="dxa"/>
            <w:vAlign w:val="bottom"/>
            <w:tcBorders>
              <w:top w:val="single" w:sz="8" w:color="CCF0FC"/>
              <w:left w:val="single" w:sz="8" w:color="CCF0FC"/>
            </w:tcBorders>
            <w:shd w:val="clear" w:color="auto" w:fill="CCF0FC"/>
          </w:tcPr>
          <w:p>
            <w:pPr>
              <w:spacing w:after="0"/>
              <w:rPr>
                <w:sz w:val="12"/>
                <w:szCs w:val="12"/>
                <w:color w:val="auto"/>
              </w:rPr>
            </w:pP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right w:val="single" w:sz="8" w:color="CCF0FC"/>
            </w:tcBorders>
            <w:shd w:val="clear" w:color="auto" w:fill="CCF0FC"/>
          </w:tcPr>
          <w:p>
            <w:pPr>
              <w:spacing w:after="0"/>
              <w:rPr>
                <w:sz w:val="12"/>
                <w:szCs w:val="12"/>
                <w:color w:val="auto"/>
              </w:rPr>
            </w:pPr>
          </w:p>
        </w:tc>
        <w:tc>
          <w:tcPr>
            <w:tcW w:w="64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F0FC"/>
            </w:tcBorders>
            <w:shd w:val="clear" w:color="auto" w:fill="CCF0FC"/>
          </w:tcPr>
          <w:p>
            <w:pPr>
              <w:spacing w:after="0"/>
              <w:rPr>
                <w:sz w:val="12"/>
                <w:szCs w:val="12"/>
                <w:color w:val="auto"/>
              </w:rPr>
            </w:pPr>
          </w:p>
        </w:tc>
        <w:tc>
          <w:tcPr>
            <w:tcW w:w="180" w:type="dxa"/>
            <w:vAlign w:val="bottom"/>
            <w:tcBorders>
              <w:top w:val="single" w:sz="8" w:color="auto"/>
            </w:tcBorders>
            <w:shd w:val="clear" w:color="auto" w:fill="CCF0FC"/>
          </w:tcPr>
          <w:p>
            <w:pPr>
              <w:spacing w:after="0"/>
              <w:rPr>
                <w:sz w:val="12"/>
                <w:szCs w:val="12"/>
                <w:color w:val="auto"/>
              </w:rPr>
            </w:pPr>
          </w:p>
        </w:tc>
        <w:tc>
          <w:tcPr>
            <w:tcW w:w="72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tcBorders>
            <w:shd w:val="clear" w:color="auto" w:fill="CCF0FC"/>
          </w:tcPr>
          <w:p>
            <w:pPr>
              <w:spacing w:after="0"/>
              <w:rPr>
                <w:sz w:val="12"/>
                <w:szCs w:val="12"/>
                <w:color w:val="auto"/>
              </w:rPr>
            </w:pPr>
          </w:p>
        </w:tc>
        <w:tc>
          <w:tcPr>
            <w:tcW w:w="68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8,596</w:t>
            </w:r>
          </w:p>
        </w:tc>
        <w:tc>
          <w:tcPr>
            <w:tcW w:w="100" w:type="dxa"/>
            <w:vAlign w:val="bottom"/>
            <w:tcBorders>
              <w:top w:val="single" w:sz="8" w:color="CCF0FC"/>
            </w:tcBorders>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3"/>
                <w:szCs w:val="13"/>
                <w:color w:val="auto"/>
              </w:rPr>
              <w:t>Exercise of stock options and issuance of restricted stock</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601,666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9,425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Employee stock purchase plan</w:t>
            </w:r>
          </w:p>
        </w:tc>
        <w:tc>
          <w:tcPr>
            <w:tcW w:w="86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33,083</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30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60" w:type="dxa"/>
            <w:vAlign w:val="bottom"/>
            <w:shd w:val="clear" w:color="auto" w:fill="CCF0FC"/>
          </w:tcPr>
          <w:p>
            <w:pPr>
              <w:spacing w:after="0"/>
              <w:rPr>
                <w:sz w:val="14"/>
                <w:szCs w:val="14"/>
                <w:color w:val="auto"/>
              </w:rPr>
            </w:pPr>
          </w:p>
        </w:tc>
        <w:tc>
          <w:tcPr>
            <w:tcW w:w="6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1,550</w:t>
            </w:r>
          </w:p>
        </w:tc>
        <w:tc>
          <w:tcPr>
            <w:tcW w:w="60" w:type="dxa"/>
            <w:vAlign w:val="bottom"/>
            <w:tcBorders>
              <w:left w:val="single" w:sz="8" w:color="CCF0FC"/>
            </w:tcBorders>
            <w:shd w:val="clear" w:color="auto" w:fill="CCF0FC"/>
          </w:tcPr>
          <w:p>
            <w:pPr>
              <w:spacing w:after="0"/>
              <w:rPr>
                <w:sz w:val="14"/>
                <w:szCs w:val="14"/>
                <w:color w:val="auto"/>
              </w:rPr>
            </w:pPr>
          </w:p>
        </w:tc>
        <w:tc>
          <w:tcPr>
            <w:tcW w:w="14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1,550</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(371,902)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371,902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(18,950)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(18,950)</w:t>
            </w: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Net income</w:t>
            </w:r>
          </w:p>
        </w:tc>
        <w:tc>
          <w:tcPr>
            <w:tcW w:w="120" w:type="dxa"/>
            <w:vAlign w:val="bottom"/>
            <w:tcBorders>
              <w:right w:val="single" w:sz="8" w:color="CCF0FC"/>
            </w:tcBorders>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30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60" w:type="dxa"/>
            <w:vAlign w:val="bottom"/>
            <w:shd w:val="clear" w:color="auto" w:fill="CCF0FC"/>
          </w:tcPr>
          <w:p>
            <w:pPr>
              <w:spacing w:after="0"/>
              <w:rPr>
                <w:sz w:val="14"/>
                <w:szCs w:val="14"/>
                <w:color w:val="auto"/>
              </w:rPr>
            </w:pPr>
          </w:p>
        </w:tc>
        <w:tc>
          <w:tcPr>
            <w:tcW w:w="6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6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20,709</w:t>
            </w:r>
          </w:p>
        </w:tc>
        <w:tc>
          <w:tcPr>
            <w:tcW w:w="18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20,709</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(1,748)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(1,748)</w:t>
            </w: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Unrealized gain on investments, net of tax</w:t>
            </w:r>
          </w:p>
        </w:tc>
        <w:tc>
          <w:tcPr>
            <w:tcW w:w="120" w:type="dxa"/>
            <w:vAlign w:val="bottom"/>
            <w:tcBorders>
              <w:right w:val="single" w:sz="8" w:color="CCF0FC"/>
            </w:tcBorders>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30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60" w:type="dxa"/>
            <w:vAlign w:val="bottom"/>
            <w:shd w:val="clear" w:color="auto" w:fill="CCF0FC"/>
          </w:tcPr>
          <w:p>
            <w:pPr>
              <w:spacing w:after="0"/>
              <w:rPr>
                <w:sz w:val="14"/>
                <w:szCs w:val="14"/>
                <w:color w:val="auto"/>
              </w:rPr>
            </w:pPr>
          </w:p>
        </w:tc>
        <w:tc>
          <w:tcPr>
            <w:tcW w:w="6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6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7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3"/>
                <w:szCs w:val="13"/>
                <w:color w:val="auto"/>
                <w:w w:val="97"/>
              </w:rPr>
              <w:t>Reclassification of gain on investments into earnings, net of tax</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62"/>
        </w:trPr>
        <w:tc>
          <w:tcPr>
            <w:tcW w:w="36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Adoption of ASU 2016-13</w:t>
            </w:r>
          </w:p>
        </w:tc>
        <w:tc>
          <w:tcPr>
            <w:tcW w:w="120" w:type="dxa"/>
            <w:vAlign w:val="bottom"/>
            <w:tcBorders>
              <w:right w:val="single" w:sz="8" w:color="CCF0FC"/>
            </w:tcBorders>
            <w:shd w:val="clear" w:color="auto" w:fill="CCF0FC"/>
          </w:tcPr>
          <w:p>
            <w:pPr>
              <w:spacing w:after="0"/>
              <w:rPr>
                <w:sz w:val="14"/>
                <w:szCs w:val="14"/>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2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F0FC"/>
          </w:tcPr>
          <w:p>
            <w:pPr>
              <w:spacing w:after="0"/>
              <w:rPr>
                <w:sz w:val="14"/>
                <w:szCs w:val="14"/>
                <w:color w:val="auto"/>
              </w:rPr>
            </w:pPr>
          </w:p>
        </w:tc>
        <w:tc>
          <w:tcPr>
            <w:tcW w:w="140" w:type="dxa"/>
            <w:vAlign w:val="bottom"/>
            <w:shd w:val="clear" w:color="auto" w:fill="CCF0FC"/>
          </w:tcPr>
          <w:p>
            <w:pPr>
              <w:spacing w:after="0"/>
              <w:rPr>
                <w:sz w:val="14"/>
                <w:szCs w:val="14"/>
                <w:color w:val="auto"/>
              </w:rPr>
            </w:pPr>
          </w:p>
        </w:tc>
        <w:tc>
          <w:tcPr>
            <w:tcW w:w="60" w:type="dxa"/>
            <w:vAlign w:val="bottom"/>
            <w:shd w:val="clear" w:color="auto" w:fill="CCF0FC"/>
          </w:tcPr>
          <w:p>
            <w:pPr>
              <w:spacing w:after="0"/>
              <w:rPr>
                <w:sz w:val="14"/>
                <w:szCs w:val="14"/>
                <w:color w:val="auto"/>
              </w:rPr>
            </w:pPr>
          </w:p>
        </w:tc>
        <w:tc>
          <w:tcPr>
            <w:tcW w:w="66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left w:val="single" w:sz="8" w:color="CCF0FC"/>
            </w:tcBorders>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F0FC"/>
            </w:tcBorders>
            <w:shd w:val="clear" w:color="auto" w:fill="CCF0FC"/>
          </w:tcPr>
          <w:p>
            <w:pPr>
              <w:spacing w:after="0"/>
              <w:rPr>
                <w:sz w:val="14"/>
                <w:szCs w:val="14"/>
                <w:color w:val="auto"/>
              </w:rPr>
            </w:pPr>
          </w:p>
        </w:tc>
        <w:tc>
          <w:tcPr>
            <w:tcW w:w="14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(1,069)</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8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(1,069)</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3"/>
                <w:szCs w:val="13"/>
                <w:color w:val="auto"/>
              </w:rPr>
              <w:t>Balances, June 30, 2020</w:t>
            </w: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35,126,118</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37</w:t>
            </w:r>
          </w:p>
        </w:tc>
        <w:tc>
          <w:tcPr>
            <w:tcW w:w="4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1,613,250</w:t>
            </w: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(65,247)</w:t>
            </w:r>
          </w:p>
        </w:tc>
        <w:tc>
          <w:tcPr>
            <w:tcW w:w="100" w:type="dxa"/>
            <w:vAlign w:val="bottom"/>
            <w:gridSpan w:val="2"/>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373,686</w:t>
            </w:r>
          </w:p>
        </w:tc>
        <w:tc>
          <w:tcPr>
            <w:tcW w:w="6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68,613</w:t>
            </w:r>
          </w:p>
        </w:tc>
        <w:tc>
          <w:tcPr>
            <w:tcW w:w="18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(3,779)</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373,310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9240" w:type="dxa"/>
            <w:vAlign w:val="bottom"/>
            <w:gridSpan w:val="24"/>
          </w:tcPr>
          <w:p>
            <w:pPr>
              <w:jc w:val="center"/>
              <w:ind w:left="1952"/>
              <w:spacing w:after="0"/>
              <w:rPr>
                <w:sz w:val="20"/>
                <w:szCs w:val="20"/>
                <w:color w:val="auto"/>
              </w:rPr>
            </w:pPr>
            <w:r>
              <w:rPr>
                <w:rFonts w:ascii="Arial" w:cs="Arial" w:eastAsia="Arial" w:hAnsi="Arial"/>
                <w:sz w:val="14"/>
                <w:szCs w:val="14"/>
                <w:color w:val="auto"/>
                <w:w w:val="92"/>
              </w:rPr>
              <w:t>Shares have been adjusted for all periods presented to reflect a two-for-one stock split effective August 22, 2019.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00" w:type="dxa"/>
            <w:vAlign w:val="bottom"/>
            <w:gridSpan w:val="20"/>
          </w:tcPr>
          <w:p>
            <w:pPr>
              <w:jc w:val="center"/>
              <w:ind w:left="2972"/>
              <w:spacing w:after="0"/>
              <w:rPr>
                <w:sz w:val="20"/>
                <w:szCs w:val="20"/>
                <w:color w:val="auto"/>
              </w:rPr>
            </w:pPr>
            <w:r>
              <w:rPr>
                <w:rFonts w:ascii="Arial" w:cs="Arial" w:eastAsia="Arial" w:hAnsi="Arial"/>
                <w:sz w:val="14"/>
                <w:szCs w:val="14"/>
                <w:color w:val="auto"/>
                <w:w w:val="90"/>
              </w:rPr>
              <w:t>See accompanying notes to these condensed consolidated financial statements.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3680" w:type="dxa"/>
            <w:vAlign w:val="bottom"/>
          </w:tcPr>
          <w:p>
            <w:pPr>
              <w:ind w:left="480"/>
              <w:spacing w:after="0"/>
              <w:rPr>
                <w:sz w:val="20"/>
                <w:szCs w:val="20"/>
                <w:color w:val="auto"/>
              </w:rPr>
            </w:pPr>
            <w:r>
              <w:rPr>
                <w:rFonts w:ascii="Arial" w:cs="Arial" w:eastAsia="Arial" w:hAnsi="Arial"/>
                <w:sz w:val="14"/>
                <w:szCs w:val="14"/>
                <w:b w:val="1"/>
                <w:bCs w:val="1"/>
                <w:color w:val="auto"/>
              </w:rPr>
              <w:t>SPS COMMERCE, INC.</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2"/>
          </w:tcPr>
          <w:p>
            <w:pPr>
              <w:jc w:val="center"/>
              <w:ind w:left="32"/>
              <w:spacing w:after="0"/>
              <w:rPr>
                <w:sz w:val="20"/>
                <w:szCs w:val="20"/>
                <w:color w:val="auto"/>
              </w:rPr>
            </w:pPr>
            <w:r>
              <w:rPr>
                <w:rFonts w:ascii="Arial" w:cs="Arial" w:eastAsia="Arial" w:hAnsi="Arial"/>
                <w:sz w:val="14"/>
                <w:szCs w:val="14"/>
                <w:color w:val="auto"/>
                <w:w w:val="76"/>
              </w:rPr>
              <w:t>5</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gridSpan w:val="11"/>
          </w:tcPr>
          <w:p>
            <w:pPr>
              <w:jc w:val="right"/>
              <w:spacing w:after="0"/>
              <w:rPr>
                <w:sz w:val="20"/>
                <w:szCs w:val="20"/>
                <w:color w:val="auto"/>
              </w:rPr>
            </w:pPr>
            <w:r>
              <w:rPr>
                <w:rFonts w:ascii="Arial" w:cs="Arial" w:eastAsia="Arial" w:hAnsi="Arial"/>
                <w:sz w:val="13"/>
                <w:szCs w:val="13"/>
                <w:b w:val="1"/>
                <w:bCs w:val="1"/>
                <w:color w:val="auto"/>
                <w:w w:val="88"/>
              </w:rPr>
              <w:t>Form 10-Q for the quarterly period ended June 30, 2020</w:t>
            </w:r>
          </w:p>
        </w:tc>
        <w:tc>
          <w:tcPr>
            <w:tcW w:w="0" w:type="dxa"/>
            <w:vAlign w:val="bottom"/>
          </w:tcPr>
          <w:p>
            <w:pPr>
              <w:spacing w:after="0"/>
              <w:rPr>
                <w:sz w:val="1"/>
                <w:szCs w:val="1"/>
                <w:color w:val="auto"/>
              </w:rPr>
            </w:pPr>
          </w:p>
        </w:tc>
      </w:tr>
      <w:tr>
        <w:trPr>
          <w:trHeight w:val="167"/>
        </w:trPr>
        <w:tc>
          <w:tcPr>
            <w:tcW w:w="36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2057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 w:name="page6"/>
    <w:bookmarkEnd w:id="5"/>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(Unaudited)</w:t>
            </w: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20,709</w:t>
            </w:r>
          </w:p>
        </w:tc>
        <w:tc>
          <w:tcPr>
            <w:tcW w:w="2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1,443</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earn-out liability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6,276</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9,353</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(7,071)</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costs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Other current and non-current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3,141</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(6,166)</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(964)</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4,705</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leases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(842)</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36,795</w:t>
            </w:r>
          </w:p>
        </w:tc>
        <w:tc>
          <w:tcPr>
            <w:tcW w:w="2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(8,396)</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investments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(55,144)</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(44,548)</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Maturities of investments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31,050</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(32,490)</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(18,950)</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(8,966)</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proceeds from exercise of options to purchase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9,426</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employee stock purchase plan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 for earn-out liability</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c>
          <w:tcPr>
            <w:tcW w:w="5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(8,662)</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currency exchange rate changes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(4,402)</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179,252</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174,850</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20574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0"/>
        <w:spacing w:after="0"/>
        <w:tabs>
          <w:tab w:leader="none" w:pos="558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 w:name="page7"/>
    <w:bookmarkEnd w:id="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Business Description</w:t>
      </w:r>
    </w:p>
    <w:p>
      <w:pPr>
        <w:spacing w:after="0" w:line="117" w:lineRule="exact"/>
        <w:rPr>
          <w:sz w:val="20"/>
          <w:szCs w:val="20"/>
          <w:color w:val="auto"/>
        </w:rPr>
      </w:pPr>
    </w:p>
    <w:p>
      <w:pPr>
        <w:ind w:right="140" w:firstLine="510"/>
        <w:spacing w:after="0" w:line="286" w:lineRule="auto"/>
        <w:rPr>
          <w:sz w:val="20"/>
          <w:szCs w:val="20"/>
          <w:color w:val="auto"/>
        </w:rPr>
      </w:pPr>
      <w:r>
        <w:rPr>
          <w:rFonts w:ascii="Arial" w:cs="Arial" w:eastAsia="Arial" w:hAnsi="Arial"/>
          <w:sz w:val="16"/>
          <w:szCs w:val="16"/>
          <w:color w:val="auto"/>
        </w:rPr>
        <w:t>SPS Commerce is a leading provider of cloud-based supply chain management solutions that make it easier for retailers, suppliers, grocers, distributors and logistics firms to orchestrate the management of item data, order fulfillment, inventory control and sales analytics across all channels. For many businesses, implementing and maintaining a suite of supply chain management capabilities is resource-intensive and not a core competency. The solutions offered by SPS Commerce eliminate the need for on-premise software and support staff by taking on that capability on the customer’s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behalf. These solutions also enable our customers to increase their supply cycle agility, optimize their inventory levels and sell-through, reduce operational costs and gain increased visibility into customer orders, helping ensure that suppliers, grocers, distributors, and logistics firms can satisfy retailer requirements.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Basis of Presentation</w:t>
      </w:r>
    </w:p>
    <w:p>
      <w:pPr>
        <w:spacing w:after="0" w:line="11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accompanying unaudited condensed consolidated financial statements include the accounts of SPS Commerce, Inc. and its subsidiaries. All intercompany accounts and transactions have been eliminated in the condensed consolidated financial statements, which have been prepared in conformity with U.S. generally accepted accounting principles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provide a fair presentation of our financial position, results of operations, stockholders’ equity, and cash flows for the interim periods shown. Operating results for these interim periods are not necessarily indicative of the results to be expected for the full year. For further information, refer to the consolidated financial statements and accompanying notes included in our Annual Report on Form 10-K for the year ended December 31, 2019, as filed with the Securities and Exchange Commission (“SEC”).</w:t>
      </w:r>
    </w:p>
    <w:p>
      <w:pPr>
        <w:spacing w:after="0" w:line="165"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 xml:space="preserve">Effective January 1, 2020, we adopted Accounting Standards Update (“ASU”) No.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(Topic 326) with a modified-retrospective approach and recorded a $1.1 million cumulative-effect adjustment to retained earnings. Under the standard, in determining the allowances for credit losses, we pool our outstanding accounts receivable invoices based on the contractual due date of payment at the balance sheet date. We take several factors into consideration for estimated credit losses by pool, primarily our historical credit losses. Additional adjustments are made for current and future conditions, primarily the rate of retail bankruptcies across the United States.</w:t>
      </w:r>
    </w:p>
    <w:p>
      <w:pPr>
        <w:spacing w:after="0" w:line="176"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On July 25, 2019, we announced that our board of directors declared a two-for-one stock split of our common stock, effected in the form of a 100 percent stock dividend as of the record date on August 8, 2019. The stock split dividend was distributed on August 22, 2019. Earnings per share and weighted average shares outstanding are presented in this Quarterly Report on Form 10-Q after the effect of the 100 percent stock dividend. The two-for-one stock split is reflected in the share amounts in all periods presented in this Quarterly Report on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Use of Estimates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20574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0"/>
        <w:spacing w:after="0"/>
        <w:tabs>
          <w:tab w:leader="none" w:pos="558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7</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2"/>
        </w:trPr>
        <w:tc>
          <w:tcPr>
            <w:tcW w:w="1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0" w:type="dxa"/>
            <w:vAlign w:val="bottom"/>
          </w:tcPr>
          <w:p>
            <w:pPr>
              <w:ind w:left="2440"/>
              <w:spacing w:after="0"/>
              <w:rPr>
                <w:rFonts w:ascii="Arial" w:cs="Arial" w:eastAsia="Arial" w:hAnsi="Arial"/>
                <w:sz w:val="13"/>
                <w:szCs w:val="13"/>
                <w:u w:val="single" w:color="auto"/>
                <w:color w:val="0000EE"/>
                <w:w w:val="91"/>
              </w:rPr>
            </w:pPr>
            <w:hyperlink w:anchor="page2">
              <w:r>
                <w:rPr>
                  <w:rFonts w:ascii="Arial" w:cs="Arial" w:eastAsia="Arial" w:hAnsi="Arial"/>
                  <w:sz w:val="13"/>
                  <w:szCs w:val="13"/>
                  <w:u w:val="single" w:color="auto"/>
                  <w:color w:val="0000EE"/>
                  <w:w w:val="91"/>
                </w:rPr>
                <w:t>Table of Contents</w:t>
              </w:r>
            </w:hyperlink>
          </w:p>
        </w:tc>
      </w:tr>
      <w:tr>
        <w:trPr>
          <w:trHeight w:val="568"/>
        </w:trPr>
        <w:tc>
          <w:tcPr>
            <w:tcW w:w="6580" w:type="dxa"/>
            <w:vAlign w:val="bottom"/>
            <w:gridSpan w:val="3"/>
          </w:tcPr>
          <w:p>
            <w:pPr>
              <w:spacing w:after="0"/>
              <w:rPr>
                <w:sz w:val="20"/>
                <w:szCs w:val="20"/>
                <w:color w:val="auto"/>
              </w:rPr>
            </w:pPr>
            <w:r>
              <w:rPr>
                <w:rFonts w:ascii="Arial" w:cs="Arial" w:eastAsia="Arial" w:hAnsi="Arial"/>
                <w:sz w:val="18"/>
                <w:szCs w:val="18"/>
                <w:b w:val="1"/>
                <w:bCs w:val="1"/>
                <w:i w:val="1"/>
                <w:iCs w:val="1"/>
                <w:color w:val="1F282C"/>
              </w:rPr>
              <w:t>Recently Adopted Accounting Pronouncements</w:t>
            </w:r>
          </w:p>
        </w:tc>
        <w:tc>
          <w:tcPr>
            <w:tcW w:w="12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78"/>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Standard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Date of Issuance</w:t>
            </w:r>
          </w:p>
        </w:tc>
        <w:tc>
          <w:tcPr>
            <w:tcW w:w="3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Description</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Date Adopted</w:t>
            </w:r>
          </w:p>
        </w:tc>
        <w:tc>
          <w:tcPr>
            <w:tcW w:w="34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Effect on the Financial Statements</w:t>
            </w:r>
          </w:p>
        </w:tc>
      </w:tr>
      <w:tr>
        <w:trPr>
          <w:trHeight w:val="209"/>
        </w:trPr>
        <w:tc>
          <w:tcPr>
            <w:tcW w:w="1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ASU 2016-13</w:t>
            </w:r>
            <w:r>
              <w:rPr>
                <w:rFonts w:ascii="Arial" w:cs="Arial" w:eastAsia="Arial" w:hAnsi="Arial"/>
                <w:sz w:val="18"/>
                <w:szCs w:val="18"/>
                <w:color w:val="auto"/>
              </w:rPr>
              <w:t>,</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2016</w:t>
            </w: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amendment replaces the incurred loss</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January 2020</w:t>
            </w: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2"/>
              </w:rPr>
              <w:t>The adoption of this standard did not have a</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Financial</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 methodology in current GAAP</w:t>
            </w: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material impact on our condensed</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Instruments - Credit</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with a methodology that reflects expected</w:t>
            </w: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9"/>
              </w:rPr>
              <w:t>consolidated financial statements. See above</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Losses (Topic 326),</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6"/>
              </w:rPr>
              <w:t>credit losses on instruments within its scope,</w:t>
            </w: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under “Basis for Presentation” for</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Measurement of</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including trade receivables. This is intended</w:t>
            </w: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significant inputs for the allowance for</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Credit Losses on</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provide financial statement users with</w:t>
            </w: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credit losses.</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w w:val="97"/>
              </w:rPr>
              <w:t>Financial Statements</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more decision-useful information about the</w:t>
            </w: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18"/>
                <w:szCs w:val="18"/>
                <w:color w:val="auto"/>
              </w:rPr>
            </w:pPr>
          </w:p>
        </w:tc>
      </w:tr>
      <w:tr>
        <w:trPr>
          <w:trHeight w:val="230"/>
        </w:trPr>
        <w:tc>
          <w:tcPr>
            <w:tcW w:w="16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expected credit losses.</w:t>
            </w:r>
          </w:p>
        </w:tc>
        <w:tc>
          <w:tcPr>
            <w:tcW w:w="1260" w:type="dxa"/>
            <w:vAlign w:val="bottom"/>
            <w:shd w:val="clear" w:color="auto" w:fill="CFF0FC"/>
          </w:tcPr>
          <w:p>
            <w:pPr>
              <w:spacing w:after="0"/>
              <w:rPr>
                <w:sz w:val="20"/>
                <w:szCs w:val="20"/>
                <w:color w:val="auto"/>
              </w:rPr>
            </w:pPr>
          </w:p>
        </w:tc>
        <w:tc>
          <w:tcPr>
            <w:tcW w:w="3400" w:type="dxa"/>
            <w:vAlign w:val="bottom"/>
            <w:shd w:val="clear" w:color="auto" w:fill="CFF0FC"/>
          </w:tcPr>
          <w:p>
            <w:pPr>
              <w:spacing w:after="0"/>
              <w:rPr>
                <w:sz w:val="20"/>
                <w:szCs w:val="20"/>
                <w:color w:val="auto"/>
              </w:rPr>
            </w:pPr>
          </w:p>
        </w:tc>
      </w:tr>
      <w:tr>
        <w:trPr>
          <w:trHeight w:val="215"/>
        </w:trPr>
        <w:tc>
          <w:tcPr>
            <w:tcW w:w="1660" w:type="dxa"/>
            <w:vAlign w:val="bottom"/>
          </w:tcPr>
          <w:p>
            <w:pPr>
              <w:spacing w:after="0"/>
              <w:rPr>
                <w:sz w:val="20"/>
                <w:szCs w:val="20"/>
                <w:color w:val="auto"/>
              </w:rPr>
            </w:pPr>
            <w:r>
              <w:rPr>
                <w:rFonts w:ascii="Arial" w:cs="Arial" w:eastAsia="Arial" w:hAnsi="Arial"/>
                <w:sz w:val="18"/>
                <w:szCs w:val="18"/>
                <w:b w:val="1"/>
                <w:bCs w:val="1"/>
                <w:color w:val="auto"/>
              </w:rPr>
              <w:t>ASU 2018-13</w:t>
            </w:r>
            <w:r>
              <w:rPr>
                <w:rFonts w:ascii="Arial" w:cs="Arial" w:eastAsia="Arial" w:hAnsi="Arial"/>
                <w:sz w:val="18"/>
                <w:szCs w:val="18"/>
                <w:color w:val="auto"/>
              </w:rPr>
              <w:t>, Fair</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August 2018</w:t>
            </w:r>
          </w:p>
        </w:tc>
        <w:tc>
          <w:tcPr>
            <w:tcW w:w="3600" w:type="dxa"/>
            <w:vAlign w:val="bottom"/>
          </w:tcPr>
          <w:p>
            <w:pPr>
              <w:ind w:left="140"/>
              <w:spacing w:after="0"/>
              <w:rPr>
                <w:sz w:val="20"/>
                <w:szCs w:val="20"/>
                <w:color w:val="auto"/>
              </w:rPr>
            </w:pPr>
            <w:r>
              <w:rPr>
                <w:rFonts w:ascii="Arial" w:cs="Arial" w:eastAsia="Arial" w:hAnsi="Arial"/>
                <w:sz w:val="18"/>
                <w:szCs w:val="18"/>
                <w:color w:val="auto"/>
                <w:w w:val="94"/>
              </w:rPr>
              <w:t>This amendment adds, modifies and removes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January 2020</w:t>
            </w:r>
          </w:p>
        </w:tc>
        <w:tc>
          <w:tcPr>
            <w:tcW w:w="3400" w:type="dxa"/>
            <w:vAlign w:val="bottom"/>
          </w:tcPr>
          <w:p>
            <w:pPr>
              <w:ind w:left="140"/>
              <w:spacing w:after="0"/>
              <w:rPr>
                <w:sz w:val="20"/>
                <w:szCs w:val="20"/>
                <w:color w:val="auto"/>
              </w:rPr>
            </w:pPr>
            <w:r>
              <w:rPr>
                <w:rFonts w:ascii="Arial" w:cs="Arial" w:eastAsia="Arial" w:hAnsi="Arial"/>
                <w:sz w:val="18"/>
                <w:szCs w:val="18"/>
                <w:color w:val="auto"/>
                <w:w w:val="92"/>
              </w:rPr>
              <w:t>The adoption of this standard did not have a</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Value Measurement</w:t>
            </w:r>
          </w:p>
        </w:tc>
        <w:tc>
          <w:tcPr>
            <w:tcW w:w="13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3"/>
              </w:rPr>
              <w:t>several disclosure requirements relative to the</w:t>
            </w:r>
          </w:p>
        </w:tc>
        <w:tc>
          <w:tcPr>
            <w:tcW w:w="126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material impact on our condensed</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(Topic 820),</w:t>
            </w:r>
          </w:p>
        </w:tc>
        <w:tc>
          <w:tcPr>
            <w:tcW w:w="13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three levels of inputs used to measure fair</w:t>
            </w:r>
          </w:p>
        </w:tc>
        <w:tc>
          <w:tcPr>
            <w:tcW w:w="126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consolidated financial statements.</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Disclosure</w:t>
            </w:r>
          </w:p>
        </w:tc>
        <w:tc>
          <w:tcPr>
            <w:tcW w:w="13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value in accordance with Topic 820, Fair</w:t>
            </w: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Framework -</w:t>
            </w:r>
          </w:p>
        </w:tc>
        <w:tc>
          <w:tcPr>
            <w:tcW w:w="13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Value Measurement.</w:t>
            </w: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Changes to the</w:t>
            </w:r>
          </w:p>
        </w:tc>
        <w:tc>
          <w:tcPr>
            <w:tcW w:w="1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Disclosure</w:t>
            </w:r>
          </w:p>
        </w:tc>
        <w:tc>
          <w:tcPr>
            <w:tcW w:w="1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Requirements for</w:t>
            </w:r>
          </w:p>
        </w:tc>
        <w:tc>
          <w:tcPr>
            <w:tcW w:w="1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Fair Value</w:t>
            </w:r>
          </w:p>
        </w:tc>
        <w:tc>
          <w:tcPr>
            <w:tcW w:w="1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Measurement</w:t>
            </w:r>
          </w:p>
        </w:tc>
        <w:tc>
          <w:tcPr>
            <w:tcW w:w="13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215"/>
        </w:trPr>
        <w:tc>
          <w:tcPr>
            <w:tcW w:w="1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ASU 2017-04</w:t>
            </w:r>
            <w:r>
              <w:rPr>
                <w:rFonts w:ascii="Arial" w:cs="Arial" w:eastAsia="Arial" w:hAnsi="Arial"/>
                <w:sz w:val="18"/>
                <w:szCs w:val="18"/>
                <w:color w:val="auto"/>
              </w:rPr>
              <w:t>,</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January 2017</w:t>
            </w: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This amendment eliminates Step 2 from the</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January 2020</w:t>
            </w: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2"/>
              </w:rPr>
              <w:t>The adoption of this standard did not have a</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Intangibles -</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impairment test.</w:t>
            </w: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material impact on our condensed</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consolidated financial statements.</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(Topic 350),</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18"/>
                <w:szCs w:val="18"/>
                <w:color w:val="auto"/>
              </w:rPr>
            </w:pP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Simplifying the Test</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18"/>
                <w:szCs w:val="18"/>
                <w:color w:val="auto"/>
              </w:rPr>
            </w:pP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for Goodwill</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18"/>
                <w:szCs w:val="18"/>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Impairment</w:t>
            </w:r>
          </w:p>
        </w:tc>
        <w:tc>
          <w:tcPr>
            <w:tcW w:w="1320" w:type="dxa"/>
            <w:vAlign w:val="bottom"/>
            <w:shd w:val="clear" w:color="auto" w:fill="CFF0FC"/>
          </w:tcPr>
          <w:p>
            <w:pPr>
              <w:spacing w:after="0"/>
              <w:rPr>
                <w:sz w:val="20"/>
                <w:szCs w:val="20"/>
                <w:color w:val="auto"/>
              </w:rPr>
            </w:pPr>
          </w:p>
        </w:tc>
        <w:tc>
          <w:tcPr>
            <w:tcW w:w="36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400" w:type="dxa"/>
            <w:vAlign w:val="bottom"/>
            <w:shd w:val="clear" w:color="auto" w:fill="CFF0FC"/>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Significant Accounting Policies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There were no material changes in our significant accounting policies during the six months ended June 30, 2020. See Note A to the consolidated financial statements included in our Annual Report on Form 10-K for the year ended December 31, 2019, as filed with the SEC, for additional information regarding our significant accounting policies.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B – Revenue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our revenues from the following revenue streams: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00" w:type="dxa"/>
            <w:vAlign w:val="bottom"/>
            <w:tcBorders>
              <w:bottom w:val="single" w:sz="8" w:color="CFF0FC"/>
            </w:tcBorders>
            <w:vMerge w:val="continue"/>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1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Fulfillment</w:t>
            </w:r>
          </w:p>
        </w:tc>
        <w:tc>
          <w:tcPr>
            <w:tcW w:w="21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60,745</w:t>
            </w:r>
          </w:p>
        </w:tc>
        <w:tc>
          <w:tcPr>
            <w:tcW w:w="2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53,694</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119,848</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Analytics</w:t>
            </w:r>
          </w:p>
        </w:tc>
        <w:tc>
          <w:tcPr>
            <w:tcW w:w="1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18,983</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w:t>
            </w:r>
          </w:p>
        </w:tc>
        <w:tc>
          <w:tcPr>
            <w:tcW w:w="1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1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71,213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64,356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141,251</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One-time revenues</w:t>
            </w:r>
          </w:p>
        </w:tc>
        <w:tc>
          <w:tcPr>
            <w:tcW w:w="1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8,514</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75,573</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68,529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149,765</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192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0"/>
        </w:trPr>
        <w:tc>
          <w:tcPr>
            <w:tcW w:w="38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gridSpan w:val="7"/>
          </w:tcPr>
          <w:p>
            <w:pPr>
              <w:ind w:left="40"/>
              <w:spacing w:after="0"/>
              <w:rPr>
                <w:sz w:val="20"/>
                <w:szCs w:val="20"/>
                <w:color w:val="auto"/>
              </w:rPr>
            </w:pPr>
            <w:r>
              <w:rPr>
                <w:rFonts w:ascii="Arial" w:cs="Arial" w:eastAsia="Arial" w:hAnsi="Arial"/>
                <w:sz w:val="13"/>
                <w:szCs w:val="13"/>
                <w:b w:val="1"/>
                <w:bCs w:val="1"/>
                <w:color w:val="auto"/>
                <w:w w:val="87"/>
              </w:rPr>
              <w:t>Form 10-Q for the quarterly period ended June 30, 2020</w:t>
            </w:r>
          </w:p>
        </w:tc>
        <w:tc>
          <w:tcPr>
            <w:tcW w:w="0" w:type="dxa"/>
            <w:vAlign w:val="bottom"/>
          </w:tcPr>
          <w:p>
            <w:pPr>
              <w:spacing w:after="0"/>
              <w:rPr>
                <w:sz w:val="1"/>
                <w:szCs w:val="1"/>
                <w:color w:val="auto"/>
              </w:rPr>
            </w:pPr>
          </w:p>
        </w:tc>
      </w:tr>
      <w:tr>
        <w:trPr>
          <w:trHeight w:val="168"/>
        </w:trPr>
        <w:tc>
          <w:tcPr>
            <w:tcW w:w="3800" w:type="dxa"/>
            <w:vAlign w:val="bottom"/>
            <w:tcBorders>
              <w:bottom w:val="single" w:sz="8" w:color="9A9A9A"/>
            </w:tcBorders>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 w:name="page9"/>
    <w:bookmarkEnd w:id="8"/>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52"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Revenues</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Recurring revenues consists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deferred revenue liability for recurring revenue contracts are for one year or less and recognized on a ratable basis over the contract term. We have applied the optional exemption to not disclose information about the remaining performance obligations for contracts which have original durations of one year or less.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One-time Revenues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One-time revenues consist of set-up fees from customers and miscellaneous one-time fees.</w:t>
      </w:r>
    </w:p>
    <w:p>
      <w:pPr>
        <w:spacing w:after="0" w:line="225" w:lineRule="exact"/>
        <w:rPr>
          <w:sz w:val="20"/>
          <w:szCs w:val="20"/>
          <w:color w:val="auto"/>
        </w:rPr>
      </w:pPr>
    </w:p>
    <w:p>
      <w:pPr>
        <w:jc w:val="both"/>
        <w:ind w:right="460" w:firstLine="510"/>
        <w:spacing w:after="0" w:line="286" w:lineRule="auto"/>
        <w:rPr>
          <w:sz w:val="20"/>
          <w:szCs w:val="20"/>
          <w:color w:val="auto"/>
        </w:rPr>
      </w:pPr>
      <w:r>
        <w:rPr>
          <w:rFonts w:ascii="Arial" w:cs="Arial" w:eastAsia="Arial" w:hAnsi="Arial"/>
          <w:sz w:val="17"/>
          <w:szCs w:val="17"/>
          <w:color w:val="212529"/>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w:t>
      </w:r>
    </w:p>
    <w:p>
      <w:pPr>
        <w:spacing w:after="0" w:line="165"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212529"/>
        </w:rPr>
        <w:t>Certain contracts contain set-up fees that constitute a material renewal option right. This material right provides customers a significant future incentive that would not otherwise be available to them unless they entered into the contract, as the set-up fees will not be incurred again upon contract renewal.</w:t>
      </w:r>
    </w:p>
    <w:p>
      <w:pPr>
        <w:spacing w:after="0" w:line="184"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212529"/>
        </w:rPr>
        <w:t xml:space="preserve">For our Fulfillment solution, we have determined that the set-up fees and related costs represent a material renewal option right to our customers as they will not be incurred again upon renewal. These set-up fees and related costs are deferred and recognized ratably over </w:t>
      </w:r>
      <w:r>
        <w:rPr>
          <w:rFonts w:ascii="Arial" w:cs="Arial" w:eastAsia="Arial" w:hAnsi="Arial"/>
          <w:sz w:val="18"/>
          <w:szCs w:val="18"/>
          <w:color w:val="000000"/>
        </w:rPr>
        <w:t>two years</w:t>
      </w:r>
      <w:r>
        <w:rPr>
          <w:rFonts w:ascii="Arial" w:cs="Arial" w:eastAsia="Arial" w:hAnsi="Arial"/>
          <w:sz w:val="18"/>
          <w:szCs w:val="18"/>
          <w:color w:val="212529"/>
        </w:rPr>
        <w:t>, which is the estimated period for which a material right is present for our customers.</w:t>
      </w:r>
    </w:p>
    <w:p>
      <w:pPr>
        <w:spacing w:after="0" w:line="184" w:lineRule="exact"/>
        <w:rPr>
          <w:sz w:val="20"/>
          <w:szCs w:val="20"/>
          <w:color w:val="auto"/>
        </w:rPr>
      </w:pPr>
    </w:p>
    <w:p>
      <w:pPr>
        <w:jc w:val="both"/>
        <w:ind w:right="40" w:firstLine="510"/>
        <w:spacing w:after="0" w:line="277" w:lineRule="auto"/>
        <w:rPr>
          <w:sz w:val="20"/>
          <w:szCs w:val="20"/>
          <w:color w:val="auto"/>
        </w:rPr>
      </w:pPr>
      <w:r>
        <w:rPr>
          <w:rFonts w:ascii="Arial" w:cs="Arial" w:eastAsia="Arial" w:hAnsi="Arial"/>
          <w:sz w:val="18"/>
          <w:szCs w:val="18"/>
          <w:color w:val="212529"/>
        </w:rPr>
        <w:t xml:space="preserve">For our Analytics solution, we have determined that the set-up fees do not represent a material customer renewal right and, as such, are deferred and recognized ratably over the estimated initial contract term, which is generally </w:t>
      </w:r>
      <w:r>
        <w:rPr>
          <w:rFonts w:ascii="Arial" w:cs="Arial" w:eastAsia="Arial" w:hAnsi="Arial"/>
          <w:sz w:val="18"/>
          <w:szCs w:val="18"/>
          <w:color w:val="000000"/>
        </w:rPr>
        <w:t>one year</w:t>
      </w:r>
      <w:r>
        <w:rPr>
          <w:rFonts w:ascii="Arial" w:cs="Arial" w:eastAsia="Arial" w:hAnsi="Arial"/>
          <w:sz w:val="18"/>
          <w:szCs w:val="18"/>
          <w:color w:val="212529"/>
        </w:rPr>
        <w: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Borders>
              <w:bottom w:val="single" w:sz="8" w:color="CFF0FC"/>
            </w:tcBorders>
            <w:vMerge w:val="continue"/>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10,518</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60"/>
              <w:spacing w:after="0"/>
              <w:rPr>
                <w:sz w:val="20"/>
                <w:szCs w:val="20"/>
                <w:color w:val="auto"/>
              </w:rPr>
            </w:pPr>
            <w:r>
              <w:rPr>
                <w:rFonts w:ascii="Arial" w:cs="Arial" w:eastAsia="Arial" w:hAnsi="Arial"/>
                <w:sz w:val="18"/>
                <w:szCs w:val="18"/>
                <w:color w:val="auto"/>
              </w:rPr>
              <w:t>Invoiced set-up fees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set-up fees</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(2,687)</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(2,579)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(5,352)</w:t>
            </w: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Balance, end of period</w:t>
            </w:r>
          </w:p>
        </w:tc>
        <w:tc>
          <w:tcPr>
            <w:tcW w:w="18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10,633</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10,633</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20574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558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 w:name="page10"/>
    <w:bookmarkEnd w:id="9"/>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5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entire balance of set-up fees will be recognized within two years and, as such, current amounts will be recognized in the next 1-12 months and long-term amounts will be recognized in the next 13-24 months.</w:t>
      </w:r>
    </w:p>
    <w:p>
      <w:pPr>
        <w:spacing w:after="0" w:line="170"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Miscellaneous one-time fees consist of professional services and testing and certification. The deferred revenue liability for these one-time fees are for one year or less and recognized at the time service is provided. We have applied the optional exemption to not disclose information about the remaining performance obligations for contracts which have original durations of one year or less.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C – Deferred Costs</w:t>
      </w:r>
    </w:p>
    <w:p>
      <w:pPr>
        <w:spacing w:after="0" w:line="121"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212529"/>
        </w:rPr>
        <w:t>Deferred costs consist of costs to obtain customer contracts, such as commissions paid to sales personnel and to third-party partners for customer referrals, and costs to fulfill customer contracts, such as customer implementation costs.</w:t>
      </w:r>
    </w:p>
    <w:p>
      <w:pPr>
        <w:spacing w:after="0" w:line="170" w:lineRule="exact"/>
        <w:rPr>
          <w:sz w:val="20"/>
          <w:szCs w:val="20"/>
          <w:color w:val="auto"/>
        </w:rPr>
      </w:pPr>
    </w:p>
    <w:p>
      <w:pPr>
        <w:jc w:val="both"/>
        <w:ind w:right="180" w:firstLine="510"/>
        <w:spacing w:after="0" w:line="311" w:lineRule="auto"/>
        <w:rPr>
          <w:sz w:val="20"/>
          <w:szCs w:val="20"/>
          <w:color w:val="auto"/>
        </w:rPr>
      </w:pPr>
      <w:r>
        <w:rPr>
          <w:rFonts w:ascii="Arial" w:cs="Arial" w:eastAsia="Arial" w:hAnsi="Arial"/>
          <w:sz w:val="16"/>
          <w:szCs w:val="16"/>
          <w:color w:val="212529"/>
        </w:rPr>
        <w:t xml:space="preserve">Costs to obtain customer contracts relating to recurring revenues are considered incremental and recoverable costs of obtaining a contract with our customer. These costs are deferred and amortized over the expected period of benefit which we have determined to be </w:t>
      </w:r>
      <w:r>
        <w:rPr>
          <w:rFonts w:ascii="Arial" w:cs="Arial" w:eastAsia="Arial" w:hAnsi="Arial"/>
          <w:sz w:val="16"/>
          <w:szCs w:val="16"/>
          <w:color w:val="000000"/>
        </w:rPr>
        <w:t>two years</w:t>
      </w:r>
      <w:r>
        <w:rPr>
          <w:rFonts w:ascii="Arial" w:cs="Arial" w:eastAsia="Arial" w:hAnsi="Arial"/>
          <w:sz w:val="16"/>
          <w:szCs w:val="16"/>
          <w:color w:val="212529"/>
        </w:rPr>
        <w:t>. Amortization expense is included in sales and marketing expenses in the accompanying condensed consolidated statements of comprehensive income.</w:t>
      </w:r>
    </w:p>
    <w:p>
      <w:pPr>
        <w:spacing w:after="0" w:line="149" w:lineRule="exact"/>
        <w:rPr>
          <w:sz w:val="20"/>
          <w:szCs w:val="20"/>
          <w:color w:val="auto"/>
        </w:rPr>
      </w:pPr>
    </w:p>
    <w:p>
      <w:pPr>
        <w:ind w:right="500" w:firstLine="510"/>
        <w:spacing w:after="0" w:line="263" w:lineRule="auto"/>
        <w:rPr>
          <w:sz w:val="20"/>
          <w:szCs w:val="20"/>
          <w:color w:val="auto"/>
        </w:rPr>
      </w:pPr>
      <w:r>
        <w:rPr>
          <w:rFonts w:ascii="Arial" w:cs="Arial" w:eastAsia="Arial" w:hAnsi="Arial"/>
          <w:sz w:val="18"/>
          <w:szCs w:val="18"/>
          <w:color w:val="212529"/>
        </w:rPr>
        <w:t xml:space="preserve">Costs to fulfill customer contracts are considered incremental and recoverable costs of obtaining a contract with our customer. These costs are deferred and amortized over the expected period of benefit which we have determined to be </w:t>
      </w:r>
      <w:r>
        <w:rPr>
          <w:rFonts w:ascii="Arial" w:cs="Arial" w:eastAsia="Arial" w:hAnsi="Arial"/>
          <w:sz w:val="18"/>
          <w:szCs w:val="18"/>
          <w:color w:val="000000"/>
        </w:rPr>
        <w:t>two years</w:t>
      </w:r>
      <w:r>
        <w:rPr>
          <w:rFonts w:ascii="Arial" w:cs="Arial" w:eastAsia="Arial" w:hAnsi="Arial"/>
          <w:sz w:val="18"/>
          <w:szCs w:val="18"/>
          <w:color w:val="212529"/>
        </w:rPr>
        <w:t>. Amortization expense is included in cost of revenues in the accompanying condensed consolidated statements of comprehensive income.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activity of deferred costs and amortization of deferred costs: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00" w:type="dxa"/>
            <w:vAlign w:val="bottom"/>
            <w:tcBorders>
              <w:bottom w:val="single" w:sz="8" w:color="CFF0FC"/>
            </w:tcBorders>
            <w:vMerge w:val="continue"/>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46,936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46,941</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60"/>
              <w:spacing w:after="0"/>
              <w:rPr>
                <w:sz w:val="20"/>
                <w:szCs w:val="20"/>
                <w:color w:val="auto"/>
              </w:rPr>
            </w:pPr>
            <w:r>
              <w:rPr>
                <w:rFonts w:ascii="Arial" w:cs="Arial" w:eastAsia="Arial" w:hAnsi="Arial"/>
                <w:sz w:val="18"/>
                <w:szCs w:val="18"/>
                <w:color w:val="auto"/>
              </w:rPr>
              <w:t>Incurred deferred costs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12,350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25,071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deferred costs</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(12,637)</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(12,243)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(25,363)</w:t>
            </w: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(24,159)</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Balance, end of period</w:t>
            </w:r>
          </w:p>
        </w:tc>
        <w:tc>
          <w:tcPr>
            <w:tcW w:w="18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46,649</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46,649</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D –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Cash equivalents and investments</w:t>
      </w:r>
    </w:p>
    <w:p>
      <w:pPr>
        <w:spacing w:after="0" w:line="11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We invest primarily in money market funds, certificates of deposit, highly liquid debt instruments of the U.S. government and U.S. corporate debt securities. Highly liquid investments with original maturities of 90 days or less are classified as cash equivalents. Investments with remaining maturities of less than one year from the balance sheet date are classified as short-term investments whereas those with remaining maturities of more than one year from the balance sheet date are classified as investments. Our marketable securities are classified as available-for-sale. We intend to hold marketable securities until maturity; however, we may sell these securities at any time for use in current operations or for other purposes.</w:t>
      </w:r>
    </w:p>
    <w:p>
      <w:pPr>
        <w:spacing w:after="0" w:line="161"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Our marketable securities are carried at fair value and unrealized gains and losses on these investments, net of taxes, are included in accumulated other comprehensive loss in the condensed consolidated balance sheets. Realized gains or losses are included in other income (expense), net in the condensed consolidated statements of comprehensive income. When a determination has been made that the fair value of a marketable security is below its amortized cost basis, the portion of the unrealized loss that corresponds to a credit-related factor is realized through a credit allowance on the marketable security and the equivalent expense is realized in other income (expense), net in the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20574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ind w:left="180"/>
              <w:spacing w:after="0"/>
              <w:rPr>
                <w:rFonts w:ascii="Arial" w:cs="Arial" w:eastAsia="Arial" w:hAnsi="Arial"/>
                <w:sz w:val="13"/>
                <w:szCs w:val="13"/>
                <w:u w:val="single" w:color="auto"/>
                <w:color w:val="0000EE"/>
                <w:w w:val="91"/>
              </w:rPr>
            </w:pPr>
            <w:hyperlink w:anchor="page2">
              <w:r>
                <w:rPr>
                  <w:rFonts w:ascii="Arial" w:cs="Arial" w:eastAsia="Arial" w:hAnsi="Arial"/>
                  <w:sz w:val="13"/>
                  <w:szCs w:val="13"/>
                  <w:u w:val="single" w:color="auto"/>
                  <w:color w:val="0000EE"/>
                  <w:w w:val="91"/>
                </w:rPr>
                <w:t>Table of Contents</w:t>
              </w:r>
            </w:hyperlink>
          </w:p>
        </w:tc>
        <w:tc>
          <w:tcPr>
            <w:tcW w:w="0" w:type="dxa"/>
            <w:vAlign w:val="bottom"/>
          </w:tcPr>
          <w:p>
            <w:pPr>
              <w:spacing w:after="0"/>
              <w:rPr>
                <w:sz w:val="1"/>
                <w:szCs w:val="1"/>
                <w:color w:val="auto"/>
              </w:rPr>
            </w:pPr>
          </w:p>
        </w:tc>
      </w:tr>
      <w:tr>
        <w:trPr>
          <w:trHeight w:val="635"/>
        </w:trPr>
        <w:tc>
          <w:tcPr>
            <w:tcW w:w="5800" w:type="dxa"/>
            <w:vAlign w:val="bottom"/>
          </w:tcPr>
          <w:p>
            <w:pPr>
              <w:ind w:left="520"/>
              <w:spacing w:after="0"/>
              <w:rPr>
                <w:sz w:val="20"/>
                <w:szCs w:val="20"/>
                <w:color w:val="auto"/>
              </w:rPr>
            </w:pPr>
            <w:r>
              <w:rPr>
                <w:rFonts w:ascii="Arial" w:cs="Arial" w:eastAsia="Arial" w:hAnsi="Arial"/>
                <w:sz w:val="18"/>
                <w:szCs w:val="18"/>
                <w:color w:val="auto"/>
              </w:rPr>
              <w:t>Cash equivalents and investments consisted of the following:</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June 30, 2020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40" w:type="dxa"/>
            <w:vAlign w:val="bottom"/>
          </w:tcPr>
          <w:p>
            <w:pPr>
              <w:jc w:val="center"/>
              <w:ind w:right="214"/>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Gains (Losses)</w:t>
            </w:r>
          </w:p>
        </w:tc>
        <w:tc>
          <w:tcPr>
            <w:tcW w:w="3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8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142,916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Certificates of deposit</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12,588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580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201,254</w:t>
            </w:r>
          </w:p>
        </w:tc>
        <w:tc>
          <w:tcPr>
            <w:tcW w:w="240" w:type="dxa"/>
            <w:vAlign w:val="bottom"/>
            <w:tcBorders>
              <w:bottom w:val="single" w:sz="8" w:color="CFF0FC"/>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201,257</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Maturing within one year</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Maturing within one to two years</w:t>
            </w:r>
          </w:p>
        </w:tc>
        <w:tc>
          <w:tcPr>
            <w:tcW w:w="8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40" w:type="dxa"/>
            <w:vAlign w:val="bottom"/>
          </w:tcPr>
          <w:p>
            <w:pPr>
              <w:jc w:val="center"/>
              <w:ind w:right="214"/>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Gains, net</w:t>
            </w:r>
          </w:p>
        </w:tc>
        <w:tc>
          <w:tcPr>
            <w:tcW w:w="3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8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151,266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Certificates of deposit</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8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800" w:type="dxa"/>
            <w:vAlign w:val="bottom"/>
          </w:tcPr>
          <w:p>
            <w:pPr>
              <w:spacing w:after="0"/>
              <w:rPr>
                <w:sz w:val="24"/>
                <w:szCs w:val="24"/>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185,439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185,550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FF2FC"/>
            </w:tcBorders>
            <w:shd w:val="clear" w:color="auto" w:fill="CFF2FC"/>
          </w:tcPr>
          <w:p>
            <w:pPr>
              <w:spacing w:after="0"/>
              <w:rPr>
                <w:sz w:val="20"/>
                <w:szCs w:val="20"/>
                <w:color w:val="auto"/>
              </w:rPr>
            </w:pPr>
            <w:r>
              <w:rPr>
                <w:rFonts w:ascii="Arial" w:cs="Arial" w:eastAsia="Arial" w:hAnsi="Arial"/>
                <w:sz w:val="18"/>
                <w:szCs w:val="18"/>
                <w:color w:val="auto"/>
              </w:rPr>
              <w:t>Maturing within one year</w:t>
            </w:r>
          </w:p>
        </w:tc>
        <w:tc>
          <w:tcPr>
            <w:tcW w:w="860" w:type="dxa"/>
            <w:vAlign w:val="bottom"/>
            <w:tcBorders>
              <w:top w:val="single" w:sz="8" w:color="CFF2FC"/>
            </w:tcBorders>
            <w:shd w:val="clear" w:color="auto" w:fill="CFF2FC"/>
          </w:tcPr>
          <w:p>
            <w:pPr>
              <w:spacing w:after="0"/>
              <w:rPr>
                <w:sz w:val="18"/>
                <w:szCs w:val="18"/>
                <w:color w:val="auto"/>
              </w:rPr>
            </w:pPr>
          </w:p>
        </w:tc>
        <w:tc>
          <w:tcPr>
            <w:tcW w:w="200" w:type="dxa"/>
            <w:vAlign w:val="bottom"/>
            <w:tcBorders>
              <w:top w:val="single" w:sz="8" w:color="auto"/>
            </w:tcBorders>
            <w:shd w:val="clear" w:color="auto" w:fill="CFF2FC"/>
          </w:tcPr>
          <w:p>
            <w:pPr>
              <w:spacing w:after="0"/>
              <w:rPr>
                <w:sz w:val="18"/>
                <w:szCs w:val="18"/>
                <w:color w:val="auto"/>
              </w:rPr>
            </w:pPr>
          </w:p>
        </w:tc>
        <w:tc>
          <w:tcPr>
            <w:tcW w:w="1120" w:type="dxa"/>
            <w:vAlign w:val="bottom"/>
            <w:tcBorders>
              <w:top w:val="single" w:sz="8" w:color="auto"/>
            </w:tcBorders>
            <w:shd w:val="clear" w:color="auto" w:fill="CFF2FC"/>
          </w:tcPr>
          <w:p>
            <w:pPr>
              <w:spacing w:after="0"/>
              <w:rPr>
                <w:sz w:val="18"/>
                <w:szCs w:val="18"/>
                <w:color w:val="auto"/>
              </w:rPr>
            </w:pPr>
          </w:p>
        </w:tc>
        <w:tc>
          <w:tcPr>
            <w:tcW w:w="240" w:type="dxa"/>
            <w:vAlign w:val="bottom"/>
            <w:tcBorders>
              <w:top w:val="single" w:sz="8" w:color="CFF2FC"/>
            </w:tcBorders>
            <w:shd w:val="clear" w:color="auto" w:fill="CFF2FC"/>
          </w:tcPr>
          <w:p>
            <w:pPr>
              <w:spacing w:after="0"/>
              <w:rPr>
                <w:sz w:val="18"/>
                <w:szCs w:val="18"/>
                <w:color w:val="auto"/>
              </w:rPr>
            </w:pPr>
          </w:p>
        </w:tc>
        <w:tc>
          <w:tcPr>
            <w:tcW w:w="160" w:type="dxa"/>
            <w:vAlign w:val="bottom"/>
            <w:tcBorders>
              <w:top w:val="single" w:sz="8" w:color="auto"/>
            </w:tcBorders>
            <w:shd w:val="clear" w:color="auto" w:fill="CFF2FC"/>
          </w:tcPr>
          <w:p>
            <w:pPr>
              <w:spacing w:after="0"/>
              <w:rPr>
                <w:sz w:val="18"/>
                <w:szCs w:val="18"/>
                <w:color w:val="auto"/>
              </w:rPr>
            </w:pPr>
          </w:p>
        </w:tc>
        <w:tc>
          <w:tcPr>
            <w:tcW w:w="1180" w:type="dxa"/>
            <w:vAlign w:val="bottom"/>
            <w:tcBorders>
              <w:top w:val="single" w:sz="8" w:color="auto"/>
            </w:tcBorders>
            <w:shd w:val="clear" w:color="auto" w:fill="CFF2FC"/>
          </w:tcPr>
          <w:p>
            <w:pPr>
              <w:spacing w:after="0"/>
              <w:rPr>
                <w:sz w:val="18"/>
                <w:szCs w:val="18"/>
                <w:color w:val="auto"/>
              </w:rPr>
            </w:pPr>
          </w:p>
        </w:tc>
        <w:tc>
          <w:tcPr>
            <w:tcW w:w="240" w:type="dxa"/>
            <w:vAlign w:val="bottom"/>
            <w:tcBorders>
              <w:top w:val="single" w:sz="8" w:color="CFF2FC"/>
            </w:tcBorders>
            <w:shd w:val="clear" w:color="auto" w:fill="CFF2FC"/>
          </w:tcPr>
          <w:p>
            <w:pPr>
              <w:spacing w:after="0"/>
              <w:rPr>
                <w:sz w:val="18"/>
                <w:szCs w:val="18"/>
                <w:color w:val="auto"/>
              </w:rPr>
            </w:pPr>
          </w:p>
        </w:tc>
        <w:tc>
          <w:tcPr>
            <w:tcW w:w="300" w:type="dxa"/>
            <w:vAlign w:val="bottom"/>
            <w:tcBorders>
              <w:top w:val="single" w:sz="8" w:color="auto"/>
              <w:bottom w:val="single" w:sz="8" w:color="auto"/>
            </w:tcBorders>
            <w:shd w:val="clear" w:color="auto" w:fill="CFF2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185,550</w:t>
            </w:r>
          </w:p>
        </w:tc>
        <w:tc>
          <w:tcPr>
            <w:tcW w:w="100" w:type="dxa"/>
            <w:vAlign w:val="bottom"/>
            <w:tcBorders>
              <w:top w:val="single" w:sz="8" w:color="CFF2FC"/>
            </w:tcBorders>
            <w:shd w:val="clear" w:color="auto" w:fill="CFF2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6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Fair Value Measurements</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79"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1000" w:right="200" w:hanging="493"/>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obtain the fair values of our level 2 available-for-sale securities from a professional pricing service.</w:t>
      </w:r>
    </w:p>
    <w:p>
      <w:pPr>
        <w:spacing w:after="0" w:line="22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For the earn-out liability related to the EDIAdmin acquisition, the Company utilized the Monte Carlo simulation method to estimate the fair value of this contingent liability as of the balance sheet date. Thousands of iterations of the simulation were performed using forecasted revenues to develop a distribution of future values of recurring revenue which, in turn, provided indicated earn-out payments. The total estimated fair value equals the sum of the average present values of the indicated earn-out payments. Changes in the assumptions used in the simulations described above could have an impact on the payout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0574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1" w:name="page12"/>
    <w:bookmarkEnd w:id="11"/>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and indicates the fair value hierarchy of the valuation techniques utilized to determine such fair value: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447"/>
              <w:spacing w:after="0"/>
              <w:rPr>
                <w:sz w:val="20"/>
                <w:szCs w:val="20"/>
                <w:color w:val="auto"/>
              </w:rPr>
            </w:pPr>
            <w:r>
              <w:rPr>
                <w:rFonts w:ascii="Arial" w:cs="Arial" w:eastAsia="Arial" w:hAnsi="Arial"/>
                <w:sz w:val="14"/>
                <w:szCs w:val="14"/>
                <w:b w:val="1"/>
                <w:bCs w:val="1"/>
                <w:color w:val="auto"/>
              </w:rPr>
              <w:t>June 30, 2020</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142,916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6,890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11,335</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12,574</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27,542</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Earn-out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307</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151,266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9,805</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7,503</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9,946</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Earn-out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405</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0"/>
        <w:spacing w:after="0" w:line="261" w:lineRule="auto"/>
        <w:rPr>
          <w:sz w:val="20"/>
          <w:szCs w:val="20"/>
          <w:color w:val="auto"/>
        </w:rPr>
      </w:pPr>
      <w:r>
        <w:rPr>
          <w:rFonts w:ascii="Arial" w:cs="Arial" w:eastAsia="Arial" w:hAnsi="Arial"/>
          <w:sz w:val="18"/>
          <w:szCs w:val="18"/>
          <w:color w:val="auto"/>
        </w:rPr>
        <w:t xml:space="preserve">During the three months ended June 30, 2020, there was no change in the earn-out liability. During the six months ended June 30, 2020, </w:t>
      </w:r>
      <w:r>
        <w:rPr>
          <w:rFonts w:ascii="Arial" w:cs="Arial" w:eastAsia="Arial" w:hAnsi="Arial"/>
          <w:sz w:val="18"/>
          <w:szCs w:val="18"/>
          <w:color w:val="212529"/>
        </w:rPr>
        <w:t>we</w:t>
      </w:r>
      <w:r>
        <w:rPr>
          <w:rFonts w:ascii="Arial" w:cs="Arial" w:eastAsia="Arial" w:hAnsi="Arial"/>
          <w:sz w:val="18"/>
          <w:szCs w:val="18"/>
          <w:color w:val="auto"/>
        </w:rPr>
        <w:t xml:space="preserve"> </w:t>
      </w:r>
      <w:r>
        <w:rPr>
          <w:rFonts w:ascii="Arial" w:cs="Arial" w:eastAsia="Arial" w:hAnsi="Arial"/>
          <w:sz w:val="18"/>
          <w:szCs w:val="18"/>
          <w:color w:val="212529"/>
        </w:rPr>
        <w:t>recognized an expense of $0.1 million in our condensed consolidated statements of comprehensive income due to the remeasurement of the contingent liability and, additionally, we transferred $0.2 million out of Level 3. The remaining earn-out liability is expected to be paid in the first quarter of 2021 and has been measured as Level 3 given the unobservable inputs that are significant to the measurement of the liability. The earn-out has a maximum potential payout of $1.7 million, of which $0.7 million was paid.</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212529"/>
        </w:rPr>
        <w:t>There were no other transfers in or out of our Level 1, 2, or 3 assets or liabilities during the six months ended June 30, 2020 and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Nonrecurring Fair Value Measurements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 xml:space="preserve">The Company </w:t>
      </w:r>
      <w:r>
        <w:rPr>
          <w:rFonts w:ascii="Arial" w:cs="Arial" w:eastAsia="Arial" w:hAnsi="Arial"/>
          <w:sz w:val="18"/>
          <w:szCs w:val="18"/>
          <w:color w:val="212529"/>
        </w:rPr>
        <w:t>measures certain assets and liabilities at fair value on a nonrecurring basis. Assets that are measured at fair value on a nonrecurring</w:t>
      </w:r>
      <w:r>
        <w:rPr>
          <w:rFonts w:ascii="Arial" w:cs="Arial" w:eastAsia="Arial" w:hAnsi="Arial"/>
          <w:sz w:val="18"/>
          <w:szCs w:val="18"/>
          <w:color w:val="auto"/>
        </w:rPr>
        <w:t xml:space="preserve"> </w:t>
      </w:r>
      <w:r>
        <w:rPr>
          <w:rFonts w:ascii="Arial" w:cs="Arial" w:eastAsia="Arial" w:hAnsi="Arial"/>
          <w:sz w:val="18"/>
          <w:szCs w:val="18"/>
          <w:color w:val="212529"/>
        </w:rPr>
        <w:t>basis include long-lived assets, goodwill and indefinite-lived intangible assets, which would generally be recorded at fair value as a result of an impairment charge. Assets acquired and liabilities assumed as part of business combinations are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12</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2" w:name="page13"/>
    <w:bookmarkEnd w:id="12"/>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Other Fair Value Disclosures</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carrying values of the Company's financial instruments, including cash and cash equivalents, accounts receivable, and accounts payable, when applicable, approximate their respective fair values due to their short-term nature.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E – Allowance for Credit Losses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allowance for credit losses activity, included in accounts receivable, net,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8"/>
          </w:tcPr>
          <w:p>
            <w:pPr>
              <w:jc w:val="center"/>
              <w:ind w:left="8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Adoption of ASU 2016-13</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credit losses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Write-offs, net of recoveries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(1,895)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4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00AAE5"/>
              </w:rPr>
              <w:t>NOTE F – Goodwill and Intangible Assets, net</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40" w:type="dxa"/>
            <w:vAlign w:val="bottom"/>
          </w:tcPr>
          <w:p>
            <w:pPr>
              <w:ind w:left="520"/>
              <w:spacing w:after="0"/>
              <w:rPr>
                <w:sz w:val="20"/>
                <w:szCs w:val="20"/>
                <w:color w:val="auto"/>
              </w:rPr>
            </w:pPr>
            <w:r>
              <w:rPr>
                <w:rFonts w:ascii="Arial" w:cs="Arial" w:eastAsia="Arial" w:hAnsi="Arial"/>
                <w:sz w:val="18"/>
                <w:szCs w:val="18"/>
                <w:color w:val="auto"/>
                <w:w w:val="99"/>
              </w:rPr>
              <w:t>The changes in the net carrying amount of goodwill was as follows: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8"/>
          </w:tcPr>
          <w:p>
            <w:pPr>
              <w:ind w:left="12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8"/>
          </w:tcPr>
          <w:p>
            <w:pPr>
              <w:jc w:val="center"/>
              <w:ind w:left="4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4"/>
          </w:tcPr>
          <w:p>
            <w:pPr>
              <w:jc w:val="center"/>
              <w:ind w:left="476"/>
              <w:spacing w:after="0" w:line="155" w:lineRule="exact"/>
              <w:rPr>
                <w:sz w:val="20"/>
                <w:szCs w:val="20"/>
                <w:color w:val="auto"/>
              </w:rPr>
            </w:pPr>
            <w:r>
              <w:rPr>
                <w:rFonts w:ascii="Arial" w:cs="Arial" w:eastAsia="Arial" w:hAnsi="Arial"/>
                <w:sz w:val="14"/>
                <w:szCs w:val="14"/>
                <w:b w:val="1"/>
                <w:bCs w:val="1"/>
                <w:color w:val="auto"/>
                <w:w w:val="89"/>
              </w:rPr>
              <w:t>2020</w:t>
            </w: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center"/>
              <w:ind w:right="448"/>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76,845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69,658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(962)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FF0FC"/>
          </w:tcPr>
          <w:p>
            <w:pPr>
              <w:jc w:val="center"/>
              <w:ind w:right="448"/>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75,883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70,300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240" w:type="dxa"/>
            <w:vAlign w:val="bottom"/>
            <w:gridSpan w:val="22"/>
          </w:tcPr>
          <w:p>
            <w:pPr>
              <w:ind w:left="520"/>
              <w:spacing w:after="0"/>
              <w:rPr>
                <w:sz w:val="20"/>
                <w:szCs w:val="20"/>
                <w:color w:val="auto"/>
              </w:rPr>
            </w:pPr>
            <w:r>
              <w:rPr>
                <w:rFonts w:ascii="Arial" w:cs="Arial" w:eastAsia="Arial" w:hAnsi="Arial"/>
                <w:sz w:val="18"/>
                <w:szCs w:val="18"/>
                <w:color w:val="auto"/>
                <w:w w:val="93"/>
              </w:rPr>
              <w:t>Intangible assets subject to amortization are amortized over their respective useful lives (ranging from three to ten years). Intangible assets, net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included the following:</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2"/>
              </w:rPr>
              <w:t>June 30, 2020</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left="120"/>
              <w:spacing w:after="0" w:line="147"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28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28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4"/>
                <w:szCs w:val="14"/>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(22,476)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76"/>
              </w:rPr>
              <w:t>(223)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4"/>
          </w:tcPr>
          <w:p>
            <w:pPr>
              <w:jc w:val="right"/>
              <w:ind w:right="1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(2,217)</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gridSpan w:val="5"/>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45,340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(25,321)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76"/>
              </w:rPr>
              <w:t>(229)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left="120"/>
              <w:spacing w:after="0" w:line="147"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28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28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4"/>
                <w:szCs w:val="14"/>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43,640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(27,287)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9"/>
              </w:rPr>
              <w:t>214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(2,643)</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54,737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(32,301)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232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3" w:name="page14"/>
    <w:bookmarkEnd w:id="13"/>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5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estimated annual amortization expense related to intangible assets subject to amortization for the next five years and thereafter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8"/>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19,790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00AAE5"/>
              </w:rPr>
              <w:t>NOTE G – Other Assets</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920" w:type="dxa"/>
            <w:vAlign w:val="bottom"/>
            <w:gridSpan w:val="10"/>
          </w:tcPr>
          <w:p>
            <w:pPr>
              <w:ind w:left="520"/>
              <w:spacing w:after="0"/>
              <w:rPr>
                <w:sz w:val="20"/>
                <w:szCs w:val="20"/>
                <w:color w:val="auto"/>
              </w:rPr>
            </w:pPr>
            <w:r>
              <w:rPr>
                <w:rFonts w:ascii="Arial" w:cs="Arial" w:eastAsia="Arial" w:hAnsi="Arial"/>
                <w:sz w:val="18"/>
                <w:szCs w:val="18"/>
                <w:color w:val="auto"/>
                <w:w w:val="91"/>
              </w:rPr>
              <w:t>The changes in the net amount of capitalized implementation costs for software hosting arrangements is as follows:</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34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Capitalized implementation fees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implementation fees</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Balance,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1,188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impairment losses in relation to the capitalized implementation costs for the six months ended June 30, 2020 and 2019.</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H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Leases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obligated under non-cancellable operating leases, primarily for office space and certain equipment,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66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5"/>
          </w:tcPr>
          <w:p>
            <w:pPr>
              <w:ind w:left="7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remaining term)</w:t>
            </w:r>
          </w:p>
        </w:tc>
        <w:tc>
          <w:tcPr>
            <w:tcW w:w="1220" w:type="dxa"/>
            <w:vAlign w:val="bottom"/>
            <w:tcBorders>
              <w:top w:val="single" w:sz="8" w:color="auto"/>
            </w:tcBorders>
          </w:tcPr>
          <w:p>
            <w:pPr>
              <w:jc w:val="right"/>
              <w:ind w:right="198"/>
              <w:spacing w:after="0" w:line="133" w:lineRule="exact"/>
              <w:rPr>
                <w:sz w:val="20"/>
                <w:szCs w:val="20"/>
                <w:color w:val="auto"/>
              </w:rPr>
            </w:pPr>
            <w:r>
              <w:rPr>
                <w:rFonts w:ascii="Arial" w:cs="Arial" w:eastAsia="Arial" w:hAnsi="Arial"/>
                <w:sz w:val="14"/>
                <w:szCs w:val="14"/>
                <w:b w:val="1"/>
                <w:bCs w:val="1"/>
                <w:color w:val="auto"/>
              </w:rPr>
              <w:t>Remaining</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95"/>
              <w:spacing w:after="0" w:line="133" w:lineRule="exact"/>
              <w:rPr>
                <w:sz w:val="20"/>
                <w:szCs w:val="20"/>
                <w:color w:val="auto"/>
              </w:rPr>
            </w:pPr>
            <w:r>
              <w:rPr>
                <w:rFonts w:ascii="Arial" w:cs="Arial" w:eastAsia="Arial" w:hAnsi="Arial"/>
                <w:sz w:val="14"/>
                <w:szCs w:val="14"/>
                <w:b w:val="1"/>
                <w:bCs w:val="1"/>
                <w:color w:val="auto"/>
                <w:w w:val="95"/>
              </w:rPr>
              <w:t>Right-of-Use</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18"/>
              <w:spacing w:after="0" w:line="133" w:lineRule="exact"/>
              <w:rPr>
                <w:sz w:val="20"/>
                <w:szCs w:val="20"/>
                <w:color w:val="auto"/>
              </w:rPr>
            </w:pPr>
            <w:r>
              <w:rPr>
                <w:rFonts w:ascii="Arial" w:cs="Arial" w:eastAsia="Arial" w:hAnsi="Arial"/>
                <w:sz w:val="14"/>
                <w:szCs w:val="14"/>
                <w:b w:val="1"/>
                <w:bCs w:val="1"/>
                <w:color w:val="auto"/>
              </w:rPr>
              <w:t>Remaining</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55"/>
              <w:spacing w:after="0" w:line="133" w:lineRule="exact"/>
              <w:rPr>
                <w:sz w:val="20"/>
                <w:szCs w:val="20"/>
                <w:color w:val="auto"/>
              </w:rPr>
            </w:pPr>
            <w:r>
              <w:rPr>
                <w:rFonts w:ascii="Arial" w:cs="Arial" w:eastAsia="Arial" w:hAnsi="Arial"/>
                <w:sz w:val="14"/>
                <w:szCs w:val="14"/>
                <w:b w:val="1"/>
                <w:bCs w:val="1"/>
                <w:color w:val="auto"/>
                <w:w w:val="92"/>
              </w:rPr>
              <w:t>Right-of-Use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60" w:type="dxa"/>
            <w:vAlign w:val="bottom"/>
            <w:vMerge w:val="continue"/>
          </w:tcPr>
          <w:p>
            <w:pPr>
              <w:spacing w:after="0"/>
              <w:rPr>
                <w:sz w:val="14"/>
                <w:szCs w:val="14"/>
                <w:color w:val="auto"/>
              </w:rPr>
            </w:pPr>
          </w:p>
        </w:tc>
        <w:tc>
          <w:tcPr>
            <w:tcW w:w="1220" w:type="dxa"/>
            <w:vAlign w:val="bottom"/>
          </w:tcPr>
          <w:p>
            <w:pPr>
              <w:jc w:val="right"/>
              <w:ind w:right="378"/>
              <w:spacing w:after="0"/>
              <w:rPr>
                <w:sz w:val="20"/>
                <w:szCs w:val="20"/>
                <w:color w:val="auto"/>
              </w:rPr>
            </w:pPr>
            <w:r>
              <w:rPr>
                <w:rFonts w:ascii="Arial" w:cs="Arial" w:eastAsia="Arial" w:hAnsi="Arial"/>
                <w:sz w:val="14"/>
                <w:szCs w:val="14"/>
                <w:b w:val="1"/>
                <w:bCs w:val="1"/>
                <w:color w:val="auto"/>
              </w:rPr>
              <w:t>Term</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15"/>
              <w:spacing w:after="0"/>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378"/>
              <w:spacing w:after="0"/>
              <w:rPr>
                <w:sz w:val="20"/>
                <w:szCs w:val="20"/>
                <w:color w:val="auto"/>
              </w:rPr>
            </w:pPr>
            <w:r>
              <w:rPr>
                <w:rFonts w:ascii="Arial" w:cs="Arial" w:eastAsia="Arial" w:hAnsi="Arial"/>
                <w:sz w:val="14"/>
                <w:szCs w:val="14"/>
                <w:b w:val="1"/>
                <w:bCs w:val="1"/>
                <w:color w:val="auto"/>
              </w:rPr>
              <w:t>Term</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Asset</w:t>
            </w:r>
          </w:p>
        </w:tc>
        <w:tc>
          <w:tcPr>
            <w:tcW w:w="0" w:type="dxa"/>
            <w:vAlign w:val="bottom"/>
          </w:tcPr>
          <w:p>
            <w:pPr>
              <w:spacing w:after="0"/>
              <w:rPr>
                <w:sz w:val="1"/>
                <w:szCs w:val="1"/>
                <w:color w:val="auto"/>
              </w:rPr>
            </w:pP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Minneapolis, MN lease</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10,280</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Kyev, Ukraine lease</w:t>
            </w:r>
          </w:p>
        </w:tc>
        <w:tc>
          <w:tcPr>
            <w:tcW w:w="1220" w:type="dxa"/>
            <w:vAlign w:val="bottom"/>
          </w:tcPr>
          <w:p>
            <w:pPr>
              <w:jc w:val="right"/>
              <w:spacing w:after="0"/>
              <w:rPr>
                <w:sz w:val="20"/>
                <w:szCs w:val="20"/>
                <w:color w:val="auto"/>
              </w:rPr>
            </w:pPr>
            <w:r>
              <w:rPr>
                <w:rFonts w:ascii="Arial" w:cs="Arial" w:eastAsia="Arial" w:hAnsi="Arial"/>
                <w:sz w:val="18"/>
                <w:szCs w:val="18"/>
                <w:color w:val="auto"/>
              </w:rPr>
              <w:t>5 years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 years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Little Falls, NJ lease</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years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years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leases</w:t>
            </w: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&lt;1 - 5 years</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&lt;1 - 5 years</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14,839</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Some of our leases may include options to extend the leases for up to five years. The options to extend our leases are not recognized as part of our Right-of-Use (“ROU”) assets and lease liabilities as it is not reasonably certain that we will exercise those options. Additionally, our agreements do not include options to terminate the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2"/>
        </w:trPr>
        <w:tc>
          <w:tcPr>
            <w:tcW w:w="4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120"/>
              <w:spacing w:after="0"/>
              <w:rPr>
                <w:rFonts w:ascii="Arial" w:cs="Arial" w:eastAsia="Arial" w:hAnsi="Arial"/>
                <w:sz w:val="13"/>
                <w:szCs w:val="13"/>
                <w:u w:val="single" w:color="auto"/>
                <w:color w:val="0000EE"/>
                <w:w w:val="91"/>
              </w:rPr>
            </w:pPr>
            <w:hyperlink w:anchor="page2">
              <w:r>
                <w:rPr>
                  <w:rFonts w:ascii="Arial" w:cs="Arial" w:eastAsia="Arial" w:hAnsi="Arial"/>
                  <w:sz w:val="13"/>
                  <w:szCs w:val="13"/>
                  <w:u w:val="single" w:color="auto"/>
                  <w:color w:val="0000EE"/>
                  <w:w w:val="91"/>
                </w:rPr>
                <w:t>Table of Contents</w:t>
              </w:r>
            </w:hyperlink>
          </w:p>
        </w:tc>
        <w:tc>
          <w:tcPr>
            <w:tcW w:w="0" w:type="dxa"/>
            <w:vAlign w:val="bottom"/>
          </w:tcPr>
          <w:p>
            <w:pPr>
              <w:spacing w:after="0"/>
              <w:rPr>
                <w:sz w:val="1"/>
                <w:szCs w:val="1"/>
                <w:color w:val="auto"/>
              </w:rPr>
            </w:pPr>
          </w:p>
        </w:tc>
      </w:tr>
      <w:tr>
        <w:trPr>
          <w:trHeight w:val="635"/>
        </w:trPr>
        <w:tc>
          <w:tcPr>
            <w:tcW w:w="4940" w:type="dxa"/>
            <w:vAlign w:val="bottom"/>
          </w:tcPr>
          <w:p>
            <w:pPr>
              <w:ind w:left="520"/>
              <w:spacing w:after="0"/>
              <w:rPr>
                <w:sz w:val="20"/>
                <w:szCs w:val="20"/>
                <w:color w:val="auto"/>
              </w:rPr>
            </w:pPr>
            <w:r>
              <w:rPr>
                <w:rFonts w:ascii="Arial" w:cs="Arial" w:eastAsia="Arial" w:hAnsi="Arial"/>
                <w:sz w:val="18"/>
                <w:szCs w:val="18"/>
                <w:color w:val="auto"/>
              </w:rPr>
              <w:t>The components of lease expense were as follows: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4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40" w:type="dxa"/>
            <w:vAlign w:val="bottom"/>
            <w:tcBorders>
              <w:bottom w:val="single" w:sz="8" w:color="CFF0FC"/>
            </w:tcBorders>
            <w:vMerge w:val="continue"/>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8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2"/>
              </w:rPr>
              <w:t>June 30,</w:t>
            </w:r>
          </w:p>
        </w:tc>
        <w:tc>
          <w:tcPr>
            <w:tcW w:w="1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60" w:type="dxa"/>
            <w:vAlign w:val="bottom"/>
            <w:tcBorders>
              <w:bottom w:val="single" w:sz="8" w:color="CFF0FC"/>
            </w:tcBorders>
            <w:gridSpan w:val="2"/>
            <w:vMerge w:val="continue"/>
          </w:tcPr>
          <w:p>
            <w:pPr>
              <w:spacing w:after="0"/>
              <w:rPr>
                <w:sz w:val="13"/>
                <w:szCs w:val="13"/>
                <w:color w:val="auto"/>
              </w:rPr>
            </w:pPr>
          </w:p>
        </w:tc>
        <w:tc>
          <w:tcPr>
            <w:tcW w:w="162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2,278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ROU assets obtained in exchange for operating lease liabilities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7360" w:type="dxa"/>
            <w:vAlign w:val="bottom"/>
            <w:gridSpan w:val="2"/>
          </w:tcPr>
          <w:p>
            <w:pPr>
              <w:ind w:left="52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6"/>
          </w:tcPr>
          <w:p>
            <w:pPr>
              <w:ind w:left="320"/>
              <w:spacing w:after="0"/>
              <w:rPr>
                <w:sz w:val="20"/>
                <w:szCs w:val="20"/>
                <w:color w:val="auto"/>
              </w:rPr>
            </w:pPr>
            <w:r>
              <w:rPr>
                <w:rFonts w:ascii="Arial" w:cs="Arial" w:eastAsia="Arial" w:hAnsi="Arial"/>
                <w:sz w:val="14"/>
                <w:szCs w:val="14"/>
                <w:b w:val="1"/>
                <w:bCs w:val="1"/>
                <w:color w:val="auto"/>
              </w:rPr>
              <w:t>June 30, 2020</w:t>
            </w:r>
          </w:p>
        </w:tc>
        <w:tc>
          <w:tcPr>
            <w:tcW w:w="16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1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 years</w:t>
            </w:r>
          </w:p>
        </w:tc>
        <w:tc>
          <w:tcPr>
            <w:tcW w:w="28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 years</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Weighted-average discount rate - operating leases</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72"/>
        </w:trPr>
        <w:tc>
          <w:tcPr>
            <w:tcW w:w="7360" w:type="dxa"/>
            <w:vAlign w:val="bottom"/>
            <w:gridSpan w:val="2"/>
          </w:tcPr>
          <w:p>
            <w:pPr>
              <w:ind w:left="520"/>
              <w:spacing w:after="0"/>
              <w:rPr>
                <w:sz w:val="20"/>
                <w:szCs w:val="20"/>
                <w:color w:val="auto"/>
              </w:rPr>
            </w:pPr>
            <w:r>
              <w:rPr>
                <w:rFonts w:ascii="Arial" w:cs="Arial" w:eastAsia="Arial" w:hAnsi="Arial"/>
                <w:sz w:val="18"/>
                <w:szCs w:val="18"/>
                <w:color w:val="auto"/>
                <w:w w:val="96"/>
              </w:rPr>
              <w:t>At June 30, 2020, our future minimum payments under operating leases were as follows: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04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6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gridSpan w:val="3"/>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Purchase Commitments</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1F282C"/>
        </w:rPr>
        <w:t>In May 2020, we entered into a noncancelable agreement with a computing infrastructure vendor for services through May 2023. At June 30, 2020, the remaining purchase commitment was $14.7 million.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I – Stock-Based Compensation</w:t>
      </w:r>
    </w:p>
    <w:p>
      <w:pPr>
        <w:spacing w:after="0" w:line="121"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performance share units (“PSU”), restricted stock awards (“RSA”), restricted stock units (“RSU”), and deferred stock units (“DSU”), to employees, non-employee directors and other consultants who provide services to us. We also provide an employee stock purchase plan (“ESPP”) and 401(k) stock match.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20574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5" w:name="page16"/>
    <w:bookmarkEnd w:id="15"/>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RSAs result in the issuance of new shares when granted. For other stock-based awards, new shares are issued when the award is exercised, vested or released according to the terms of the agreement. In February 2020, 2.1 million additional shares were reserved for future issuance under our 2010 Equity Incentive Plan. At June 30, 2020, there were approximately 14.0 million shares available for grant under approved equity compensation plans.</w:t>
      </w:r>
    </w:p>
    <w:p>
      <w:pPr>
        <w:spacing w:after="0" w:line="14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We generally recognize stock-based compensation expense on a straight-line basis over the vesting period. Exceptions include when retirement-eligible employees have not given their required notice, in which case expense is recognized on a continuous pro-rata basis relative to the time period until notice is given and for PSUs, in which case expense is recognized on a straight-line basis from the grant date through the end of the performance period, regardless of whether the market condition is satisfied.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in the condensed consolidated statements of comprehensive income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vMerge w:val="continue"/>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3,927</w:t>
            </w:r>
          </w:p>
        </w:tc>
        <w:tc>
          <w:tcPr>
            <w:tcW w:w="2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40" w:type="dxa"/>
            <w:vAlign w:val="bottom"/>
          </w:tcPr>
          <w:p>
            <w:pPr>
              <w:spacing w:after="0"/>
              <w:rPr>
                <w:sz w:val="20"/>
                <w:szCs w:val="20"/>
                <w:color w:val="auto"/>
              </w:rPr>
            </w:pPr>
          </w:p>
        </w:tc>
        <w:tc>
          <w:tcPr>
            <w:tcW w:w="5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5,009</w:t>
            </w:r>
          </w:p>
        </w:tc>
        <w:tc>
          <w:tcPr>
            <w:tcW w:w="240" w:type="dxa"/>
            <w:vAlign w:val="bottom"/>
          </w:tcPr>
          <w:p>
            <w:pPr>
              <w:spacing w:after="0"/>
              <w:rPr>
                <w:sz w:val="20"/>
                <w:szCs w:val="20"/>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2,875</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9,353</w:t>
            </w:r>
          </w:p>
        </w:tc>
        <w:tc>
          <w:tcPr>
            <w:tcW w:w="24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520"/>
              <w:spacing w:after="0"/>
              <w:rPr>
                <w:sz w:val="20"/>
                <w:szCs w:val="20"/>
                <w:color w:val="auto"/>
              </w:rPr>
            </w:pPr>
            <w:r>
              <w:rPr>
                <w:rFonts w:ascii="Arial" w:cs="Arial" w:eastAsia="Arial" w:hAnsi="Arial"/>
                <w:sz w:val="18"/>
                <w:szCs w:val="18"/>
                <w:color w:val="auto"/>
                <w:w w:val="94"/>
              </w:rPr>
              <w:t>Stock-based compensation expense by plan type was as follows:</w:t>
            </w: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vMerge w:val="continue"/>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PSUs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RSAs and DSUs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401(k) stock match</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9,353</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As of June 30, 2020, there was $26.6 million of unrecognized stock-based compensation expense under our equity compensation plans, which is expected to be recognized over a weighted average period of 2.7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Stock Options</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4560" w:type="dxa"/>
            <w:vAlign w:val="bottom"/>
            <w:gridSpan w:val="6"/>
          </w:tcPr>
          <w:p>
            <w:pPr>
              <w:ind w:left="1220"/>
              <w:spacing w:after="0"/>
              <w:rPr>
                <w:sz w:val="20"/>
                <w:szCs w:val="20"/>
                <w:color w:val="auto"/>
              </w:rPr>
            </w:pPr>
            <w:r>
              <w:rPr>
                <w:rFonts w:ascii="Arial" w:cs="Arial" w:eastAsia="Arial" w:hAnsi="Arial"/>
                <w:sz w:val="14"/>
                <w:szCs w:val="14"/>
                <w:b w:val="1"/>
                <w:bCs w:val="1"/>
                <w:color w:val="auto"/>
              </w:rPr>
              <w:t>Six Months Ended June 30, 2020</w:t>
            </w:r>
          </w:p>
        </w:tc>
      </w:tr>
      <w:tr>
        <w:trPr>
          <w:trHeight w:val="146"/>
        </w:trPr>
        <w:tc>
          <w:tcPr>
            <w:tcW w:w="668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jc w:val="center"/>
              <w:ind w:right="95"/>
              <w:spacing w:after="0" w:line="147"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2"/>
                <w:szCs w:val="12"/>
                <w:color w:val="auto"/>
              </w:rPr>
            </w:pPr>
          </w:p>
        </w:tc>
      </w:tr>
      <w:tr>
        <w:trPr>
          <w:trHeight w:val="171"/>
        </w:trPr>
        <w:tc>
          <w:tcPr>
            <w:tcW w:w="6680" w:type="dxa"/>
            <w:vAlign w:val="bottom"/>
          </w:tcPr>
          <w:p>
            <w:pPr>
              <w:spacing w:after="0"/>
              <w:rPr>
                <w:sz w:val="14"/>
                <w:szCs w:val="14"/>
                <w:color w:val="auto"/>
              </w:rPr>
            </w:pPr>
          </w:p>
        </w:tc>
        <w:tc>
          <w:tcPr>
            <w:tcW w:w="22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Options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 (per share)</w:t>
            </w: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1,543,912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spacing w:after="0"/>
              <w:rPr>
                <w:sz w:val="20"/>
                <w:szCs w:val="20"/>
                <w:color w:val="auto"/>
              </w:rPr>
            </w:pPr>
            <w:r>
              <w:rPr>
                <w:rFonts w:ascii="Arial" w:cs="Arial" w:eastAsia="Arial" w:hAnsi="Arial"/>
                <w:sz w:val="18"/>
                <w:szCs w:val="18"/>
                <w:color w:val="auto"/>
              </w:rPr>
              <w:t>114,945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56.93</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2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(399,844)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FF0FC"/>
          </w:tcPr>
          <w:p>
            <w:pPr>
              <w:spacing w:after="0"/>
              <w:rPr>
                <w:sz w:val="19"/>
                <w:szCs w:val="19"/>
                <w:color w:val="auto"/>
              </w:rPr>
            </w:pP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40.40</w:t>
            </w:r>
          </w:p>
        </w:tc>
        <w:tc>
          <w:tcPr>
            <w:tcW w:w="100" w:type="dxa"/>
            <w:vAlign w:val="bottom"/>
          </w:tcPr>
          <w:p>
            <w:pPr>
              <w:spacing w:after="0"/>
              <w:rPr>
                <w:sz w:val="19"/>
                <w:szCs w:val="19"/>
                <w:color w:val="auto"/>
              </w:rPr>
            </w:pP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1,257,135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6" w:name="page17"/>
    <w:bookmarkEnd w:id="1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52"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Of the total outstanding options at June 30, 2020, 0.9 million were exercisable. The outstanding and exercisable options had a weighted average exercise price of $30.76 per share and a weighted average remaining contractual life of 3.1 years.</w:t>
      </w:r>
    </w:p>
    <w:p>
      <w:pPr>
        <w:spacing w:after="0" w:line="17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first six months of 2020 was $15.53 per share. This was estimated on the date of grant using the Black-Scholes option 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Dividend yield</w:t>
            </w:r>
          </w:p>
        </w:tc>
        <w:tc>
          <w:tcPr>
            <w:tcW w:w="5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4.0</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28"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The expected volatility of the options is based on the historical volatility of our common stock. We have not issued dividends on our common stock and do not expect to do so in the foreseeable future. Beginning with awards granted in 2020, the expected term of options is derived from historical data on employee exercises and post-vesting employment termination behavior. For awards granted prior to 2020, the expected term of the options was based on the simplified method which did not consider historical employee exercise behavior. The risk-free interest rate is based on the U.S. Treasury rates at the date of grant with maturity dates approximately equal to the expected life at the grant date.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Performance Share Units, Restricted Stock Units and Awards, and Deferred Stock Units</w:t>
      </w:r>
    </w:p>
    <w:p>
      <w:pPr>
        <w:spacing w:after="0" w:line="117" w:lineRule="exact"/>
        <w:rPr>
          <w:sz w:val="20"/>
          <w:szCs w:val="20"/>
          <w:color w:val="auto"/>
        </w:rPr>
      </w:pPr>
    </w:p>
    <w:p>
      <w:pPr>
        <w:jc w:val="both"/>
        <w:ind w:right="400" w:firstLine="510"/>
        <w:spacing w:after="0" w:line="263" w:lineRule="auto"/>
        <w:rPr>
          <w:sz w:val="20"/>
          <w:szCs w:val="20"/>
          <w:color w:val="auto"/>
        </w:rPr>
      </w:pPr>
      <w:r>
        <w:rPr>
          <w:rFonts w:ascii="Arial" w:cs="Arial" w:eastAsia="Arial" w:hAnsi="Arial"/>
          <w:sz w:val="18"/>
          <w:szCs w:val="18"/>
          <w:color w:val="auto"/>
        </w:rPr>
        <w:t>In February 2017, our executive officers were granted PSU awards with vesting contingent on successful attainment of pre-determined revenue targets over the course of a three-year performance period (fiscal years 2017 – 2019). The fair value is measured as the number of performance shares expected to be earned multiplied by the grant date fair value of our shares.</w:t>
      </w:r>
    </w:p>
    <w:p>
      <w:pPr>
        <w:spacing w:after="0" w:line="184"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In February 2018, 2019, and 2020, our executive officers were granted PSU awards with vesting contingent on our total shareholder return as compared to indexed total shareholder return over the course of a fiscal based three-year performance period, starting in the fiscal year of grant. The grant date fair value was estimated using a Monte Carlo simulation that utilizes multiple input variables that determine the probability of satisfying the performance conditions stipulated in the award and calculates the fair market value for the PSUs granted.</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RSUs generally vest over four years and, upon vesting, the holder is entitled to receive shares of our common stock.</w:t>
      </w:r>
    </w:p>
    <w:p>
      <w:pPr>
        <w:spacing w:after="0" w:line="225"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RSAs vest over one year and, upon vesting, the holder is entitled to receive shares of our common stock. In lieu of RSAs, a participant may elect to receive DSUs with one year vesting but the participant directs delayed receipt of common shares of up to ten years after the end of service to the Company.</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for our PSU, RSU, RSA, and DSU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 2020</w:t>
            </w: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jc w:val="center"/>
              <w:ind w:right="75"/>
              <w:spacing w:after="0" w:line="147" w:lineRule="exact"/>
              <w:rPr>
                <w:sz w:val="20"/>
                <w:szCs w:val="20"/>
                <w:color w:val="auto"/>
              </w:rPr>
            </w:pPr>
            <w:r>
              <w:rPr>
                <w:rFonts w:ascii="Arial" w:cs="Arial" w:eastAsia="Arial" w:hAnsi="Arial"/>
                <w:sz w:val="14"/>
                <w:szCs w:val="14"/>
                <w:b w:val="1"/>
                <w:bCs w:val="1"/>
                <w:color w:val="auto"/>
                <w:w w:val="93"/>
              </w:rPr>
              <w:t>Weighted Average Grant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3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Date Fair Value (per share)</w:t>
            </w: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25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797,546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60"/>
              <w:spacing w:after="0"/>
              <w:rPr>
                <w:sz w:val="20"/>
                <w:szCs w:val="20"/>
                <w:color w:val="auto"/>
              </w:rPr>
            </w:pPr>
            <w:r>
              <w:rPr>
                <w:rFonts w:ascii="Arial" w:cs="Arial" w:eastAsia="Arial" w:hAnsi="Arial"/>
                <w:sz w:val="18"/>
                <w:szCs w:val="18"/>
                <w:color w:val="auto"/>
              </w:rPr>
              <w:t>Granted</w:t>
            </w:r>
          </w:p>
        </w:tc>
        <w:tc>
          <w:tcPr>
            <w:tcW w:w="2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258,980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25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(198,882)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2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(151,185)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25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706,459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2580" w:type="dxa"/>
            <w:vAlign w:val="bottom"/>
            <w:vMerge w:val="restart"/>
          </w:tcPr>
          <w:p>
            <w:pPr>
              <w:jc w:val="right"/>
              <w:ind w:right="908"/>
              <w:spacing w:after="0"/>
              <w:rPr>
                <w:sz w:val="20"/>
                <w:szCs w:val="20"/>
                <w:color w:val="auto"/>
              </w:rPr>
            </w:pPr>
            <w:r>
              <w:rPr>
                <w:rFonts w:ascii="Arial" w:cs="Arial" w:eastAsia="Arial" w:hAnsi="Arial"/>
                <w:sz w:val="14"/>
                <w:szCs w:val="14"/>
                <w:color w:val="auto"/>
              </w:rPr>
              <w:t>17</w:t>
            </w: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4100" w:type="dxa"/>
            <w:vAlign w:val="bottom"/>
            <w:vMerge w:val="continue"/>
          </w:tcPr>
          <w:p>
            <w:pPr>
              <w:spacing w:after="0"/>
              <w:rPr>
                <w:sz w:val="24"/>
                <w:szCs w:val="24"/>
                <w:color w:val="auto"/>
              </w:rPr>
            </w:pPr>
          </w:p>
        </w:tc>
        <w:tc>
          <w:tcPr>
            <w:tcW w:w="25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400" w:type="dxa"/>
            <w:vAlign w:val="bottom"/>
            <w:gridSpan w:val="6"/>
          </w:tcPr>
          <w:p>
            <w:pPr>
              <w:ind w:left="380"/>
              <w:spacing w:after="0"/>
              <w:rPr>
                <w:sz w:val="20"/>
                <w:szCs w:val="20"/>
                <w:color w:val="auto"/>
              </w:rPr>
            </w:pPr>
            <w:r>
              <w:rPr>
                <w:rFonts w:ascii="Arial" w:cs="Arial" w:eastAsia="Arial" w:hAnsi="Arial"/>
                <w:sz w:val="13"/>
                <w:szCs w:val="13"/>
                <w:b w:val="1"/>
                <w:bCs w:val="1"/>
                <w:color w:val="auto"/>
                <w:w w:val="87"/>
              </w:rPr>
              <w:t>Form 10-Q for the quarterly period ended June 30, 2020</w:t>
            </w:r>
          </w:p>
        </w:tc>
        <w:tc>
          <w:tcPr>
            <w:tcW w:w="0" w:type="dxa"/>
            <w:vAlign w:val="bottom"/>
          </w:tcPr>
          <w:p>
            <w:pPr>
              <w:spacing w:after="0"/>
              <w:rPr>
                <w:sz w:val="1"/>
                <w:szCs w:val="1"/>
                <w:color w:val="auto"/>
              </w:rPr>
            </w:pPr>
          </w:p>
        </w:tc>
      </w:tr>
      <w:tr>
        <w:trPr>
          <w:trHeight w:val="168"/>
        </w:trPr>
        <w:tc>
          <w:tcPr>
            <w:tcW w:w="4100" w:type="dxa"/>
            <w:vAlign w:val="bottom"/>
            <w:tcBorders>
              <w:bottom w:val="single" w:sz="8" w:color="9A9A9A"/>
            </w:tcBorders>
          </w:tcPr>
          <w:p>
            <w:pPr>
              <w:spacing w:after="0"/>
              <w:rPr>
                <w:sz w:val="14"/>
                <w:szCs w:val="14"/>
                <w:color w:val="auto"/>
              </w:rPr>
            </w:pPr>
          </w:p>
        </w:tc>
        <w:tc>
          <w:tcPr>
            <w:tcW w:w="25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20574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7" w:name="page18"/>
    <w:bookmarkEnd w:id="17"/>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Employee Stock Purchase Plan</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have an ESPP which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common stock at the beginning or end of each stock purchase period. The plan consists of two six-month offering periods, beginning on January 1 and July 1 of each calendar year, respectively. A total of 1.9 million shares of common stock are reserved for issuance under the plan as of June 30, 2020.</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ESPP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center"/>
              <w:ind w:left="401"/>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tcBorders>
              <w:bottom w:val="single" w:sz="8" w:color="CFF0FC"/>
            </w:tcBorders>
            <w:vMerge w:val="continue"/>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Amounts for shares purchased</w:t>
            </w: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1,550</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Shares purchased</w:t>
            </w: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31,068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30,814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33,083</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30,814</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100" w:firstLine="510"/>
        <w:spacing w:after="0" w:line="277" w:lineRule="auto"/>
        <w:rPr>
          <w:sz w:val="20"/>
          <w:szCs w:val="20"/>
          <w:color w:val="auto"/>
        </w:rPr>
      </w:pPr>
      <w:r>
        <w:rPr>
          <w:rFonts w:ascii="Arial" w:cs="Arial" w:eastAsia="Arial" w:hAnsi="Arial"/>
          <w:sz w:val="18"/>
          <w:szCs w:val="18"/>
          <w:color w:val="auto"/>
        </w:rPr>
        <w:t>The fair value was estimated based on the market price of our common stock at the beginning of the offering period using the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Dividend yield</w:t>
            </w:r>
          </w:p>
        </w:tc>
        <w:tc>
          <w:tcPr>
            <w:tcW w:w="5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401(k) Stock Match</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sponsor a 401(k) retirement savings plan for our U.S. employees where participants can contribute up to 80% of their compensation, subject to the limits established by law. We match 50% of the employee’s elective deferrals, up to the first 6% of the employee’s pre-tax compensation for each pay period. A portion of our match is in company stock, which is purchased from the open market by our plan provider and immediately deposited into the employee’s 401(k) account.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J – Income Taxes</w:t>
      </w:r>
    </w:p>
    <w:p>
      <w:pPr>
        <w:spacing w:after="0" w:line="121"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credits and tax benefits associated with foreign-derived intangible income.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Our provisions for income taxes include current foreign and state income tax expense, as well as deferred tax expense.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2020, we do not have any unrecognized tax benefits nor any material accrued interest or tax penalties.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K –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Basic net income per share has been computed using the weighted average number of shares of common stock outstanding during each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Diluted net income per share also includes the impact of our outstanding potential common shares, including options, PSUs, RSUs, RSAs, and DSUs.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Potential common shares that are anti-dilutive are excluded from the calculation of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20574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8" w:name="page19"/>
    <w:bookmarkEnd w:id="18"/>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60" w:type="dxa"/>
            <w:vAlign w:val="bottom"/>
            <w:tcBorders>
              <w:bottom w:val="single" w:sz="8" w:color="CFF0FC"/>
            </w:tcBorders>
            <w:vMerge w:val="continue"/>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11,194</w:t>
            </w:r>
          </w:p>
        </w:tc>
        <w:tc>
          <w:tcPr>
            <w:tcW w:w="2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8,796</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20,709</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35,030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35,010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35,051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 to purchase common stock</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PSUs, RSUs, RSAs, and DSUs</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36,016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36,020</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35,995</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w:t>
            </w: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500"/>
              <w:spacing w:after="0"/>
              <w:rPr>
                <w:sz w:val="20"/>
                <w:szCs w:val="20"/>
                <w:color w:val="auto"/>
              </w:rPr>
            </w:pPr>
            <w:r>
              <w:rPr>
                <w:rFonts w:ascii="Arial" w:cs="Arial" w:eastAsia="Arial" w:hAnsi="Arial"/>
                <w:sz w:val="18"/>
                <w:szCs w:val="18"/>
                <w:color w:val="auto"/>
              </w:rPr>
              <w:t>Diluted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20"/>
                <w:szCs w:val="20"/>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August 22, 2019.</w:t>
      </w:r>
    </w:p>
    <w:p>
      <w:pPr>
        <w:spacing w:after="0" w:line="225" w:lineRule="exact"/>
        <w:rPr>
          <w:sz w:val="20"/>
          <w:szCs w:val="20"/>
          <w:color w:val="auto"/>
        </w:rPr>
      </w:pPr>
    </w:p>
    <w:p>
      <w:pPr>
        <w:jc w:val="both"/>
        <w:ind w:right="20" w:firstLine="510"/>
        <w:spacing w:after="0" w:line="293" w:lineRule="auto"/>
        <w:rPr>
          <w:sz w:val="20"/>
          <w:szCs w:val="20"/>
          <w:color w:val="auto"/>
        </w:rPr>
      </w:pPr>
      <w:r>
        <w:rPr>
          <w:rFonts w:ascii="Arial" w:cs="Arial" w:eastAsia="Arial" w:hAnsi="Arial"/>
          <w:sz w:val="18"/>
          <w:szCs w:val="18"/>
          <w:color w:val="auto"/>
        </w:rPr>
        <w:t>The following table presents the effect of the outstanding potential common shares that were excluded from the calculation of diluted net income per share as they were anti-dilutive: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16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78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vMerge w:val="continue"/>
          </w:tcPr>
          <w:p>
            <w:pPr>
              <w:spacing w:after="0"/>
              <w:rPr>
                <w:sz w:val="13"/>
                <w:szCs w:val="13"/>
                <w:color w:val="auto"/>
              </w:rPr>
            </w:pPr>
          </w:p>
        </w:tc>
        <w:tc>
          <w:tcPr>
            <w:tcW w:w="78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1380" w:type="dxa"/>
            <w:vAlign w:val="bottom"/>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46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Antidilutive shares</w:t>
            </w:r>
          </w:p>
        </w:tc>
        <w:tc>
          <w:tcPr>
            <w:tcW w:w="7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206</w:t>
            </w: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195</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L – Geographic Information</w:t>
      </w:r>
    </w:p>
    <w:p>
      <w:pPr>
        <w:spacing w:after="0" w:line="13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For the three and six months ended June 30, 2020 and 2019, 85% of our revenue was attributable to customers based within the United States. No single jurisdiction outside of the U.S. had revenues in excess of 10%.</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 June 30, 2020 and 2019, 9% of property and equipment, net was located at subsidiary and office locations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20574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9" w:name="page20"/>
    <w:bookmarkEnd w:id="19"/>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6"/>
          <w:szCs w:val="16"/>
          <w:b w:val="1"/>
          <w:bCs w:val="1"/>
          <w:color w:val="00AAE5"/>
        </w:rPr>
        <w:t>Management’s Discussion and Analysis of Financial Condition and Results of Operations</w:t>
      </w:r>
    </w:p>
    <w:p>
      <w:pPr>
        <w:spacing w:after="0" w:line="12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U.S. Private Securities Litigation Reform Act of 1995. Forward-looking statements regarding us, our business prospects and our results of operations are subject to certain risks and uncertainties posed by many factors and events, many of which may be amplified by the coronavirus (COVID-19) pandemic,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“assumes,”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appearing in our Annual Report on Form 10-K for the year ended December 31, 2019, as may be updated in our subsequent Quarterly Reports on Form 10-Q from time to time, including the updates in this Quarterly Report on Form 10-Q.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Overview</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SPS Commerce is a leading provider of cloud-based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We derive the majority of our revenues from numerous monthly recurring subscriptions from businesses that utilize our solutions.</w:t>
      </w:r>
    </w:p>
    <w:p>
      <w:pPr>
        <w:spacing w:after="0" w:line="171"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For the three months ended June 30, 2020, our revenues were $75.6 million, an increase of 10% from the comparable period in 2019, and represented our 78th consecutive quarter of increased revenues. Total operating expenses increased 13% for the same period in 2020 from 2019. For the six months ended June 30, 2020, revenues increased 11% and operating expenses increased 8% compared to the same period in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Impact of COVID-19</w:t>
      </w:r>
    </w:p>
    <w:p>
      <w:pPr>
        <w:spacing w:after="0" w:line="121"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Although the global emergence of COVID-19 did not have a material adverse effect on our business, operating results, and overall financial performance for the six months ended June 30, 2020, the future impact remains uncertain and depends on several factors, including, but not limited to, the pandemic’s duration and continued spread, impact on our customers, impact on our partners or employees, and impact on the economic environment and financial markets, all of which are uncertain and cannot be predicted. We will continue to actively monitor the situation and may take further actions that alter our business operations, as may be required by federal, state, or local authorities, or that we determine are in the best interests of our employees, customers, partners, and shareholders.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Key Financial Terms and Metrics</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have several key financial terms and metrics, including annualized average recurring revenues per recurring revenue customer. During the three and six months ended June 30, 2020, there were no changes in the definitions of our key financial terms and metrics, which are discussed in more detail under the heading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included in our Annual Report on Form 10-K for the year ended December 31, 2019 as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20574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20</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0" w:name="page21"/>
    <w:bookmarkEnd w:id="20"/>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presented to our board of directors.</w:t>
      </w:r>
    </w:p>
    <w:p>
      <w:pPr>
        <w:spacing w:after="0" w:line="17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Critical Accounting Policies and Estimates</w:t>
      </w:r>
    </w:p>
    <w:p>
      <w:pPr>
        <w:spacing w:after="0" w:line="12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This discussion of our financial condition and results of operations is based upon our condensed consolidated financial statements, which are prepared in accordance with GAAP and with the instructions to Form 10-Q and Rule 10-01 of Regulation S-X.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9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 critical accounting policy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and business combinations are the most critical to fully understand and evaluate our financial condition and results of operations.</w:t>
      </w:r>
    </w:p>
    <w:p>
      <w:pPr>
        <w:spacing w:after="0" w:line="18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During the three and six months ended June 30, 2020, there were no changes in our critical accounting policies or estimates. See Note A to our condensed consolidated financial statements included in this Quarterly Report on Form 10-Q and in our Annual Report on Form 10-K for the year ended December 31, 2019, as filed with the SEC, for additional information regarding our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1" w:name="page22"/>
    <w:bookmarkEnd w:id="21"/>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Three Months Ended June 30, 2020 Compared to Three Months Ended June 30,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w w:val="97"/>
              </w:rPr>
              <w:t>Three Months Ended June 30,</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4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 of revenue</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 of revenue</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70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75,573</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68,529</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7,044</w:t>
            </w:r>
          </w:p>
        </w:tc>
        <w:tc>
          <w:tcPr>
            <w:tcW w:w="4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24,326</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23,700</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34.6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46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51,247</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44,829</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6,418</w:t>
            </w: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18,611</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17,545</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7,466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6,509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957</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12,743</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10,179</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w:t>
            </w: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6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40,136</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35,499</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4,637</w:t>
            </w: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500"/>
              <w:spacing w:after="0"/>
              <w:rPr>
                <w:sz w:val="20"/>
                <w:szCs w:val="20"/>
                <w:color w:val="auto"/>
              </w:rPr>
            </w:pPr>
            <w:r>
              <w:rPr>
                <w:rFonts w:ascii="Arial" w:cs="Arial" w:eastAsia="Arial" w:hAnsi="Arial"/>
                <w:sz w:val="18"/>
                <w:szCs w:val="18"/>
                <w:color w:val="auto"/>
              </w:rPr>
              <w:t>Income from operations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11,111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9,330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1,781</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(587)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Change in earn-out liability</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8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12,579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10,783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1,796</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(602)</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11,194</w:t>
            </w:r>
          </w:p>
        </w:tc>
        <w:tc>
          <w:tcPr>
            <w:tcW w:w="2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8,796</w:t>
            </w:r>
          </w:p>
        </w:tc>
        <w:tc>
          <w:tcPr>
            <w:tcW w:w="2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4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b w:val="1"/>
          <w:bCs w:val="1"/>
          <w:i w:val="1"/>
          <w:iCs w:val="1"/>
          <w:color w:val="1F282C"/>
        </w:rPr>
        <w:t>Revenues</w:t>
      </w:r>
      <w:r>
        <w:rPr>
          <w:rFonts w:ascii="Arial" w:cs="Arial" w:eastAsia="Arial" w:hAnsi="Arial"/>
          <w:sz w:val="18"/>
          <w:szCs w:val="18"/>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revenues resulted from two primary factors: the increase in recurring revenue customers and an increase in annualized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average recurring revenues per recurring revenue customer, which we also refer to as wallet share.</w:t>
      </w:r>
    </w:p>
    <w:p>
      <w:pPr>
        <w:spacing w:after="0" w:line="62"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5% to 31,468 at June 30, 2020 from 29,889 at June 30, 2019.</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Wallet share increased 5% to $9,118 for the three months ended June 30, 2020 from $8,674 for the same period in 2019. The increase was primarily attributable to increased usage of our solutions by our recurring revenue customers.</w:t>
      </w:r>
    </w:p>
    <w:p>
      <w:pPr>
        <w:spacing w:after="0" w:line="170"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Recurring revenues from recurring revenue customers accounted for 94% of our total revenues for the three months ended June 30, 2020 and 2019. We anticipate that the number of recurring revenue customers and wallet share will increase as we increase the number of solutions we offer and increase the penetration of those solutions across our customer base.</w:t>
      </w:r>
    </w:p>
    <w:p>
      <w:pPr>
        <w:spacing w:after="0" w:line="184"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Cost of Revenues. </w:t>
      </w:r>
      <w:r>
        <w:rPr>
          <w:rFonts w:ascii="Arial" w:cs="Arial" w:eastAsia="Arial" w:hAnsi="Arial"/>
          <w:sz w:val="18"/>
          <w:szCs w:val="18"/>
          <w:color w:val="000000"/>
        </w:rPr>
        <w:t>The increase in cost of revenues for the three months ended June 30, 2020 was primarily due to an increase of $0.3 million in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stock-based compensation expense and $0.2 million in software subscriptions. As we continued to invest in the infrastructure supporting our platform, depreciation expense increased by $0.4 million.</w:t>
      </w:r>
    </w:p>
    <w:p>
      <w:pPr>
        <w:spacing w:after="0" w:line="184" w:lineRule="exact"/>
        <w:rPr>
          <w:sz w:val="20"/>
          <w:szCs w:val="20"/>
          <w:color w:val="auto"/>
        </w:rPr>
      </w:pPr>
    </w:p>
    <w:p>
      <w:pPr>
        <w:ind w:right="240" w:firstLine="510"/>
        <w:spacing w:after="0" w:line="286" w:lineRule="auto"/>
        <w:rPr>
          <w:sz w:val="20"/>
          <w:szCs w:val="20"/>
          <w:color w:val="auto"/>
        </w:rPr>
      </w:pPr>
      <w:r>
        <w:rPr>
          <w:rFonts w:ascii="Arial" w:cs="Arial" w:eastAsia="Arial" w:hAnsi="Arial"/>
          <w:sz w:val="17"/>
          <w:szCs w:val="17"/>
          <w:b w:val="1"/>
          <w:bCs w:val="1"/>
          <w:i w:val="1"/>
          <w:iCs w:val="1"/>
          <w:color w:val="1F282C"/>
        </w:rPr>
        <w:t xml:space="preserve">Sales and Marketing Expenses. </w:t>
      </w:r>
      <w:r>
        <w:rPr>
          <w:rFonts w:ascii="Arial" w:cs="Arial" w:eastAsia="Arial" w:hAnsi="Arial"/>
          <w:sz w:val="17"/>
          <w:szCs w:val="17"/>
          <w:color w:val="000000"/>
        </w:rPr>
        <w:t>The increase in sales and marketing expense for the three months ended June 30, 2020 was primarily due to</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increased headcount which resulted in an increase of $0.7 million in personnel-related costs and an increase of $0.3 million in stock-based compensation expense, partially offset by a decrease of $0.3 million in variable compensation earned by sales personnel and referral partners.</w:t>
      </w:r>
    </w:p>
    <w:p>
      <w:pPr>
        <w:spacing w:after="0" w:line="165"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b w:val="1"/>
          <w:bCs w:val="1"/>
          <w:i w:val="1"/>
          <w:iCs w:val="1"/>
          <w:color w:val="1F282C"/>
        </w:rPr>
        <w:t>Research and Development Expenses</w:t>
      </w:r>
      <w:r>
        <w:rPr>
          <w:rFonts w:ascii="Arial" w:cs="Arial" w:eastAsia="Arial" w:hAnsi="Arial"/>
          <w:sz w:val="18"/>
          <w:szCs w:val="18"/>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research and development expense for the three months ended June 30, 2020 was primarily</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due to increased headcount which resulted in an increase in personnel costs of $0.4 million and an increase in stock-based compensation expense of $0.3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2" w:name="page23"/>
    <w:bookmarkEnd w:id="22"/>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b w:val="1"/>
          <w:bCs w:val="1"/>
          <w:i w:val="1"/>
          <w:iCs w:val="1"/>
          <w:color w:val="1F282C"/>
        </w:rPr>
        <w:t xml:space="preserve">General and Administrative Expenses. </w:t>
      </w:r>
      <w:r>
        <w:rPr>
          <w:rFonts w:ascii="Arial" w:cs="Arial" w:eastAsia="Arial" w:hAnsi="Arial"/>
          <w:sz w:val="18"/>
          <w:szCs w:val="18"/>
          <w:color w:val="000000"/>
        </w:rPr>
        <w:t>The increase in general and administrative expense for the three months ended June 30, 2020 was driven by</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an increase in stock-based compensation expense of $1.2 million and an increase of $0.6 million of charitable donations, partially offset by a decrease of $0.3 million in personnel-related costs. As a result of continued business growth, bad debt expense increased $0.9 million, compared to the same period in 2019.</w:t>
      </w:r>
    </w:p>
    <w:p>
      <w:pPr>
        <w:spacing w:after="0" w:line="18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Other Income (Expense). </w:t>
      </w:r>
      <w:r>
        <w:rPr>
          <w:rFonts w:ascii="Arial" w:cs="Arial" w:eastAsia="Arial" w:hAnsi="Arial"/>
          <w:sz w:val="18"/>
          <w:szCs w:val="18"/>
          <w:color w:val="000000"/>
        </w:rPr>
        <w:t>Interest income, net, other expense, net, and change in earn-out liability for the three months ended June 30, 2020</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increased primarily due to realized foreign currency exchange gains, partially offset by decreased income from investments and no change in the fair value of the earn-out liability.</w:t>
      </w:r>
    </w:p>
    <w:p>
      <w:pPr>
        <w:spacing w:after="0" w:line="184"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b w:val="1"/>
          <w:bCs w:val="1"/>
          <w:i w:val="1"/>
          <w:iCs w:val="1"/>
          <w:color w:val="1F282C"/>
        </w:rPr>
        <w:t xml:space="preserve">Income Tax Expense. </w:t>
      </w:r>
      <w:r>
        <w:rPr>
          <w:rFonts w:ascii="Arial" w:cs="Arial" w:eastAsia="Arial" w:hAnsi="Arial"/>
          <w:sz w:val="18"/>
          <w:szCs w:val="18"/>
          <w:color w:val="000000"/>
        </w:rPr>
        <w:t>The decrease in income tax expense for the three months ended June 30, 2020 was primarily due to an increase of $1.0</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million in discrete tax benefits from stock activity, partially offset by the increase in pre-tax income. Excess tax benefits generated upon the settlement or exercise of stock awards are recognized as a reduction to income tax expense and, as a result, we expect that our annual effective income tax rate will be volatile.</w:t>
      </w:r>
    </w:p>
    <w:p>
      <w:pPr>
        <w:spacing w:after="0" w:line="187" w:lineRule="exact"/>
        <w:rPr>
          <w:sz w:val="20"/>
          <w:szCs w:val="20"/>
          <w:color w:val="auto"/>
        </w:rPr>
      </w:pPr>
    </w:p>
    <w:p>
      <w:pPr>
        <w:ind w:right="240" w:firstLine="510"/>
        <w:spacing w:after="0" w:line="273" w:lineRule="auto"/>
        <w:rPr>
          <w:sz w:val="20"/>
          <w:szCs w:val="20"/>
          <w:color w:val="auto"/>
        </w:rPr>
      </w:pPr>
      <w:r>
        <w:rPr>
          <w:rFonts w:ascii="Arial" w:cs="Arial" w:eastAsia="Arial" w:hAnsi="Arial"/>
          <w:sz w:val="17"/>
          <w:szCs w:val="17"/>
          <w:b w:val="1"/>
          <w:bCs w:val="1"/>
          <w:i w:val="1"/>
          <w:iCs w:val="1"/>
          <w:color w:val="1F282C"/>
        </w:rPr>
        <w:t xml:space="preserve">Adjusted EBITDA. </w:t>
      </w:r>
      <w:r>
        <w:rPr>
          <w:rFonts w:ascii="Arial" w:cs="Arial" w:eastAsia="Arial" w:hAnsi="Arial"/>
          <w:sz w:val="17"/>
          <w:szCs w:val="17"/>
          <w:color w:val="000000"/>
        </w:rPr>
        <w:t>Adjusted EBITDA, which is a non-GAAP measure of financial performance, consists of net income adjusted for depreciation</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and amortization, investment income (interest income/expense, realized investments gain/loss excluding realized gain/loss from foreign currency on investments), income tax expense, stock-based compensation expense, realized gain/loss from foreign currency on cash and investments held, and other adjustments as necessary for a fair presentation. Other adjustments included the impact of the fair value adjustment for the EDIAdmin earn-out liability, returned escrow shares in 2019 related to the acquisition of ToolBox Solutions (“Toolbox”), and impairment of internally developed software. The following table provides a reconciliation of net income to Adjusted EBITDA:</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00" w:type="dxa"/>
            <w:vAlign w:val="bottom"/>
            <w:tcBorders>
              <w:bottom w:val="single" w:sz="8" w:color="CFF0FC"/>
            </w:tcBorders>
            <w:vMerge w:val="continue"/>
          </w:tcPr>
          <w:p>
            <w:pPr>
              <w:spacing w:after="0"/>
              <w:rPr>
                <w:sz w:val="13"/>
                <w:szCs w:val="13"/>
                <w:color w:val="auto"/>
              </w:rPr>
            </w:pPr>
          </w:p>
        </w:tc>
        <w:tc>
          <w:tcPr>
            <w:tcW w:w="24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Investment income, net</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(332)</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Realized gain from foreign currency on cash and investments held</w:t>
            </w:r>
          </w:p>
        </w:tc>
        <w:tc>
          <w:tcPr>
            <w:tcW w:w="2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(1,370)</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Other</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20,422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2420" w:type="dxa"/>
            <w:vAlign w:val="bottom"/>
            <w:vMerge w:val="restart"/>
          </w:tcPr>
          <w:p>
            <w:pPr>
              <w:jc w:val="right"/>
              <w:ind w:right="1948"/>
              <w:spacing w:after="0"/>
              <w:rPr>
                <w:sz w:val="20"/>
                <w:szCs w:val="20"/>
                <w:color w:val="auto"/>
              </w:rPr>
            </w:pPr>
            <w:r>
              <w:rPr>
                <w:rFonts w:ascii="Arial" w:cs="Arial" w:eastAsia="Arial" w:hAnsi="Arial"/>
                <w:sz w:val="14"/>
                <w:szCs w:val="14"/>
                <w:color w:val="auto"/>
              </w:rPr>
              <w:t>23</w:t>
            </w: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53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5"/>
          </w:tcPr>
          <w:p>
            <w:pPr>
              <w:jc w:val="right"/>
              <w:spacing w:after="0"/>
              <w:rPr>
                <w:sz w:val="20"/>
                <w:szCs w:val="20"/>
                <w:color w:val="auto"/>
              </w:rPr>
            </w:pPr>
            <w:r>
              <w:rPr>
                <w:rFonts w:ascii="Arial" w:cs="Arial" w:eastAsia="Arial" w:hAnsi="Arial"/>
                <w:sz w:val="13"/>
                <w:szCs w:val="13"/>
                <w:b w:val="1"/>
                <w:bCs w:val="1"/>
                <w:color w:val="auto"/>
                <w:w w:val="93"/>
              </w:rPr>
              <w:t>Form 10-Q for the quarterly period ended June 30, 2020</w:t>
            </w:r>
          </w:p>
        </w:tc>
        <w:tc>
          <w:tcPr>
            <w:tcW w:w="0" w:type="dxa"/>
            <w:vAlign w:val="bottom"/>
          </w:tcPr>
          <w:p>
            <w:pPr>
              <w:spacing w:after="0"/>
              <w:rPr>
                <w:sz w:val="1"/>
                <w:szCs w:val="1"/>
                <w:color w:val="auto"/>
              </w:rPr>
            </w:pPr>
          </w:p>
        </w:tc>
      </w:tr>
      <w:tr>
        <w:trPr>
          <w:trHeight w:val="167"/>
        </w:trPr>
        <w:tc>
          <w:tcPr>
            <w:tcW w:w="5300" w:type="dxa"/>
            <w:vAlign w:val="bottom"/>
            <w:tcBorders>
              <w:bottom w:val="single" w:sz="8" w:color="9A9A9A"/>
            </w:tcBorders>
          </w:tcPr>
          <w:p>
            <w:pPr>
              <w:spacing w:after="0"/>
              <w:rPr>
                <w:sz w:val="14"/>
                <w:szCs w:val="14"/>
                <w:color w:val="auto"/>
              </w:rPr>
            </w:pPr>
          </w:p>
        </w:tc>
        <w:tc>
          <w:tcPr>
            <w:tcW w:w="24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3" w:name="page24"/>
    <w:bookmarkEnd w:id="23"/>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b w:val="1"/>
          <w:bCs w:val="1"/>
          <w:i w:val="1"/>
          <w:iCs w:val="1"/>
          <w:color w:val="1F282C"/>
        </w:rPr>
        <w:t xml:space="preserve">Non-GAAP Income per Share. </w:t>
      </w:r>
      <w:r>
        <w:rPr>
          <w:rFonts w:ascii="Arial" w:cs="Arial" w:eastAsia="Arial" w:hAnsi="Arial"/>
          <w:sz w:val="18"/>
          <w:szCs w:val="18"/>
          <w:color w:val="000000"/>
        </w:rPr>
        <w:t>Non-GAAP income per share, which is also a non-GAAP measure of financial performance, consists of net income</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plus stock-based compensation expense, amortization expense related to intangible assets, realized gain/loss from foreign currency on cash and investments held, and other adjustments as necessary for a fair presentation, divided by the weighted average number of shares of common stock outstanding during each period. Other adjustments included the impact of the fair value adjustment for the EDIAdmin earn-out liability, returned escrow shares in 2019 related to the acquisition of ToolBox, and impairment of internally developed software. The following table provides a reconciliation of net income to non-GAAP income per share: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Realized gain from foreign currency on cash and investments held</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(1,370)</w:t>
            </w: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(2,886)</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13,345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35,030</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35,010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36,016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212529"/>
        </w:rPr>
        <w:t>Shares and per share data have been adjusted for all periods presented to reflect a two-for-one stock split effective August 22, 2019.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 xml:space="preserve">Six Months Ended June 30, 2020 </w:t>
      </w:r>
      <w:r>
        <w:rPr>
          <w:rFonts w:ascii="Arial" w:cs="Arial" w:eastAsia="Arial" w:hAnsi="Arial"/>
          <w:sz w:val="18"/>
          <w:szCs w:val="18"/>
          <w:b w:val="1"/>
          <w:bCs w:val="1"/>
          <w:i w:val="1"/>
          <w:iCs w:val="1"/>
          <w:color w:val="1F282C"/>
        </w:rPr>
        <w:t>Compared to Six Months Ended June 30,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rPr>
              <w:t>Six Months Ended June 30,</w:t>
            </w:r>
          </w:p>
        </w:tc>
        <w:tc>
          <w:tcPr>
            <w:tcW w:w="10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75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right"/>
              <w:ind w:right="753"/>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of revenue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3"/>
                <w:szCs w:val="13"/>
                <w:color w:val="auto"/>
              </w:rPr>
            </w:pPr>
          </w:p>
        </w:tc>
        <w:tc>
          <w:tcPr>
            <w:tcW w:w="64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1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149,765</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135,463</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14,302</w:t>
            </w:r>
          </w:p>
        </w:tc>
        <w:tc>
          <w:tcPr>
            <w:tcW w:w="4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1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47,870</w:t>
            </w:r>
          </w:p>
        </w:tc>
        <w:tc>
          <w:tcPr>
            <w:tcW w:w="20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32.0</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45,067</w:t>
            </w: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w:t>
            </w:r>
          </w:p>
        </w:tc>
        <w:tc>
          <w:tcPr>
            <w:tcW w:w="44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101,895</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90,396</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11,499</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36,910</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35,467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15,034</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12,701</w:t>
            </w: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2,333</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24,652</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22,949</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w:t>
            </w:r>
          </w:p>
        </w:tc>
        <w:tc>
          <w:tcPr>
            <w:tcW w:w="20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4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79,248</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73,687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5,561</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500"/>
              <w:spacing w:after="0"/>
              <w:rPr>
                <w:sz w:val="20"/>
                <w:szCs w:val="20"/>
                <w:color w:val="auto"/>
              </w:rPr>
            </w:pPr>
            <w:r>
              <w:rPr>
                <w:rFonts w:ascii="Arial" w:cs="Arial" w:eastAsia="Arial" w:hAnsi="Arial"/>
                <w:sz w:val="18"/>
                <w:szCs w:val="18"/>
                <w:color w:val="auto"/>
              </w:rPr>
              <w:t>Income from operations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22,647</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16,709</w:t>
            </w: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5,938</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1,390</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(524)</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(192)</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30"/>
        </w:trPr>
        <w:tc>
          <w:tcPr>
            <w:tcW w:w="3640" w:type="dxa"/>
            <w:vAlign w:val="bottom"/>
          </w:tcPr>
          <w:p>
            <w:pPr>
              <w:ind w:left="260"/>
              <w:spacing w:after="0"/>
              <w:rPr>
                <w:sz w:val="20"/>
                <w:szCs w:val="20"/>
                <w:color w:val="auto"/>
              </w:rPr>
            </w:pPr>
            <w:r>
              <w:rPr>
                <w:rFonts w:ascii="Arial" w:cs="Arial" w:eastAsia="Arial" w:hAnsi="Arial"/>
                <w:sz w:val="18"/>
                <w:szCs w:val="18"/>
                <w:color w:val="auto"/>
              </w:rPr>
              <w:t>Change in earn-out liability</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w:t>
            </w: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(416)</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10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10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4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23,442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18,636</w:t>
            </w: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4,806</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(294)</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36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20,709</w:t>
            </w:r>
          </w:p>
        </w:tc>
        <w:tc>
          <w:tcPr>
            <w:tcW w:w="2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5,100</w:t>
            </w:r>
          </w:p>
        </w:tc>
        <w:tc>
          <w:tcPr>
            <w:tcW w:w="4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36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1"/>
        </w:trPr>
        <w:tc>
          <w:tcPr>
            <w:tcW w:w="36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00" w:type="dxa"/>
            <w:vAlign w:val="bottom"/>
            <w:gridSpan w:val="8"/>
          </w:tcPr>
          <w:p>
            <w:pPr>
              <w:jc w:val="right"/>
              <w:spacing w:after="0"/>
              <w:rPr>
                <w:sz w:val="20"/>
                <w:szCs w:val="20"/>
                <w:color w:val="auto"/>
              </w:rPr>
            </w:pPr>
            <w:r>
              <w:rPr>
                <w:rFonts w:ascii="Arial" w:cs="Arial" w:eastAsia="Arial" w:hAnsi="Arial"/>
                <w:sz w:val="13"/>
                <w:szCs w:val="13"/>
                <w:b w:val="1"/>
                <w:bCs w:val="1"/>
                <w:color w:val="auto"/>
              </w:rPr>
              <w:t>Form 10-Q for the quarterly period ended June 30, 2020</w:t>
            </w:r>
          </w:p>
        </w:tc>
        <w:tc>
          <w:tcPr>
            <w:tcW w:w="0" w:type="dxa"/>
            <w:vAlign w:val="bottom"/>
          </w:tcPr>
          <w:p>
            <w:pPr>
              <w:spacing w:after="0"/>
              <w:rPr>
                <w:sz w:val="1"/>
                <w:szCs w:val="1"/>
                <w:color w:val="auto"/>
              </w:rPr>
            </w:pPr>
          </w:p>
        </w:tc>
      </w:tr>
      <w:tr>
        <w:trPr>
          <w:trHeight w:val="167"/>
        </w:trPr>
        <w:tc>
          <w:tcPr>
            <w:tcW w:w="364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4" w:name="page25"/>
    <w:bookmarkEnd w:id="24"/>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b w:val="1"/>
          <w:bCs w:val="1"/>
          <w:i w:val="1"/>
          <w:iCs w:val="1"/>
          <w:color w:val="1F282C"/>
        </w:rPr>
        <w:t>Revenues</w:t>
      </w:r>
      <w:r>
        <w:rPr>
          <w:rFonts w:ascii="Arial" w:cs="Arial" w:eastAsia="Arial" w:hAnsi="Arial"/>
          <w:sz w:val="18"/>
          <w:szCs w:val="18"/>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revenues resulted from two primary factors: the increase in recurring revenue customers and an increase in annualized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average recurring revenues per recurring revenue customer, which we also refer to as wallet share.</w:t>
      </w:r>
    </w:p>
    <w:p>
      <w:pPr>
        <w:spacing w:after="0" w:line="62"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5% to 31,468 at June 30, 2020 from 29,889 at June 30, 2019.</w:t>
      </w:r>
    </w:p>
    <w:p>
      <w:pPr>
        <w:spacing w:after="0" w:line="117"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Wallet share increased 6% to $9,078 for the six months ended June 30, 2020 from $8,588 for the same period in 2019. The increase was primarily attributable to increased usage of our solutions by our recurring revenue customers.</w:t>
      </w:r>
    </w:p>
    <w:p>
      <w:pPr>
        <w:spacing w:after="0" w:line="170"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Recurring revenues from recurring revenue customers accounted for 94% of our total revenues for the six months ended June 30, 2020 and 2019. We anticipate that the number of recurring revenue customers and wallet share will increase as we increase the number of solutions we offer and increase the penetration of those solutions across our customer base.</w:t>
      </w:r>
    </w:p>
    <w:p>
      <w:pPr>
        <w:spacing w:after="0" w:line="18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b w:val="1"/>
          <w:bCs w:val="1"/>
          <w:i w:val="1"/>
          <w:iCs w:val="1"/>
          <w:color w:val="1F282C"/>
        </w:rPr>
        <w:t xml:space="preserve">Cost of Revenues. </w:t>
      </w:r>
      <w:r>
        <w:rPr>
          <w:rFonts w:ascii="Arial" w:cs="Arial" w:eastAsia="Arial" w:hAnsi="Arial"/>
          <w:sz w:val="18"/>
          <w:szCs w:val="18"/>
          <w:color w:val="000000"/>
        </w:rPr>
        <w:t>The increase in cost of revenues for the six months ended June 30, 2020 was primarily due to increased headcount which resulted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 an increase of $1.6 million in personnel-related costs, driven by increased salaries and benefits and increased contract labor, and an increase of $0.5 million in stock-based compensation expense. As we continued to invest in the infrastructure supporting our platform, depreciation expense increased by $0.7 million.</w:t>
      </w:r>
    </w:p>
    <w:p>
      <w:pPr>
        <w:spacing w:after="0" w:line="18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b w:val="1"/>
          <w:bCs w:val="1"/>
          <w:i w:val="1"/>
          <w:iCs w:val="1"/>
          <w:color w:val="1F282C"/>
        </w:rPr>
        <w:t xml:space="preserve">Sales and Marketing Expenses. </w:t>
      </w:r>
      <w:r>
        <w:rPr>
          <w:rFonts w:ascii="Arial" w:cs="Arial" w:eastAsia="Arial" w:hAnsi="Arial"/>
          <w:sz w:val="18"/>
          <w:szCs w:val="18"/>
          <w:color w:val="000000"/>
        </w:rPr>
        <w:t>The increase in sales and marketing expense for the six months ended June 30, 2020 was primarily due to an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increase of $1.3 million in personnel-related costs, driven by increased salaries and benefits due to increased headcount and consulting, and an increase of $0.4 million in stock-based compensation expense, partially offset by a decrease of $0.6 million in variable compensation earned by sales personnel and referral partners.</w:t>
      </w:r>
    </w:p>
    <w:p>
      <w:pPr>
        <w:spacing w:after="0" w:line="187"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b w:val="1"/>
          <w:bCs w:val="1"/>
          <w:i w:val="1"/>
          <w:iCs w:val="1"/>
          <w:color w:val="1F282C"/>
        </w:rPr>
        <w:t>Research and Development Expenses</w:t>
      </w:r>
      <w:r>
        <w:rPr>
          <w:rFonts w:ascii="Arial" w:cs="Arial" w:eastAsia="Arial" w:hAnsi="Arial"/>
          <w:sz w:val="18"/>
          <w:szCs w:val="18"/>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research and development expense for the six months ended June 30, 2020 was primarily</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due to increased headcount which resulted in an increase in personnel costs of $1.1 million and an increase in stock-based compensation expense of $0.7 million.</w:t>
      </w:r>
    </w:p>
    <w:p>
      <w:pPr>
        <w:spacing w:after="0" w:line="18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General and Administrative Expenses. </w:t>
      </w:r>
      <w:r>
        <w:rPr>
          <w:rFonts w:ascii="Arial" w:cs="Arial" w:eastAsia="Arial" w:hAnsi="Arial"/>
          <w:sz w:val="18"/>
          <w:szCs w:val="18"/>
          <w:color w:val="000000"/>
        </w:rPr>
        <w:t>The increase in general and administrative expense for the six months ended June 30, 2020 was driven by an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increase of $1.5 million in bad debt expense due to continued business growth. The increase is also due to an increase of $0.6 million in charitable donations, partially offset by a decrease of $0.4 million in stock-based compensation expense.</w:t>
      </w:r>
    </w:p>
    <w:p>
      <w:pPr>
        <w:spacing w:after="0" w:line="18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Other Income (Expense). </w:t>
      </w:r>
      <w:r>
        <w:rPr>
          <w:rFonts w:ascii="Arial" w:cs="Arial" w:eastAsia="Arial" w:hAnsi="Arial"/>
          <w:sz w:val="18"/>
          <w:szCs w:val="18"/>
          <w:color w:val="000000"/>
        </w:rPr>
        <w:t>Interest income, net, other expense, net, and change in earn-out liability for the six months ended June 30, 2020 decreased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primarily due to decreased income from investments and increase in the fair value of the earn-out liability.</w:t>
      </w:r>
    </w:p>
    <w:p>
      <w:pPr>
        <w:spacing w:after="0" w:line="170" w:lineRule="exact"/>
        <w:rPr>
          <w:sz w:val="20"/>
          <w:szCs w:val="20"/>
          <w:color w:val="auto"/>
        </w:rPr>
      </w:pPr>
    </w:p>
    <w:p>
      <w:pPr>
        <w:jc w:val="both"/>
        <w:ind w:right="120" w:firstLine="510"/>
        <w:spacing w:after="0" w:line="311" w:lineRule="auto"/>
        <w:rPr>
          <w:sz w:val="20"/>
          <w:szCs w:val="20"/>
          <w:color w:val="auto"/>
        </w:rPr>
      </w:pPr>
      <w:r>
        <w:rPr>
          <w:rFonts w:ascii="Arial" w:cs="Arial" w:eastAsia="Arial" w:hAnsi="Arial"/>
          <w:sz w:val="16"/>
          <w:szCs w:val="16"/>
          <w:b w:val="1"/>
          <w:bCs w:val="1"/>
          <w:i w:val="1"/>
          <w:iCs w:val="1"/>
          <w:color w:val="1F282C"/>
        </w:rPr>
        <w:t xml:space="preserve">Income Tax Expense. </w:t>
      </w:r>
      <w:r>
        <w:rPr>
          <w:rFonts w:ascii="Arial" w:cs="Arial" w:eastAsia="Arial" w:hAnsi="Arial"/>
          <w:sz w:val="16"/>
          <w:szCs w:val="16"/>
          <w:color w:val="000000"/>
        </w:rPr>
        <w:t>The decrease in income tax expense for the six months ended June 30, 2020 was primarily due to an increase of $1.3 million</w:t>
      </w:r>
      <w:r>
        <w:rPr>
          <w:rFonts w:ascii="Arial" w:cs="Arial" w:eastAsia="Arial" w:hAnsi="Arial"/>
          <w:sz w:val="16"/>
          <w:szCs w:val="16"/>
          <w:b w:val="1"/>
          <w:bCs w:val="1"/>
          <w:i w:val="1"/>
          <w:iCs w:val="1"/>
          <w:color w:val="1F282C"/>
        </w:rPr>
        <w:t xml:space="preserve"> </w:t>
      </w:r>
      <w:r>
        <w:rPr>
          <w:rFonts w:ascii="Arial" w:cs="Arial" w:eastAsia="Arial" w:hAnsi="Arial"/>
          <w:sz w:val="16"/>
          <w:szCs w:val="16"/>
          <w:color w:val="000000"/>
        </w:rPr>
        <w:t>in discrete tax benefits from stock activity, partially offset by the increase in pre-tax income. Excess tax benefits generated upon the settlement or exercise of stock awards are recognized as a reduction to income tax expense and, as a result, we expect that our annual effective income tax rate will fluctuate.</w:t>
      </w:r>
    </w:p>
    <w:p>
      <w:pPr>
        <w:spacing w:after="0" w:line="149"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b w:val="1"/>
          <w:bCs w:val="1"/>
          <w:i w:val="1"/>
          <w:iCs w:val="1"/>
          <w:color w:val="1F282C"/>
        </w:rPr>
        <w:t xml:space="preserve">Adjusted EBITDA. </w:t>
      </w:r>
      <w:r>
        <w:rPr>
          <w:rFonts w:ascii="Arial" w:cs="Arial" w:eastAsia="Arial" w:hAnsi="Arial"/>
          <w:sz w:val="18"/>
          <w:szCs w:val="18"/>
          <w:color w:val="000000"/>
        </w:rPr>
        <w:t>Adjusted EBITDA, which is a non-GAAP measure of financial performance, consists of net income adjusted for depreciation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and amortization, investment income (interest income/expense, realized investments gain/loss excluding realized gain/loss from foreign currency on investments), income tax expense, stock-based compensation expense, realized gain/loss from foreign currency on cash and investments held, and other adjustments as necessary for a fair presentation. Other adjustments included the impact of the fair value adjustment for the EDIAdmin earn-out liability, returned escrow shares in 2019 related to the acquisition of Toolbox, and impairment of internally developed software. The following table provides a reconciliation of net income to Adjusted EBITDA: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7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20,709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15,609</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5,324</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Investment income, net</w:t>
            </w:r>
          </w:p>
        </w:tc>
        <w:tc>
          <w:tcPr>
            <w:tcW w:w="9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(1,390)</w:t>
            </w: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gain from foreign currency on cash and investments held</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(461)</w:t>
            </w: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960" w:type="dxa"/>
            <w:vAlign w:val="bottom"/>
            <w:tcBorders>
              <w:top w:val="single" w:sz="8" w:color="auto"/>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40,778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20574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25</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5" w:name="page26"/>
    <w:bookmarkEnd w:id="25"/>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b w:val="1"/>
          <w:bCs w:val="1"/>
          <w:i w:val="1"/>
          <w:iCs w:val="1"/>
          <w:color w:val="1F282C"/>
        </w:rPr>
        <w:t xml:space="preserve">Non-GAAP Income per Share. </w:t>
      </w:r>
      <w:r>
        <w:rPr>
          <w:rFonts w:ascii="Arial" w:cs="Arial" w:eastAsia="Arial" w:hAnsi="Arial"/>
          <w:sz w:val="18"/>
          <w:szCs w:val="18"/>
          <w:color w:val="000000"/>
        </w:rPr>
        <w:t>Non-GAAP income per share, which is also a non-GAAP measure of financial performance, consists of net income</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plus stock-based compensation expense, amortization expense related to intangible assets, realized gain/loss from foreign currency on cash and investments held, and other adjustments as necessary for a fair presentation, divided by the weighted average number of shares of common stock outstanding during each period. Other adjustments included the impact of the fair value adjustment for the EDIAdmin earn-out liability, returned escrow shares in 2019 related to the acquisition of ToolBox, and impairment of internally developed software. The following table provides a reconciliation of net income to non-GAAP income per share: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20,709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Realized gain from foreign currency on cash and investments held</w:t>
            </w:r>
          </w:p>
        </w:tc>
        <w:tc>
          <w:tcPr>
            <w:tcW w:w="9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9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(5,912)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960" w:type="dxa"/>
            <w:vAlign w:val="bottom"/>
            <w:tcBorders>
              <w:top w:val="single" w:sz="8" w:color="auto"/>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26,829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35,051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35,995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Pr>
          <w:p>
            <w:pPr>
              <w:spacing w:after="0"/>
              <w:rPr>
                <w:sz w:val="19"/>
                <w:szCs w:val="19"/>
                <w:color w:val="auto"/>
              </w:rPr>
            </w:pPr>
          </w:p>
        </w:tc>
        <w:tc>
          <w:tcPr>
            <w:tcW w:w="64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212529"/>
        </w:rPr>
        <w:t>Shares and per share data have been adjusted for all periods presented to reflect a two-for-one stock split effective August 22,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Liquidity and Capital Resources</w:t>
      </w:r>
    </w:p>
    <w:p>
      <w:pPr>
        <w:spacing w:after="0" w:line="121" w:lineRule="exact"/>
        <w:rPr>
          <w:sz w:val="20"/>
          <w:szCs w:val="20"/>
          <w:color w:val="auto"/>
        </w:rPr>
      </w:pPr>
    </w:p>
    <w:p>
      <w:pPr>
        <w:jc w:val="both"/>
        <w:ind w:right="20" w:firstLine="510"/>
        <w:spacing w:after="0" w:line="279" w:lineRule="auto"/>
        <w:rPr>
          <w:sz w:val="20"/>
          <w:szCs w:val="20"/>
          <w:color w:val="auto"/>
        </w:rPr>
      </w:pPr>
      <w:r>
        <w:rPr>
          <w:rFonts w:ascii="Arial" w:cs="Arial" w:eastAsia="Arial" w:hAnsi="Arial"/>
          <w:sz w:val="17"/>
          <w:szCs w:val="17"/>
          <w:color w:val="auto"/>
        </w:rPr>
        <w:t>At June 30, 2020, our principal sources of liquidity were cash, cash equivalents, certificates of deposit, and short-term investments of $225.6 million and accounts receivable, net of provision for credit losses of $34.2 million. Certificates of deposit and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below table summarizes the activity within the statements of cash flows: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(32,490)</w:t>
            </w:r>
          </w:p>
        </w:tc>
        <w:tc>
          <w:tcPr>
            <w:tcW w:w="5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(12,174)</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(8,662)</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Operating Activities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increase in operating cash flows was primarily driven by continued business growth, which resulted in increased net income and decreased deferred tax assets and was driven by continued acquisitions and business expansions which resulted in increased depreciation, amortization, provision for credit losses, and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6" w:name="page27"/>
    <w:bookmarkEnd w:id="2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used in Investing Activities</w:t>
      </w:r>
    </w:p>
    <w:p>
      <w:pPr>
        <w:spacing w:after="0" w:line="117"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The increase in net cash used in investing activities was primarily due to an increase of net purchases of investments compared to the same period in 2019. The increase was also driven by increased capital expenditures, due to our business growth and continued investment in our technology.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used in Financing Activities</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change in net cash used in financing activities was primarily due to the increase in cash used for share repurchases and due to the earn-out payment of $0.7 million, partially offset by the increase in net proceeds from stock option exercises.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Effect of Foreign Currency Exchange Rate Changes</w:t>
      </w:r>
    </w:p>
    <w:p>
      <w:pPr>
        <w:spacing w:after="0" w:line="117"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Our results of operations and cash flows were not materially affected by fluctuations in foreign currency exchange rates. We maintain 5% of our total cash and cash equivalents outside of the U.S. in foreign currencies, primarily in Australian and Canadian dollars. We believe that a significant change in foreign currency exchange rates or an inability to access these funds would not materially affect our ability to meet our operational needs.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Adequacy of Capital Resources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solutions and applications that we may develop;</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we anticipate that our expenditures will continue to increase as we expand our business.</w:t>
      </w:r>
    </w:p>
    <w:p>
      <w:pPr>
        <w:spacing w:after="0" w:line="170"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believe our cash, cash equivalents, certificates of deposit, marketable securities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six months ended June 30, 2020 and we do not expect that inflation or changing prices will materially affect our business in the foreseeable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Off-Balance Sheet Arrangements</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Contractual and Commercial Commitment Summary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commercial commitments as of June 30, 2020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Payments Due By Period (in thousands)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15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9"/>
              </w:rPr>
              <w:t>Less Than</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8"/>
              </w:rPr>
              <w:t>More Than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1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3"/>
              </w:rPr>
              <w:t>Contractual Obligations</w:t>
            </w: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5"/>
                <w:szCs w:val="15"/>
                <w:color w:val="auto"/>
              </w:rPr>
            </w:pPr>
          </w:p>
        </w:tc>
        <w:tc>
          <w:tcPr>
            <w:tcW w:w="10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5"/>
                <w:szCs w:val="15"/>
                <w:color w:val="auto"/>
              </w:rPr>
            </w:pPr>
          </w:p>
        </w:tc>
        <w:tc>
          <w:tcPr>
            <w:tcW w:w="86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w w:val="99"/>
              </w:rPr>
              <w:t>3-5 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5 Years</w:t>
            </w:r>
          </w:p>
        </w:tc>
        <w:tc>
          <w:tcPr>
            <w:tcW w:w="220" w:type="dxa"/>
            <w:vAlign w:val="bottom"/>
          </w:tcPr>
          <w:p>
            <w:pPr>
              <w:spacing w:after="0"/>
              <w:rPr>
                <w:sz w:val="15"/>
                <w:szCs w:val="15"/>
                <w:color w:val="auto"/>
              </w:rPr>
            </w:pPr>
          </w:p>
        </w:tc>
        <w:tc>
          <w:tcPr>
            <w:tcW w:w="92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Total</w:t>
            </w:r>
          </w:p>
        </w:tc>
      </w:tr>
      <w:tr>
        <w:trPr>
          <w:trHeight w:val="217"/>
        </w:trPr>
        <w:tc>
          <w:tcPr>
            <w:tcW w:w="5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obligations, including imputed interest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4,948</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10,719</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8,587</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24,254</w:t>
            </w: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5220" w:type="dxa"/>
            <w:vAlign w:val="bottom"/>
            <w:gridSpan w:val="2"/>
          </w:tcPr>
          <w:p>
            <w:pPr>
              <w:spacing w:after="0"/>
              <w:rPr>
                <w:sz w:val="20"/>
                <w:szCs w:val="20"/>
                <w:color w:val="auto"/>
              </w:rPr>
            </w:pPr>
            <w:r>
              <w:rPr>
                <w:rFonts w:ascii="Arial" w:cs="Arial" w:eastAsia="Arial" w:hAnsi="Arial"/>
                <w:sz w:val="18"/>
                <w:szCs w:val="18"/>
                <w:color w:val="auto"/>
              </w:rPr>
              <w:t>Purchase commitment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14,700</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38,954</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20574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27</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7" w:name="page28"/>
    <w:bookmarkEnd w:id="27"/>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Interest Rate Sensitivity Risk</w:t>
      </w:r>
    </w:p>
    <w:p>
      <w:pPr>
        <w:spacing w:after="0" w:line="117"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certificates of deposit and marketable securities), we believe there is no material risk exposure. We do not enter into investments for trading or speculative purposes.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outstanding debt as of June 30, 2020. Therefore, we do not have any material risk to interest rate fluctuations.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Foreign Currency Exchange Risk</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have revenue, expenses, assets and liabilities that are denominated in currencies other than the U.S. dollar, primarily the Australian dollar and Canadian dollar. As of June 30, 2020, we maintained 5% of our total cash and cash equivalents outside of the U.S. in foreign currencies. We believe that a hypothetical 10% change in foreign currency exchange rates or an inability to access foreign funds would not materially affect our ability to meet our operational needs or result in a material foreign currency loss.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26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Evaluation of Disclosure Controls and Procedures</w:t>
      </w:r>
    </w:p>
    <w:p>
      <w:pPr>
        <w:spacing w:after="0" w:line="117" w:lineRule="exact"/>
        <w:rPr>
          <w:sz w:val="20"/>
          <w:szCs w:val="20"/>
          <w:color w:val="auto"/>
        </w:rPr>
      </w:pPr>
    </w:p>
    <w:p>
      <w:pPr>
        <w:ind w:right="300" w:firstLine="510"/>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June 30, 2020.</w:t>
      </w:r>
    </w:p>
    <w:p>
      <w:pPr>
        <w:spacing w:after="0" w:line="166"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For the year ended December 31, 2019, management’s assessment of internal control over financial reporting excluded the internal control of the MAPADOC business, an operating unit of SWK Technologies, Inc., which was acquired on August 26, 2019. Pursuant to the SEC’s general guidance that an assessment of a recently acquired business may be omitted from our scope for a period not to exceed one year from the date of acquisition, the scope of our most recent assessment did not include MAPADOC. Our assessment of the effectiveness of internal control over financial reporting as of September 30, 2020 will include MAPADOC. For the three and six months ended June 30, 2020, MAPADOC represented 2% of our total consolidated assets and less than 1% of our consolidated revenues.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Changes in Internal Control over Financial Reporting</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2020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05740"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28</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8" w:name="page29"/>
    <w:bookmarkEnd w:id="28"/>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5"/>
          <w:szCs w:val="15"/>
          <w:b w:val="1"/>
          <w:bCs w:val="1"/>
          <w:color w:val="00AAE5"/>
        </w:rPr>
        <w:t>Legal Proceedings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1A.</w:t>
      </w:r>
      <w:r>
        <w:rPr>
          <w:sz w:val="20"/>
          <w:szCs w:val="20"/>
          <w:color w:val="auto"/>
        </w:rPr>
        <w:tab/>
      </w:r>
      <w:r>
        <w:rPr>
          <w:rFonts w:ascii="Arial" w:cs="Arial" w:eastAsia="Arial" w:hAnsi="Arial"/>
          <w:sz w:val="16"/>
          <w:szCs w:val="16"/>
          <w:b w:val="1"/>
          <w:bCs w:val="1"/>
          <w:color w:val="00AAE5"/>
        </w:rPr>
        <w:t>Risk Factors</w:t>
      </w:r>
    </w:p>
    <w:p>
      <w:pPr>
        <w:spacing w:after="0" w:line="121"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auto"/>
        </w:rPr>
        <w:t xml:space="preserve">With the exception of the addition of the risk factor noted below, there have been no material changes in our risk factors from those disclosed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our Annual Report on Form 10-K for the year ended December 31, 2019 as filed with the SEC.</w:t>
      </w:r>
    </w:p>
    <w:p>
      <w:pPr>
        <w:spacing w:after="0" w:line="250" w:lineRule="exact"/>
        <w:rPr>
          <w:sz w:val="20"/>
          <w:szCs w:val="20"/>
          <w:color w:val="auto"/>
        </w:rPr>
      </w:pPr>
    </w:p>
    <w:p>
      <w:pPr>
        <w:ind w:right="680" w:firstLine="510"/>
        <w:spacing w:after="0" w:line="347" w:lineRule="auto"/>
        <w:rPr>
          <w:sz w:val="20"/>
          <w:szCs w:val="20"/>
          <w:color w:val="auto"/>
        </w:rPr>
      </w:pPr>
      <w:r>
        <w:rPr>
          <w:rFonts w:ascii="Arial" w:cs="Arial" w:eastAsia="Arial" w:hAnsi="Arial"/>
          <w:sz w:val="16"/>
          <w:szCs w:val="16"/>
          <w:b w:val="1"/>
          <w:bCs w:val="1"/>
          <w:color w:val="auto"/>
        </w:rPr>
        <w:t>The extent to which the COVID-19 outbreak and measures taken in response thereto impact our business, results of operations and financial condition will depend on future developments and outcomes, which are highly uncertain and cannot be predicted.</w:t>
      </w:r>
    </w:p>
    <w:p>
      <w:pPr>
        <w:spacing w:after="0" w:line="1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Our business and financial results may be adversely impacted by health epidemics, pandemics and similar outbreaks. The recent and rapidly spreading COVID-19 pandemic could have adverse impacts on our business, including causing significant volatility in demand for our services due to disruption and downturns in our customers’ businesses and related supply chains, disruptions to our third party technology providers, limitations on our employees' ability to work and travel, and significant changes in the economic or political conditions in markets in which we operate. Despite our efforts to manage these impacts, their ultimate impact also depends on factors beyond our knowledge or control, including the duration and severity of any such outbreak and actions taken to contain its spread and mitigate its public health effects. Any of these events could cause or amplify the risks and uncertainties set forth in our Annual Report on Form 10-K for the year ended December 31, 2019, as filed with the SEC, and could materially adversely affect our business, financial condition, results of operations and/or stock price.</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5"/>
          <w:szCs w:val="15"/>
          <w:b w:val="1"/>
          <w:bCs w:val="1"/>
          <w:color w:val="00AAE5"/>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F282C"/>
        </w:rPr>
        <w:t>(c) Share Repurchases</w:t>
      </w:r>
    </w:p>
    <w:p>
      <w:pPr>
        <w:spacing w:after="0" w:line="12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following table presents the total number of shares of our common stock that we purchased during the second quarter of 2020, the average price paid per share, the number of shares that we purchased as part of our publicly announced repurchase program, and the approximate dollar value of shares that still could be repurchased at the end of the applicable period.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ind w:left="2640"/>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Paid per 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Program </w:t>
            </w:r>
            <w:r>
              <w:rPr>
                <w:rFonts w:ascii="Arial" w:cs="Arial" w:eastAsia="Arial" w:hAnsi="Arial"/>
                <w:sz w:val="12"/>
                <w:szCs w:val="12"/>
                <w:b w:val="1"/>
                <w:bCs w:val="1"/>
                <w:color w:val="auto"/>
                <w:w w:val="94"/>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xml:space="preserve">Program </w:t>
            </w:r>
            <w:r>
              <w:rPr>
                <w:rFonts w:ascii="Arial" w:cs="Arial" w:eastAsia="Arial" w:hAnsi="Arial"/>
                <w:sz w:val="12"/>
                <w:szCs w:val="12"/>
                <w:b w:val="1"/>
                <w:bCs w:val="1"/>
                <w:color w:val="auto"/>
                <w:w w:val="97"/>
              </w:rPr>
              <w:t>(1)</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April 1 - 30, 2020</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49.50</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33,941,000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May 1 - 31,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49,627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58.25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49,627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1 - 30,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second quarter 2020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52.80</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right="60" w:hanging="372"/>
        <w:spacing w:after="0" w:line="253"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Pursuant to a $50.0 million share repurchase program that was announced by our board of directors on November 2, 2019. Under the program, purchases may be made from time to time in the open market through November 2, 2021.</w:t>
      </w:r>
    </w:p>
    <w:p>
      <w:pPr>
        <w:spacing w:after="0" w:line="32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5.</w:t>
      </w:r>
      <w:r>
        <w:rPr>
          <w:sz w:val="20"/>
          <w:szCs w:val="20"/>
          <w:color w:val="auto"/>
        </w:rPr>
        <w:tab/>
      </w:r>
      <w:r>
        <w:rPr>
          <w:rFonts w:ascii="Arial" w:cs="Arial" w:eastAsia="Arial" w:hAnsi="Arial"/>
          <w:sz w:val="17"/>
          <w:szCs w:val="17"/>
          <w:b w:val="1"/>
          <w:bCs w:val="1"/>
          <w:color w:val="00AAE5"/>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0574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29</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80" w:type="dxa"/>
            <w:vAlign w:val="bottom"/>
            <w:gridSpan w:val="6"/>
          </w:tcPr>
          <w:p>
            <w:pPr>
              <w:ind w:left="5720"/>
              <w:spacing w:after="0"/>
              <w:rPr>
                <w:rFonts w:ascii="Arial" w:cs="Arial" w:eastAsia="Arial" w:hAnsi="Arial"/>
                <w:sz w:val="13"/>
                <w:szCs w:val="13"/>
                <w:u w:val="single" w:color="auto"/>
                <w:color w:val="0000EE"/>
                <w:w w:val="91"/>
              </w:rPr>
            </w:pPr>
            <w:hyperlink w:anchor="page2">
              <w:r>
                <w:rPr>
                  <w:rFonts w:ascii="Arial" w:cs="Arial" w:eastAsia="Arial" w:hAnsi="Arial"/>
                  <w:sz w:val="13"/>
                  <w:szCs w:val="13"/>
                  <w:u w:val="single" w:color="auto"/>
                  <w:color w:val="0000EE"/>
                  <w:w w:val="91"/>
                </w:rPr>
                <w:t>Table of Contents</w:t>
              </w:r>
            </w:hyperlink>
          </w:p>
        </w:tc>
      </w:tr>
      <w:tr>
        <w:trPr>
          <w:trHeight w:val="419"/>
        </w:trPr>
        <w:tc>
          <w:tcPr>
            <w:tcW w:w="1020" w:type="dxa"/>
            <w:vAlign w:val="bottom"/>
            <w:gridSpan w:val="2"/>
          </w:tcPr>
          <w:p>
            <w:pPr>
              <w:spacing w:after="0"/>
              <w:rPr>
                <w:sz w:val="20"/>
                <w:szCs w:val="20"/>
                <w:color w:val="auto"/>
              </w:rPr>
            </w:pPr>
            <w:r>
              <w:rPr>
                <w:rFonts w:ascii="Arial" w:cs="Arial" w:eastAsia="Arial" w:hAnsi="Arial"/>
                <w:sz w:val="18"/>
                <w:szCs w:val="18"/>
                <w:b w:val="1"/>
                <w:bCs w:val="1"/>
                <w:color w:val="00AAE5"/>
              </w:rPr>
              <w:t>Item 6.</w:t>
            </w:r>
          </w:p>
        </w:tc>
        <w:tc>
          <w:tcPr>
            <w:tcW w:w="10220" w:type="dxa"/>
            <w:vAlign w:val="bottom"/>
            <w:gridSpan w:val="10"/>
          </w:tcPr>
          <w:p>
            <w:pPr>
              <w:spacing w:after="0"/>
              <w:rPr>
                <w:sz w:val="20"/>
                <w:szCs w:val="20"/>
                <w:color w:val="auto"/>
              </w:rPr>
            </w:pPr>
            <w:r>
              <w:rPr>
                <w:rFonts w:ascii="Arial" w:cs="Arial" w:eastAsia="Arial" w:hAnsi="Arial"/>
                <w:sz w:val="18"/>
                <w:szCs w:val="18"/>
                <w:b w:val="1"/>
                <w:bCs w:val="1"/>
                <w:color w:val="00AAE5"/>
              </w:rPr>
              <w:t>Exhibits</w:t>
            </w:r>
          </w:p>
        </w:tc>
      </w:tr>
      <w:tr>
        <w:trPr>
          <w:trHeight w:val="364"/>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2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920" w:type="dxa"/>
            <w:vAlign w:val="bottom"/>
            <w:tcBorders>
              <w:top w:val="single" w:sz="8" w:color="auto"/>
            </w:tcBorders>
          </w:tcPr>
          <w:p>
            <w:pPr>
              <w:jc w:val="right"/>
              <w:ind w:right="513"/>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3.1</w:t>
              </w:r>
            </w:hyperlink>
          </w:p>
        </w:tc>
        <w:tc>
          <w:tcPr>
            <w:tcW w:w="100" w:type="dxa"/>
            <w:vAlign w:val="bottom"/>
          </w:tcPr>
          <w:p>
            <w:pPr>
              <w:spacing w:after="0"/>
              <w:rPr>
                <w:sz w:val="24"/>
                <w:szCs w:val="24"/>
                <w:color w:val="auto"/>
              </w:rPr>
            </w:pPr>
          </w:p>
        </w:tc>
        <w:tc>
          <w:tcPr>
            <w:tcW w:w="10220" w:type="dxa"/>
            <w:vAlign w:val="bottom"/>
            <w:tcBorders>
              <w:top w:val="single" w:sz="8" w:color="auto"/>
            </w:tcBorders>
            <w:gridSpan w:val="10"/>
          </w:tcPr>
          <w:p>
            <w:pPr>
              <w:spacing w:after="0"/>
              <w:rPr>
                <w:rFonts w:ascii="Arial" w:cs="Arial" w:eastAsia="Arial" w:hAnsi="Arial"/>
                <w:sz w:val="18"/>
                <w:szCs w:val="18"/>
                <w:color w:val="0000EE"/>
                <w:w w:val="93"/>
              </w:rPr>
            </w:pPr>
            <w:hyperlink r:id="rId75">
              <w:r>
                <w:rPr>
                  <w:rFonts w:ascii="Arial" w:cs="Arial" w:eastAsia="Arial" w:hAnsi="Arial"/>
                  <w:sz w:val="18"/>
                  <w:szCs w:val="18"/>
                  <w:color w:val="0000EE"/>
                  <w:w w:val="93"/>
                </w:rPr>
                <w:t>Certificate of Incorporation (incorporated by reference to Exhibit 3.2 to our Current Report on Form 8-K (File No. 001-34702) filed with the</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SEC on May 21, 2020).</w:t>
              </w:r>
            </w:hyperlink>
          </w:p>
        </w:tc>
        <w:tc>
          <w:tcPr>
            <w:tcW w:w="10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920" w:type="dxa"/>
            <w:vAlign w:val="bottom"/>
          </w:tcPr>
          <w:p>
            <w:pPr>
              <w:jc w:val="right"/>
              <w:ind w:right="513"/>
              <w:spacing w:after="0"/>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3.2</w:t>
              </w:r>
            </w:hyperlink>
          </w:p>
        </w:tc>
        <w:tc>
          <w:tcPr>
            <w:tcW w:w="100" w:type="dxa"/>
            <w:vAlign w:val="bottom"/>
          </w:tcPr>
          <w:p>
            <w:pPr>
              <w:spacing w:after="0"/>
              <w:rPr>
                <w:sz w:val="24"/>
                <w:szCs w:val="24"/>
                <w:color w:val="auto"/>
              </w:rPr>
            </w:pPr>
          </w:p>
        </w:tc>
        <w:tc>
          <w:tcPr>
            <w:tcW w:w="10140" w:type="dxa"/>
            <w:vAlign w:val="bottom"/>
            <w:tcBorders>
              <w:bottom w:val="single" w:sz="8" w:color="0000EE"/>
            </w:tcBorders>
            <w:gridSpan w:val="9"/>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Amended and Restated Bylaws (incorporated by reference to Exhibit 3.1 to our Current Report on Form 8-K (File No. 001-34702) filed with</w:t>
              </w:r>
            </w:hyperlink>
          </w:p>
        </w:tc>
        <w:tc>
          <w:tcPr>
            <w:tcW w:w="8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the SEC on October 17, 2017).</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18"/>
        </w:trPr>
        <w:tc>
          <w:tcPr>
            <w:tcW w:w="920" w:type="dxa"/>
            <w:vAlign w:val="bottom"/>
          </w:tcPr>
          <w:p>
            <w:pPr>
              <w:jc w:val="right"/>
              <w:ind w:right="513"/>
              <w:spacing w:after="0"/>
              <w:rPr>
                <w:rFonts w:ascii="Arial" w:cs="Arial" w:eastAsia="Arial" w:hAnsi="Arial"/>
                <w:sz w:val="18"/>
                <w:szCs w:val="18"/>
                <w:u w:val="single" w:color="auto"/>
                <w:color w:val="0000EE"/>
                <w:w w:val="85"/>
              </w:rPr>
            </w:pPr>
            <w:hyperlink w:anchor="page32">
              <w:r>
                <w:rPr>
                  <w:rFonts w:ascii="Arial" w:cs="Arial" w:eastAsia="Arial" w:hAnsi="Arial"/>
                  <w:sz w:val="18"/>
                  <w:szCs w:val="18"/>
                  <w:u w:val="single" w:color="auto"/>
                  <w:color w:val="0000EE"/>
                  <w:w w:val="85"/>
                </w:rPr>
                <w:t>31.1</w:t>
              </w:r>
            </w:hyperlink>
          </w:p>
        </w:tc>
        <w:tc>
          <w:tcPr>
            <w:tcW w:w="100" w:type="dxa"/>
            <w:vAlign w:val="bottom"/>
          </w:tcPr>
          <w:p>
            <w:pPr>
              <w:spacing w:after="0"/>
              <w:rPr>
                <w:sz w:val="24"/>
                <w:szCs w:val="24"/>
                <w:color w:val="auto"/>
              </w:rPr>
            </w:pPr>
          </w:p>
        </w:tc>
        <w:tc>
          <w:tcPr>
            <w:tcW w:w="96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Principal Executive Officer pursuant to Rules 13a-14(a) under the Securities Exchange Act of 1934, as amended (filed</w:t>
              </w:r>
            </w:hyperlink>
          </w:p>
        </w:tc>
        <w:tc>
          <w:tcPr>
            <w:tcW w:w="54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herewith).</w:t>
              </w:r>
            </w:hyperlink>
          </w:p>
        </w:tc>
        <w:tc>
          <w:tcPr>
            <w:tcW w:w="9480" w:type="dxa"/>
            <w:vAlign w:val="bottom"/>
            <w:gridSpan w:val="9"/>
          </w:tcPr>
          <w:p>
            <w:pPr>
              <w:spacing w:after="0"/>
              <w:rPr>
                <w:sz w:val="17"/>
                <w:szCs w:val="17"/>
                <w:color w:val="auto"/>
              </w:rPr>
            </w:pPr>
          </w:p>
        </w:tc>
      </w:tr>
      <w:tr>
        <w:trPr>
          <w:trHeight w:val="318"/>
        </w:trPr>
        <w:tc>
          <w:tcPr>
            <w:tcW w:w="920" w:type="dxa"/>
            <w:vAlign w:val="bottom"/>
          </w:tcPr>
          <w:p>
            <w:pPr>
              <w:jc w:val="right"/>
              <w:ind w:right="513"/>
              <w:spacing w:after="0"/>
              <w:rPr>
                <w:rFonts w:ascii="Arial" w:cs="Arial" w:eastAsia="Arial" w:hAnsi="Arial"/>
                <w:sz w:val="18"/>
                <w:szCs w:val="18"/>
                <w:u w:val="single" w:color="auto"/>
                <w:color w:val="0000EE"/>
                <w:w w:val="85"/>
              </w:rPr>
            </w:pPr>
            <w:hyperlink w:anchor="page33">
              <w:r>
                <w:rPr>
                  <w:rFonts w:ascii="Arial" w:cs="Arial" w:eastAsia="Arial" w:hAnsi="Arial"/>
                  <w:sz w:val="18"/>
                  <w:szCs w:val="18"/>
                  <w:u w:val="single" w:color="auto"/>
                  <w:color w:val="0000EE"/>
                  <w:w w:val="85"/>
                </w:rPr>
                <w:t>31.2</w:t>
              </w:r>
            </w:hyperlink>
          </w:p>
        </w:tc>
        <w:tc>
          <w:tcPr>
            <w:tcW w:w="10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Certification of Principal Financial Officer pursuant to Rules 13a-14(a) under the Securities Exchange Act of 1934, as amended (filed</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herewith).</w:t>
              </w:r>
            </w:hyperlink>
          </w:p>
        </w:tc>
        <w:tc>
          <w:tcPr>
            <w:tcW w:w="8880" w:type="dxa"/>
            <w:vAlign w:val="bottom"/>
            <w:tcBorders>
              <w:top w:val="single" w:sz="8" w:color="0000EE"/>
            </w:tcBorders>
            <w:gridSpan w:val="4"/>
          </w:tcPr>
          <w:p>
            <w:pPr>
              <w:spacing w:after="0"/>
              <w:rPr>
                <w:sz w:val="17"/>
                <w:szCs w:val="17"/>
                <w:color w:val="auto"/>
              </w:rPr>
            </w:pPr>
          </w:p>
        </w:tc>
        <w:tc>
          <w:tcPr>
            <w:tcW w:w="600" w:type="dxa"/>
            <w:vAlign w:val="bottom"/>
            <w:gridSpan w:val="5"/>
          </w:tcPr>
          <w:p>
            <w:pPr>
              <w:spacing w:after="0"/>
              <w:rPr>
                <w:sz w:val="17"/>
                <w:szCs w:val="17"/>
                <w:color w:val="auto"/>
              </w:rPr>
            </w:pPr>
          </w:p>
        </w:tc>
      </w:tr>
      <w:tr>
        <w:trPr>
          <w:trHeight w:val="318"/>
        </w:trPr>
        <w:tc>
          <w:tcPr>
            <w:tcW w:w="920" w:type="dxa"/>
            <w:vAlign w:val="bottom"/>
          </w:tcPr>
          <w:p>
            <w:pPr>
              <w:jc w:val="right"/>
              <w:ind w:right="513"/>
              <w:spacing w:after="0"/>
              <w:rPr>
                <w:rFonts w:ascii="Arial" w:cs="Arial" w:eastAsia="Arial" w:hAnsi="Arial"/>
                <w:sz w:val="18"/>
                <w:szCs w:val="18"/>
                <w:u w:val="single" w:color="auto"/>
                <w:color w:val="0000EE"/>
                <w:w w:val="85"/>
              </w:rPr>
            </w:pPr>
            <w:hyperlink w:anchor="page34">
              <w:r>
                <w:rPr>
                  <w:rFonts w:ascii="Arial" w:cs="Arial" w:eastAsia="Arial" w:hAnsi="Arial"/>
                  <w:sz w:val="18"/>
                  <w:szCs w:val="18"/>
                  <w:u w:val="single" w:color="auto"/>
                  <w:color w:val="0000EE"/>
                  <w:w w:val="85"/>
                </w:rPr>
                <w:t>32.1</w:t>
              </w:r>
            </w:hyperlink>
          </w:p>
        </w:tc>
        <w:tc>
          <w:tcPr>
            <w:tcW w:w="100" w:type="dxa"/>
            <w:vAlign w:val="bottom"/>
          </w:tcPr>
          <w:p>
            <w:pPr>
              <w:spacing w:after="0"/>
              <w:rPr>
                <w:sz w:val="24"/>
                <w:szCs w:val="24"/>
                <w:color w:val="auto"/>
              </w:rPr>
            </w:pPr>
          </w:p>
        </w:tc>
        <w:tc>
          <w:tcPr>
            <w:tcW w:w="100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Chief Executive Officer and Chief Financial Officer pursuant to 18 U.S.C. Sec. 1350, as adopted pursuant to Section 906 of</w:t>
              </w:r>
            </w:hyperlink>
          </w:p>
        </w:tc>
        <w:tc>
          <w:tcPr>
            <w:tcW w:w="16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the Sarbanes-Oxley Act of 2002 (filed herewith).</w:t>
              </w:r>
            </w:hyperlink>
          </w:p>
        </w:tc>
        <w:tc>
          <w:tcPr>
            <w:tcW w:w="6680" w:type="dxa"/>
            <w:vAlign w:val="bottom"/>
            <w:gridSpan w:val="6"/>
          </w:tcPr>
          <w:p>
            <w:pPr>
              <w:spacing w:after="0"/>
              <w:rPr>
                <w:sz w:val="17"/>
                <w:szCs w:val="17"/>
                <w:color w:val="auto"/>
              </w:rPr>
            </w:pPr>
          </w:p>
        </w:tc>
      </w:tr>
    </w:tbl>
    <w:p>
      <w:pPr>
        <w:spacing w:after="0" w:line="148" w:lineRule="exact"/>
        <w:rPr>
          <w:sz w:val="20"/>
          <w:szCs w:val="20"/>
          <w:color w:val="auto"/>
        </w:rPr>
      </w:pPr>
    </w:p>
    <w:p>
      <w:pPr>
        <w:ind w:left="1020" w:right="680" w:hanging="1012"/>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(filed herewith). The XBRL instance document does not appear in the Interactive Data File because its tags are embedded within the Inline XBRL document.</w:t>
      </w:r>
    </w:p>
    <w:p>
      <w:pPr>
        <w:spacing w:after="0" w:line="7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the Quarterly Report on Form 10-Q for the quarter ended June 30, 2020,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20574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30</w:t>
      </w:r>
      <w:r>
        <w:rPr>
          <w:sz w:val="20"/>
          <w:szCs w:val="20"/>
          <w:color w:val="auto"/>
        </w:rPr>
        <w:tab/>
      </w:r>
      <w:r>
        <w:rPr>
          <w:rFonts w:ascii="Arial" w:cs="Arial" w:eastAsia="Arial" w:hAnsi="Arial"/>
          <w:sz w:val="10"/>
          <w:szCs w:val="10"/>
          <w:b w:val="1"/>
          <w:bCs w:val="1"/>
          <w:color w:val="auto"/>
        </w:rPr>
        <w:t>Form 10-Q for the quarterly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0" w:name="page31"/>
    <w:bookmarkEnd w:id="30"/>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280" w:val="left"/>
        </w:tabs>
        <w:rPr>
          <w:sz w:val="20"/>
          <w:szCs w:val="20"/>
          <w:color w:val="auto"/>
        </w:rPr>
      </w:pPr>
      <w:r>
        <w:rPr>
          <w:rFonts w:ascii="Arial" w:cs="Arial" w:eastAsia="Arial" w:hAnsi="Arial"/>
          <w:sz w:val="18"/>
          <w:szCs w:val="18"/>
          <w:color w:val="auto"/>
        </w:rPr>
        <w:t>Dated: July 30, 2020</w:t>
      </w:r>
      <w:r>
        <w:rPr>
          <w:sz w:val="20"/>
          <w:szCs w:val="20"/>
          <w:color w:val="auto"/>
        </w:rPr>
        <w:tab/>
      </w:r>
      <w:r>
        <w:rPr>
          <w:rFonts w:ascii="Arial" w:cs="Arial" w:eastAsia="Arial" w:hAnsi="Arial"/>
          <w:sz w:val="17"/>
          <w:szCs w:val="17"/>
          <w:b w:val="1"/>
          <w:bCs w:val="1"/>
          <w:color w:val="auto"/>
        </w:rPr>
        <w:t>SPS COMMERCE, INC.</w:t>
      </w:r>
    </w:p>
    <w:p>
      <w:pPr>
        <w:spacing w:after="0" w:line="25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20574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0"/>
        <w:spacing w:after="0"/>
        <w:tabs>
          <w:tab w:leader="none" w:pos="5540" w:val="left"/>
          <w:tab w:leader="none" w:pos="82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31</w:t>
      </w:r>
      <w:r>
        <w:rPr>
          <w:sz w:val="20"/>
          <w:szCs w:val="20"/>
          <w:color w:val="auto"/>
        </w:rPr>
        <w:tab/>
      </w:r>
      <w:r>
        <w:rPr>
          <w:rFonts w:ascii="Arial" w:cs="Arial" w:eastAsia="Arial" w:hAnsi="Arial"/>
          <w:sz w:val="10"/>
          <w:szCs w:val="10"/>
          <w:b w:val="1"/>
          <w:bCs w:val="1"/>
          <w:color w:val="auto"/>
        </w:rPr>
        <w:t>Form 10-Q for the quarterly period ended June 30, 2020</w:t>
      </w:r>
    </w:p>
    <w:p>
      <w:pPr>
        <w:sectPr>
          <w:pgSz w:w="11900" w:h="16838" w:orient="portrait"/>
          <w:cols w:equalWidth="0" w:num="1">
            <w:col w:w="11240"/>
          </w:cols>
          <w:pgMar w:left="320" w:top="129"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6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8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80" w:hanging="500"/>
        <w:spacing w:after="0" w:line="286" w:lineRule="auto"/>
        <w:tabs>
          <w:tab w:leader="none" w:pos="15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40" w:hanging="500"/>
        <w:spacing w:after="0" w:line="263"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260" w:hanging="500"/>
        <w:spacing w:after="0" w:line="286" w:lineRule="auto"/>
        <w:tabs>
          <w:tab w:leader="none" w:pos="15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460" w:hanging="500"/>
        <w:spacing w:after="0" w:line="277"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60" w:hanging="493"/>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8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80" w:hanging="500"/>
        <w:spacing w:after="0" w:line="286" w:lineRule="auto"/>
        <w:tabs>
          <w:tab w:leader="none" w:pos="15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40" w:hanging="500"/>
        <w:spacing w:after="0" w:line="263"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260" w:hanging="500"/>
        <w:spacing w:after="0" w:line="286" w:lineRule="auto"/>
        <w:tabs>
          <w:tab w:leader="none" w:pos="15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0" w:hanging="493"/>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460" w:hanging="500"/>
        <w:spacing w:after="0" w:line="277"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ectPr>
          <w:pgSz w:w="11900" w:h="16838" w:orient="portrait"/>
          <w:cols w:equalWidth="0" w:num="1">
            <w:col w:w="11240"/>
          </w:cols>
          <w:pgMar w:left="320" w:top="33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June 30, 2020,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41"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0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7" Type="http://schemas.openxmlformats.org/officeDocument/2006/relationships/image" Target="media/image67.jpe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jpe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74" Type="http://schemas.openxmlformats.org/officeDocument/2006/relationships/hyperlink" Target="http://www.sec.gov/Archives/edgar/data/1092699/000119312520148645/d833455dex32.htm" TargetMode="External"/><Relationship Id="rId75" Type="http://schemas.openxmlformats.org/officeDocument/2006/relationships/hyperlink" Target="http://www.sec.gov/Archives/edgar/data/1092699/000119312512269607/d365652dex41.htm" TargetMode="External"/><Relationship Id="rId76" Type="http://schemas.openxmlformats.org/officeDocument/2006/relationships/hyperlink" Target="http://www.sec.gov/Archives/edgar/data/1092699/000119312517311896/d43031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2020-07-31T05:35:14Z</dcterms:created>
  <dcterms:modified xsi:type="dcterms:W3CDTF">2020-07-31T05:35:14Z</dcterms:modified>
</cp:coreProperties>
</file>