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100" w:space="720"/>
            <w:col w:w="46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333 South Seventh Street, Suite 1000, Minneapolis, MN 55402</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3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8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8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0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3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July 26, 2012 was 12,402,001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380" w:type="dxa"/>
            <w:vAlign w:val="bottom"/>
            <w:gridSpan w:val="9"/>
            <w:vMerge w:val="restart"/>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3000" w:type="dxa"/>
            <w:vAlign w:val="bottom"/>
            <w:tcBorders>
              <w:bottom w:val="single" w:sz="8" w:color="0000EE"/>
            </w:tcBorders>
            <w:gridSpan w:val="10"/>
            <w:vMerge w:val="continue"/>
          </w:tcPr>
          <w:p>
            <w:pPr>
              <w:spacing w:after="0"/>
              <w:rPr>
                <w:sz w:val="14"/>
                <w:szCs w:val="14"/>
                <w:color w:val="auto"/>
              </w:rPr>
            </w:pPr>
          </w:p>
        </w:tc>
        <w:tc>
          <w:tcPr>
            <w:tcW w:w="7380" w:type="dxa"/>
            <w:vAlign w:val="bottom"/>
            <w:gridSpan w:val="9"/>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2012 (unaudited) and December 31, 2011</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and six months ended June 30, 2012 and 2011 (unaudited)</w:t>
              </w:r>
            </w:hyperlink>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2012 and 2011 (unaudited)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6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30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Management’s Discussion and Analysis of Financial Condition and Results of Operations</w:t>
              </w:r>
            </w:hyperlink>
          </w:p>
        </w:tc>
        <w:tc>
          <w:tcPr>
            <w:tcW w:w="296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Quantitative and Qualitative Disclosures About Market Risk</w:t>
              </w:r>
            </w:hyperlink>
          </w:p>
        </w:tc>
        <w:tc>
          <w:tcPr>
            <w:tcW w:w="500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0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380" w:type="dxa"/>
            <w:vAlign w:val="bottom"/>
            <w:gridSpan w:val="19"/>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Legal Proceedings</w:t>
              </w:r>
            </w:hyperlink>
          </w:p>
        </w:tc>
        <w:tc>
          <w:tcPr>
            <w:tcW w:w="280" w:type="dxa"/>
            <w:vAlign w:val="bottom"/>
            <w:tcBorders>
              <w:top w:val="single" w:sz="8" w:color="0000EE"/>
            </w:tcBorders>
            <w:gridSpan w:val="2"/>
          </w:tcPr>
          <w:p>
            <w:pPr>
              <w:spacing w:after="0"/>
              <w:rPr>
                <w:sz w:val="24"/>
                <w:szCs w:val="24"/>
                <w:color w:val="auto"/>
              </w:rPr>
            </w:pPr>
          </w:p>
        </w:tc>
        <w:tc>
          <w:tcPr>
            <w:tcW w:w="768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Risk Factors</w:t>
              </w:r>
            </w:hyperlink>
          </w:p>
        </w:tc>
        <w:tc>
          <w:tcPr>
            <w:tcW w:w="8380" w:type="dxa"/>
            <w:vAlign w:val="bottom"/>
            <w:gridSpan w:val="1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Unregistered Sales of Equity Securities and Use of Proceeds</w:t>
              </w:r>
            </w:hyperlink>
          </w:p>
        </w:tc>
        <w:tc>
          <w:tcPr>
            <w:tcW w:w="5020" w:type="dxa"/>
            <w:vAlign w:val="bottom"/>
            <w:gridSpan w:val="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700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540" w:type="dxa"/>
            <w:vAlign w:val="bottom"/>
            <w:gridSpan w:val="10"/>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2011 as filed with the Securities and Exchange Commission. Readers are cautioned not to place undue reliance on these forward-looking statements, which speak only as of the date of this report.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jc w:val="center"/>
              <w:ind w:left="1432"/>
              <w:spacing w:after="0"/>
              <w:rPr>
                <w:sz w:val="20"/>
                <w:szCs w:val="20"/>
                <w:color w:val="auto"/>
              </w:rPr>
            </w:pPr>
            <w:r>
              <w:rPr>
                <w:rFonts w:ascii="Arial" w:cs="Arial" w:eastAsia="Arial" w:hAnsi="Arial"/>
                <w:sz w:val="18"/>
                <w:szCs w:val="18"/>
                <w:b w:val="1"/>
                <w:bCs w:val="1"/>
                <w:color w:val="auto"/>
                <w:w w:val="99"/>
              </w:rPr>
              <w:t>PART I. – FINANCIAL INFORMATION</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72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20" w:type="dxa"/>
            <w:vAlign w:val="bottom"/>
          </w:tcPr>
          <w:p>
            <w:pPr>
              <w:jc w:val="center"/>
              <w:ind w:left="1432"/>
              <w:spacing w:after="0"/>
              <w:rPr>
                <w:sz w:val="20"/>
                <w:szCs w:val="20"/>
                <w:color w:val="auto"/>
              </w:rPr>
            </w:pPr>
            <w:r>
              <w:rPr>
                <w:rFonts w:ascii="Arial" w:cs="Arial" w:eastAsia="Arial" w:hAnsi="Arial"/>
                <w:sz w:val="18"/>
                <w:szCs w:val="18"/>
                <w:b w:val="1"/>
                <w:bCs w:val="1"/>
                <w:color w:val="auto"/>
                <w:w w:val="96"/>
              </w:rPr>
              <w:t>SPS COMMERCE, INC.</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jc w:val="center"/>
              <w:ind w:left="1412"/>
              <w:spacing w:after="0"/>
              <w:rPr>
                <w:sz w:val="20"/>
                <w:szCs w:val="20"/>
                <w:color w:val="auto"/>
              </w:rPr>
            </w:pPr>
            <w:r>
              <w:rPr>
                <w:rFonts w:ascii="Arial" w:cs="Arial" w:eastAsia="Arial" w:hAnsi="Arial"/>
                <w:sz w:val="18"/>
                <w:szCs w:val="18"/>
                <w:color w:val="auto"/>
                <w:w w:val="86"/>
              </w:rPr>
              <w:t>(Unaudited; in thousands, except share amounts)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7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20" w:type="dxa"/>
            <w:vAlign w:val="bottom"/>
            <w:shd w:val="clear" w:color="auto" w:fill="CCEEFF"/>
          </w:tcPr>
          <w:p>
            <w:pPr>
              <w:ind w:left="35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Accounts receivable, less allowance for doubtful accounts of $288 and $222, respectively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costs, current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Deferred income taxes, current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53,425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costs, net of 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Deferred income taxes, net of current portion</w:t>
            </w:r>
          </w:p>
        </w:tc>
        <w:tc>
          <w:tcPr>
            <w:tcW w:w="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11,424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82,946</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20" w:type="dxa"/>
            <w:vAlign w:val="bottom"/>
            <w:shd w:val="clear" w:color="auto" w:fill="CCEEFF"/>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Deferred revenue, current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323"/>
        </w:trPr>
        <w:tc>
          <w:tcPr>
            <w:tcW w:w="932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 less current portion</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20,549</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18,065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3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w w:val="99"/>
              </w:rPr>
              <w:t>Common stock, $0.001 par value; 55,000,000 shares authorized; 12,386,417 and 12,138,858 shares issued and</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outstanding, respectively</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110,768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108,606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(48,383)</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62,397</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82,946</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2011</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revenues</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12,978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25,064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19,515</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3,562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operating expenses</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10,228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23,854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1,210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expense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1720"/>
              <w:spacing w:after="0"/>
              <w:rPr>
                <w:sz w:val="20"/>
                <w:szCs w:val="20"/>
                <w:color w:val="auto"/>
              </w:rPr>
            </w:pPr>
            <w:r>
              <w:rPr>
                <w:rFonts w:ascii="Arial" w:cs="Arial" w:eastAsia="Arial" w:hAnsi="Arial"/>
                <w:sz w:val="18"/>
                <w:szCs w:val="18"/>
                <w:color w:val="auto"/>
              </w:rPr>
              <w:t>Total other income (expense), net</w:t>
            </w: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60"/>
              <w:spacing w:after="0"/>
              <w:rPr>
                <w:sz w:val="20"/>
                <w:szCs w:val="20"/>
                <w:color w:val="auto"/>
              </w:rPr>
            </w:pPr>
            <w:r>
              <w:rPr>
                <w:rFonts w:ascii="Arial" w:cs="Arial" w:eastAsia="Arial" w:hAnsi="Arial"/>
                <w:sz w:val="18"/>
                <w:szCs w:val="18"/>
                <w:color w:val="auto"/>
              </w:rPr>
              <w:t>Income tax expense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420"/>
              <w:spacing w:after="0"/>
              <w:rPr>
                <w:sz w:val="20"/>
                <w:szCs w:val="20"/>
                <w:color w:val="auto"/>
              </w:rPr>
            </w:pPr>
            <w:r>
              <w:rPr>
                <w:rFonts w:ascii="Arial" w:cs="Arial" w:eastAsia="Arial" w:hAnsi="Arial"/>
                <w:sz w:val="18"/>
                <w:szCs w:val="18"/>
                <w:color w:val="auto"/>
              </w:rPr>
              <w:t>Net income (loss) per share</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used to compute net income (loss) per share</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280"/>
              <w:spacing w:after="0"/>
              <w:rPr>
                <w:sz w:val="20"/>
                <w:szCs w:val="20"/>
                <w:color w:val="auto"/>
              </w:rPr>
            </w:pPr>
            <w:r>
              <w:rPr>
                <w:rFonts w:ascii="Arial" w:cs="Arial" w:eastAsia="Arial" w:hAnsi="Arial"/>
                <w:sz w:val="18"/>
                <w:szCs w:val="18"/>
                <w:color w:val="auto"/>
              </w:rPr>
              <w:t>Basic</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12,284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13,026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11,919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12,659</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9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9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7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r>
      <w:tr>
        <w:trPr>
          <w:trHeight w:val="216"/>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9760" w:type="dxa"/>
            <w:vAlign w:val="bottom"/>
          </w:tcPr>
          <w:p>
            <w:pPr>
              <w:ind w:left="88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9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9760" w:type="dxa"/>
            <w:vAlign w:val="bottom"/>
          </w:tcPr>
          <w:p>
            <w:pPr>
              <w:ind w:left="8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r>
      <w:tr>
        <w:trPr>
          <w:trHeight w:val="216"/>
        </w:trPr>
        <w:tc>
          <w:tcPr>
            <w:tcW w:w="9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assets and liabilities, net of effect of acquisition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ind w:left="13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r>
      <w:tr>
        <w:trPr>
          <w:trHeight w:val="216"/>
        </w:trPr>
        <w:tc>
          <w:tcPr>
            <w:tcW w:w="9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(1,136)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w:t>
            </w:r>
          </w:p>
        </w:tc>
      </w:tr>
      <w:tr>
        <w:trPr>
          <w:trHeight w:val="216"/>
        </w:trPr>
        <w:tc>
          <w:tcPr>
            <w:tcW w:w="9760" w:type="dxa"/>
            <w:vAlign w:val="bottom"/>
          </w:tcPr>
          <w:p>
            <w:pPr>
              <w:ind w:left="13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r>
      <w:tr>
        <w:trPr>
          <w:trHeight w:val="216"/>
        </w:trPr>
        <w:tc>
          <w:tcPr>
            <w:tcW w:w="9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r>
      <w:tr>
        <w:trPr>
          <w:trHeight w:val="216"/>
        </w:trPr>
        <w:tc>
          <w:tcPr>
            <w:tcW w:w="9760" w:type="dxa"/>
            <w:vAlign w:val="bottom"/>
          </w:tcPr>
          <w:p>
            <w:pPr>
              <w:ind w:left="13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9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r>
      <w:tr>
        <w:trPr>
          <w:trHeight w:val="223"/>
        </w:trPr>
        <w:tc>
          <w:tcPr>
            <w:tcW w:w="9760" w:type="dxa"/>
            <w:vAlign w:val="bottom"/>
          </w:tcPr>
          <w:p>
            <w:pPr>
              <w:ind w:left="13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r>
      <w:tr>
        <w:trPr>
          <w:trHeight w:val="216"/>
        </w:trPr>
        <w:tc>
          <w:tcPr>
            <w:tcW w:w="97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(1,890)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(989)</w:t>
            </w:r>
          </w:p>
        </w:tc>
      </w:tr>
      <w:tr>
        <w:trPr>
          <w:trHeight w:val="216"/>
        </w:trPr>
        <w:tc>
          <w:tcPr>
            <w:tcW w:w="9760" w:type="dxa"/>
            <w:vAlign w:val="bottom"/>
          </w:tcPr>
          <w:p>
            <w:pPr>
              <w:ind w:left="440"/>
              <w:spacing w:after="0"/>
              <w:rPr>
                <w:sz w:val="20"/>
                <w:szCs w:val="20"/>
                <w:color w:val="auto"/>
              </w:rPr>
            </w:pPr>
            <w:r>
              <w:rPr>
                <w:rFonts w:ascii="Arial" w:cs="Arial" w:eastAsia="Arial" w:hAnsi="Arial"/>
                <w:sz w:val="18"/>
                <w:szCs w:val="18"/>
                <w:color w:val="auto"/>
              </w:rPr>
              <w:t>Acquisition of Direct EDI</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(10,865)</w:t>
            </w:r>
          </w:p>
        </w:tc>
      </w:tr>
      <w:tr>
        <w:trPr>
          <w:trHeight w:val="27"/>
        </w:trPr>
        <w:tc>
          <w:tcPr>
            <w:tcW w:w="9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(1,890)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(11,854)</w:t>
            </w: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9760" w:type="dxa"/>
            <w:vAlign w:val="bottom"/>
          </w:tcPr>
          <w:p>
            <w:pPr>
              <w:ind w:left="44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9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760" w:type="dxa"/>
            <w:vAlign w:val="bottom"/>
          </w:tcPr>
          <w:p>
            <w:pPr>
              <w:ind w:left="440"/>
              <w:spacing w:after="0"/>
              <w:rPr>
                <w:sz w:val="20"/>
                <w:szCs w:val="20"/>
                <w:color w:val="auto"/>
              </w:rPr>
            </w:pPr>
            <w:r>
              <w:rPr>
                <w:rFonts w:ascii="Arial" w:cs="Arial" w:eastAsia="Arial" w:hAnsi="Arial"/>
                <w:sz w:val="18"/>
                <w:szCs w:val="18"/>
                <w:color w:val="auto"/>
              </w:rPr>
              <w:t>Stock offering costs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9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21"/>
        </w:trPr>
        <w:tc>
          <w:tcPr>
            <w:tcW w:w="97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(10,685)</w:t>
            </w:r>
          </w:p>
        </w:tc>
      </w:tr>
      <w:tr>
        <w:trPr>
          <w:trHeight w:val="218"/>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31,985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40,473</w:t>
            </w:r>
          </w:p>
        </w:tc>
        <w:tc>
          <w:tcPr>
            <w:tcW w:w="100" w:type="dxa"/>
            <w:vAlign w:val="bottom"/>
            <w:shd w:val="clear" w:color="auto" w:fill="CCEEFF"/>
          </w:tcPr>
          <w:p>
            <w:pPr>
              <w:spacing w:after="0"/>
              <w:rPr>
                <w:sz w:val="18"/>
                <w:szCs w:val="18"/>
                <w:color w:val="auto"/>
              </w:rPr>
            </w:pPr>
          </w:p>
        </w:tc>
      </w:tr>
      <w:tr>
        <w:trPr>
          <w:trHeight w:val="222"/>
        </w:trPr>
        <w:tc>
          <w:tcPr>
            <w:tcW w:w="97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35,501</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29,788</w:t>
            </w:r>
          </w:p>
        </w:tc>
      </w:tr>
      <w:tr>
        <w:trPr>
          <w:trHeight w:val="20"/>
        </w:trPr>
        <w:tc>
          <w:tcPr>
            <w:tcW w:w="9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leading provider of on-demand supply chain management solutions and the Retail Universe community,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footnotes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2011 balance sheet data was derived from our audited financial statements at that date. For further information, refer to the consolidated financial statements and accompanying notes for the year ended December 31, 2011 included in our Annual Report on Form 10-K as filed with the Securities and Exchange Commission on March 9, 2012.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six months ended June 30, 2012, there were no material changes in our significant accounting policies. See Note A to the consolidated financial statements included in our Annual Report on Form 10-K for the year ended December 31, 2011, as filed with the Securities and Exchange Commission on March 9, 2012, for additional information regarding our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Statement Components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June 30, 2012</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95"/>
              </w:rPr>
              <w:t>December 31, 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60" w:type="dxa"/>
            <w:vAlign w:val="bottom"/>
            <w:gridSpan w:val="2"/>
          </w:tcPr>
          <w:p>
            <w:pPr>
              <w:jc w:val="right"/>
              <w:ind w:right="160"/>
              <w:spacing w:after="0" w:line="131" w:lineRule="exact"/>
              <w:rPr>
                <w:sz w:val="20"/>
                <w:szCs w:val="20"/>
                <w:color w:val="auto"/>
              </w:rPr>
            </w:pPr>
            <w:r>
              <w:rPr>
                <w:rFonts w:ascii="Arial" w:cs="Arial" w:eastAsia="Arial" w:hAnsi="Arial"/>
                <w:sz w:val="14"/>
                <w:szCs w:val="14"/>
                <w:color w:val="auto"/>
                <w:w w:val="90"/>
              </w:rPr>
              <w:t>Carrying</w:t>
            </w:r>
          </w:p>
        </w:tc>
        <w:tc>
          <w:tcPr>
            <w:tcW w:w="14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jc w:val="right"/>
              <w:spacing w:after="0" w:line="131" w:lineRule="exact"/>
              <w:rPr>
                <w:sz w:val="20"/>
                <w:szCs w:val="20"/>
                <w:color w:val="auto"/>
              </w:rPr>
            </w:pPr>
            <w:r>
              <w:rPr>
                <w:rFonts w:ascii="Arial" w:cs="Arial" w:eastAsia="Arial" w:hAnsi="Arial"/>
                <w:sz w:val="14"/>
                <w:szCs w:val="14"/>
                <w:color w:val="auto"/>
                <w:w w:val="86"/>
              </w:rPr>
              <w:t>Carrying</w:t>
            </w:r>
          </w:p>
        </w:tc>
        <w:tc>
          <w:tcPr>
            <w:tcW w:w="300" w:type="dxa"/>
            <w:vAlign w:val="bottom"/>
          </w:tcPr>
          <w:p>
            <w:pPr>
              <w:spacing w:after="0"/>
              <w:rPr>
                <w:sz w:val="11"/>
                <w:szCs w:val="11"/>
                <w:color w:val="auto"/>
              </w:rPr>
            </w:pPr>
          </w:p>
        </w:tc>
        <w:tc>
          <w:tcPr>
            <w:tcW w:w="104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8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Net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1"/>
              </w:rPr>
              <w:t>Amount</w:t>
            </w:r>
          </w:p>
        </w:tc>
        <w:tc>
          <w:tcPr>
            <w:tcW w:w="30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6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2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$7,180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(2,769)</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$ 4,411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$7,180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1,450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(614)</w:t>
            </w:r>
          </w:p>
        </w:tc>
        <w:tc>
          <w:tcPr>
            <w:tcW w:w="500" w:type="dxa"/>
            <w:vAlign w:val="bottom"/>
          </w:tcPr>
          <w:p>
            <w:pPr>
              <w:jc w:val="right"/>
              <w:spacing w:after="0"/>
              <w:rPr>
                <w:sz w:val="20"/>
                <w:szCs w:val="20"/>
                <w:color w:val="auto"/>
              </w:rPr>
            </w:pPr>
            <w:r>
              <w:rPr>
                <w:rFonts w:ascii="Arial" w:cs="Arial" w:eastAsia="Arial" w:hAnsi="Arial"/>
                <w:sz w:val="18"/>
                <w:szCs w:val="18"/>
                <w:color w:val="auto"/>
              </w:rPr>
              <w:t>836</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(469)</w:t>
            </w: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8,630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5,247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8,630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Amortization expense for intangible assets was $260,000 and $520,000 for the three and six months ended June 30, 2012, and $123,000 for each of the three and six months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 There were no borrowings outstanding at June 30, 2012 and we were in compliance with all covenants under the revolving credit agreement as of that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February 14, 2012, we executed a new lease agreement for our current headquarters location which commences on November 1, 2012 and expires on April 30, 2020. The lease includes additional square footage upon commencement, an automatic expansion of space on or about September 1, 2013, a right of first offer to lease certain additional space, and two options to extend the term of the lease for three years at a market rate determined in accordance with the lease. We will also have a rent holiday from November 2012 to October 2013 which will be incorporated into our deferred rent calculation upon commencement of the lease. In connection with this new lease, we delivered to the landlord cash or an irrevocable letter of credit for approximately $172,000, subject to increase based on square footage expansion, as security for performance of our obligations under the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2012, our future minimum payments under operating leases were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2012</w:t>
            </w: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2013</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2015</w:t>
            </w:r>
          </w:p>
        </w:tc>
        <w:tc>
          <w:tcPr>
            <w:tcW w:w="4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4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4480" w:type="dxa"/>
            <w:vAlign w:val="bottom"/>
            <w:vMerge w:val="restart"/>
          </w:tcPr>
          <w:p>
            <w:pPr>
              <w:jc w:val="right"/>
              <w:ind w:right="3072"/>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0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to employees, non-employee directors and other consultants who provide services to us. Stock options generally vest over four years and have a contractual term of seven to ten years from the date of grant. At June 30, 2012, there were approximately 1.1 million shares available for grant under approved equity compensation plans.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recorded stock-based compensation expense of $715,000 and $1.3 million for the three and six months ended June 30, 2012, respectively. We recorded stock-based compensation expense of $487,000 and $799,000 for the three and six months ended June 30, 2011, respectively. This expense was allocated as follows (in thousands):</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16"/>
              <w:spacing w:after="0"/>
              <w:rPr>
                <w:sz w:val="20"/>
                <w:szCs w:val="20"/>
                <w:color w:val="auto"/>
              </w:rPr>
            </w:pPr>
            <w:r>
              <w:rPr>
                <w:rFonts w:ascii="Arial" w:cs="Arial" w:eastAsia="Arial" w:hAnsi="Arial"/>
                <w:sz w:val="14"/>
                <w:szCs w:val="14"/>
                <w:color w:val="auto"/>
                <w:w w:val="87"/>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color w:val="auto"/>
              </w:rPr>
              <w:t>Six Months Ended</w:t>
            </w:r>
          </w:p>
        </w:tc>
      </w:tr>
      <w:tr>
        <w:trPr>
          <w:trHeight w:val="159"/>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3"/>
              <w:spacing w:after="0" w:line="159" w:lineRule="exact"/>
              <w:rPr>
                <w:sz w:val="20"/>
                <w:szCs w:val="20"/>
                <w:color w:val="auto"/>
              </w:rPr>
            </w:pPr>
            <w:r>
              <w:rPr>
                <w:rFonts w:ascii="Arial" w:cs="Arial" w:eastAsia="Arial" w:hAnsi="Arial"/>
                <w:sz w:val="14"/>
                <w:szCs w:val="14"/>
                <w:color w:val="auto"/>
              </w:rPr>
              <w:t>June 30,</w:t>
            </w:r>
          </w:p>
        </w:tc>
        <w:tc>
          <w:tcPr>
            <w:tcW w:w="3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300"/>
              <w:spacing w:after="0" w:line="159" w:lineRule="exact"/>
              <w:rPr>
                <w:sz w:val="20"/>
                <w:szCs w:val="20"/>
                <w:color w:val="auto"/>
              </w:rPr>
            </w:pPr>
            <w:r>
              <w:rPr>
                <w:rFonts w:ascii="Arial" w:cs="Arial" w:eastAsia="Arial" w:hAnsi="Arial"/>
                <w:sz w:val="14"/>
                <w:szCs w:val="14"/>
                <w:color w:val="auto"/>
                <w:w w:val="81"/>
              </w:rPr>
              <w:t>June 30,</w:t>
            </w: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20"/>
              <w:spacing w:after="0" w:line="142" w:lineRule="exact"/>
              <w:rPr>
                <w:sz w:val="20"/>
                <w:szCs w:val="20"/>
                <w:color w:val="auto"/>
              </w:rPr>
            </w:pPr>
            <w:r>
              <w:rPr>
                <w:rFonts w:ascii="Arial" w:cs="Arial" w:eastAsia="Arial" w:hAnsi="Arial"/>
                <w:sz w:val="14"/>
                <w:szCs w:val="14"/>
                <w:color w:val="auto"/>
                <w:w w:val="76"/>
              </w:rPr>
              <w:t>2012</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6"/>
              <w:spacing w:after="0" w:line="142" w:lineRule="exact"/>
              <w:rPr>
                <w:sz w:val="20"/>
                <w:szCs w:val="20"/>
                <w:color w:val="auto"/>
              </w:rPr>
            </w:pPr>
            <w:r>
              <w:rPr>
                <w:rFonts w:ascii="Arial" w:cs="Arial" w:eastAsia="Arial" w:hAnsi="Arial"/>
                <w:sz w:val="14"/>
                <w:szCs w:val="14"/>
                <w:color w:val="auto"/>
                <w:w w:val="83"/>
              </w:rPr>
              <w:t>2011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7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18"/>
                <w:szCs w:val="18"/>
                <w:color w:val="auto"/>
              </w:rPr>
            </w:pPr>
          </w:p>
        </w:tc>
      </w:tr>
      <w:tr>
        <w:trPr>
          <w:trHeight w:val="222"/>
        </w:trPr>
        <w:tc>
          <w:tcPr>
            <w:tcW w:w="742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1,327</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799</w:t>
            </w:r>
          </w:p>
        </w:tc>
        <w:tc>
          <w:tcPr>
            <w:tcW w:w="10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As of June 30, 2012, there was approximately $6.8 million of unrecognized stock-based compensation expense under our equity compensation plans, which is expected to be recognized on a straight line basis over a weighted average period of 2.3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option activity was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center"/>
              <w:ind w:left="152"/>
              <w:spacing w:after="0"/>
              <w:rPr>
                <w:sz w:val="20"/>
                <w:szCs w:val="20"/>
                <w:color w:val="auto"/>
              </w:rPr>
            </w:pPr>
            <w:r>
              <w:rPr>
                <w:rFonts w:ascii="Arial" w:cs="Arial" w:eastAsia="Arial" w:hAnsi="Arial"/>
                <w:sz w:val="14"/>
                <w:szCs w:val="14"/>
                <w:color w:val="auto"/>
                <w:w w:val="85"/>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Options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Exercise Price</w:t>
            </w:r>
          </w:p>
        </w:tc>
      </w:tr>
      <w:tr>
        <w:trPr>
          <w:trHeight w:val="159"/>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760" w:type="dxa"/>
            <w:vAlign w:val="bottom"/>
          </w:tcPr>
          <w:p>
            <w:pPr>
              <w:jc w:val="right"/>
              <w:ind w:right="218"/>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1,669,409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210,001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(247,559)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(16,301)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1,615,550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Of the total outstanding options at June 30, 2012, 922,469 were exercisable with a weighted average exercise price of $5.85 per share. The total outstanding options had a weighted average remaining contractual life of 6.7 years.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weighted average fair value per share of options granted during the first six months of 2012 was $10.13 and this was estimated on the date of grant using the Black-Scholes option pricing model with the following assumptions: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446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356"/>
        </w:trPr>
        <w:tc>
          <w:tcPr>
            <w:tcW w:w="3300" w:type="dxa"/>
            <w:vAlign w:val="bottom"/>
          </w:tcPr>
          <w:p>
            <w:pPr>
              <w:spacing w:after="0"/>
              <w:rPr>
                <w:sz w:val="24"/>
                <w:szCs w:val="24"/>
                <w:color w:val="auto"/>
              </w:rPr>
            </w:pPr>
          </w:p>
        </w:tc>
        <w:tc>
          <w:tcPr>
            <w:tcW w:w="4460" w:type="dxa"/>
            <w:vAlign w:val="bottom"/>
          </w:tcPr>
          <w:p>
            <w:pPr>
              <w:jc w:val="right"/>
              <w:ind w:right="3752"/>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months ended June 30, 2012, we granted 65,510 restricted stock units with a weighted average grant date fair value of $25.43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restricted stock units vest over a four year period and, upon vesting, the holder is entitled to receive shares of our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months ended June 30, 2012, we granted 6,330 restricted stock awards with a weighted average grant date fair value of $27.55 per share.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restricted stock units vest over a one year period and, upon vesting, the holder is entitled to receive shares of our common stock.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recorded a provision for income taxes of $300,000 and $453,000 for the three and six months ended June 30, 2012, respectively. We recorded a provision for income taxes of $78,000 and $107,000 for the three and six months ended June 30, 2011, respectively. We record our interim provision for income taxes based on our estimated annual effective tax rate for the year. Our provisions for income taxes included current federal alternative minimum tax expense and current foreign and state income tax expense. In addition, our provision for income taxes for the three and six months ended June 30, 2012 included deferred tax expense.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periods prior to the fourth quarter of 2011, a full valuation allowance was recorded against all of our deferred tax assets as it was more-likely-than-not that we would not realize these deferred tax assets, largely due to our history of taxable losses since inception. Based on our assessment during the fourth quarter of 2011, we determined that it was more-likely-than-not that we would be able to realize approximately $12.8 million of our deferred tax assets, which enabled us to release a substantial portion of the valuation allowance previously recorded. This determination was based on weighing both the positive and negative evidence available including, but not limited to, our earnings history, our projected future taxable income, our business strategy and the nature of each of our deferred tax assets.</w:t>
      </w:r>
    </w:p>
    <w:p>
      <w:pPr>
        <w:spacing w:after="0" w:line="14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As of June 30, 2012, we are generally subject to tax examinations for all prior years due to our net operating loss carryforwards.</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June 30, 2012,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(Loss) per Share</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Basic net income (loss) per share has been computed using the weighted average number of shares of common stock outstanding during each period. Diluted net income (loss) per share also includes the impact of our outstanding potential common shares, including options and restricted stock units. Potential common shares that are anti-dilutive are excluded from the calculation of diluted net income (loss) per share.</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(loss) per share for the periods indicated (in thousands, except per share amounts):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580"/>
              <w:spacing w:after="0"/>
              <w:rPr>
                <w:sz w:val="20"/>
                <w:szCs w:val="20"/>
                <w:color w:val="auto"/>
              </w:rPr>
            </w:pPr>
            <w:r>
              <w:rPr>
                <w:rFonts w:ascii="Arial" w:cs="Arial" w:eastAsia="Arial" w:hAnsi="Arial"/>
                <w:sz w:val="14"/>
                <w:szCs w:val="14"/>
                <w:color w:val="auto"/>
                <w:w w:val="99"/>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2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w w:val="85"/>
              </w:rPr>
              <w:t>June 30,</w:t>
            </w:r>
          </w:p>
        </w:tc>
        <w:tc>
          <w:tcPr>
            <w:tcW w:w="4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w w:val="85"/>
              </w:rPr>
              <w:t>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2012</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w w:val="96"/>
              </w:rPr>
              <w:t>2012</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 basic</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12,284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11,919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Options to purchase common stock</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860"/>
              <w:spacing w:after="0"/>
              <w:rPr>
                <w:sz w:val="20"/>
                <w:szCs w:val="20"/>
                <w:color w:val="auto"/>
              </w:rPr>
            </w:pPr>
            <w:r>
              <w:rPr>
                <w:rFonts w:ascii="Arial" w:cs="Arial" w:eastAsia="Arial" w:hAnsi="Arial"/>
                <w:sz w:val="18"/>
                <w:szCs w:val="18"/>
                <w:color w:val="auto"/>
              </w:rPr>
              <w:t>Restricted stock units and awards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11,919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and six months ended June 30, 2012, the effect of approximately 22,000 outstanding potential common shares was excluded from the calculation of diluted net income per share. For the three and six months ended June 30, 2011, the effect of approximately 420,000 outstanding potential common shares was excluded from the calculation of diluted net income (loss) per share because they were anti-dilutive.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a leading provider of on-demand supply chain management solutions and the Retail Universe community,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During the six months ended June 30, 2012,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2011 as filed with the Securities and Exchange Commission on March 9, 2012.</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accounting principles generally accepted in the United States of America.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2012, there were no significant changes in our critical accounting policies or estimates.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See Note A to our financial statements included in this Quarterly Report on Form 10-Q and in our Annual Report on Form 10-K for the year ended December 31, 2011, as filed with the Securities and Exchange Commission on March 9, 2012, for additional information regarding our critical accounting policies, as well as a description of our other significant accounting policies.</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240" w:top="459" w:right="8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Three Months Ended June 30,</w:t>
            </w:r>
          </w:p>
        </w:tc>
        <w:tc>
          <w:tcPr>
            <w:tcW w:w="9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color w:val="auto"/>
                <w:w w:val="83"/>
              </w:rPr>
              <w:t>2012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5"/>
              <w:spacing w:after="0" w:line="142"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840" w:type="dxa"/>
            <w:vAlign w:val="bottom"/>
          </w:tcPr>
          <w:p>
            <w:pPr>
              <w:jc w:val="right"/>
              <w:ind w:right="475"/>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17,821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13,937</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87"/>
              </w:rPr>
              <w:t>$3,884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4,843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3,750</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26.9</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1,093</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12,978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10,187</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73.1</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2,791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5,852</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1,120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1,830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1,414</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10.1</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416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2,839</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20.4</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326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0.9</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137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12,227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10,228</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73.4</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1,999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792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(13)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(22)</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0.1</w:t>
            </w:r>
          </w:p>
        </w:tc>
        <w:tc>
          <w:tcPr>
            <w:tcW w:w="840" w:type="dxa"/>
            <w:vAlign w:val="bottom"/>
            <w:vMerge w:val="restart"/>
          </w:tcPr>
          <w:p>
            <w:pPr>
              <w:jc w:val="right"/>
              <w:ind w:right="195"/>
              <w:spacing w:after="0"/>
              <w:rPr>
                <w:sz w:val="20"/>
                <w:szCs w:val="20"/>
                <w:color w:val="auto"/>
              </w:rPr>
            </w:pPr>
            <w:r>
              <w:rPr>
                <w:rFonts w:ascii="Arial" w:cs="Arial" w:eastAsia="Arial" w:hAnsi="Arial"/>
                <w:sz w:val="18"/>
                <w:szCs w:val="18"/>
                <w:color w:val="auto"/>
              </w:rPr>
              <w:t>(35)</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3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757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(222)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284.6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535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color w:val="auto"/>
              </w:rPr>
              <w:t>Six Months Ended June 30,</w:t>
            </w:r>
          </w:p>
        </w:tc>
        <w:tc>
          <w:tcPr>
            <w:tcW w:w="9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6"/>
              <w:spacing w:after="0" w:line="142" w:lineRule="exact"/>
              <w:rPr>
                <w:sz w:val="20"/>
                <w:szCs w:val="20"/>
                <w:color w:val="auto"/>
              </w:rPr>
            </w:pPr>
            <w:r>
              <w:rPr>
                <w:rFonts w:ascii="Arial" w:cs="Arial" w:eastAsia="Arial" w:hAnsi="Arial"/>
                <w:sz w:val="14"/>
                <w:szCs w:val="14"/>
                <w:color w:val="auto"/>
                <w:w w:val="83"/>
              </w:rPr>
              <w:t>2012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5"/>
              <w:spacing w:after="0" w:line="142" w:lineRule="exact"/>
              <w:rPr>
                <w:sz w:val="20"/>
                <w:szCs w:val="20"/>
                <w:color w:val="auto"/>
              </w:rPr>
            </w:pPr>
            <w:r>
              <w:rPr>
                <w:rFonts w:ascii="Arial" w:cs="Arial" w:eastAsia="Arial" w:hAnsi="Arial"/>
                <w:sz w:val="14"/>
                <w:szCs w:val="14"/>
                <w:color w:val="auto"/>
                <w:w w:val="83"/>
              </w:rPr>
              <w:t>2011</w:t>
            </w:r>
          </w:p>
        </w:tc>
        <w:tc>
          <w:tcPr>
            <w:tcW w:w="400" w:type="dxa"/>
            <w:vAlign w:val="bottom"/>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840" w:type="dxa"/>
            <w:vAlign w:val="bottom"/>
          </w:tcPr>
          <w:p>
            <w:pPr>
              <w:jc w:val="right"/>
              <w:ind w:right="475"/>
              <w:spacing w:after="0" w:line="142" w:lineRule="exact"/>
              <w:rPr>
                <w:sz w:val="20"/>
                <w:szCs w:val="20"/>
                <w:color w:val="auto"/>
              </w:rPr>
            </w:pPr>
            <w:r>
              <w:rPr>
                <w:rFonts w:ascii="Arial" w:cs="Arial" w:eastAsia="Arial" w:hAnsi="Arial"/>
                <w:sz w:val="14"/>
                <w:szCs w:val="14"/>
                <w:color w:val="auto"/>
              </w:rPr>
              <w:t>$</w:t>
            </w:r>
          </w:p>
        </w:tc>
        <w:tc>
          <w:tcPr>
            <w:tcW w:w="420" w:type="dxa"/>
            <w:vAlign w:val="bottom"/>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34,355</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26,586</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87"/>
              </w:rPr>
              <w:t>$7,769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9,291</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7,071</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26.6</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2,220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25,064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19,515</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73.4</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5,549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13,419</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10,978</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41.3</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2,441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3,562</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2,654</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908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6,353</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5,294</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19.9</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1,059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397</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322.8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23,854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19,049</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71.7</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4,805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tcPr>
          <w:p>
            <w:pPr>
              <w:spacing w:after="0"/>
              <w:rPr>
                <w:sz w:val="24"/>
                <w:szCs w:val="24"/>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1,210</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466</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840" w:type="dxa"/>
            <w:vAlign w:val="bottom"/>
          </w:tcPr>
          <w:p>
            <w:pPr>
              <w:jc w:val="right"/>
              <w:ind w:right="255"/>
              <w:spacing w:after="0"/>
              <w:rPr>
                <w:sz w:val="20"/>
                <w:szCs w:val="20"/>
                <w:color w:val="auto"/>
              </w:rPr>
            </w:pPr>
            <w:r>
              <w:rPr>
                <w:rFonts w:ascii="Arial" w:cs="Arial" w:eastAsia="Arial" w:hAnsi="Arial"/>
                <w:sz w:val="18"/>
                <w:szCs w:val="18"/>
                <w:color w:val="auto"/>
              </w:rPr>
              <w:t>744</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(30)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(69)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0.1</w:t>
            </w:r>
          </w:p>
        </w:tc>
        <w:tc>
          <w:tcPr>
            <w:tcW w:w="840" w:type="dxa"/>
            <w:vAlign w:val="bottom"/>
            <w:vMerge w:val="restart"/>
          </w:tcPr>
          <w:p>
            <w:pPr>
              <w:jc w:val="right"/>
              <w:ind w:right="195"/>
              <w:spacing w:after="0"/>
              <w:rPr>
                <w:sz w:val="20"/>
                <w:szCs w:val="20"/>
                <w:color w:val="auto"/>
              </w:rPr>
            </w:pPr>
            <w:r>
              <w:rPr>
                <w:rFonts w:ascii="Arial" w:cs="Arial" w:eastAsia="Arial" w:hAnsi="Arial"/>
                <w:sz w:val="18"/>
                <w:szCs w:val="18"/>
                <w:color w:val="auto"/>
              </w:rPr>
              <w:t>(99)</w:t>
            </w: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34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645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131.6</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840" w:type="dxa"/>
            <w:vAlign w:val="bottom"/>
          </w:tcPr>
          <w:p>
            <w:pPr>
              <w:jc w:val="right"/>
              <w:ind w:right="195"/>
              <w:spacing w:after="0"/>
              <w:rPr>
                <w:sz w:val="20"/>
                <w:szCs w:val="20"/>
                <w:color w:val="auto"/>
              </w:rPr>
            </w:pPr>
            <w:r>
              <w:rPr>
                <w:rFonts w:ascii="Arial" w:cs="Arial" w:eastAsia="Arial" w:hAnsi="Arial"/>
                <w:sz w:val="18"/>
                <w:szCs w:val="18"/>
                <w:color w:val="auto"/>
              </w:rPr>
              <w:t>(346)</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323.4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8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299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w w:val="89"/>
              </w:rPr>
              <w:t>Due to rounding, totals may not equal the sum of the line items in the table above.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Percentage is not meaningful.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2012 compared to Three and Six Months Ended June 30, 2011</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June 30, 2012 increased $3.9 million, or 28%, to $17.8 million from $13.9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2011. Our fiscal quarter ended June 30, 2012 represented our 46</w:t>
      </w:r>
      <w:r>
        <w:rPr>
          <w:rFonts w:ascii="Arial" w:cs="Arial" w:eastAsia="Arial" w:hAnsi="Arial"/>
          <w:sz w:val="11"/>
          <w:szCs w:val="11"/>
          <w:color w:val="auto"/>
        </w:rPr>
        <w:t>th</w:t>
      </w:r>
      <w:r>
        <w:rPr>
          <w:rFonts w:ascii="Arial" w:cs="Arial" w:eastAsia="Arial" w:hAnsi="Arial"/>
          <w:sz w:val="18"/>
          <w:szCs w:val="18"/>
          <w:color w:val="auto"/>
        </w:rPr>
        <w:t xml:space="preserve"> consecutive quarter of increased revenues. Revenues for the six months ended June 30, 2012 increased $7.8 million, or 29%, to $34.4 million from $26.6 million for the same period in 2011.</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increase in revenues resulted from two primary factors: the increase in recurring revenue customers and the increase in annualized average recurring revenues per recurring revenue customer.</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11% to 17,035 at June 30, 2012 from 15,324 at June 30,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Annualized average recurring revenues per recurring revenue customer increased 10% to $3,668 for the three months ended June 30, 2012 from</w:t>
      </w:r>
    </w:p>
    <w:p>
      <w:pPr>
        <w:spacing w:after="0" w:line="38" w:lineRule="exact"/>
        <w:rPr>
          <w:rFonts w:ascii="Arial" w:cs="Arial" w:eastAsia="Arial" w:hAnsi="Arial"/>
          <w:sz w:val="16"/>
          <w:szCs w:val="16"/>
          <w:color w:val="auto"/>
        </w:rPr>
      </w:pPr>
    </w:p>
    <w:p>
      <w:pPr>
        <w:ind w:left="900" w:right="80"/>
        <w:spacing w:after="0" w:line="261" w:lineRule="auto"/>
        <w:rPr>
          <w:rFonts w:ascii="Arial" w:cs="Arial" w:eastAsia="Arial" w:hAnsi="Arial"/>
          <w:sz w:val="16"/>
          <w:szCs w:val="16"/>
          <w:color w:val="auto"/>
        </w:rPr>
      </w:pPr>
      <w:r>
        <w:rPr>
          <w:rFonts w:ascii="Arial" w:cs="Arial" w:eastAsia="Arial" w:hAnsi="Arial"/>
          <w:sz w:val="18"/>
          <w:szCs w:val="18"/>
          <w:color w:val="auto"/>
        </w:rPr>
        <w:t>$3,321 for the same period in 2011. This increase was primarily attributable to increased fees resulting from increased usage of our solutions by our recurring revenue customers, including growth in larger customers.</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Recurring revenues from recurring revenue customers accounted for 86% of our total revenues for the three and six months ended June 30, 2012, respectively, compared to 84% for each of the same periods in 2011.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June 30, 2012 increased $1.1 million, or 29%, to $4.8 million from $3.7 million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same period in 2011. Cost of revenues for the six months ended June 30, 2012 increased $2.2 million, or 31%, to $9.3 million from $7.1 million for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in 2011. The increase in cost of revenues was attributable to increased costs for personnel and depreciation for both the three and six month periods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In addition, increased costs for network services and stock-based compensation contributed to the increase in cost of revenues for the six month period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As a percentage of revenues, cost of revenues was 27% for the three and six months ended June 30, 2012, which was comparable to the same periods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 Going forward, we anticipate that cost of revenues will continue to increase in absolute dollars as we build our business.</w:t>
      </w:r>
    </w:p>
    <w:p>
      <w:pPr>
        <w:spacing w:after="0" w:line="165"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i w:val="1"/>
          <w:iCs w:val="1"/>
          <w:color w:val="auto"/>
        </w:rPr>
        <w:t xml:space="preserve">Sales and Marketing Expenses. </w:t>
      </w:r>
      <w:r>
        <w:rPr>
          <w:rFonts w:ascii="Arial" w:cs="Arial" w:eastAsia="Arial" w:hAnsi="Arial"/>
          <w:sz w:val="15"/>
          <w:szCs w:val="15"/>
          <w:color w:val="auto"/>
        </w:rPr>
        <w:t>Sales and marketing expenses for the three months ended June 30, 2012 increased $1.1 million, or 19%, to $7.0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$5.9 million for the same period in 2011. Sales and marketing expenses for the six months ended June 30, 2012 increased $2.4 million, or 22%, to</w:t>
      </w:r>
    </w:p>
    <w:p>
      <w:pPr>
        <w:ind w:right="20"/>
        <w:spacing w:after="0" w:line="292" w:lineRule="auto"/>
        <w:rPr>
          <w:sz w:val="20"/>
          <w:szCs w:val="20"/>
          <w:color w:val="auto"/>
        </w:rPr>
      </w:pPr>
      <w:r>
        <w:rPr>
          <w:rFonts w:ascii="Arial" w:cs="Arial" w:eastAsia="Arial" w:hAnsi="Arial"/>
          <w:sz w:val="16"/>
          <w:szCs w:val="16"/>
          <w:color w:val="auto"/>
        </w:rPr>
        <w:t>$13.4 million from $11.0 million for the same period in 2011. The increase in sales and marketing expenses for both the three and six month periods in 2012 was primarily due to increased personnel costs and higher commissions earned by sales personnel from new business, as well as increased stock-based compensation and marketing costs. As a percentage of revenues, sales and marketing expenses were 39% for the three and six months ended June 30, 2012, compared to 42% and 41% for the same periods in 2011, respectively. As we build our business, we will continue to add resources to our sales and marketing efforts over time, and we expect that these expenses will continue to increase in absolute dollars.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three months ended June 30, 2012 increased $416,000, or 29%, to $1.8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$1.4 million for the same period in 2011. Research and development expenses for the six months ended June 30, 2012 increased $908,000, or 34%, to $3.6 million from $2.7 million for the same period in 2011. The increase in research and development expenses for both the three and six month periods in 2012 was due primarily to increased personnel costs, stock-based compensation and depreciation expense. As a percentage of revenues, research and development expenses were 10% for all periods presented. As we enhance and expand our solutions and applications, we expect that research and development expenses will continue to increase in absolute dollars.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the three months ended June 30, 2012 increased $326,000, or 11%, to $3.2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$2.8 million for the same period in 2011. General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administrative expenses for the six months ended June 30, 2012 increased $1.1 million, or 20%, to $6.4 million from $5.3 million for the same period in 2011. The increase in general and administrative expenses for both the three and six month periods in 2012 was primarily due to increased personnel costs, as well as increased stock-based compensation and credit card processing expenses. As a percentage of revenues, general and administrative expenses were 18% for each of the three and six months ended June 30, 2012 compared to 20% for each of the same periods in 2011. Going forward, we expect that general and administrative expenses will continue to increase in absolute dollars as we build our business.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expense was $260,000 and $520,000 for the three and six months ended June 30, 2012,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$123,000 for each of the comparable periods in 2011. All amortization was related to intangible assets recorded with the acquisition of Direct EDI in May 2011.</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Interest income for the three and six months ended June 30, 2012 was $13,000 and $28,000, respectively, compared to $26,000</w:t>
      </w:r>
      <w:r>
        <w:rPr>
          <w:rFonts w:ascii="Arial" w:cs="Arial" w:eastAsia="Arial" w:hAnsi="Arial"/>
          <w:sz w:val="18"/>
          <w:szCs w:val="18"/>
          <w:i w:val="1"/>
          <w:iCs w:val="1"/>
          <w:color w:val="auto"/>
        </w:rPr>
        <w:t xml:space="preserve"> </w:t>
      </w:r>
      <w:r>
        <w:rPr>
          <w:rFonts w:ascii="Arial" w:cs="Arial" w:eastAsia="Arial" w:hAnsi="Arial"/>
          <w:sz w:val="18"/>
          <w:szCs w:val="18"/>
          <w:color w:val="auto"/>
        </w:rPr>
        <w:t>and $58,000 for the same periods in 2011. Other expense for the three and six months ended June 30, 2012 was $38,000 and $103,000, respectively, and $16,000 and $34,000 for the same periods in 2011.</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$300,000 and $453,000 for the three and six months ended June 30, 2012, respectively. Income tax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was $78,000 and $107,000 for the three and six months ended June 30, 2011, respectively. We record our interim provision for income taxes based on our estimated annual effective tax rate for the year. Our provisions for income taxes included current federal alternative minimum tax expense and current foreign and state income tax expense. In addition, our provision for income taxes for the three and six months ended June 30, 2012 included deferred tax expense. The increase in income tax expense for the three and six month periods in 2012, from the comparable periods in 2011, was primarily related to deferred tax expense incurred in 2012 subsequent to the reversal of substantially all of the valuation allowance on our deferred tax assets in the fourth quarter of 2011.</w:t>
      </w:r>
    </w:p>
    <w:p>
      <w:pPr>
        <w:spacing w:after="0" w:line="12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i w:val="1"/>
          <w:iCs w:val="1"/>
          <w:color w:val="auto"/>
        </w:rPr>
        <w:t xml:space="preserve">Adjusted EBITDA. </w:t>
      </w:r>
      <w:r>
        <w:rPr>
          <w:rFonts w:ascii="Arial" w:cs="Arial" w:eastAsia="Arial" w:hAnsi="Arial"/>
          <w:sz w:val="15"/>
          <w:szCs w:val="15"/>
          <w:color w:val="auto"/>
        </w:rPr>
        <w:t>Adjusted EBITDA, which is a non-GAAP measure of financial performance, consists of net income (loss) plus depreciation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amortization, interest expense, interest 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(loss) to Adjusted EBITDA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60"/>
              <w:spacing w:after="0"/>
              <w:rPr>
                <w:sz w:val="20"/>
                <w:szCs w:val="20"/>
                <w:color w:val="auto"/>
              </w:rPr>
            </w:pPr>
            <w:r>
              <w:rPr>
                <w:rFonts w:ascii="Arial" w:cs="Arial" w:eastAsia="Arial" w:hAnsi="Arial"/>
                <w:sz w:val="14"/>
                <w:szCs w:val="14"/>
                <w:color w:val="auto"/>
                <w:w w:val="87"/>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30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ind w:right="60"/>
              <w:spacing w:after="0" w:line="159" w:lineRule="exact"/>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3"/>
              </w:rPr>
              <w:t>2012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0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w w:val="95"/>
              </w:rPr>
              <w:t>Depreciation and amortization of property and equipment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1,244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1,625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2,871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8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2,340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4,198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0" w:type="dxa"/>
            <w:vAlign w:val="bottom"/>
            <w:vMerge w:val="restart"/>
          </w:tcPr>
          <w:p>
            <w:pPr>
              <w:jc w:val="right"/>
              <w:ind w:right="179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plus 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net income (loss) to non-GAAP income per share (in thousands, except per share amounts):</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500"/>
              <w:spacing w:after="0"/>
              <w:rPr>
                <w:sz w:val="20"/>
                <w:szCs w:val="20"/>
                <w:color w:val="auto"/>
              </w:rPr>
            </w:pPr>
            <w:r>
              <w:rPr>
                <w:rFonts w:ascii="Arial" w:cs="Arial" w:eastAsia="Arial" w:hAnsi="Arial"/>
                <w:sz w:val="14"/>
                <w:szCs w:val="14"/>
                <w:color w:val="auto"/>
                <w:w w:val="97"/>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2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78"/>
              </w:rPr>
              <w:t>June 30,</w:t>
            </w: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00"/>
              <w:spacing w:after="0" w:line="159" w:lineRule="exact"/>
              <w:rPr>
                <w:sz w:val="20"/>
                <w:szCs w:val="20"/>
                <w:color w:val="auto"/>
              </w:rPr>
            </w:pPr>
            <w:r>
              <w:rPr>
                <w:rFonts w:ascii="Arial" w:cs="Arial" w:eastAsia="Arial" w:hAnsi="Arial"/>
                <w:sz w:val="14"/>
                <w:szCs w:val="14"/>
                <w:color w:val="auto"/>
                <w:w w:val="81"/>
              </w:rPr>
              <w:t>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2012</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2012</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700" w:type="dxa"/>
            <w:vAlign w:val="bottom"/>
            <w:gridSpan w:val="2"/>
          </w:tcPr>
          <w:p>
            <w:pPr>
              <w:spacing w:after="0"/>
              <w:rPr>
                <w:sz w:val="20"/>
                <w:szCs w:val="20"/>
                <w:color w:val="auto"/>
              </w:rPr>
            </w:pPr>
            <w:r>
              <w:rPr>
                <w:rFonts w:ascii="Arial" w:cs="Arial" w:eastAsia="Arial" w:hAnsi="Arial"/>
                <w:sz w:val="18"/>
                <w:szCs w:val="18"/>
                <w:color w:val="auto"/>
              </w:rPr>
              <w:t>Non-GAAP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2,529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12,284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11,919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12,620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00" w:type="dxa"/>
            <w:vAlign w:val="bottom"/>
            <w:gridSpan w:val="2"/>
          </w:tcPr>
          <w:p>
            <w:pPr>
              <w:spacing w:after="0"/>
              <w:rPr>
                <w:sz w:val="20"/>
                <w:szCs w:val="20"/>
                <w:color w:val="auto"/>
              </w:rPr>
            </w:pPr>
            <w:r>
              <w:rPr>
                <w:rFonts w:ascii="Arial" w:cs="Arial" w:eastAsia="Arial" w:hAnsi="Arial"/>
                <w:sz w:val="18"/>
                <w:szCs w:val="18"/>
                <w:color w:val="auto"/>
              </w:rPr>
              <w:t>Non-GAAP income per share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At June 30, 2012, our principal sources of liquidity were cash and cash equivalents of $35.5 million and accounts receivable, net of allowance for doubtful accounts, of $9.0 million. Our working capital at June 30, 2012 was $40.7 million compared to $36.8 million at December 31, 2011. The increase in working capital from December 31, 2011 to June 30, 2012 resulted primarily from the following:</w:t>
      </w:r>
    </w:p>
    <w:p>
      <w:pPr>
        <w:spacing w:after="0" w:line="59" w:lineRule="exact"/>
        <w:rPr>
          <w:sz w:val="20"/>
          <w:szCs w:val="20"/>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 million increase in cash and cash equivalents, due primarily to cash provided by operations and cash received from the exercise of stock options, slightly offset by cash used for capital expenditures;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 million increase in net accounts receivable, due to new business for the six months ended June 30,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$761,000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$161,000 decrease in prepaid expenses and other current assets, primarily related to prepaid service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$533,000 increase in accounts payable, primarily due to timing of payments;</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$312,000 decrease in accrued compensation and benefits, due primarily to payments made in early 2012 for bonuses accrued as of December 31, 2011;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$463,000 increase in accrued expenses and other current liabilities, primarily due to an increase in accruals for professional services;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$526,000 increase in deferred revenue, current, due to new business for the six months ended June 30,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Net cash provided by operating activities was $4.6 million for the six months ended June 30, 2012 compared to $1.1 million for the same period in 2011. The $299,000 increase in net income and the changes in non-cash expenses, including increased amortization and stock-based compensation, and the changes in working capital accounts discussed above, resulted in the overall increase in net cash provided by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cash used in investing activities was $1.9 million for the six months ended June 30, 2012, all for capital expenditures. Our capital expenditures are for supporting our business growth and existing customer base, as well as for our internal use such as equipment for our employees. Net cash used in investing activities was $11.9 million for the six months ended June 30, 2011, and represented $10.9 million for the acquisition of Direct EDI and $1.0 million for capital expenditures.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Net cash provided by financing activities was $835,000 for the six months ended June 30, 2012, representing the proceeds and excess tax benefit from the exercise of stock options. Net cash provided by financing activities was $43,000 for the six months ended June 30, 2011, representing proceeds from the exercise of stock options substantially offset by repayments of capital lease obligations and payment of offering costs related to the issuance of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borrowings outstanding at June 30, 2012 and we were in compliance with all covenants under the revolving credit agreement as of that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increase as we continue to grow our business.</w:t>
      </w:r>
    </w:p>
    <w:p>
      <w:pPr>
        <w:spacing w:after="0" w:line="1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2012.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June 30, 2012. We therefore do not have any material risk to interest rate fluctuations unless we borrow under our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During the quarter ended June 30, 2012, we implemented a new Enterprise Resource Planning (“ERP”) system to support the overall growth in our business. The implementation was designed, in part, to enhance the overall system of internal control over financial reporting through further automation of various business processes. This implementation has resulted in changes to certain internal controls over financial reporting. We believe we have taken the necessary steps to monitor and maintain appropriate internal controls impacting financial reporting.</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There were no other changes in our internal control over financial reporting during the quarter ended June 30, 2012 that have materially affected, or are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are not currently subject to any material legal proceedings. From time to time, however, we may be engaged in legal actions arising from our normal business activities. Any such actions, even those that lack merit, could result in the expenditure of significant financial and managerial resources.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2011 as filed with the Securities and Exchange Commission on March 9,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August 6, 2012</w:t>
      </w:r>
      <w:r>
        <w:rPr>
          <w:sz w:val="20"/>
          <w:szCs w:val="20"/>
          <w:color w:val="auto"/>
        </w:rPr>
        <w:tab/>
      </w:r>
      <w:r>
        <w:rPr>
          <w:rFonts w:ascii="Arial" w:cs="Arial" w:eastAsia="Arial" w:hAnsi="Arial"/>
          <w:sz w:val="16"/>
          <w:szCs w:val="16"/>
          <w:b w:val="1"/>
          <w:bCs w:val="1"/>
          <w:color w:val="auto"/>
        </w:rPr>
        <w:t>SPS COMMERCE, INC.</w:t>
      </w:r>
    </w:p>
    <w:p>
      <w:pPr>
        <w:spacing w:after="0" w:line="24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240" w:top="459" w:right="7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40" w:type="dxa"/>
            <w:vAlign w:val="bottom"/>
            <w:gridSpan w:val="2"/>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440" w:type="dxa"/>
            <w:vAlign w:val="bottom"/>
          </w:tcPr>
          <w:p>
            <w:pPr>
              <w:ind w:left="20"/>
              <w:spacing w:after="0"/>
              <w:rPr>
                <w:sz w:val="20"/>
                <w:szCs w:val="20"/>
                <w:color w:val="auto"/>
              </w:rPr>
            </w:pPr>
            <w:r>
              <w:rPr>
                <w:rFonts w:ascii="Arial" w:cs="Arial" w:eastAsia="Arial" w:hAnsi="Arial"/>
                <w:sz w:val="14"/>
                <w:szCs w:val="14"/>
                <w:i w:val="1"/>
                <w:iCs w:val="1"/>
                <w:color w:val="auto"/>
                <w:w w:val="95"/>
              </w:rPr>
              <w:t>Exhibit</w:t>
            </w:r>
          </w:p>
        </w:tc>
        <w:tc>
          <w:tcPr>
            <w:tcW w:w="5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w w:val="84"/>
              </w:rPr>
              <w:t>Number</w:t>
            </w:r>
          </w:p>
        </w:tc>
        <w:tc>
          <w:tcPr>
            <w:tcW w:w="5380" w:type="dxa"/>
            <w:vAlign w:val="bottom"/>
          </w:tcPr>
          <w:p>
            <w:pPr>
              <w:spacing w:after="0"/>
              <w:rPr>
                <w:sz w:val="14"/>
                <w:szCs w:val="14"/>
                <w:color w:val="auto"/>
              </w:rPr>
            </w:pPr>
          </w:p>
        </w:tc>
        <w:tc>
          <w:tcPr>
            <w:tcW w:w="66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i w:val="1"/>
                <w:iCs w:val="1"/>
                <w:color w:val="auto"/>
                <w:w w:val="88"/>
              </w:rPr>
              <w:t>Description</w:t>
            </w:r>
          </w:p>
        </w:tc>
      </w:tr>
    </w:tbl>
    <w:p>
      <w:pPr>
        <w:spacing w:after="0" w:line="100"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Rules 13a-14(a) under the Securities Exchange Act of 1934, as amended (filed herewith).</w:t>
      </w:r>
    </w:p>
    <w:p>
      <w:pPr>
        <w:spacing w:after="0" w:line="11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Rules 13a-14(a) under the Securities Exchange Act of 1934, as amended (filed herewith).</w:t>
      </w:r>
    </w:p>
    <w:p>
      <w:pPr>
        <w:spacing w:after="0" w:line="117" w:lineRule="exact"/>
        <w:rPr>
          <w:sz w:val="20"/>
          <w:szCs w:val="20"/>
          <w:color w:val="auto"/>
        </w:rPr>
      </w:pPr>
    </w:p>
    <w:p>
      <w:pPr>
        <w:ind w:left="920" w:right="120" w:hanging="830"/>
        <w:spacing w:after="0" w:line="268" w:lineRule="auto"/>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and Chief Financial Officer pursuant to 18 U.S.C. Sec. 1350, as adopted pursuant to Section 906 of the Sarbanes-Oxley Act of 2002 (filed herewith).</w:t>
      </w:r>
    </w:p>
    <w:p>
      <w:pPr>
        <w:spacing w:after="0" w:line="78" w:lineRule="exact"/>
        <w:rPr>
          <w:sz w:val="20"/>
          <w:szCs w:val="20"/>
          <w:color w:val="auto"/>
        </w:rPr>
      </w:pPr>
    </w:p>
    <w:p>
      <w:pPr>
        <w:ind w:left="5620" w:right="4660" w:hanging="5612"/>
        <w:spacing w:after="0" w:line="525"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(filed herewith). 21</w:t>
      </w:r>
    </w:p>
    <w:p>
      <w:pPr>
        <w:sectPr>
          <w:pgSz w:w="11900" w:h="16838" w:orient="portrait"/>
          <w:cols w:equalWidth="0" w:num="1">
            <w:col w:w="11120"/>
          </w:cols>
          <w:pgMar w:left="240" w:top="459" w:right="5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8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920" w:right="260" w:hanging="440"/>
        <w:spacing w:after="0" w:line="306"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460" w:hanging="440"/>
        <w:spacing w:after="0" w:line="268" w:lineRule="auto"/>
        <w:tabs>
          <w:tab w:leader="none" w:pos="1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2400" w:firstLine="2391"/>
        <w:spacing w:after="0" w:line="394"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8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ind w:left="1920" w:right="40" w:hanging="440"/>
        <w:spacing w:after="0" w:line="259"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1920" w:right="260" w:hanging="440"/>
        <w:spacing w:after="0" w:line="306"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14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460" w:hanging="440"/>
        <w:spacing w:after="0" w:line="268" w:lineRule="auto"/>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2012,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6,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2019-12-09T15:27:43Z</dcterms:created>
  <dcterms:modified xsi:type="dcterms:W3CDTF">2019-12-09T15:27:43Z</dcterms:modified>
</cp:coreProperties>
</file>