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ind w:left="0" w:right="0" w:hanging="490"/>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Commission file number 001-34702</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SPS COMMERCE, INC.</w:t>
      </w:r>
    </w:p>
    <w:p>
      <w:pPr>
        <w:pStyle w:val="TextBody"/>
        <w:bidi w:val="0"/>
        <w:spacing w:before="0" w:after="0"/>
        <w:jc w:val="center"/>
        <w:rPr/>
      </w:pPr>
      <w:r>
        <w:rPr/>
        <w:drawing>
          <wp:inline distT="0" distB="0" distL="0" distR="0">
            <wp:extent cx="9144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8763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(Exact Name of Registrant as Specified in its Charter)</w:t>
      </w:r>
    </w:p>
    <w:tbl>
      <w:tblPr>
        <w:tblW w:w="3719" w:type="dxa"/>
        <w:jc w:val="center"/>
        <w:tblInd w:w="0" w:type="dxa"/>
        <w:tblLayout w:type="fixed"/>
        <w:tblCellMar>
          <w:top w:w="28" w:type="dxa"/>
          <w:left w:w="28" w:type="dxa"/>
          <w:bottom w:w="28" w:type="dxa"/>
          <w:right w:w="28" w:type="dxa"/>
        </w:tblCellMar>
      </w:tblPr>
      <w:tblGrid>
        <w:gridCol w:w="819"/>
        <w:gridCol w:w="718"/>
        <w:gridCol w:w="727"/>
        <w:gridCol w:w="425"/>
        <w:gridCol w:w="425"/>
        <w:gridCol w:w="60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41-2015127</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(State or other jurisdiction of</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(I.R.S. Employer</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333 South Seventh Street, Suite 1000, Minneapolis, MN 55402</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(612) 435-9400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1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24"/>
        <w:gridCol w:w="424"/>
        <w:gridCol w:w="426"/>
        <w:gridCol w:w="109"/>
        <w:gridCol w:w="109"/>
        <w:gridCol w:w="109"/>
        <w:gridCol w:w="1181"/>
        <w:gridCol w:w="1181"/>
        <w:gridCol w:w="1672"/>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1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 (Nasdaq Global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jc w:val="left"/>
        <w:rPr/>
      </w:pPr>
      <w:r>
        <w:rPr>
          <w:rFonts w:ascii="Times New Roman;serif" w:hAnsi="Times New Roman;serif"/>
          <w:b w:val="false"/>
          <w:color w:val="000000"/>
          <w:sz w:val="18"/>
        </w:rPr>
        <w:t>The number of shares of the registrant’s common stock, par value $0.001 per share, outstanding at October 23, 2025 was 37,709,094 sh</w:t>
      </w:r>
      <w:r>
        <w:rPr>
          <w:rFonts w:ascii="Times New Roman;serif" w:hAnsi="Times New Roman;serif"/>
          <w:b w:val="false"/>
          <w:color w:val="000000"/>
          <w:sz w:val="18"/>
          <w:shd w:fill="FFFFFF" w:val="clear"/>
        </w:rPr>
        <w:t>ares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QUARTERLY REPORT ON FORM 10-Q</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TABLE OF CONTENTS</w:t>
      </w:r>
    </w:p>
    <w:tbl>
      <w:tblPr>
        <w:tblW w:w="9670" w:type="dxa"/>
        <w:jc w:val="center"/>
        <w:tblInd w:w="0" w:type="dxa"/>
        <w:tblLayout w:type="fixed"/>
        <w:tblCellMar>
          <w:top w:w="28" w:type="dxa"/>
          <w:left w:w="28" w:type="dxa"/>
          <w:bottom w:w="28" w:type="dxa"/>
          <w:right w:w="28" w:type="dxa"/>
        </w:tblCellMar>
      </w:tblPr>
      <w:tblGrid>
        <w:gridCol w:w="630"/>
        <w:gridCol w:w="552"/>
        <w:gridCol w:w="552"/>
        <w:gridCol w:w="2439"/>
        <w:gridCol w:w="2439"/>
        <w:gridCol w:w="2487"/>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0">
              <w:r>
                <w:rPr>
                  <w:rStyle w:val="InternetLink"/>
                  <w:rFonts w:ascii="Times New Roman;serif" w:hAnsi="Times New Roman;serif"/>
                  <w:b/>
                  <w:color w:val="0000FF"/>
                  <w:sz w:val="20"/>
                  <w:u w:val="single"/>
                </w:rPr>
                <w:t>PART I.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0">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6">
              <w:r>
                <w:rPr>
                  <w:rStyle w:val="InternetLink"/>
                  <w:rFonts w:ascii="Times New Roman;serif" w:hAnsi="Times New Roman;serif"/>
                  <w:b w:val="false"/>
                  <w:color w:val="0000FF"/>
                  <w:sz w:val="20"/>
                  <w:u w:val="single"/>
                </w:rPr>
                <w:t xml:space="preserve">Condensed Consolidated Balance Sheets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6">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9">
              <w:r>
                <w:rPr>
                  <w:rStyle w:val="InternetLink"/>
                  <w:rFonts w:ascii="Times New Roman;serif" w:hAnsi="Times New Roman;serif"/>
                  <w:b w:val="false"/>
                  <w:color w:val="0000FF"/>
                  <w:sz w:val="20"/>
                  <w:u w:val="single"/>
                </w:rPr>
                <w:t xml:space="preserve">Condensed Consolidated Statements of Comprehensive Income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9">
              <w:r>
                <w:rPr>
                  <w:rStyle w:val="InternetLink"/>
                  <w:rFonts w:ascii="Times New Roman;serif" w:hAnsi="Times New Roman;serif"/>
                  <w:b w:val="false"/>
                  <w:strike w:val="false"/>
                  <w:dstrike w:val="false"/>
                  <w:color w:val="000000"/>
                  <w:sz w:val="20"/>
                  <w:u w:val="none"/>
                  <w:effect w:val="none"/>
                </w:rPr>
                <w:t>4</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22">
              <w:r>
                <w:rPr>
                  <w:rStyle w:val="InternetLink"/>
                  <w:rFonts w:ascii="Times New Roman;serif" w:hAnsi="Times New Roman;serif"/>
                  <w:b w:val="false"/>
                  <w:color w:val="0000FF"/>
                  <w:sz w:val="20"/>
                  <w:u w:val="single"/>
                </w:rPr>
                <w:t xml:space="preserve">Condensed Consolidated Statements of Stockholders’ Equity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22">
              <w:r>
                <w:rPr>
                  <w:rStyle w:val="InternetLink"/>
                  <w:rFonts w:ascii="Times New Roman;serif" w:hAnsi="Times New Roman;serif"/>
                  <w:b w:val="false"/>
                  <w:strike w:val="false"/>
                  <w:dstrike w:val="false"/>
                  <w:color w:val="000000"/>
                  <w:sz w:val="20"/>
                  <w:u w:val="none"/>
                  <w:effect w:val="none"/>
                </w:rPr>
                <w:t>5</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31">
              <w:r>
                <w:rPr>
                  <w:rStyle w:val="InternetLink"/>
                  <w:rFonts w:ascii="Times New Roman;serif" w:hAnsi="Times New Roman;serif"/>
                  <w:b w:val="false"/>
                  <w:color w:val="0000FF"/>
                  <w:sz w:val="20"/>
                  <w:u w:val="single"/>
                </w:rPr>
                <w:t xml:space="preserve">Condensed Consolidated Statements of Cash Flows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31">
              <w:r>
                <w:rPr>
                  <w:rStyle w:val="InternetLink"/>
                  <w:rFonts w:ascii="Times New Roman;serif" w:hAnsi="Times New Roman;serif"/>
                  <w:b w:val="false"/>
                  <w:strike w:val="false"/>
                  <w:dstrike w:val="false"/>
                  <w:color w:val="000000"/>
                  <w:sz w:val="20"/>
                  <w:u w:val="none"/>
                  <w:effect w:val="none"/>
                </w:rPr>
                <w:t>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37">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37">
              <w:r>
                <w:rPr>
                  <w:rStyle w:val="InternetLink"/>
                  <w:rFonts w:ascii="Times New Roman;serif" w:hAnsi="Times New Roman;serif"/>
                  <w:b w:val="false"/>
                  <w:strike w:val="false"/>
                  <w:dstrike w:val="false"/>
                  <w:color w:val="000000"/>
                  <w:sz w:val="20"/>
                  <w:u w:val="none"/>
                  <w:effect w:val="none"/>
                </w:rPr>
                <w:t>8</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8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82">
              <w:r>
                <w:rPr>
                  <w:rStyle w:val="InternetLink"/>
                  <w:rFonts w:ascii="Times New Roman;serif" w:hAnsi="Times New Roman;serif"/>
                  <w:b w:val="false"/>
                  <w:strike w:val="false"/>
                  <w:dstrike w:val="false"/>
                  <w:color w:val="000000"/>
                  <w:sz w:val="20"/>
                  <w:u w:val="none"/>
                  <w:effect w:val="none"/>
                </w:rPr>
                <w:t>21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12">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1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12">
              <w:r>
                <w:rPr>
                  <w:rStyle w:val="InternetLink"/>
                  <w:rFonts w:ascii="Times New Roman;serif" w:hAnsi="Times New Roman;serif"/>
                  <w:b w:val="false"/>
                  <w:strike w:val="false"/>
                  <w:dstrike w:val="false"/>
                  <w:color w:val="000000"/>
                  <w:sz w:val="20"/>
                  <w:u w:val="none"/>
                  <w:effect w:val="none"/>
                </w:rPr>
                <w:t>24</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2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21">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21">
              <w:r>
                <w:rPr>
                  <w:rStyle w:val="InternetLink"/>
                  <w:rFonts w:ascii="Times New Roman;serif" w:hAnsi="Times New Roman;serif"/>
                  <w:b w:val="false"/>
                  <w:strike w:val="false"/>
                  <w:dstrike w:val="false"/>
                  <w:color w:val="000000"/>
                  <w:sz w:val="20"/>
                  <w:u w:val="none"/>
                  <w:effect w:val="none"/>
                </w:rPr>
                <w:t>31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24">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27">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2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27">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0">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30">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3">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33">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6">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36">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9">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39">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39">
              <w:r>
                <w:rPr>
                  <w:rStyle w:val="InternetLink"/>
                  <w:rFonts w:ascii="Times New Roman;serif" w:hAnsi="Times New Roman;serif"/>
                  <w:b w:val="false"/>
                  <w:strike w:val="false"/>
                  <w:dstrike w:val="false"/>
                  <w:color w:val="000000"/>
                  <w:sz w:val="20"/>
                  <w:u w:val="none"/>
                  <w:effect w:val="none"/>
                </w:rPr>
                <w:t>32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42">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42">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42">
              <w:r>
                <w:rPr>
                  <w:rStyle w:val="InternetLink"/>
                  <w:rFonts w:ascii="Times New Roman;serif" w:hAnsi="Times New Roman;serif"/>
                  <w:b w:val="false"/>
                  <w:strike w:val="false"/>
                  <w:dstrike w:val="false"/>
                  <w:color w:val="000000"/>
                  <w:sz w:val="20"/>
                  <w:u w:val="none"/>
                  <w:effect w:val="none"/>
                </w:rPr>
                <w:t>33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48">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48">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48">
              <w:r>
                <w:rPr>
                  <w:rStyle w:val="InternetLink"/>
                  <w:rFonts w:ascii="Times New Roman;serif" w:hAnsi="Times New Roman;serif"/>
                  <w:b w:val="false"/>
                  <w:strike w:val="false"/>
                  <w:dstrike w:val="false"/>
                  <w:color w:val="000000"/>
                  <w:sz w:val="20"/>
                  <w:u w:val="none"/>
                  <w:effect w:val="none"/>
                </w:rPr>
                <w:t>33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c948455743d4247a3faad647ff398b0_151">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948455743d4247a3faad647ff398b0_151">
              <w:r>
                <w:rPr>
                  <w:rStyle w:val="InternetLink"/>
                  <w:rFonts w:ascii="Times New Roman;serif" w:hAnsi="Times New Roman;serif"/>
                  <w:b w:val="false"/>
                  <w:strike w:val="false"/>
                  <w:dstrike w:val="false"/>
                  <w:color w:val="000000"/>
                  <w:sz w:val="20"/>
                  <w:u w:val="none"/>
                  <w:effect w:val="none"/>
                </w:rPr>
                <w:t>34</w:t>
              </w:r>
            </w:hyperlink>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for purposes of the Quarterly Report on Form 10-Q, the words “we,” “us,” “our,” the “Company,” “SPS,” and “SPS Commerce” refer to SPS 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85495"/>
                <wp:effectExtent l="0" t="0" r="0" b="0"/>
                <wp:wrapNone/>
                <wp:docPr id="3" name="Frame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 cy="257175"/>
                                                </a:xfrm>
                                                <a:prstGeom prst="rect">
                                                  <a:avLst/>
                                                </a:prstGeom>
                                              </pic:spPr>
                                            </pic:pic>
                                          </a:graphicData>
                                        </a:graphic>
                                      </wp:inline>
                                    </w:drawing>
                                  </w:r>
                                  <w:bookmarkStart w:id="1" w:name="i-2"/>
                                  <w:bookmarkEnd w:id="1"/>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66700" cy="257175"/>
                                          </a:xfrm>
                                          <a:prstGeom prst="rect">
                                            <a:avLst/>
                                          </a:prstGeom>
                                        </pic:spPr>
                                      </pic:pic>
                                    </a:graphicData>
                                  </a:graphic>
                                </wp:inline>
                              </w:drawing>
                            </w:r>
                            <w:bookmarkStart w:id="2" w:name="i-2"/>
                            <w:bookmarkEnd w:id="2"/>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AAE5"/>
          <w:sz w:val="20"/>
        </w:rPr>
      </w:pPr>
      <w:r>
        <w:rPr>
          <w:rFonts w:ascii="Times New Roman;serif" w:hAnsi="Times New Roman;serif"/>
          <w:b/>
          <w:color w:val="00AAE5"/>
          <w:sz w:val="20"/>
        </w:rPr>
        <w:t>Item 1. Financial Statements</w:t>
      </w:r>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54"/>
        <w:gridCol w:w="2336"/>
        <w:gridCol w:w="2290"/>
        <w:gridCol w:w="196"/>
        <w:gridCol w:w="871"/>
        <w:gridCol w:w="109"/>
        <w:gridCol w:w="109"/>
        <w:gridCol w:w="109"/>
        <w:gridCol w:w="109"/>
        <w:gridCol w:w="196"/>
        <w:gridCol w:w="871"/>
        <w:gridCol w:w="155"/>
      </w:tblGrid>
      <w:tr>
        <w:trPr/>
        <w:tc>
          <w:tcPr>
            <w:tcW w:w="28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67,439 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52,035 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381,907 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1,031,230 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146,684 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176,540 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I)</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stock, $0.001 par value; 5,000,000 shares authorized; 0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$0.001 par value; 110,000,000 shares authorized; 39,969,060 and 39,590,276 shares issued; and 37,732,760 and 37,661,308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2,236,300 and 1,928,968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627,982 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336,099 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958,940 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854,690 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1,031,230 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85495"/>
                <wp:effectExtent l="0" t="0" r="0" b="0"/>
                <wp:wrapNone/>
                <wp:docPr id="6" name="Frame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66700" cy="257175"/>
                                                </a:xfrm>
                                                <a:prstGeom prst="rect">
                                                  <a:avLst/>
                                                </a:prstGeom>
                                              </pic:spPr>
                                            </pic:pic>
                                          </a:graphicData>
                                        </a:graphic>
                                      </wp:inline>
                                    </w:drawing>
                                  </w:r>
                                  <w:bookmarkStart w:id="3" w:name="i-3"/>
                                  <w:bookmarkEnd w:id="3"/>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66700" cy="257175"/>
                                          </a:xfrm>
                                          <a:prstGeom prst="rect">
                                            <a:avLst/>
                                          </a:prstGeom>
                                        </pic:spPr>
                                      </pic:pic>
                                    </a:graphicData>
                                  </a:graphic>
                                </wp:inline>
                              </w:drawing>
                            </w:r>
                            <w:bookmarkStart w:id="4" w:name="i-3"/>
                            <w:bookmarkEnd w:id="4"/>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1861"/>
        <w:gridCol w:w="1363"/>
        <w:gridCol w:w="13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 (unaudited)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 net of tax of $—, $28, $—, and $363,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of gain on investments into earnings, net of tax of $—, $(83), $—, and $(537),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to compute net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85495"/>
                <wp:effectExtent l="0" t="0" r="0" b="0"/>
                <wp:wrapNone/>
                <wp:docPr id="9" name="Frame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66700" cy="257175"/>
                                                </a:xfrm>
                                                <a:prstGeom prst="rect">
                                                  <a:avLst/>
                                                </a:prstGeom>
                                              </pic:spPr>
                                            </pic:pic>
                                          </a:graphicData>
                                        </a:graphic>
                                      </wp:inline>
                                    </w:drawing>
                                  </w:r>
                                  <w:bookmarkStart w:id="5" w:name="i-4"/>
                                  <w:bookmarkEnd w:id="5"/>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66700" cy="257175"/>
                                          </a:xfrm>
                                          <a:prstGeom prst="rect">
                                            <a:avLst/>
                                          </a:prstGeom>
                                        </pic:spPr>
                                      </pic:pic>
                                    </a:graphicData>
                                  </a:graphic>
                                </wp:inline>
                              </w:drawing>
                            </w:r>
                            <w:bookmarkStart w:id="6" w:name="i-4"/>
                            <w:bookmarkEnd w:id="6"/>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1870" w:type="dxa"/>
        <w:jc w:val="center"/>
        <w:tblInd w:w="0" w:type="dxa"/>
        <w:tblLayout w:type="fixed"/>
        <w:tblCellMar>
          <w:top w:w="28" w:type="dxa"/>
          <w:left w:w="28" w:type="dxa"/>
          <w:bottom w:w="28" w:type="dxa"/>
          <w:right w:w="28" w:type="dxa"/>
        </w:tblCellMar>
      </w:tblPr>
      <w:tblGrid>
        <w:gridCol w:w="621"/>
        <w:gridCol w:w="282"/>
        <w:gridCol w:w="283"/>
        <w:gridCol w:w="480"/>
        <w:gridCol w:w="481"/>
        <w:gridCol w:w="196"/>
        <w:gridCol w:w="109"/>
        <w:gridCol w:w="109"/>
        <w:gridCol w:w="109"/>
        <w:gridCol w:w="212"/>
        <w:gridCol w:w="359"/>
        <w:gridCol w:w="120"/>
        <w:gridCol w:w="109"/>
        <w:gridCol w:w="109"/>
        <w:gridCol w:w="109"/>
        <w:gridCol w:w="435"/>
        <w:gridCol w:w="436"/>
        <w:gridCol w:w="19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203"/>
        <w:gridCol w:w="763"/>
        <w:gridCol w:w="160"/>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(unaudited)</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2,333,099 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703,421 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Reissuances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gain on investments into earnings,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September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37,566,443 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829,365 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37,927,432 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1,976,655 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949,780 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September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37,732,760 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2,236,300 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958,940 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85495"/>
                <wp:effectExtent l="0" t="0" r="0" b="0"/>
                <wp:wrapNone/>
                <wp:docPr id="12" name="Frame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66700" cy="257175"/>
                                                </a:xfrm>
                                                <a:prstGeom prst="rect">
                                                  <a:avLst/>
                                                </a:prstGeom>
                                              </pic:spPr>
                                            </pic:pic>
                                          </a:graphicData>
                                        </a:graphic>
                                      </wp:inline>
                                    </w:drawing>
                                  </w:r>
                                  <w:bookmarkStart w:id="7" w:name="i-5"/>
                                  <w:bookmarkEnd w:id="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66700" cy="257175"/>
                                          </a:xfrm>
                                          <a:prstGeom prst="rect">
                                            <a:avLst/>
                                          </a:prstGeom>
                                        </pic:spPr>
                                      </pic:pic>
                                    </a:graphicData>
                                  </a:graphic>
                                </wp:inline>
                              </w:drawing>
                            </w:r>
                            <w:bookmarkStart w:id="8" w:name="i-5"/>
                            <w:bookmarkEnd w:id="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tbl>
      <w:tblPr>
        <w:tblW w:w="11870" w:type="dxa"/>
        <w:jc w:val="center"/>
        <w:tblInd w:w="0" w:type="dxa"/>
        <w:tblLayout w:type="fixed"/>
        <w:tblCellMar>
          <w:top w:w="28" w:type="dxa"/>
          <w:left w:w="28" w:type="dxa"/>
          <w:bottom w:w="28" w:type="dxa"/>
          <w:right w:w="28" w:type="dxa"/>
        </w:tblCellMar>
      </w:tblPr>
      <w:tblGrid>
        <w:gridCol w:w="621"/>
        <w:gridCol w:w="282"/>
        <w:gridCol w:w="283"/>
        <w:gridCol w:w="480"/>
        <w:gridCol w:w="481"/>
        <w:gridCol w:w="196"/>
        <w:gridCol w:w="109"/>
        <w:gridCol w:w="109"/>
        <w:gridCol w:w="109"/>
        <w:gridCol w:w="212"/>
        <w:gridCol w:w="359"/>
        <w:gridCol w:w="120"/>
        <w:gridCol w:w="109"/>
        <w:gridCol w:w="109"/>
        <w:gridCol w:w="109"/>
        <w:gridCol w:w="435"/>
        <w:gridCol w:w="436"/>
        <w:gridCol w:w="19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203"/>
        <w:gridCol w:w="763"/>
        <w:gridCol w:w="160"/>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(unaudited)</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36,820,048 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2,151,098 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667,475 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40,075 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(37,567)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Reissuances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investments, net of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gain on investments into earnings,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September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37,566,443 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829,365 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37,661,308 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40,989 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(685,432)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685,432 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Reissuances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September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37,732,760 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2,236,300 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958,940 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color w:val="000000"/>
          <w:sz w:val="16"/>
          <w:shd w:fill="FFFFFF" w:val="clear"/>
        </w:rPr>
        <w:t>See accompanying notes to these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5495"/>
                <wp:effectExtent l="0" t="0" r="0" b="0"/>
                <wp:wrapNone/>
                <wp:docPr id="15" name="Frame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66700" cy="257175"/>
                                                </a:xfrm>
                                                <a:prstGeom prst="rect">
                                                  <a:avLst/>
                                                </a:prstGeom>
                                              </pic:spPr>
                                            </pic:pic>
                                          </a:graphicData>
                                        </a:graphic>
                                      </wp:inline>
                                    </w:drawing>
                                  </w:r>
                                  <w:bookmarkStart w:id="9" w:name="i-6"/>
                                  <w:bookmarkEnd w:id="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66700" cy="257175"/>
                                          </a:xfrm>
                                          <a:prstGeom prst="rect">
                                            <a:avLst/>
                                          </a:prstGeom>
                                        </pic:spPr>
                                      </pic:pic>
                                    </a:graphicData>
                                  </a:graphic>
                                </wp:inline>
                              </w:drawing>
                            </w:r>
                            <w:bookmarkStart w:id="10" w:name="i-6"/>
                            <w:bookmarkEnd w:id="1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CASH FLOWS</w:t>
      </w:r>
    </w:p>
    <w:tbl>
      <w:tblPr>
        <w:tblW w:w="8723" w:type="dxa"/>
        <w:jc w:val="center"/>
        <w:tblInd w:w="0" w:type="dxa"/>
        <w:tblLayout w:type="fixed"/>
        <w:tblCellMar>
          <w:top w:w="28" w:type="dxa"/>
          <w:left w:w="28" w:type="dxa"/>
          <w:bottom w:w="28" w:type="dxa"/>
          <w:right w:w="28" w:type="dxa"/>
        </w:tblCellMar>
      </w:tblPr>
      <w:tblGrid>
        <w:gridCol w:w="2193"/>
        <w:gridCol w:w="1930"/>
        <w:gridCol w:w="1936"/>
        <w:gridCol w:w="211"/>
        <w:gridCol w:w="826"/>
        <w:gridCol w:w="109"/>
        <w:gridCol w:w="109"/>
        <w:gridCol w:w="109"/>
        <w:gridCol w:w="109"/>
        <w:gridCol w:w="211"/>
        <w:gridCol w:w="826"/>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(unaudited)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employee stock purchase plan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85495"/>
                <wp:effectExtent l="0" t="0" r="0" b="0"/>
                <wp:wrapNone/>
                <wp:docPr id="18" name="Frame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66700" cy="257175"/>
                                                </a:xfrm>
                                                <a:prstGeom prst="rect">
                                                  <a:avLst/>
                                                </a:prstGeom>
                                              </pic:spPr>
                                            </pic:pic>
                                          </a:graphicData>
                                        </a:graphic>
                                      </wp:inline>
                                    </w:drawing>
                                  </w:r>
                                  <w:bookmarkStart w:id="11" w:name="i-7"/>
                                  <w:bookmarkEnd w:id="1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66700" cy="257175"/>
                                          </a:xfrm>
                                          <a:prstGeom prst="rect">
                                            <a:avLst/>
                                          </a:prstGeom>
                                        </pic:spPr>
                                      </pic:pic>
                                    </a:graphicData>
                                  </a:graphic>
                                </wp:inline>
                              </w:drawing>
                            </w:r>
                            <w:bookmarkStart w:id="12" w:name="i-7"/>
                            <w:bookmarkEnd w:id="1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AAE5"/>
          <w:sz w:val="20"/>
        </w:rPr>
      </w:pPr>
      <w:r>
        <w:rPr>
          <w:rFonts w:ascii="Times New Roman;serif" w:hAnsi="Times New Roman;serif"/>
          <w:b/>
          <w:color w:val="00AAE5"/>
          <w:sz w:val="20"/>
        </w:rPr>
        <w:t>NOTE A – General</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Business Description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SPS Commerce is transforming how our global retail supply chain co-operates by creating a more dynamic, interconnected community where players can more freely connect, collaborate, and prosper together. Our comprehensive suite of cloud-based products and solutions lead the industry in establishing and maintaining stronger collaboration between retailers, grocers, distributors, suppliers, manufacturers, and logistics firms around the globe.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enable customers to enhance how they operate: both within their organizations and with their trading partners, with reduced operational costs and stronger supply chain performance; compete: with order and supply chain visibility, sell-through data, and optimized inventory management, and; adapt: through the limitless access to connect and grow with the world’s largest retail network of trading partners that only SPS Commerce can offer.</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2024,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24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Significant Accounting Policies</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There were no material changes in our significant accounting policies, nor were there differences in the basis of our segmentation, 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See Note A to the consolidated financial statements included in our Annual Report on Form 10-K for the year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as filed with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85495"/>
                <wp:effectExtent l="0" t="0" r="0" b="0"/>
                <wp:wrapNone/>
                <wp:docPr id="21" name="Frame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66700" cy="257175"/>
                                                </a:xfrm>
                                                <a:prstGeom prst="rect">
                                                  <a:avLst/>
                                                </a:prstGeom>
                                              </pic:spPr>
                                            </pic:pic>
                                          </a:graphicData>
                                        </a:graphic>
                                      </wp:inline>
                                    </w:drawing>
                                  </w:r>
                                  <w:bookmarkStart w:id="13" w:name="i-8"/>
                                  <w:bookmarkEnd w:id="1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66700" cy="257175"/>
                                          </a:xfrm>
                                          <a:prstGeom prst="rect">
                                            <a:avLst/>
                                          </a:prstGeom>
                                        </pic:spPr>
                                      </pic:pic>
                                    </a:graphicData>
                                  </a:graphic>
                                </wp:inline>
                              </w:drawing>
                            </w:r>
                            <w:bookmarkStart w:id="14" w:name="i-8"/>
                            <w:bookmarkEnd w:id="1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Accounting Pronouncements Not Yet Adopted</w:t>
      </w:r>
    </w:p>
    <w:tbl>
      <w:tblPr>
        <w:tblW w:w="10205" w:type="dxa"/>
        <w:jc w:val="left"/>
        <w:tblInd w:w="0" w:type="dxa"/>
        <w:tblLayout w:type="fixed"/>
        <w:tblCellMar>
          <w:top w:w="28" w:type="dxa"/>
          <w:left w:w="28" w:type="dxa"/>
          <w:bottom w:w="28" w:type="dxa"/>
          <w:right w:w="28" w:type="dxa"/>
        </w:tblCellMar>
      </w:tblPr>
      <w:tblGrid>
        <w:gridCol w:w="995"/>
        <w:gridCol w:w="595"/>
        <w:gridCol w:w="600"/>
        <w:gridCol w:w="469"/>
        <w:gridCol w:w="272"/>
        <w:gridCol w:w="254"/>
        <w:gridCol w:w="1402"/>
        <w:gridCol w:w="1402"/>
        <w:gridCol w:w="1415"/>
        <w:gridCol w:w="362"/>
        <w:gridCol w:w="293"/>
        <w:gridCol w:w="294"/>
        <w:gridCol w:w="637"/>
        <w:gridCol w:w="499"/>
        <w:gridCol w:w="716"/>
      </w:tblGrid>
      <w:tr>
        <w:trPr/>
        <w:tc>
          <w:tcPr>
            <w:tcW w:w="9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4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Required Adoption</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2023-09</w:t>
            </w:r>
            <w:r>
              <w:rPr>
                <w:rFonts w:ascii="Times New Roman;serif" w:hAnsi="Times New Roman;serif"/>
                <w:b w:val="false"/>
                <w:color w:val="000000"/>
                <w:sz w:val="20"/>
              </w:rPr>
              <w:t>, Income Taxes (Topic 740) - Improvements to Income Tax Disclosures</w:t>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2023</w:t>
            </w:r>
          </w:p>
        </w:tc>
        <w:tc>
          <w:tcPr>
            <w:tcW w:w="4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requires that an entity disclose specific categories in the effective tax rate reconciliation table as well as provide disclosure of disaggregated information related to income tax expense, income before income taxes, and income taxes paid.</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adoption will result in additional disclosure in our Annual Report on </w:t>
              <w:br/>
              <w:t>Form 10-K for the year ending December 31, 2025.</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2024-03</w:t>
            </w:r>
            <w:r>
              <w:rPr>
                <w:rFonts w:ascii="Times New Roman;serif" w:hAnsi="Times New Roman;serif"/>
                <w:b w:val="false"/>
                <w:color w:val="000000"/>
                <w:sz w:val="20"/>
              </w:rPr>
              <w:t>, Income Statement - Reporting Comprehensive Income - Expense Disaggregation Disclosures (Subtopic 220-40)</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requires that an entity disclose in its notes to financial statements specified information about certain costs and expenses.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anticipate the impact will result in additional disclosure.</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2025-05</w:t>
            </w:r>
            <w:r>
              <w:rPr>
                <w:rFonts w:ascii="Times New Roman;serif" w:hAnsi="Times New Roman;serif"/>
                <w:b w:val="false"/>
                <w:color w:val="000000"/>
                <w:sz w:val="20"/>
              </w:rPr>
              <w:t>, Financial Instruments—Credit Losses (Topic 326): Measurement of Credit Losses for Accounts Receivable and Contract Assets</w:t>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2025</w:t>
            </w:r>
          </w:p>
        </w:tc>
        <w:tc>
          <w:tcPr>
            <w:tcW w:w="4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allows for entities to elect a practical expedient when estimating expected credit losses for current accounts receivable and current contract assets arising from transactions accounted for under Topic 606. The practical expedient assumes that current conditions as of the balance sheet date do not change for the remaining life of the asset.</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br/>
              <w:t>(optional)</w:t>
            </w:r>
          </w:p>
        </w:tc>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We are currently evaluating the election of the practical expedient on our financial statements and related disclosures. </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2025-06</w:t>
            </w:r>
            <w:r>
              <w:rPr>
                <w:rFonts w:ascii="Times New Roman;serif" w:hAnsi="Times New Roman;serif"/>
                <w:b w:val="false"/>
                <w:color w:val="000000"/>
                <w:sz w:val="20"/>
              </w:rPr>
              <w:t>, Intangibles—Goodwill and Other—Internal-Use Software (Subtopic 350-40)</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4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modernizes the accounting for software costs under Subtopic 350-40, Intangibles—Goodwill and Other—Internal-Use Software by removing all references to software development project stages. The amendment requires an entity to begin capitalizing software costs when (1) management has authorized and committed to funding the software project and (2) it is probable that the project will be completed and the software will be used to perform the function intended.</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B – Business Acquisitions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Carbon6 Technologies, Inc.</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On December 30, 2024, we entered into a definitive agreement to acquire all of the outstanding equity ownership interests of Carbon6 Technologies, Inc. ("Carbon6"), a provider of software tools to Amazon sellers, including specialized offerings for revenue recovery for both first-party ("1P") and third-party ("3P") suppliers. The acquisition became effective </w:t>
      </w:r>
      <w:r>
        <w:rPr>
          <w:rFonts w:ascii="Times New Roman;serif" w:hAnsi="Times New Roman;serif"/>
          <w:b w:val="false"/>
          <w:color w:val="000000"/>
          <w:sz w:val="20"/>
        </w:rPr>
        <w:t>on February 4, 2025 ("</w:t>
      </w:r>
      <w:r>
        <w:rPr>
          <w:rFonts w:ascii="Times New Roman;serif" w:hAnsi="Times New Roman;serif"/>
          <w:b w:val="false"/>
          <w:color w:val="000000"/>
          <w:sz w:val="20"/>
          <w:shd w:fill="FFFFFF" w:val="clear"/>
        </w:rPr>
        <w:t xml:space="preserve">Close"). Pursuant to the definitive agreement, the total consideration transferred </w:t>
      </w:r>
      <w:r>
        <w:rPr>
          <w:rFonts w:ascii="Times New Roman;serif" w:hAnsi="Times New Roman;serif"/>
          <w:b w:val="false"/>
          <w:color w:val="000000"/>
          <w:sz w:val="20"/>
        </w:rPr>
        <w:t>was $210.2 million, net of cash acquired. The consideration was comprised of $142.5 million paid in cash, net of cash acquired, and 378,100 shares of SPS common stock (valued at $67.7 million, determined at acquisition Close based on the price of SPS common stock). The shares were issued from SPS treasury shares. The goodwill associated with the acquisition is not deductible for income tax purposes.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Unaudited Pro Forma Financial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financial information presents the combined results of SPS and Carbon6 assuming the acquisition was completed as of the beginning of the prior fiscal year, January 1, 2024. These unaudited pro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5495"/>
                <wp:effectExtent l="0" t="0" r="0" b="0"/>
                <wp:wrapNone/>
                <wp:docPr id="24" name="Frame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66700" cy="257175"/>
                                                </a:xfrm>
                                                <a:prstGeom prst="rect">
                                                  <a:avLst/>
                                                </a:prstGeom>
                                              </pic:spPr>
                                            </pic:pic>
                                          </a:graphicData>
                                        </a:graphic>
                                      </wp:inline>
                                    </w:drawing>
                                  </w:r>
                                  <w:bookmarkStart w:id="15" w:name="i-9"/>
                                  <w:bookmarkEnd w:id="1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66700" cy="257175"/>
                                          </a:xfrm>
                                          <a:prstGeom prst="rect">
                                            <a:avLst/>
                                          </a:prstGeom>
                                        </pic:spPr>
                                      </pic:pic>
                                    </a:graphicData>
                                  </a:graphic>
                                </wp:inline>
                              </w:drawing>
                            </w:r>
                            <w:bookmarkStart w:id="16" w:name="i-9"/>
                            <w:bookmarkEnd w:id="1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forma results are presented for informational purposes only and are not necessarily indicative of what the actual results of operations of the combined companies would have been, nor are they indicative of future results of operations.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 forma results reflect certain adjustments, such as one-time acquisition-related costs, incremental impact for amortization of acquired intangibles, and the elimination of debt extinguishment and interest costs. The adjustments do not reflect synergies or costs that would have been expected to result from the integration of the acquisition.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 forma consolidated revenue and net income for the three and nine months ended September 30, 2025 and 2024 are as follows:</w:t>
      </w:r>
    </w:p>
    <w:tbl>
      <w:tblPr>
        <w:tblW w:w="6749" w:type="dxa"/>
        <w:jc w:val="left"/>
        <w:tblInd w:w="0" w:type="dxa"/>
        <w:tblLayout w:type="fixed"/>
        <w:tblCellMar>
          <w:top w:w="28" w:type="dxa"/>
          <w:left w:w="28" w:type="dxa"/>
          <w:bottom w:w="28" w:type="dxa"/>
          <w:right w:w="28" w:type="dxa"/>
        </w:tblCellMar>
      </w:tblPr>
      <w:tblGrid>
        <w:gridCol w:w="412"/>
        <w:gridCol w:w="363"/>
        <w:gridCol w:w="3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67,085 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SupplyPike, Inc.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July 31, 2024, we acquired SupplyPike, Inc. ("SupplyPike"), an automated invoice deduction management and prevention solution, through the purchase of all of the outstanding equity ownership interests of SupplyPike. Pursuant to the definitive agreement and plan of merger, the total consideration transferred at close was $205.8 million, net of cash acquired. The consideration was comprised of $118.6 million paid in cash, net of cash acquired, and 404,587 shares of SPS common stock (valued at $87.2 million, determined at acquisition close based on the price of SPS common stock). The shares were issued from SPS treasury shares. The goodwill associated with the acquisition is not deductible for income tax purposes.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Purchase Price Allocations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accounted for the acquisitions as a business combination. We allocated the purchase price to the tangible and identifiable intangible assets acquired and liabilities assumed based on their estimated fair values as of the acquisition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85495"/>
                <wp:effectExtent l="0" t="0" r="0" b="0"/>
                <wp:wrapNone/>
                <wp:docPr id="27" name="Frame1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66700" cy="257175"/>
                                                </a:xfrm>
                                                <a:prstGeom prst="rect">
                                                  <a:avLst/>
                                                </a:prstGeom>
                                              </pic:spPr>
                                            </pic:pic>
                                          </a:graphicData>
                                        </a:graphic>
                                      </wp:inline>
                                    </w:drawing>
                                  </w:r>
                                  <w:bookmarkStart w:id="17" w:name="i-10"/>
                                  <w:bookmarkEnd w:id="1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66700" cy="257175"/>
                                          </a:xfrm>
                                          <a:prstGeom prst="rect">
                                            <a:avLst/>
                                          </a:prstGeom>
                                        </pic:spPr>
                                      </pic:pic>
                                    </a:graphicData>
                                  </a:graphic>
                                </wp:inline>
                              </w:drawing>
                            </w:r>
                            <w:bookmarkStart w:id="18" w:name="i-10"/>
                            <w:bookmarkEnd w:id="1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estimated fair values of acquired assets and liabilities recorded in the Company's condensed consolidated balance sheet as of the acquisition dates:</w:t>
      </w:r>
    </w:p>
    <w:tbl>
      <w:tblPr>
        <w:tblW w:w="7103" w:type="dxa"/>
        <w:jc w:val="left"/>
        <w:tblInd w:w="0" w:type="dxa"/>
        <w:tblLayout w:type="fixed"/>
        <w:tblCellMar>
          <w:top w:w="28" w:type="dxa"/>
          <w:left w:w="28" w:type="dxa"/>
          <w:bottom w:w="28" w:type="dxa"/>
          <w:right w:w="28" w:type="dxa"/>
        </w:tblCellMar>
      </w:tblPr>
      <w:tblGrid>
        <w:gridCol w:w="1601"/>
        <w:gridCol w:w="1414"/>
        <w:gridCol w:w="1424"/>
        <w:gridCol w:w="211"/>
        <w:gridCol w:w="826"/>
        <w:gridCol w:w="109"/>
        <w:gridCol w:w="109"/>
        <w:gridCol w:w="109"/>
        <w:gridCol w:w="109"/>
        <w:gridCol w:w="211"/>
        <w:gridCol w:w="82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Carbon6</w:t>
            </w:r>
            <w:r>
              <w:rPr>
                <w:rFonts w:ascii="Times New Roman;serif" w:hAnsi="Times New Roman;serif"/>
                <w:b/>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SupplyPike</w:t>
            </w:r>
            <w:r>
              <w:rPr>
                <w:rFonts w:ascii="Times New Roman;serif" w:hAnsi="Times New Roman;serif"/>
                <w:b/>
                <w:color w:val="000000"/>
                <w:sz w:val="10"/>
              </w:rPr>
              <w:t>(2)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 of assets and liabilities acquired: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 and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Deferred income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and liabilities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useful lives for each acquired intangible asset:</w:t>
      </w:r>
    </w:p>
    <w:tbl>
      <w:tblPr>
        <w:tblW w:w="4300" w:type="dxa"/>
        <w:jc w:val="left"/>
        <w:tblInd w:w="0" w:type="dxa"/>
        <w:tblLayout w:type="fixed"/>
        <w:tblCellMar>
          <w:top w:w="28" w:type="dxa"/>
          <w:left w:w="28" w:type="dxa"/>
          <w:bottom w:w="28" w:type="dxa"/>
          <w:right w:w="28" w:type="dxa"/>
        </w:tblCellMar>
      </w:tblPr>
      <w:tblGrid>
        <w:gridCol w:w="722"/>
        <w:gridCol w:w="635"/>
        <w:gridCol w:w="637"/>
        <w:gridCol w:w="299"/>
        <w:gridCol w:w="299"/>
        <w:gridCol w:w="301"/>
        <w:gridCol w:w="109"/>
        <w:gridCol w:w="109"/>
        <w:gridCol w:w="109"/>
        <w:gridCol w:w="316"/>
        <w:gridCol w:w="316"/>
        <w:gridCol w:w="44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Carbon6</w:t>
            </w:r>
            <w:r>
              <w:rPr>
                <w:rFonts w:ascii="Times New Roman;serif" w:hAnsi="Times New Roman;serif"/>
                <w:b/>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SupplyPike</w:t>
            </w:r>
            <w:r>
              <w:rPr>
                <w:rFonts w:ascii="Times New Roman;serif" w:hAnsi="Times New Roman;serif"/>
                <w:b/>
                <w:color w:val="000000"/>
                <w:sz w:val="10"/>
              </w:rPr>
              <w:t>(2)</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purchase accounting for the Carbon6 acquisition has not been finalized as of September 30, 2025; provisional amounts are primarily related to tax components and correspondingly, goodwill. We will finalize the allocation of the purchase price within the one-year measurement period following the acquisition. </w:t>
      </w:r>
    </w:p>
    <w:p>
      <w:pPr>
        <w:pStyle w:val="TextBody"/>
        <w:bidi w:val="0"/>
        <w:spacing w:lineRule="auto" w:line="288" w:before="120" w:after="283"/>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purchase accounting for the SupplyPike acquisition is finalized.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AAE5"/>
          <w:sz w:val="20"/>
        </w:rPr>
        <w:t>NOTE C – Revenue</w:t>
      </w:r>
      <w:r>
        <w:rPr>
          <w:color w:val="000000"/>
        </w:rPr>
        <w:t xml:space="preserve"> </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Revenue by Product Type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the following revenue streams:</w:t>
      </w:r>
    </w:p>
    <w:tbl>
      <w:tblPr>
        <w:tblW w:w="7365" w:type="dxa"/>
        <w:jc w:val="center"/>
        <w:tblInd w:w="0" w:type="dxa"/>
        <w:tblLayout w:type="fixed"/>
        <w:tblCellMar>
          <w:top w:w="28" w:type="dxa"/>
          <w:left w:w="28" w:type="dxa"/>
          <w:bottom w:w="28" w:type="dxa"/>
          <w:right w:w="28" w:type="dxa"/>
        </w:tblCellMar>
      </w:tblPr>
      <w:tblGrid>
        <w:gridCol w:w="635"/>
        <w:gridCol w:w="559"/>
        <w:gridCol w:w="56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85495"/>
                <wp:effectExtent l="0" t="0" r="0" b="0"/>
                <wp:wrapNone/>
                <wp:docPr id="30" name="Frame1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66700" cy="257175"/>
                                                </a:xfrm>
                                                <a:prstGeom prst="rect">
                                                  <a:avLst/>
                                                </a:prstGeom>
                                              </pic:spPr>
                                            </pic:pic>
                                          </a:graphicData>
                                        </a:graphic>
                                      </wp:inline>
                                    </w:drawing>
                                  </w:r>
                                  <w:bookmarkStart w:id="19" w:name="i-11"/>
                                  <w:bookmarkEnd w:id="1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66700" cy="257175"/>
                                          </a:xfrm>
                                          <a:prstGeom prst="rect">
                                            <a:avLst/>
                                          </a:prstGeom>
                                        </pic:spPr>
                                      </pic:pic>
                                    </a:graphicData>
                                  </a:graphic>
                                </wp:inline>
                              </w:drawing>
                            </w:r>
                            <w:bookmarkStart w:id="20" w:name="i-11"/>
                            <w:bookmarkEnd w:id="2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Revenue by Geographic Area</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Domestic revenue, which we define as revenue that was attributable to customers based within the United States ("U.S."), was as follows:</w:t>
      </w:r>
    </w:p>
    <w:tbl>
      <w:tblPr>
        <w:tblW w:w="5469" w:type="dxa"/>
        <w:jc w:val="left"/>
        <w:tblInd w:w="0" w:type="dxa"/>
        <w:tblLayout w:type="fixed"/>
        <w:tblCellMar>
          <w:top w:w="28" w:type="dxa"/>
          <w:left w:w="28" w:type="dxa"/>
          <w:bottom w:w="28" w:type="dxa"/>
          <w:right w:w="28" w:type="dxa"/>
        </w:tblCellMar>
      </w:tblPr>
      <w:tblGrid>
        <w:gridCol w:w="570"/>
        <w:gridCol w:w="501"/>
        <w:gridCol w:w="503"/>
        <w:gridCol w:w="180"/>
        <w:gridCol w:w="181"/>
        <w:gridCol w:w="333"/>
        <w:gridCol w:w="134"/>
        <w:gridCol w:w="134"/>
        <w:gridCol w:w="134"/>
        <w:gridCol w:w="180"/>
        <w:gridCol w:w="181"/>
        <w:gridCol w:w="333"/>
        <w:gridCol w:w="109"/>
        <w:gridCol w:w="109"/>
        <w:gridCol w:w="109"/>
        <w:gridCol w:w="180"/>
        <w:gridCol w:w="181"/>
        <w:gridCol w:w="313"/>
        <w:gridCol w:w="126"/>
        <w:gridCol w:w="126"/>
        <w:gridCol w:w="126"/>
        <w:gridCol w:w="180"/>
        <w:gridCol w:w="181"/>
        <w:gridCol w:w="365"/>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revenue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single jurisdiction outside of the U.S. had revenues in excess of 10%. </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Recurring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recurring revenue as active contracts during the reporting period to regularly pay us fees for subscription-based and reoccurring services. All components of the contracts that are not expected to recur (primarily set ups and professional services) are excluded from recurring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for subscription-based services is recognized on a ratable basis over the contract term beginning on the date that our service is made available to the customer. Our contracts primarily range from monthly to annual and generally allow the customer to cancel the contract for any reason with 30 to 90 days’ notice. Timing of billings varies by customer and by contract type and are either in advance or within 30 days of the service being performed.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that the recurring revenue contracts are generally for one year or less, we have applied the optional exemption to not disclose information about the remaining performance obligations for recurring revenue contracts.</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One-time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One-time revenues consist of set-up fees and miscellaneous fees from customers.</w:t>
      </w:r>
    </w:p>
    <w:p>
      <w:pPr>
        <w:pStyle w:val="TextBody"/>
        <w:bidi w:val="0"/>
        <w:spacing w:lineRule="auto" w:line="288" w:before="180" w:after="283"/>
        <w:jc w:val="left"/>
        <w:rPr>
          <w:rFonts w:ascii="Times New Roman;serif" w:hAnsi="Times New Roman;serif"/>
          <w:b w:val="false"/>
          <w:i/>
          <w:color w:val="1F282C"/>
          <w:sz w:val="20"/>
        </w:rPr>
      </w:pPr>
      <w:r>
        <w:rPr>
          <w:rFonts w:ascii="Times New Roman;serif" w:hAnsi="Times New Roman;serif"/>
          <w:b w:val="false"/>
          <w:i/>
          <w:color w:val="1F282C"/>
          <w:sz w:val="20"/>
        </w:rPr>
        <w:t>Set-up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activity of the portion of the deferred revenue liability relating to set-up fees. We expect to recognize $11.1 million of the balance as of September 30, 2025 as revenue over the next 12 months with the remaining amount recognized thereafter.</w:t>
      </w:r>
    </w:p>
    <w:tbl>
      <w:tblPr>
        <w:tblW w:w="7680"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Miscellaneous one-time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one-time fees primarily consist of professional services and testing and certification.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85495"/>
                <wp:effectExtent l="0" t="0" r="0" b="0"/>
                <wp:wrapNone/>
                <wp:docPr id="33" name="Frame1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66700" cy="257175"/>
                                                </a:xfrm>
                                                <a:prstGeom prst="rect">
                                                  <a:avLst/>
                                                </a:prstGeom>
                                              </pic:spPr>
                                            </pic:pic>
                                          </a:graphicData>
                                        </a:graphic>
                                      </wp:inline>
                                    </w:drawing>
                                  </w:r>
                                  <w:bookmarkStart w:id="21" w:name="i-12"/>
                                  <w:bookmarkEnd w:id="2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66700" cy="257175"/>
                                          </a:xfrm>
                                          <a:prstGeom prst="rect">
                                            <a:avLst/>
                                          </a:prstGeom>
                                        </pic:spPr>
                                      </pic:pic>
                                    </a:graphicData>
                                  </a:graphic>
                                </wp:inline>
                              </w:drawing>
                            </w:r>
                            <w:bookmarkStart w:id="22" w:name="i-12"/>
                            <w:bookmarkEnd w:id="2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Deferred Revenue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recognized reven</w:t>
      </w:r>
      <w:r>
        <w:rPr>
          <w:rFonts w:ascii="Times New Roman;serif" w:hAnsi="Times New Roman;serif"/>
          <w:b w:val="false"/>
          <w:color w:val="000000"/>
          <w:sz w:val="20"/>
          <w:shd w:fill="FFFFFF" w:val="clear"/>
        </w:rPr>
        <w:t>ue of $68.3 million and $61.8 million in the nine months ended September 30, 2025 and 2024, respectively, from amounts included in deferred</w:t>
      </w:r>
      <w:r>
        <w:rPr>
          <w:color w:val="000000"/>
        </w:rPr>
        <w:t xml:space="preserve"> </w:t>
      </w:r>
      <w:r>
        <w:rPr>
          <w:rFonts w:ascii="Times New Roman;serif" w:hAnsi="Times New Roman;serif"/>
          <w:b w:val="false"/>
          <w:color w:val="000000"/>
          <w:sz w:val="20"/>
        </w:rPr>
        <w:t>revenue at the beginning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D – Deferred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deferred costs activity was as follows:</w:t>
      </w:r>
    </w:p>
    <w:tbl>
      <w:tblPr>
        <w:tblW w:w="7680"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E – Fair Value Measurements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equivalents, as measured at fair value on a recurring basis, consisted of the following:</w:t>
      </w:r>
    </w:p>
    <w:tbl>
      <w:tblPr>
        <w:tblW w:w="10560" w:type="dxa"/>
        <w:jc w:val="left"/>
        <w:tblInd w:w="0" w:type="dxa"/>
        <w:tblLayout w:type="fixed"/>
        <w:tblCellMar>
          <w:top w:w="28" w:type="dxa"/>
          <w:left w:w="28" w:type="dxa"/>
          <w:bottom w:w="28" w:type="dxa"/>
          <w:right w:w="28" w:type="dxa"/>
        </w:tblCellMar>
      </w:tblPr>
      <w:tblGrid>
        <w:gridCol w:w="412"/>
        <w:gridCol w:w="363"/>
        <w:gridCol w:w="306"/>
        <w:gridCol w:w="109"/>
        <w:gridCol w:w="109"/>
        <w:gridCol w:w="109"/>
        <w:gridCol w:w="220"/>
        <w:gridCol w:w="175"/>
        <w:gridCol w:w="176"/>
        <w:gridCol w:w="109"/>
        <w:gridCol w:w="109"/>
        <w:gridCol w:w="109"/>
        <w:gridCol w:w="211"/>
        <w:gridCol w:w="826"/>
        <w:gridCol w:w="109"/>
        <w:gridCol w:w="109"/>
        <w:gridCol w:w="109"/>
        <w:gridCol w:w="109"/>
        <w:gridCol w:w="257"/>
        <w:gridCol w:w="495"/>
        <w:gridCol w:w="134"/>
        <w:gridCol w:w="109"/>
        <w:gridCol w:w="109"/>
        <w:gridCol w:w="109"/>
        <w:gridCol w:w="211"/>
        <w:gridCol w:w="826"/>
        <w:gridCol w:w="109"/>
        <w:gridCol w:w="109"/>
        <w:gridCol w:w="109"/>
        <w:gridCol w:w="109"/>
        <w:gridCol w:w="109"/>
        <w:gridCol w:w="109"/>
        <w:gridCol w:w="211"/>
        <w:gridCol w:w="826"/>
        <w:gridCol w:w="109"/>
        <w:gridCol w:w="109"/>
        <w:gridCol w:w="109"/>
        <w:gridCol w:w="109"/>
        <w:gridCol w:w="257"/>
        <w:gridCol w:w="495"/>
        <w:gridCol w:w="134"/>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F – Allowance for Credit Losses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included in accounts receivable, net, was as follows:</w:t>
      </w:r>
    </w:p>
    <w:tbl>
      <w:tblPr>
        <w:tblW w:w="4734" w:type="dxa"/>
        <w:jc w:val="center"/>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85495"/>
                <wp:effectExtent l="0" t="0" r="0" b="0"/>
                <wp:wrapNone/>
                <wp:docPr id="36" name="Frame1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66700" cy="257175"/>
                                                </a:xfrm>
                                                <a:prstGeom prst="rect">
                                                  <a:avLst/>
                                                </a:prstGeom>
                                              </pic:spPr>
                                            </pic:pic>
                                          </a:graphicData>
                                        </a:graphic>
                                      </wp:inline>
                                    </w:drawing>
                                  </w:r>
                                  <w:bookmarkStart w:id="23" w:name="i-13"/>
                                  <w:bookmarkEnd w:id="2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66700" cy="257175"/>
                                          </a:xfrm>
                                          <a:prstGeom prst="rect">
                                            <a:avLst/>
                                          </a:prstGeom>
                                        </pic:spPr>
                                      </pic:pic>
                                    </a:graphicData>
                                  </a:graphic>
                                </wp:inline>
                              </w:drawing>
                            </w:r>
                            <w:bookmarkStart w:id="24" w:name="i-13"/>
                            <w:bookmarkEnd w:id="2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G – 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525" w:type="dxa"/>
        <w:jc w:val="left"/>
        <w:tblInd w:w="0" w:type="dxa"/>
        <w:tblLayout w:type="fixed"/>
        <w:tblCellMar>
          <w:top w:w="28" w:type="dxa"/>
          <w:left w:w="28" w:type="dxa"/>
          <w:bottom w:w="28" w:type="dxa"/>
          <w:right w:w="28" w:type="dxa"/>
        </w:tblCellMar>
      </w:tblPr>
      <w:tblGrid>
        <w:gridCol w:w="1486"/>
        <w:gridCol w:w="1310"/>
        <w:gridCol w:w="1313"/>
        <w:gridCol w:w="313"/>
        <w:gridCol w:w="1070"/>
        <w:gridCol w:w="161"/>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cost</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(87,755)</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72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located outside of the U.S. was as follows:</w:t>
      </w:r>
    </w:p>
    <w:tbl>
      <w:tblPr>
        <w:tblW w:w="6582" w:type="dxa"/>
        <w:jc w:val="left"/>
        <w:tblInd w:w="0" w:type="dxa"/>
        <w:tblLayout w:type="fixed"/>
        <w:tblCellMar>
          <w:top w:w="28" w:type="dxa"/>
          <w:left w:w="28" w:type="dxa"/>
          <w:bottom w:w="28" w:type="dxa"/>
          <w:right w:w="28" w:type="dxa"/>
        </w:tblCellMar>
      </w:tblPr>
      <w:tblGrid>
        <w:gridCol w:w="1146"/>
        <w:gridCol w:w="1008"/>
        <w:gridCol w:w="1011"/>
        <w:gridCol w:w="344"/>
        <w:gridCol w:w="344"/>
        <w:gridCol w:w="857"/>
        <w:gridCol w:w="109"/>
        <w:gridCol w:w="109"/>
        <w:gridCol w:w="109"/>
        <w:gridCol w:w="314"/>
        <w:gridCol w:w="314"/>
        <w:gridCol w:w="917"/>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property and equipment</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H – Goodwill and Intangible Assets, Net</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goodwill was as follows:</w:t>
      </w:r>
    </w:p>
    <w:tbl>
      <w:tblPr>
        <w:tblW w:w="7588" w:type="dxa"/>
        <w:jc w:val="left"/>
        <w:tblInd w:w="0" w:type="dxa"/>
        <w:tblLayout w:type="fixed"/>
        <w:tblCellMar>
          <w:top w:w="28" w:type="dxa"/>
          <w:left w:w="28" w:type="dxa"/>
          <w:bottom w:w="28" w:type="dxa"/>
          <w:right w:w="28" w:type="dxa"/>
        </w:tblCellMar>
      </w:tblPr>
      <w:tblGrid>
        <w:gridCol w:w="2171"/>
        <w:gridCol w:w="1911"/>
        <w:gridCol w:w="1917"/>
        <w:gridCol w:w="281"/>
        <w:gridCol w:w="1103"/>
        <w:gridCol w:w="205"/>
      </w:tblGrid>
      <w:tr>
        <w:trPr/>
        <w:tc>
          <w:tcPr>
            <w:tcW w:w="217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 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399,180 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from business acquisitions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from provisional purchase accounting amount and other</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543,035 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1F282C"/>
          <w:sz w:val="20"/>
        </w:rPr>
      </w:pPr>
      <w:r>
        <w:rPr>
          <w:rFonts w:ascii="Times New Roman;serif" w:hAnsi="Times New Roman;serif"/>
          <w:b/>
          <w:i/>
          <w:color w:val="1F282C"/>
          <w:sz w:val="20"/>
        </w:rPr>
        <w:t>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center"/>
        <w:tblInd w:w="0" w:type="dxa"/>
        <w:tblLayout w:type="fixed"/>
        <w:tblCellMar>
          <w:top w:w="28" w:type="dxa"/>
          <w:left w:w="28" w:type="dxa"/>
          <w:bottom w:w="28" w:type="dxa"/>
          <w:right w:w="28" w:type="dxa"/>
        </w:tblCellMar>
      </w:tblPr>
      <w:tblGrid>
        <w:gridCol w:w="625"/>
        <w:gridCol w:w="550"/>
        <w:gridCol w:w="515"/>
        <w:gridCol w:w="211"/>
        <w:gridCol w:w="826"/>
        <w:gridCol w:w="109"/>
        <w:gridCol w:w="109"/>
        <w:gridCol w:w="109"/>
        <w:gridCol w:w="109"/>
        <w:gridCol w:w="211"/>
        <w:gridCol w:w="787"/>
        <w:gridCol w:w="109"/>
        <w:gridCol w:w="109"/>
        <w:gridCol w:w="109"/>
        <w:gridCol w:w="109"/>
        <w:gridCol w:w="213"/>
        <w:gridCol w:w="622"/>
        <w:gridCol w:w="111"/>
        <w:gridCol w:w="109"/>
        <w:gridCol w:w="109"/>
        <w:gridCol w:w="109"/>
        <w:gridCol w:w="211"/>
        <w:gridCol w:w="826"/>
        <w:gridCol w:w="109"/>
        <w:gridCol w:w="109"/>
        <w:gridCol w:w="109"/>
        <w:gridCol w:w="109"/>
        <w:gridCol w:w="835"/>
        <w:gridCol w:w="835"/>
        <w:gridCol w:w="1192"/>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 years</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 years</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85495"/>
                <wp:effectExtent l="0" t="0" r="0" b="0"/>
                <wp:wrapNone/>
                <wp:docPr id="39" name="Frame1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66700" cy="257175"/>
                                                </a:xfrm>
                                                <a:prstGeom prst="rect">
                                                  <a:avLst/>
                                                </a:prstGeom>
                                              </pic:spPr>
                                            </pic:pic>
                                          </a:graphicData>
                                        </a:graphic>
                                      </wp:inline>
                                    </w:drawing>
                                  </w:r>
                                  <w:bookmarkStart w:id="25" w:name="i-14"/>
                                  <w:bookmarkEnd w:id="2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66700" cy="257175"/>
                                          </a:xfrm>
                                          <a:prstGeom prst="rect">
                                            <a:avLst/>
                                          </a:prstGeom>
                                        </pic:spPr>
                                      </pic:pic>
                                    </a:graphicData>
                                  </a:graphic>
                                </wp:inline>
                              </w:drawing>
                            </w:r>
                            <w:bookmarkStart w:id="26" w:name="i-14"/>
                            <w:bookmarkEnd w:id="2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22"/>
        <w:gridCol w:w="548"/>
        <w:gridCol w:w="511"/>
        <w:gridCol w:w="211"/>
        <w:gridCol w:w="826"/>
        <w:gridCol w:w="109"/>
        <w:gridCol w:w="109"/>
        <w:gridCol w:w="109"/>
        <w:gridCol w:w="109"/>
        <w:gridCol w:w="211"/>
        <w:gridCol w:w="787"/>
        <w:gridCol w:w="109"/>
        <w:gridCol w:w="109"/>
        <w:gridCol w:w="109"/>
        <w:gridCol w:w="109"/>
        <w:gridCol w:w="211"/>
        <w:gridCol w:w="668"/>
        <w:gridCol w:w="109"/>
        <w:gridCol w:w="109"/>
        <w:gridCol w:w="109"/>
        <w:gridCol w:w="109"/>
        <w:gridCol w:w="211"/>
        <w:gridCol w:w="826"/>
        <w:gridCol w:w="109"/>
        <w:gridCol w:w="109"/>
        <w:gridCol w:w="109"/>
        <w:gridCol w:w="109"/>
        <w:gridCol w:w="826"/>
        <w:gridCol w:w="826"/>
        <w:gridCol w:w="1177"/>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 years</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 years</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 years</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future annual amortization expense related to intangible assets is as follows:</w:t>
      </w:r>
    </w:p>
    <w:tbl>
      <w:tblPr>
        <w:tblW w:w="3351" w:type="dxa"/>
        <w:jc w:val="center"/>
        <w:tblInd w:w="0" w:type="dxa"/>
        <w:tblLayout w:type="fixed"/>
        <w:tblCellMar>
          <w:top w:w="28" w:type="dxa"/>
          <w:left w:w="28" w:type="dxa"/>
          <w:bottom w:w="28" w:type="dxa"/>
          <w:right w:w="28" w:type="dxa"/>
        </w:tblCellMar>
      </w:tblPr>
      <w:tblGrid>
        <w:gridCol w:w="782"/>
        <w:gridCol w:w="688"/>
        <w:gridCol w:w="690"/>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I – Commitments and Contingencies</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6525" w:type="dxa"/>
        <w:jc w:val="center"/>
        <w:tblInd w:w="0" w:type="dxa"/>
        <w:tblLayout w:type="fixed"/>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064" w:type="dxa"/>
        <w:jc w:val="center"/>
        <w:tblInd w:w="0" w:type="dxa"/>
        <w:tblLayout w:type="fixed"/>
        <w:tblCellMar>
          <w:top w:w="28" w:type="dxa"/>
          <w:left w:w="28" w:type="dxa"/>
          <w:bottom w:w="28" w:type="dxa"/>
          <w:right w:w="28" w:type="dxa"/>
        </w:tblCellMar>
      </w:tblPr>
      <w:tblGrid>
        <w:gridCol w:w="2100"/>
        <w:gridCol w:w="1850"/>
        <w:gridCol w:w="1870"/>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w:t>
      </w:r>
    </w:p>
    <w:tbl>
      <w:tblPr>
        <w:tblW w:w="6747" w:type="dxa"/>
        <w:jc w:val="center"/>
        <w:tblInd w:w="0" w:type="dxa"/>
        <w:tblLayout w:type="fixed"/>
        <w:tblCellMar>
          <w:top w:w="28" w:type="dxa"/>
          <w:left w:w="28" w:type="dxa"/>
          <w:bottom w:w="28" w:type="dxa"/>
          <w:right w:w="28" w:type="dxa"/>
        </w:tblCellMar>
      </w:tblPr>
      <w:tblGrid>
        <w:gridCol w:w="1207"/>
        <w:gridCol w:w="1059"/>
        <w:gridCol w:w="1064"/>
        <w:gridCol w:w="344"/>
        <w:gridCol w:w="344"/>
        <w:gridCol w:w="857"/>
        <w:gridCol w:w="109"/>
        <w:gridCol w:w="109"/>
        <w:gridCol w:w="109"/>
        <w:gridCol w:w="314"/>
        <w:gridCol w:w="314"/>
        <w:gridCol w:w="9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85495"/>
                <wp:effectExtent l="0" t="0" r="0" b="0"/>
                <wp:wrapNone/>
                <wp:docPr id="42" name="Frame1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66700" cy="257175"/>
                                                </a:xfrm>
                                                <a:prstGeom prst="rect">
                                                  <a:avLst/>
                                                </a:prstGeom>
                                              </pic:spPr>
                                            </pic:pic>
                                          </a:graphicData>
                                        </a:graphic>
                                      </wp:inline>
                                    </w:drawing>
                                  </w:r>
                                  <w:bookmarkStart w:id="27" w:name="i-15"/>
                                  <w:bookmarkEnd w:id="2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66700" cy="257175"/>
                                          </a:xfrm>
                                          <a:prstGeom prst="rect">
                                            <a:avLst/>
                                          </a:prstGeom>
                                        </pic:spPr>
                                      </pic:pic>
                                    </a:graphicData>
                                  </a:graphic>
                                </wp:inline>
                              </w:drawing>
                            </w:r>
                            <w:bookmarkStart w:id="28" w:name="i-15"/>
                            <w:bookmarkEnd w:id="2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our future minimum payments under operating leases were as follows:</w:t>
      </w:r>
    </w:p>
    <w:tbl>
      <w:tblPr>
        <w:tblW w:w="3741" w:type="dxa"/>
        <w:jc w:val="center"/>
        <w:tblInd w:w="0" w:type="dxa"/>
        <w:tblLayout w:type="fixed"/>
        <w:tblCellMar>
          <w:top w:w="28" w:type="dxa"/>
          <w:left w:w="28" w:type="dxa"/>
          <w:bottom w:w="28" w:type="dxa"/>
          <w:right w:w="28" w:type="dxa"/>
        </w:tblCellMar>
      </w:tblPr>
      <w:tblGrid>
        <w:gridCol w:w="961"/>
        <w:gridCol w:w="846"/>
        <w:gridCol w:w="848"/>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gross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In October 2025, we executed the sixth amendment to our lease agreement (the "Amendment") for our current headquarters located in Minneapolis, Minnesota where we lease approximately 198,000 square feet effective October 1, 2025. The Amendment extends the lease term to end in July 2043. </w:t>
      </w:r>
      <w:r>
        <w:rPr>
          <w:rFonts w:ascii="Times New Roman;serif" w:hAnsi="Times New Roman;serif"/>
          <w:b w:val="false"/>
          <w:color w:val="000000"/>
          <w:sz w:val="20"/>
        </w:rPr>
        <w:t>Minimum lease payments under the Amendment are $2.7 million in year 1, $2.0 million in years 2-3, $5.7 million in years 3-5, and $46.1 million thereafter.</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Purchase Commitments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separate noncancelable agreements with vendors for computing infrastructure, software platforms, and other service arrangements through 2030. At September 30, 2025, our remaining purchase commitments and estimated purchase timing were as follows:</w:t>
      </w:r>
    </w:p>
    <w:tbl>
      <w:tblPr>
        <w:tblW w:w="3830" w:type="dxa"/>
        <w:jc w:val="left"/>
        <w:tblInd w:w="0" w:type="dxa"/>
        <w:tblLayout w:type="fixed"/>
        <w:tblCellMar>
          <w:top w:w="28" w:type="dxa"/>
          <w:left w:w="28" w:type="dxa"/>
          <w:bottom w:w="28" w:type="dxa"/>
          <w:right w:w="28" w:type="dxa"/>
        </w:tblCellMar>
      </w:tblPr>
      <w:tblGrid>
        <w:gridCol w:w="993"/>
        <w:gridCol w:w="874"/>
        <w:gridCol w:w="877"/>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future purchases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J – Stockholders’ Equity</w:t>
      </w:r>
    </w:p>
    <w:p>
      <w:pPr>
        <w:pStyle w:val="TextBody"/>
        <w:bidi w:val="0"/>
        <w:spacing w:lineRule="auto" w:line="288" w:before="240" w:after="283"/>
        <w:jc w:val="left"/>
        <w:rPr/>
      </w:pPr>
      <w:r>
        <w:rPr>
          <w:rFonts w:ascii="Times New Roman;serif" w:hAnsi="Times New Roman;serif"/>
          <w:b/>
          <w:i/>
          <w:color w:val="000000"/>
          <w:sz w:val="20"/>
        </w:rPr>
        <w:t>Share</w:t>
      </w:r>
      <w:r>
        <w:rPr>
          <w:color w:val="1F282C"/>
        </w:rPr>
        <w:t xml:space="preserve"> </w:t>
      </w:r>
      <w:r>
        <w:rPr>
          <w:rFonts w:ascii="Times New Roman;serif" w:hAnsi="Times New Roman;serif"/>
          <w:b/>
          <w:i/>
          <w:color w:val="1F282C"/>
          <w:sz w:val="20"/>
        </w:rPr>
        <w:t>Repurchase Programs</w:t>
      </w:r>
    </w:p>
    <w:p>
      <w:pPr>
        <w:pStyle w:val="TextBody"/>
        <w:bidi w:val="0"/>
        <w:spacing w:lineRule="auto" w:line="288" w:before="120" w:after="283"/>
        <w:ind w:left="0" w:right="0" w:firstLine="720"/>
        <w:jc w:val="left"/>
        <w:rPr/>
      </w:pPr>
      <w:r>
        <w:rPr>
          <w:rFonts w:ascii="Times New Roman;serif" w:hAnsi="Times New Roman;serif"/>
          <w:b w:val="false"/>
          <w:color w:val="212529"/>
          <w:sz w:val="20"/>
        </w:rPr>
        <w:t xml:space="preserve">Our board of directors has authorized multiple non-concurrent programs to repurchase our common stock. Details of the programs and activity thereunder through </w:t>
      </w:r>
      <w:r>
        <w:rPr>
          <w:rFonts w:ascii="Times New Roman;serif" w:hAnsi="Times New Roman;serif"/>
          <w:b w:val="false"/>
          <w:color w:val="000000"/>
          <w:sz w:val="20"/>
        </w:rPr>
        <w:t>September 30, 2025 were as follows:</w:t>
      </w:r>
    </w:p>
    <w:tbl>
      <w:tblPr>
        <w:tblW w:w="10205" w:type="dxa"/>
        <w:jc w:val="left"/>
        <w:tblInd w:w="0" w:type="dxa"/>
        <w:tblLayout w:type="fixed"/>
        <w:tblCellMar>
          <w:top w:w="28" w:type="dxa"/>
          <w:left w:w="28" w:type="dxa"/>
          <w:bottom w:w="28" w:type="dxa"/>
          <w:right w:w="28" w:type="dxa"/>
        </w:tblCellMar>
      </w:tblPr>
      <w:tblGrid>
        <w:gridCol w:w="343"/>
        <w:gridCol w:w="302"/>
        <w:gridCol w:w="303"/>
        <w:gridCol w:w="285"/>
        <w:gridCol w:w="285"/>
        <w:gridCol w:w="286"/>
        <w:gridCol w:w="328"/>
        <w:gridCol w:w="328"/>
        <w:gridCol w:w="330"/>
        <w:gridCol w:w="109"/>
        <w:gridCol w:w="109"/>
        <w:gridCol w:w="109"/>
        <w:gridCol w:w="315"/>
        <w:gridCol w:w="1077"/>
        <w:gridCol w:w="162"/>
        <w:gridCol w:w="109"/>
        <w:gridCol w:w="109"/>
        <w:gridCol w:w="109"/>
        <w:gridCol w:w="260"/>
        <w:gridCol w:w="889"/>
        <w:gridCol w:w="134"/>
        <w:gridCol w:w="109"/>
        <w:gridCol w:w="109"/>
        <w:gridCol w:w="109"/>
        <w:gridCol w:w="348"/>
        <w:gridCol w:w="1018"/>
        <w:gridCol w:w="181"/>
        <w:gridCol w:w="109"/>
        <w:gridCol w:w="109"/>
        <w:gridCol w:w="109"/>
        <w:gridCol w:w="332"/>
        <w:gridCol w:w="1136"/>
        <w:gridCol w:w="255"/>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&amp; Expired Share Repurchase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Available for Future Repurchase</w:t>
            </w:r>
          </w:p>
        </w:tc>
      </w:tr>
      <w:tr>
        <w:trPr/>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 Program</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2022</w:t>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Program</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212529"/>
          <w:sz w:val="20"/>
          <w:shd w:fill="FFFFFF" w:val="clear"/>
        </w:rPr>
        <w:t xml:space="preserve">The </w:t>
      </w:r>
      <w:r>
        <w:rPr>
          <w:rFonts w:ascii="Times New Roman;serif" w:hAnsi="Times New Roman;serif"/>
          <w:b w:val="false"/>
          <w:color w:val="000000"/>
          <w:sz w:val="20"/>
        </w:rPr>
        <w:t>share</w:t>
      </w:r>
      <w:r>
        <w:rPr>
          <w:color w:val="212529"/>
          <w:shd w:fill="FFFFFF" w:val="clear"/>
        </w:rPr>
        <w:t xml:space="preserve"> </w:t>
      </w:r>
      <w:r>
        <w:rPr>
          <w:rFonts w:ascii="Times New Roman;serif" w:hAnsi="Times New Roman;serif"/>
          <w:b w:val="false"/>
          <w:color w:val="000000"/>
          <w:sz w:val="20"/>
        </w:rPr>
        <w:t>repurchase activity by period was as follows:</w:t>
      </w:r>
    </w:p>
    <w:tbl>
      <w:tblPr>
        <w:tblW w:w="9074" w:type="dxa"/>
        <w:jc w:val="left"/>
        <w:tblInd w:w="0" w:type="dxa"/>
        <w:tblLayout w:type="fixed"/>
        <w:tblCellMar>
          <w:top w:w="28" w:type="dxa"/>
          <w:left w:w="28" w:type="dxa"/>
          <w:bottom w:w="28" w:type="dxa"/>
          <w:right w:w="28" w:type="dxa"/>
        </w:tblCellMar>
      </w:tblPr>
      <w:tblGrid>
        <w:gridCol w:w="1407"/>
        <w:gridCol w:w="1236"/>
        <w:gridCol w:w="124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and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cost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29, 2025 (announced October 30, 2025), our board of directors authorized a program to repurchase up to $100.0 million of our common stock, excluding costs to obtain. Under the program, purchases may be made from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85495"/>
                <wp:effectExtent l="0" t="0" r="0" b="0"/>
                <wp:wrapNone/>
                <wp:docPr id="45" name="Frame1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66700" cy="257175"/>
                                                </a:xfrm>
                                                <a:prstGeom prst="rect">
                                                  <a:avLst/>
                                                </a:prstGeom>
                                              </pic:spPr>
                                            </pic:pic>
                                          </a:graphicData>
                                        </a:graphic>
                                      </wp:inline>
                                    </w:drawing>
                                  </w:r>
                                  <w:bookmarkStart w:id="29" w:name="i-16"/>
                                  <w:bookmarkEnd w:id="2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66700" cy="257175"/>
                                          </a:xfrm>
                                          <a:prstGeom prst="rect">
                                            <a:avLst/>
                                          </a:prstGeom>
                                        </pic:spPr>
                                      </pic:pic>
                                    </a:graphicData>
                                  </a:graphic>
                                </wp:inline>
                              </w:drawing>
                            </w:r>
                            <w:bookmarkStart w:id="30" w:name="i-16"/>
                            <w:bookmarkEnd w:id="3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time in the open market or in privately negotiated purchases, or both. The share repurchase program will become effective December 1, 2025 and expires on December 1, 2027.</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Treasury Stock Reissuance</w:t>
      </w:r>
    </w:p>
    <w:p>
      <w:pPr>
        <w:pStyle w:val="TextBody"/>
        <w:bidi w:val="0"/>
        <w:spacing w:lineRule="auto" w:line="288" w:before="240" w:after="283"/>
        <w:ind w:left="0" w:right="0" w:firstLine="720"/>
        <w:jc w:val="left"/>
        <w:rPr/>
      </w:pPr>
      <w:r>
        <w:rPr>
          <w:rFonts w:ascii="Times New Roman;serif" w:hAnsi="Times New Roman;serif"/>
          <w:b w:val="false"/>
          <w:color w:val="1F282C"/>
          <w:sz w:val="20"/>
        </w:rPr>
        <w:t xml:space="preserve">In connection with the acquisition of SupplyPike and Carbon6 </w:t>
      </w:r>
      <w:r>
        <w:rPr>
          <w:rFonts w:ascii="Times New Roman;serif" w:hAnsi="Times New Roman;serif"/>
          <w:b w:val="false"/>
          <w:color w:val="000000"/>
          <w:sz w:val="20"/>
        </w:rPr>
        <w:t>t</w:t>
      </w:r>
      <w:r>
        <w:rPr>
          <w:rFonts w:ascii="Times New Roman;serif" w:hAnsi="Times New Roman;serif"/>
          <w:b w:val="false"/>
          <w:color w:val="1F282C"/>
          <w:sz w:val="20"/>
        </w:rPr>
        <w:t xml:space="preserve">he Company re-issued treasury shares as part of the purchase consideration (see </w:t>
      </w:r>
      <w:r>
        <w:rPr>
          <w:rFonts w:ascii="Times New Roman;serif" w:hAnsi="Times New Roman;serif"/>
          <w:b w:val="false"/>
          <w:i/>
          <w:color w:val="1F282C"/>
          <w:sz w:val="20"/>
        </w:rPr>
        <w:t xml:space="preserve">Note B </w:t>
      </w:r>
      <w:r>
        <w:rPr>
          <w:color w:val="212529"/>
        </w:rPr>
        <w:t xml:space="preserve">– </w:t>
      </w:r>
      <w:r>
        <w:rPr>
          <w:rFonts w:ascii="Times New Roman;serif" w:hAnsi="Times New Roman;serif"/>
          <w:b w:val="false"/>
          <w:i/>
          <w:color w:val="1F282C"/>
          <w:sz w:val="20"/>
        </w:rPr>
        <w:t>Business Combinations</w:t>
      </w:r>
      <w:r>
        <w:rPr>
          <w:color w:val="1F282C"/>
        </w:rPr>
        <w:t xml:space="preserve"> </w:t>
      </w:r>
      <w:r>
        <w:rPr>
          <w:rFonts w:ascii="Times New Roman;serif" w:hAnsi="Times New Roman;serif"/>
          <w:b w:val="false"/>
          <w:color w:val="1F282C"/>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K – 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equity compensation plans include grants of incentive and nonqualified stock options, performance share units (“PSUs”), restricted stock awards (“RSAs”), restricted stock units (“RSUs”), and deferred stock units (“DSUs”), to employees, executive officers, and non-employee directors. We also provide an employee stock purchase plan (“ESPP”) and 401(k) match to eligible participants. At September 30, 2025, there were 11.8 million shares available for grant under approved equity compensation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in the condensed consolidated statements of comprehensive income as follows:</w:t>
      </w:r>
    </w:p>
    <w:tbl>
      <w:tblPr>
        <w:tblW w:w="7500" w:type="dxa"/>
        <w:jc w:val="center"/>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by grant type or plan was as follows:</w:t>
      </w:r>
    </w:p>
    <w:tbl>
      <w:tblPr>
        <w:tblW w:w="6870" w:type="dxa"/>
        <w:jc w:val="left"/>
        <w:tblInd w:w="0" w:type="dxa"/>
        <w:tblLayout w:type="fixed"/>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4"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&amp; DSUs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401(k) stock match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42,264 </w:t>
            </w:r>
          </w:p>
        </w:tc>
        <w:tc>
          <w:tcPr>
            <w:tcW w:w="15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was $86.7 million of unrecognized stock-based compensation expense under our equity compensation plans, which is expected to be recognized on a primarily straight-line basis over a weighted average period of 2.4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85495"/>
                <wp:effectExtent l="0" t="0" r="0" b="0"/>
                <wp:wrapNone/>
                <wp:docPr id="48" name="Frame1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66700" cy="257175"/>
                                                </a:xfrm>
                                                <a:prstGeom prst="rect">
                                                  <a:avLst/>
                                                </a:prstGeom>
                                              </pic:spPr>
                                            </pic:pic>
                                          </a:graphicData>
                                        </a:graphic>
                                      </wp:inline>
                                    </w:drawing>
                                  </w:r>
                                  <w:bookmarkStart w:id="31" w:name="i-17"/>
                                  <w:bookmarkEnd w:id="3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66700" cy="257175"/>
                                          </a:xfrm>
                                          <a:prstGeom prst="rect">
                                            <a:avLst/>
                                          </a:prstGeom>
                                        </pic:spPr>
                                      </pic:pic>
                                    </a:graphicData>
                                  </a:graphic>
                                </wp:inline>
                              </w:drawing>
                            </w:r>
                            <w:bookmarkStart w:id="32" w:name="i-17"/>
                            <w:bookmarkEnd w:id="3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Stock Options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 option activity was as follows:</w:t>
      </w:r>
    </w:p>
    <w:tbl>
      <w:tblPr>
        <w:tblW w:w="5812" w:type="dxa"/>
        <w:jc w:val="left"/>
        <w:tblInd w:w="0" w:type="dxa"/>
        <w:tblLayout w:type="fixed"/>
        <w:tblCellMar>
          <w:top w:w="28" w:type="dxa"/>
          <w:left w:w="28" w:type="dxa"/>
          <w:bottom w:w="28" w:type="dxa"/>
          <w:right w:w="28" w:type="dxa"/>
        </w:tblCellMar>
      </w:tblPr>
      <w:tblGrid>
        <w:gridCol w:w="1026"/>
        <w:gridCol w:w="903"/>
        <w:gridCol w:w="905"/>
        <w:gridCol w:w="413"/>
        <w:gridCol w:w="413"/>
        <w:gridCol w:w="326"/>
        <w:gridCol w:w="109"/>
        <w:gridCol w:w="109"/>
        <w:gridCol w:w="109"/>
        <w:gridCol w:w="291"/>
        <w:gridCol w:w="996"/>
        <w:gridCol w:w="21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 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Options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Exercise Price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289,374 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281,913 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total outstanding options at September 30, 2025, 0.2 million were exercisable. The outstanding and exercisable options had a weighted average exercise price of $100.92 per share and a weighted average remaining contractual life of 2.6 years.</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 xml:space="preserve">The weighted average grant date fair value of options granted during the nine months ended September 30, 2025 was $49.39 per share. This was </w:t>
      </w:r>
      <w:r>
        <w:rPr>
          <w:rFonts w:ascii="Times New Roman;serif" w:hAnsi="Times New Roman;serif"/>
          <w:b w:val="false"/>
          <w:color w:val="000000"/>
          <w:sz w:val="20"/>
        </w:rPr>
        <w:t>estimated on the date of grant using the Black-Scholes option pricing model with the following weighted average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Performance Share Units, Restricted Stock Units and Awards, and Deferred Stock Units</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each of the quarters ended March 31, 2025, 2024, 2023, and 2022,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2025, PSU awards granted in 2022 vested at the maximum performance level and 0.1 million shares of common stock were issued.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Activity for our PSUs, RSUs, RSAs, and DSUs in aggregate was as follows:</w:t>
      </w:r>
    </w:p>
    <w:tbl>
      <w:tblPr>
        <w:tblW w:w="6165" w:type="dxa"/>
        <w:jc w:val="center"/>
        <w:tblInd w:w="0" w:type="dxa"/>
        <w:tblLayout w:type="fixed"/>
        <w:tblCellMar>
          <w:top w:w="28" w:type="dxa"/>
          <w:left w:w="28" w:type="dxa"/>
          <w:bottom w:w="28" w:type="dxa"/>
          <w:right w:w="28" w:type="dxa"/>
        </w:tblCellMar>
      </w:tblPr>
      <w:tblGrid>
        <w:gridCol w:w="1026"/>
        <w:gridCol w:w="903"/>
        <w:gridCol w:w="905"/>
        <w:gridCol w:w="449"/>
        <w:gridCol w:w="451"/>
        <w:gridCol w:w="109"/>
        <w:gridCol w:w="109"/>
        <w:gridCol w:w="109"/>
        <w:gridCol w:w="109"/>
        <w:gridCol w:w="387"/>
        <w:gridCol w:w="1325"/>
        <w:gridCol w:w="283"/>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 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 xml:space="preserve">Date Fair Value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common stock issued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PSUs, RSUs, RSAs, and DSUs outstanding at September 30, 2025 included less than 0.1 million units that have vested, but the shares of common stock have not yet been issued, pursuant to the terms of the underlying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85495"/>
                <wp:effectExtent l="0" t="0" r="0" b="0"/>
                <wp:wrapNone/>
                <wp:docPr id="51" name="Frame1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66700" cy="257175"/>
                                                </a:xfrm>
                                                <a:prstGeom prst="rect">
                                                  <a:avLst/>
                                                </a:prstGeom>
                                              </pic:spPr>
                                            </pic:pic>
                                          </a:graphicData>
                                        </a:graphic>
                                      </wp:inline>
                                    </w:drawing>
                                  </w:r>
                                  <w:bookmarkStart w:id="33" w:name="i-18"/>
                                  <w:bookmarkEnd w:id="3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66700" cy="257175"/>
                                          </a:xfrm>
                                          <a:prstGeom prst="rect">
                                            <a:avLst/>
                                          </a:prstGeom>
                                        </pic:spPr>
                                      </pic:pic>
                                    </a:graphicData>
                                  </a:graphic>
                                </wp:inline>
                              </w:drawing>
                            </w:r>
                            <w:bookmarkStart w:id="34" w:name="i-18"/>
                            <w:bookmarkEnd w:id="3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Employee Stock Purchase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ESPP activity was as follows:</w:t>
      </w:r>
    </w:p>
    <w:tbl>
      <w:tblPr>
        <w:tblW w:w="7004" w:type="dxa"/>
        <w:jc w:val="left"/>
        <w:tblInd w:w="0" w:type="dxa"/>
        <w:tblLayout w:type="fixed"/>
        <w:tblCellMar>
          <w:top w:w="28" w:type="dxa"/>
          <w:left w:w="28" w:type="dxa"/>
          <w:bottom w:w="28" w:type="dxa"/>
          <w:right w:w="28" w:type="dxa"/>
        </w:tblCellMar>
      </w:tblPr>
      <w:tblGrid>
        <w:gridCol w:w="918"/>
        <w:gridCol w:w="807"/>
        <w:gridCol w:w="8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for shares 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total of 1.6 million shares of common stock are reserved for issuance under the ESPP at September 30,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was estimated based on the market price of our common stock at the beginning of the offering period using the following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L –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our interim provision for income taxes by applying our estimated annual effective tax rate to our year-to-date pre-tax income and adjust the provision for discrete tax items recorded in the period. Our provisions for income taxes includes current federal, state, and foreign income tax expense, as well as deferred tax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making permanent most of the expiring key provisions of the 2017 Tax Cuts and Jobs Act, including, but not limited to, U.S. corporate international tax provisions, federal bonus depreciation and deductions for domestic research and development expenditures. We evaluated the OBBBA and estimated the 2025 impact to be primarily a reduction in cash taxes due to the accelerated deduction of previously capitalized research and experimental expenditures.  In addition, we expect the Foreign Derived Intangible Income (FDII) deduction will be adversely affected. The remaining provisions of the OBBBA are not expected to have a material impact.</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AAE5"/>
          <w:sz w:val="20"/>
        </w:rPr>
      </w:pPr>
      <w:r>
        <w:rPr>
          <w:rFonts w:ascii="Times New Roman;serif" w:hAnsi="Times New Roman;serif"/>
          <w:b/>
          <w:color w:val="00AAE5"/>
          <w:sz w:val="20"/>
        </w:rPr>
        <w:t>NOTE M – Other Income and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included the following: </w:t>
      </w:r>
    </w:p>
    <w:tbl>
      <w:tblPr>
        <w:tblW w:w="10205" w:type="dxa"/>
        <w:jc w:val="center"/>
        <w:tblInd w:w="0" w:type="dxa"/>
        <w:tblLayout w:type="fixed"/>
        <w:tblCellMar>
          <w:top w:w="28" w:type="dxa"/>
          <w:left w:w="28" w:type="dxa"/>
          <w:bottom w:w="28" w:type="dxa"/>
          <w:right w:w="28" w:type="dxa"/>
        </w:tblCellMar>
      </w:tblPr>
      <w:tblGrid>
        <w:gridCol w:w="1958"/>
        <w:gridCol w:w="1695"/>
        <w:gridCol w:w="16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1958"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85495"/>
                <wp:effectExtent l="0" t="0" r="0" b="0"/>
                <wp:wrapNone/>
                <wp:docPr id="54" name="Frame1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66700" cy="257175"/>
                                                </a:xfrm>
                                                <a:prstGeom prst="rect">
                                                  <a:avLst/>
                                                </a:prstGeom>
                                              </pic:spPr>
                                            </pic:pic>
                                          </a:graphicData>
                                        </a:graphic>
                                      </wp:inline>
                                    </w:drawing>
                                  </w:r>
                                  <w:bookmarkStart w:id="35" w:name="i-19"/>
                                  <w:bookmarkEnd w:id="3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66700" cy="257175"/>
                                          </a:xfrm>
                                          <a:prstGeom prst="rect">
                                            <a:avLst/>
                                          </a:prstGeom>
                                        </pic:spPr>
                                      </pic:pic>
                                    </a:graphicData>
                                  </a:graphic>
                                </wp:inline>
                              </w:drawing>
                            </w:r>
                            <w:bookmarkStart w:id="36" w:name="i-19"/>
                            <w:bookmarkEnd w:id="3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jc w:val="left"/>
        <w:rPr>
          <w:rFonts w:ascii="Times New Roman;serif" w:hAnsi="Times New Roman;serif"/>
          <w:b/>
          <w:color w:val="00AAE5"/>
          <w:sz w:val="20"/>
        </w:rPr>
      </w:pPr>
      <w:r>
        <w:rPr>
          <w:rFonts w:ascii="Times New Roman;serif" w:hAnsi="Times New Roman;serif"/>
          <w:b/>
          <w:color w:val="00AAE5"/>
          <w:sz w:val="20"/>
        </w:rPr>
        <w:t>NOTE N – Net Income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and computation of basic and diluted net income per share were as follows:</w:t>
      </w:r>
    </w:p>
    <w:tbl>
      <w:tblPr>
        <w:tblW w:w="9764" w:type="dxa"/>
        <w:jc w:val="center"/>
        <w:tblInd w:w="0" w:type="dxa"/>
        <w:tblLayout w:type="fixed"/>
        <w:tblCellMar>
          <w:top w:w="28" w:type="dxa"/>
          <w:left w:w="28" w:type="dxa"/>
          <w:bottom w:w="28" w:type="dxa"/>
          <w:right w:w="28" w:type="dxa"/>
        </w:tblCellMar>
      </w:tblPr>
      <w:tblGrid>
        <w:gridCol w:w="1658"/>
        <w:gridCol w:w="1456"/>
        <w:gridCol w:w="146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and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RSUs, RSAs, and DSUs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outstanding potential common shares that were excluded from the calculation of diluted net income per share as they were anti-dilutive was as follows:</w:t>
      </w:r>
    </w:p>
    <w:tbl>
      <w:tblPr>
        <w:tblW w:w="5699" w:type="dxa"/>
        <w:jc w:val="center"/>
        <w:tblInd w:w="0" w:type="dxa"/>
        <w:tblLayout w:type="fixed"/>
        <w:tblCellMar>
          <w:top w:w="28" w:type="dxa"/>
          <w:left w:w="28" w:type="dxa"/>
          <w:bottom w:w="28" w:type="dxa"/>
          <w:right w:w="28" w:type="dxa"/>
        </w:tblCellMar>
      </w:tblPr>
      <w:tblGrid>
        <w:gridCol w:w="622"/>
        <w:gridCol w:w="548"/>
        <w:gridCol w:w="554"/>
        <w:gridCol w:w="233"/>
        <w:gridCol w:w="233"/>
        <w:gridCol w:w="178"/>
        <w:gridCol w:w="178"/>
        <w:gridCol w:w="178"/>
        <w:gridCol w:w="178"/>
        <w:gridCol w:w="233"/>
        <w:gridCol w:w="233"/>
        <w:gridCol w:w="178"/>
        <w:gridCol w:w="109"/>
        <w:gridCol w:w="109"/>
        <w:gridCol w:w="109"/>
        <w:gridCol w:w="233"/>
        <w:gridCol w:w="233"/>
        <w:gridCol w:w="165"/>
        <w:gridCol w:w="165"/>
        <w:gridCol w:w="165"/>
        <w:gridCol w:w="165"/>
        <w:gridCol w:w="233"/>
        <w:gridCol w:w="233"/>
        <w:gridCol w:w="234"/>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85495"/>
                <wp:effectExtent l="0" t="0" r="0" b="0"/>
                <wp:wrapNone/>
                <wp:docPr id="57" name="Frame2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66700" cy="257175"/>
                                                </a:xfrm>
                                                <a:prstGeom prst="rect">
                                                  <a:avLst/>
                                                </a:prstGeom>
                                              </pic:spPr>
                                            </pic:pic>
                                          </a:graphicData>
                                        </a:graphic>
                                      </wp:inline>
                                    </w:drawing>
                                  </w:r>
                                  <w:bookmarkStart w:id="37" w:name="i-20"/>
                                  <w:bookmarkEnd w:id="3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66700" cy="257175"/>
                                          </a:xfrm>
                                          <a:prstGeom prst="rect">
                                            <a:avLst/>
                                          </a:prstGeom>
                                        </pic:spPr>
                                      </pic:pic>
                                    </a:graphicData>
                                  </a:graphic>
                                </wp:inline>
                              </w:drawing>
                            </w:r>
                            <w:bookmarkStart w:id="38" w:name="i-20"/>
                            <w:bookmarkEnd w:id="3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in this Quarterly Report on Form 10-Q and our Annual Report on Form 10-K for the year ended December 31, 2024. This Quarterly Report on Form 10-Q contains forward-looking statements</w:t>
      </w:r>
      <w:r>
        <w:rPr>
          <w:color w:val="000000"/>
        </w:rPr>
        <w:t xml:space="preserve"> </w:t>
      </w:r>
      <w:r>
        <w:rPr>
          <w:rFonts w:ascii="Times New Roman;serif" w:hAnsi="Times New Roman;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2024,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AAE5"/>
          <w:sz w:val="20"/>
        </w:rPr>
      </w:pPr>
      <w:r>
        <w:rPr>
          <w:rFonts w:ascii="Times New Roman;serif" w:hAnsi="Times New Roman;serif"/>
          <w:b/>
          <w:color w:val="00AAE5"/>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SPS Commerce is transforming how our global retail supply chain co-operates by creating a more dynamic, interconnected community where players can more freely connect, collaborate, and prosper together. Our comprehensive suite of cloud-based products and solutions lead the industry in establishing and maintaining stronger collaboration between retailers, grocers, distributors, suppliers, manufacturers, and logistics firms around the globe.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enable customers to enhance how they operate: both within their organizations and with their trading partners, with reduced operational costs and stronger supply chain performance; compete: with order and supply chain visibility, sell-through data, and optimized inventory management, and; adapt: through the limitless access to connect and grow with the world’s largest retail network of trading partners that only SPS Commerce can offer.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AAE5"/>
          <w:sz w:val="20"/>
        </w:rPr>
      </w:pPr>
      <w:r>
        <w:rPr>
          <w:rFonts w:ascii="Times New Roman;serif" w:hAnsi="Times New Roman;serif"/>
          <w:b/>
          <w:color w:val="00AAE5"/>
          <w:sz w:val="20"/>
        </w:rPr>
        <w:t>Key Financial Terms, Metrics and Non-GAAP Measures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have several key financial terms, metrics, and non-GAAP measures as discussed in our Annual Report on Form 10-K for the year ended December 31, 2024, as filed with the SEC, under the heading “</w:t>
      </w:r>
      <w:r>
        <w:rPr>
          <w:rFonts w:ascii="Times New Roman;serif" w:hAnsi="Times New Roman;serif"/>
          <w:b w:val="false"/>
          <w:i/>
          <w:color w:val="000000"/>
          <w:sz w:val="20"/>
        </w:rPr>
        <w:t>Management’s Discussion and Analysis of Financial Condition and Results of Operations.</w:t>
      </w:r>
      <w:r>
        <w:rPr>
          <w:color w:val="000000"/>
        </w:rPr>
        <w:t xml:space="preserve">”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Recurring Revenue</w:t>
      </w:r>
      <w:r>
        <w:rPr>
          <w:color w:val="000000"/>
        </w:rPr>
        <w:t xml:space="preserve"> </w:t>
      </w:r>
      <w:r>
        <w:rPr>
          <w:rFonts w:ascii="Times New Roman;serif" w:hAnsi="Times New Roman;serif"/>
          <w:b w:val="false"/>
          <w:i/>
          <w:color w:val="000000"/>
          <w:sz w:val="20"/>
          <w:shd w:fill="FFFFFF" w:val="clear"/>
        </w:rPr>
        <w:t>-</w:t>
      </w:r>
      <w:r>
        <w:rPr>
          <w:color w:val="000000"/>
        </w:rPr>
        <w:t xml:space="preserve"> </w:t>
      </w:r>
      <w:r>
        <w:rPr>
          <w:rFonts w:ascii="Times New Roman;serif" w:hAnsi="Times New Roman;serif"/>
          <w:b w:val="false"/>
          <w:color w:val="000000"/>
          <w:sz w:val="20"/>
        </w:rPr>
        <w:t xml:space="preserve">We define recurring revenue </w:t>
      </w:r>
      <w:r>
        <w:rPr>
          <w:rFonts w:ascii="Times New Roman;serif" w:hAnsi="Times New Roman;serif"/>
          <w:b w:val="false"/>
          <w:color w:val="000000"/>
          <w:sz w:val="20"/>
          <w:shd w:fill="FFFFFF" w:val="clear"/>
        </w:rPr>
        <w:t>as active contracts during the reporting period to regularly pay us fees for subscription-based and reoccurring services. All components of the contracts that are not expected to recur (primarily set ups and professional services) are excluded from recurring revenue.</w:t>
      </w:r>
    </w:p>
    <w:p>
      <w:pPr>
        <w:pStyle w:val="TextBody"/>
        <w:bidi w:val="0"/>
        <w:spacing w:lineRule="auto" w:line="288" w:before="120" w:after="283"/>
        <w:ind w:left="0" w:right="0" w:firstLine="540"/>
        <w:jc w:val="left"/>
        <w:rPr/>
      </w:pPr>
      <w:r>
        <w:rPr>
          <w:rFonts w:ascii="Times New Roman;serif" w:hAnsi="Times New Roman;serif"/>
          <w:b w:val="false"/>
          <w:i/>
          <w:color w:val="000000"/>
          <w:sz w:val="20"/>
          <w:shd w:fill="FFFFFF" w:val="clear"/>
        </w:rPr>
        <w:t xml:space="preserve">Recurring Revenue Customers - </w:t>
      </w:r>
      <w:r>
        <w:rPr>
          <w:rFonts w:ascii="Times New Roman;serif" w:hAnsi="Times New Roman;serif"/>
          <w:b w:val="false"/>
          <w:color w:val="000000"/>
          <w:sz w:val="20"/>
          <w:shd w:fill="FFFFFF" w:val="clear"/>
        </w:rPr>
        <w:t>We define recurring revenue customers as customers with an active recurring revenue contract at the end of the period. A s</w:t>
      </w:r>
      <w:r>
        <w:rPr>
          <w:rFonts w:ascii="Times New Roman;serif" w:hAnsi="Times New Roman;serif"/>
          <w:b w:val="false"/>
          <w:color w:val="000000"/>
          <w:sz w:val="20"/>
        </w:rPr>
        <w:t xml:space="preserve">mall portion of our recurring revenue customers consist of separate units within a larger organization and are separately invoiced. We treat each of these units, which may include divisions, departments, affiliates and franchises, as distinct recurring revenue customers. We classify the majority of our recurring revenue customers as '1P', with the exception of those recurring revenue customers that only have an online marketplace or e-Commerce connection within our network (which we refer to as '3P').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 xml:space="preserve">Annual Revenue Per User ("ARPU") - </w:t>
      </w:r>
      <w:r>
        <w:rPr>
          <w:rFonts w:ascii="Times New Roman;serif" w:hAnsi="Times New Roman;serif"/>
          <w:b w:val="false"/>
          <w:color w:val="000000"/>
          <w:sz w:val="20"/>
        </w:rPr>
        <w:t>We calculate the annualized average recurring revenues per recurring revenue customer, which was previously referred to as “wallet share”, by dividing the annualized recurring revenues for the period by the average of the beginning and ending number of recurring revenue customers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85495"/>
                <wp:effectExtent l="0" t="0" r="0" b="0"/>
                <wp:wrapNone/>
                <wp:docPr id="60" name="Frame2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66700" cy="257175"/>
                                                </a:xfrm>
                                                <a:prstGeom prst="rect">
                                                  <a:avLst/>
                                                </a:prstGeom>
                                              </pic:spPr>
                                            </pic:pic>
                                          </a:graphicData>
                                        </a:graphic>
                                      </wp:inline>
                                    </w:drawing>
                                  </w:r>
                                  <w:bookmarkStart w:id="39" w:name="i-21"/>
                                  <w:bookmarkEnd w:id="3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66700" cy="257175"/>
                                          </a:xfrm>
                                          <a:prstGeom prst="rect">
                                            <a:avLst/>
                                          </a:prstGeom>
                                        </pic:spPr>
                                      </pic:pic>
                                    </a:graphicData>
                                  </a:graphic>
                                </wp:inline>
                              </w:drawing>
                            </w:r>
                            <w:bookmarkStart w:id="40" w:name="i-21"/>
                            <w:bookmarkEnd w:id="4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left"/>
        <w:rPr/>
      </w:pPr>
      <w:r>
        <w:rPr>
          <w:rFonts w:ascii="Times New Roman;serif" w:hAnsi="Times New Roman;serif"/>
          <w:b w:val="false"/>
          <w:i/>
          <w:color w:val="000000"/>
          <w:sz w:val="20"/>
        </w:rPr>
        <w:t xml:space="preserve">Non-GAAP Financial Measures - </w:t>
      </w:r>
      <w:r>
        <w:rPr>
          <w:rFonts w:ascii="Times New Roman;serif" w:hAnsi="Times New Roman;serif"/>
          <w:b w:val="false"/>
          <w:color w:val="000000"/>
          <w:sz w:val="20"/>
        </w:rPr>
        <w:t>To supplement our condensed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condensed consolidated financial statements and are subject to inherent limitations. Investors should review the reconciliations of non-GAAP financial measures to the comparable GAAP financial measures that are included in this “</w:t>
      </w:r>
      <w:r>
        <w:rPr>
          <w:rFonts w:ascii="Times New Roman;serif" w:hAnsi="Times New Roman;serif"/>
          <w:b w:val="false"/>
          <w:i/>
          <w:color w:val="000000"/>
          <w:sz w:val="20"/>
        </w:rPr>
        <w:t>Management’s Discussion and Analysis of Financial Condition and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85495"/>
                <wp:effectExtent l="0" t="0" r="0" b="0"/>
                <wp:wrapNone/>
                <wp:docPr id="63" name="Frame2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66700" cy="257175"/>
                                                </a:xfrm>
                                                <a:prstGeom prst="rect">
                                                  <a:avLst/>
                                                </a:prstGeom>
                                              </pic:spPr>
                                            </pic:pic>
                                          </a:graphicData>
                                        </a:graphic>
                                      </wp:inline>
                                    </w:drawing>
                                  </w:r>
                                  <w:bookmarkStart w:id="41" w:name="i-22"/>
                                  <w:bookmarkEnd w:id="4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66700" cy="257175"/>
                                          </a:xfrm>
                                          <a:prstGeom prst="rect">
                                            <a:avLst/>
                                          </a:prstGeom>
                                        </pic:spPr>
                                      </pic:pic>
                                    </a:graphicData>
                                  </a:graphic>
                                </wp:inline>
                              </w:drawing>
                            </w:r>
                            <w:bookmarkStart w:id="42" w:name="i-22"/>
                            <w:bookmarkEnd w:id="4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Critical Accounting Policies and Estimates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discussion of our financial condition and results of operations is based upon our condensed consolidated financial statements, which are prepared in accordance with GAAP and with the instructions to Form 10-Q and Rule 10-01 of Regulation S-X. The preparation of these condensed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During the nine months ended September 30, 2025, there were no changes in our critical accounting policies or estimates. For additional information regarding our critical accounting policies and estimates, see the discussion under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year ended December 31, 2024,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Liquidity and Capital Resources </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Sources of Liquidity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principal sources of liquidity were cash and cash equivalents of $133.7 million and net accounts receivable of $67.4 million.</w:t>
      </w:r>
    </w:p>
    <w:p>
      <w:pPr>
        <w:pStyle w:val="TextBody"/>
        <w:bidi w:val="0"/>
        <w:spacing w:lineRule="auto" w:line="288" w:before="24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Statements of Cash Flows Summary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summary of activity within the condensed consolidated statements of cash flows was as follows: </w:t>
      </w:r>
    </w:p>
    <w:tbl>
      <w:tblPr>
        <w:tblW w:w="6128" w:type="dxa"/>
        <w:jc w:val="left"/>
        <w:tblInd w:w="0" w:type="dxa"/>
        <w:tblLayout w:type="fixed"/>
        <w:tblCellMar>
          <w:top w:w="28" w:type="dxa"/>
          <w:left w:w="28" w:type="dxa"/>
          <w:bottom w:w="28" w:type="dxa"/>
          <w:right w:w="28" w:type="dxa"/>
        </w:tblCellMar>
      </w:tblPr>
      <w:tblGrid>
        <w:gridCol w:w="1253"/>
        <w:gridCol w:w="1104"/>
        <w:gridCol w:w="1107"/>
        <w:gridCol w:w="211"/>
        <w:gridCol w:w="826"/>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1F282C"/>
          <w:sz w:val="20"/>
          <w:shd w:fill="FFFFFF" w:val="clear"/>
        </w:rPr>
      </w:pPr>
      <w:r>
        <w:rPr>
          <w:rFonts w:ascii="Times New Roman;serif" w:hAnsi="Times New Roman;serif"/>
          <w:b w:val="false"/>
          <w:i/>
          <w:color w:val="1F282C"/>
          <w:sz w:val="20"/>
          <w:shd w:fill="FFFFFF" w:val="clear"/>
        </w:rPr>
        <w:t>Operating Activities</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The increase in cash provided by operating activities from the nine months ended September 30, 2024 to the nine months ended September 30, 2025 was primarily due to an increase in net income as adjusted for non-cash expenses, of $</w:t>
      </w:r>
      <w:r>
        <w:rPr>
          <w:rFonts w:ascii="Times New Roman;serif" w:hAnsi="Times New Roman;serif"/>
          <w:b w:val="false"/>
          <w:color w:val="000000"/>
          <w:sz w:val="20"/>
        </w:rPr>
        <w:t>46.0 million,</w:t>
      </w:r>
      <w:r>
        <w:rPr>
          <w:color w:val="000000"/>
          <w:shd w:fill="FFFFFF" w:val="clear"/>
        </w:rPr>
        <w:t xml:space="preserve"> </w:t>
      </w:r>
      <w:r>
        <w:rPr>
          <w:rFonts w:ascii="Times New Roman;serif" w:hAnsi="Times New Roman;serif"/>
          <w:b w:val="false"/>
          <w:color w:val="000000"/>
          <w:sz w:val="20"/>
          <w:shd w:fill="FFFFFF" w:val="clear"/>
        </w:rPr>
        <w:t>driven by continued growth in revenue, partially offset by cash paid for expenses to operate the growing business. Additionally, fluctuations in operating assets and liabilities resulted in a decrease of $29.9 million in cash provided by operating activities.</w:t>
      </w:r>
    </w:p>
    <w:p>
      <w:pPr>
        <w:pStyle w:val="TextBody"/>
        <w:bidi w:val="0"/>
        <w:spacing w:lineRule="auto" w:line="288" w:before="240" w:after="283"/>
        <w:jc w:val="left"/>
        <w:rPr/>
      </w:pPr>
      <w:r>
        <w:rPr>
          <w:rFonts w:ascii="Times New Roman;serif" w:hAnsi="Times New Roman;serif"/>
          <w:b w:val="false"/>
          <w:i/>
          <w:color w:val="1F282C"/>
          <w:sz w:val="20"/>
          <w:shd w:fill="FFFFFF" w:val="clear"/>
        </w:rPr>
        <w:t>Investing Activities</w:t>
      </w:r>
      <w:r>
        <w:rPr>
          <w:color w:val="1F282C"/>
          <w:shd w:fill="FFFFFF" w:val="clear"/>
        </w:rPr>
        <w:t xml:space="preserve"> </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The increase in cash used in investing activities from the nine months ended September 30, 2024 to the nine months ended September 30, 2025 was primarily due to a net cash inflow of $</w:t>
      </w:r>
      <w:r>
        <w:rPr>
          <w:rFonts w:ascii="Times New Roman;serif" w:hAnsi="Times New Roman;serif"/>
          <w:b w:val="false"/>
          <w:color w:val="000000"/>
          <w:sz w:val="20"/>
        </w:rPr>
        <w:t>51.0 million</w:t>
      </w:r>
      <w:r>
        <w:rPr>
          <w:color w:val="000000"/>
        </w:rPr>
        <w:t xml:space="preserve"> </w:t>
      </w:r>
      <w:r>
        <w:rPr>
          <w:rFonts w:ascii="Times New Roman;serif" w:hAnsi="Times New Roman;serif"/>
          <w:b w:val="false"/>
          <w:color w:val="000000"/>
          <w:sz w:val="20"/>
          <w:shd w:fill="FFFFFF" w:val="clear"/>
        </w:rPr>
        <w:t xml:space="preserve">from the maturities and purchases of investments during the nine months ended September 30, 2024. </w:t>
      </w:r>
    </w:p>
    <w:p>
      <w:pPr>
        <w:pStyle w:val="TextBody"/>
        <w:bidi w:val="0"/>
        <w:spacing w:lineRule="auto" w:line="288" w:before="240" w:after="283"/>
        <w:jc w:val="left"/>
        <w:rPr/>
      </w:pPr>
      <w:r>
        <w:rPr>
          <w:rFonts w:ascii="Times New Roman;serif" w:hAnsi="Times New Roman;serif"/>
          <w:b w:val="false"/>
          <w:i/>
          <w:color w:val="1F282C"/>
          <w:sz w:val="20"/>
          <w:shd w:fill="FFFFFF" w:val="clear"/>
        </w:rPr>
        <w:t>Financing Activities</w:t>
      </w:r>
      <w:r>
        <w:rPr>
          <w:color w:val="1F282C"/>
          <w:shd w:fill="FFFFFF" w:val="clear"/>
        </w:rPr>
        <w:t xml:space="preserve"> </w:t>
      </w:r>
    </w:p>
    <w:p>
      <w:pPr>
        <w:pStyle w:val="TextBody"/>
        <w:bidi w:val="0"/>
        <w:spacing w:lineRule="auto" w:line="288" w:before="120" w:after="283"/>
        <w:ind w:left="0" w:right="0" w:firstLine="720"/>
        <w:jc w:val="left"/>
        <w:rPr/>
      </w:pPr>
      <w:r>
        <w:rPr>
          <w:rFonts w:ascii="Times New Roman;serif" w:hAnsi="Times New Roman;serif"/>
          <w:b w:val="false"/>
          <w:color w:val="000000"/>
          <w:sz w:val="20"/>
          <w:shd w:fill="FFFFFF" w:val="clear"/>
        </w:rPr>
        <w:t>The increase in cash used in financing activities from the nine months ended September 30, 2024 to the nine months ended September 30, 2025 was primarily due to</w:t>
      </w:r>
      <w:r>
        <w:rPr>
          <w:color w:val="1F282C"/>
          <w:shd w:fill="FFFFFF" w:val="clear"/>
        </w:rPr>
        <w:t xml:space="preserve"> </w:t>
      </w:r>
      <w:r>
        <w:rPr>
          <w:rFonts w:ascii="Times New Roman;serif" w:hAnsi="Times New Roman;serif"/>
          <w:b w:val="false"/>
          <w:color w:val="1F282C"/>
          <w:sz w:val="20"/>
          <w:shd w:fill="FFFFFF" w:val="clear"/>
        </w:rPr>
        <w:t>an increase in cash used for share repurchases of $</w:t>
      </w:r>
      <w:r>
        <w:rPr>
          <w:rFonts w:ascii="Times New Roman;serif" w:hAnsi="Times New Roman;serif"/>
          <w:b w:val="false"/>
          <w:color w:val="000000"/>
          <w:sz w:val="20"/>
        </w:rPr>
        <w:t>52.0 million</w:t>
      </w:r>
      <w:r>
        <w:rPr>
          <w:color w:val="1F282C"/>
          <w:shd w:fill="FFFFFF" w:val="clear"/>
        </w:rPr>
        <w:t xml:space="preserve"> </w:t>
      </w:r>
      <w:r>
        <w:rPr>
          <w:rFonts w:ascii="Times New Roman;serif" w:hAnsi="Times New Roman;serif"/>
          <w:b w:val="false"/>
          <w:color w:val="1F282C"/>
          <w:sz w:val="20"/>
          <w:shd w:fill="FFFFFF" w:val="clear"/>
        </w:rPr>
        <w:t>year-over-year to continue to deliver shareholder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85495"/>
                <wp:effectExtent l="0" t="0" r="0" b="0"/>
                <wp:wrapNone/>
                <wp:docPr id="66" name="Frame2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66700" cy="257175"/>
                                                </a:xfrm>
                                                <a:prstGeom prst="rect">
                                                  <a:avLst/>
                                                </a:prstGeom>
                                              </pic:spPr>
                                            </pic:pic>
                                          </a:graphicData>
                                        </a:graphic>
                                      </wp:inline>
                                    </w:drawing>
                                  </w:r>
                                  <w:bookmarkStart w:id="43" w:name="i-23"/>
                                  <w:bookmarkEnd w:id="4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66700" cy="257175"/>
                                          </a:xfrm>
                                          <a:prstGeom prst="rect">
                                            <a:avLst/>
                                          </a:prstGeom>
                                        </pic:spPr>
                                      </pic:pic>
                                    </a:graphicData>
                                  </a:graphic>
                                </wp:inline>
                              </w:drawing>
                            </w:r>
                            <w:bookmarkStart w:id="44" w:name="i-23"/>
                            <w:bookmarkEnd w:id="4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Contractual and Commercial Commitment Summary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Our contractual obligations and commercial commitments as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September 30, 2025</w:t>
      </w:r>
      <w:r>
        <w:rPr>
          <w:color w:val="1F282C"/>
          <w:shd w:fill="FFFFFF" w:val="clear"/>
        </w:rPr>
        <w:t xml:space="preserve"> </w:t>
      </w:r>
      <w:r>
        <w:rPr>
          <w:rFonts w:ascii="Times New Roman;serif" w:hAnsi="Times New Roman;serif"/>
          <w:b w:val="false"/>
          <w:color w:val="000000"/>
          <w:sz w:val="20"/>
        </w:rPr>
        <w:t>are summarized below:</w:t>
      </w:r>
    </w:p>
    <w:tbl>
      <w:tblPr>
        <w:tblW w:w="10205" w:type="dxa"/>
        <w:jc w:val="left"/>
        <w:tblInd w:w="0" w:type="dxa"/>
        <w:tblLayout w:type="fixed"/>
        <w:tblCellMar>
          <w:top w:w="28" w:type="dxa"/>
          <w:left w:w="28" w:type="dxa"/>
          <w:bottom w:w="28" w:type="dxa"/>
          <w:right w:w="28" w:type="dxa"/>
        </w:tblCellMar>
      </w:tblPr>
      <w:tblGrid>
        <w:gridCol w:w="1471"/>
        <w:gridCol w:w="1277"/>
        <w:gridCol w:w="1274"/>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70"/>
        <w:gridCol w:w="463"/>
        <w:gridCol w:w="139"/>
        <w:gridCol w:w="109"/>
        <w:gridCol w:w="109"/>
        <w:gridCol w:w="109"/>
        <w:gridCol w:w="211"/>
        <w:gridCol w:w="721"/>
        <w:gridCol w:w="158"/>
      </w:tblGrid>
      <w:tr>
        <w:trPr/>
        <w:tc>
          <w:tcPr>
            <w:tcW w:w="14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4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including imputed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October 2025, we executed the sixth amendment to our lease agreement for our current headquarters located in Minneapolis, Minnesota where we lease approximately 198,000 square feet, effective October 1, 2025. </w:t>
      </w:r>
      <w:r>
        <w:rPr>
          <w:rFonts w:ascii="Times New Roman;serif" w:hAnsi="Times New Roman;serif"/>
          <w:b w:val="false"/>
          <w:color w:val="000000"/>
          <w:sz w:val="20"/>
          <w:shd w:fill="FFFFFF" w:val="clear"/>
        </w:rPr>
        <w:t xml:space="preserve">For more information, refer to </w:t>
      </w:r>
      <w:r>
        <w:rPr>
          <w:rFonts w:ascii="Times New Roman;serif" w:hAnsi="Times New Roman;serif"/>
          <w:b w:val="false"/>
          <w:i/>
          <w:color w:val="000000"/>
          <w:sz w:val="20"/>
          <w:shd w:fill="FFFFFF" w:val="clear"/>
        </w:rPr>
        <w:t>Note I</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in Part I of this Quarterly Report on Form 10-Q.</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Future Capital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significantly from those now planned and will depend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to develop and implement new products and applications, if 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and marketing resources needed to further penetrate our market and gain acceptance of new products and applications that we may develop;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expansion of our operations in the U.S. and internationally;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response of competitors to our products and applications;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use of capital for acquisitions.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cash flows from our operations will be sufficient to meet our working capital and capital expenditure requirements for at least the next twelve months.</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Off-Balance Sheet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Foreign Currency Exchange and Inflation Rate Changes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For information regarding the effect of foreign currency exchange and inflation rate changes, refer to the section entitled “</w:t>
      </w:r>
      <w:r>
        <w:rPr>
          <w:rFonts w:ascii="Times New Roman;serif" w:hAnsi="Times New Roman;serif"/>
          <w:b w:val="false"/>
          <w:i/>
          <w:color w:val="000000"/>
          <w:sz w:val="20"/>
        </w:rPr>
        <w:t>Foreign Currency Exchange Risk</w:t>
      </w:r>
      <w:r>
        <w:rPr>
          <w:rFonts w:ascii="Times New Roman;serif" w:hAnsi="Times New Roman;serif"/>
          <w:b w:val="false"/>
          <w:color w:val="000000"/>
          <w:sz w:val="20"/>
        </w:rPr>
        <w:t>,” included in Part I,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Interest Rate Sensitivity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objectives of our investment activities are to preserve principal, provide liquidity, and maximize income consistent with minimizing risk of material loss. We are exposed to market risk related to changes in interest rates. We may choose based on our investment strategy to hold cash, cash equivalents, and investments in interest-bearing or non-interest-bearing accounts. Based upon a sensitivity model, an immediate hypothetical 50-basis point change in interest rates at September 30, 2025, based upon interest-bearing balances at September 30, 2025, would have resulted in a $0.1 million impact on our investment income included in net income for the three months ended September 30, 2025. We do not enter into investments for trading or speculative purposes. We did not have any variable interest rate outstanding debt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85495"/>
                <wp:effectExtent l="0" t="0" r="0" b="0"/>
                <wp:wrapNone/>
                <wp:docPr id="69" name="Frame2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66700" cy="257175"/>
                                                </a:xfrm>
                                                <a:prstGeom prst="rect">
                                                  <a:avLst/>
                                                </a:prstGeom>
                                              </pic:spPr>
                                            </pic:pic>
                                          </a:graphicData>
                                        </a:graphic>
                                      </wp:inline>
                                    </w:drawing>
                                  </w:r>
                                  <w:bookmarkStart w:id="45" w:name="i-24"/>
                                  <w:bookmarkEnd w:id="4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66700" cy="257175"/>
                                          </a:xfrm>
                                          <a:prstGeom prst="rect">
                                            <a:avLst/>
                                          </a:prstGeom>
                                        </pic:spPr>
                                      </pic:pic>
                                    </a:graphicData>
                                  </a:graphic>
                                </wp:inline>
                              </w:drawing>
                            </w:r>
                            <w:bookmarkStart w:id="46" w:name="i-24"/>
                            <w:bookmarkEnd w:id="4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pPr>
      <w:r>
        <w:rPr>
          <w:rFonts w:ascii="Times New Roman;serif" w:hAnsi="Times New Roman;serif"/>
          <w:b/>
          <w:i/>
          <w:color w:val="1F282C"/>
          <w:sz w:val="20"/>
        </w:rPr>
        <w:t xml:space="preserve">Three Months Ended </w:t>
      </w:r>
      <w:r>
        <w:rPr>
          <w:rFonts w:ascii="Times New Roman;serif" w:hAnsi="Times New Roman;serif"/>
          <w:b/>
          <w:i/>
          <w:color w:val="000000"/>
          <w:sz w:val="20"/>
        </w:rPr>
        <w:t>September 30, 2025</w:t>
      </w:r>
      <w:r>
        <w:rPr>
          <w:color w:val="1F282C"/>
        </w:rPr>
        <w:t xml:space="preserve"> </w:t>
      </w:r>
      <w:r>
        <w:rPr>
          <w:rFonts w:ascii="Times New Roman;serif" w:hAnsi="Times New Roman;serif"/>
          <w:b/>
          <w:i/>
          <w:color w:val="1F282C"/>
          <w:sz w:val="20"/>
        </w:rPr>
        <w:t xml:space="preserve">Compared to Three Months Ended </w:t>
      </w:r>
      <w:r>
        <w:rPr>
          <w:rFonts w:ascii="Times New Roman;serif" w:hAnsi="Times New Roman;serif"/>
          <w:b/>
          <w:i/>
          <w:color w:val="000000"/>
          <w:sz w:val="20"/>
        </w:rPr>
        <w:t>September 30,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26"/>
        <w:gridCol w:w="699"/>
        <w:gridCol w:w="696"/>
        <w:gridCol w:w="211"/>
        <w:gridCol w:w="826"/>
        <w:gridCol w:w="109"/>
        <w:gridCol w:w="109"/>
        <w:gridCol w:w="109"/>
        <w:gridCol w:w="109"/>
        <w:gridCol w:w="267"/>
        <w:gridCol w:w="245"/>
        <w:gridCol w:w="578"/>
        <w:gridCol w:w="109"/>
        <w:gridCol w:w="109"/>
        <w:gridCol w:w="109"/>
        <w:gridCol w:w="211"/>
        <w:gridCol w:w="826"/>
        <w:gridCol w:w="109"/>
        <w:gridCol w:w="109"/>
        <w:gridCol w:w="109"/>
        <w:gridCol w:w="109"/>
        <w:gridCol w:w="267"/>
        <w:gridCol w:w="245"/>
        <w:gridCol w:w="578"/>
        <w:gridCol w:w="109"/>
        <w:gridCol w:w="109"/>
        <w:gridCol w:w="109"/>
        <w:gridCol w:w="211"/>
        <w:gridCol w:w="721"/>
        <w:gridCol w:w="109"/>
        <w:gridCol w:w="109"/>
        <w:gridCol w:w="109"/>
        <w:gridCol w:w="109"/>
        <w:gridCol w:w="206"/>
        <w:gridCol w:w="209"/>
        <w:gridCol w:w="321"/>
      </w:tblGrid>
      <w:tr>
        <w:trPr/>
        <w:tc>
          <w:tcPr>
            <w:tcW w:w="9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(1) Amounts in column may not foot due to rounding</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i/>
          <w:color w:val="1F282C"/>
          <w:sz w:val="20"/>
        </w:rPr>
        <w:t>Revenues</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Revenues increased for the 99th consecutive quarter. The increase in revenue period-over-period resulted from an increase in recurring revenue customers that was driven primarily by business acquisitions and continued business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ARP</w:t>
      </w:r>
      <w:r>
        <w:rPr>
          <w:rFonts w:ascii="Times New Roman;serif" w:hAnsi="Times New Roman;serif"/>
          <w:b w:val="false"/>
          <w:color w:val="000000"/>
          <w:sz w:val="20"/>
          <w:shd w:fill="FFFFFF" w:val="clear"/>
        </w:rPr>
        <w:t>U decreased 3% to approximately $13,300 for the three months ended September 30, 2025. This was primarily attributable to the addition of 3P r</w:t>
      </w:r>
      <w:r>
        <w:rPr>
          <w:rFonts w:ascii="Times New Roman;serif" w:hAnsi="Times New Roman;serif"/>
          <w:b w:val="false"/>
          <w:color w:val="000000"/>
          <w:sz w:val="20"/>
        </w:rPr>
        <w:t>ecurring revenue customers, partially offset by the increased usage of our products by our 1P recurring revenue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recurring revenue customers increased 22% to approximately 54,950 at September 30, 2025. Of the total recurring revenue customers, a</w:t>
      </w:r>
      <w:r>
        <w:rPr>
          <w:rFonts w:ascii="Times New Roman;serif" w:hAnsi="Times New Roman;serif"/>
          <w:b w:val="false"/>
          <w:color w:val="1F282C"/>
          <w:sz w:val="20"/>
        </w:rPr>
        <w:t xml:space="preserve">pproximately </w:t>
      </w:r>
      <w:r>
        <w:rPr>
          <w:rFonts w:ascii="Times New Roman;serif" w:hAnsi="Times New Roman;serif"/>
          <w:b w:val="false"/>
          <w:color w:val="000000"/>
          <w:sz w:val="20"/>
        </w:rPr>
        <w:t>46,900</w:t>
      </w:r>
      <w:r>
        <w:rPr>
          <w:color w:val="1F282C"/>
        </w:rPr>
        <w:t xml:space="preserve"> </w:t>
      </w:r>
      <w:r>
        <w:rPr>
          <w:rFonts w:ascii="Times New Roman;serif" w:hAnsi="Times New Roman;serif"/>
          <w:b w:val="false"/>
          <w:color w:val="1F282C"/>
          <w:sz w:val="20"/>
        </w:rPr>
        <w:t>are 1P recurring revenue customers and the remainder are 3P recurring revenue customers. The increase in recurring revenue customers is primarily due to recent acquisitions of 3P recurring revenue customers, which have an inconsequential impact on recurring revenue. New recurring revenue customers do not have a meaningful contribution to revenue at the beginning of their tenure, and therefore a majority of the increased revenue was generated from existing recurring revenue customers.</w:t>
      </w:r>
    </w:p>
    <w:p>
      <w:pPr>
        <w:pStyle w:val="TextBody"/>
        <w:bidi w:val="0"/>
        <w:spacing w:lineRule="auto" w:line="288" w:before="120" w:after="283"/>
        <w:ind w:left="0" w:right="0" w:hanging="360"/>
        <w:jc w:val="left"/>
        <w:rPr/>
      </w:pPr>
      <w:r>
        <w:rPr>
          <w:color w:val="1F282C"/>
        </w:rPr>
        <w:t>•</w:t>
      </w:r>
      <w:r>
        <w:rPr>
          <w:rFonts w:ascii="Times New Roman;serif" w:hAnsi="Times New Roman;serif"/>
          <w:b w:val="false"/>
          <w:color w:val="1F282C"/>
          <w:sz w:val="20"/>
        </w:rPr>
        <w:t xml:space="preserve">Approximately </w:t>
      </w:r>
      <w:r>
        <w:rPr>
          <w:rFonts w:ascii="Times New Roman;serif" w:hAnsi="Times New Roman;serif"/>
          <w:b w:val="false"/>
          <w:color w:val="000000"/>
          <w:sz w:val="20"/>
        </w:rPr>
        <w:t>200</w:t>
      </w:r>
      <w:r>
        <w:rPr>
          <w:color w:val="1F282C"/>
        </w:rPr>
        <w:t xml:space="preserve"> </w:t>
      </w:r>
      <w:r>
        <w:rPr>
          <w:rFonts w:ascii="Times New Roman;serif" w:hAnsi="Times New Roman;serif"/>
          <w:b w:val="false"/>
          <w:color w:val="1F282C"/>
          <w:sz w:val="20"/>
        </w:rPr>
        <w:t xml:space="preserve">1P recurring revenue customers were added in </w:t>
      </w:r>
      <w:r>
        <w:rPr>
          <w:rFonts w:ascii="Times New Roman;serif" w:hAnsi="Times New Roman;serif"/>
          <w:b w:val="false"/>
          <w:color w:val="000000"/>
          <w:sz w:val="20"/>
        </w:rPr>
        <w:t>July 2024</w:t>
      </w:r>
      <w:r>
        <w:rPr>
          <w:color w:val="1F282C"/>
        </w:rPr>
        <w:t xml:space="preserve"> </w:t>
      </w:r>
      <w:r>
        <w:rPr>
          <w:rFonts w:ascii="Times New Roman;serif" w:hAnsi="Times New Roman;serif"/>
          <w:b w:val="false"/>
          <w:color w:val="1F282C"/>
          <w:sz w:val="20"/>
        </w:rPr>
        <w:t xml:space="preserve">due to the acquisition of the existing customer base of </w:t>
      </w:r>
      <w:r>
        <w:rPr>
          <w:rFonts w:ascii="Times New Roman;serif" w:hAnsi="Times New Roman;serif"/>
          <w:b w:val="false"/>
          <w:color w:val="000000"/>
          <w:sz w:val="20"/>
        </w:rPr>
        <w:t>SupplyPike</w:t>
      </w:r>
      <w:r>
        <w:rPr>
          <w:rFonts w:ascii="Times New Roman;serif" w:hAnsi="Times New Roman;serif"/>
          <w:b w:val="false"/>
          <w:color w:val="1F282C"/>
          <w:sz w:val="20"/>
        </w:rPr>
        <w:t xml:space="preserve">. Additionally, approximately </w:t>
      </w:r>
      <w:r>
        <w:rPr>
          <w:rFonts w:ascii="Times New Roman;serif" w:hAnsi="Times New Roman;serif"/>
          <w:b w:val="false"/>
          <w:color w:val="000000"/>
          <w:sz w:val="20"/>
        </w:rPr>
        <w:t xml:space="preserve">8,500 </w:t>
      </w:r>
      <w:r>
        <w:rPr>
          <w:rFonts w:ascii="Times New Roman;serif" w:hAnsi="Times New Roman;serif"/>
          <w:b w:val="false"/>
          <w:color w:val="1F282C"/>
          <w:sz w:val="20"/>
        </w:rPr>
        <w:t xml:space="preserve">recurring revenue customers were added in </w:t>
      </w:r>
      <w:r>
        <w:rPr>
          <w:rFonts w:ascii="Times New Roman;serif" w:hAnsi="Times New Roman;serif"/>
          <w:b w:val="false"/>
          <w:color w:val="000000"/>
          <w:sz w:val="20"/>
        </w:rPr>
        <w:t>February 2025</w:t>
      </w:r>
      <w:r>
        <w:rPr>
          <w:color w:val="1F282C"/>
        </w:rPr>
        <w:t xml:space="preserve"> </w:t>
      </w:r>
      <w:r>
        <w:rPr>
          <w:rFonts w:ascii="Times New Roman;serif" w:hAnsi="Times New Roman;serif"/>
          <w:b w:val="false"/>
          <w:color w:val="1F282C"/>
          <w:sz w:val="20"/>
        </w:rPr>
        <w:t xml:space="preserve">due to the acquisition of the existing customer base of </w:t>
      </w:r>
      <w:r>
        <w:rPr>
          <w:rFonts w:ascii="Times New Roman;serif" w:hAnsi="Times New Roman;serif"/>
          <w:b w:val="false"/>
          <w:color w:val="000000"/>
          <w:sz w:val="20"/>
        </w:rPr>
        <w:t>Carbon6</w:t>
      </w:r>
      <w:r>
        <w:rPr>
          <w:rFonts w:ascii="Times New Roman;serif" w:hAnsi="Times New Roman;serif"/>
          <w:b w:val="false"/>
          <w:color w:val="1F282C"/>
          <w:sz w:val="20"/>
        </w:rPr>
        <w:t xml:space="preserve">, of which approximately </w:t>
      </w:r>
      <w:r>
        <w:rPr>
          <w:rFonts w:ascii="Times New Roman;serif" w:hAnsi="Times New Roman;serif"/>
          <w:b w:val="false"/>
          <w:color w:val="000000"/>
          <w:sz w:val="20"/>
        </w:rPr>
        <w:t>300</w:t>
      </w:r>
      <w:r>
        <w:rPr>
          <w:color w:val="1F282C"/>
        </w:rPr>
        <w:t xml:space="preserve"> </w:t>
      </w:r>
      <w:r>
        <w:rPr>
          <w:rFonts w:ascii="Times New Roman;serif" w:hAnsi="Times New Roman;serif"/>
          <w:b w:val="false"/>
          <w:color w:val="1F282C"/>
          <w:sz w:val="20"/>
        </w:rPr>
        <w:t>are 1P recurring revenue customers and the remainder are 3P recurring revenue customers.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Recurring revenues increased 18% to $182.0 million for the three months ended September 30, 2025</w:t>
      </w:r>
      <w:r>
        <w:rPr>
          <w:color w:val="1F282C"/>
        </w:rPr>
        <w:t xml:space="preserve"> </w:t>
      </w:r>
      <w:r>
        <w:rPr>
          <w:rFonts w:ascii="Times New Roman;serif" w:hAnsi="Times New Roman;serif"/>
          <w:b w:val="false"/>
          <w:color w:val="1F282C"/>
          <w:sz w:val="20"/>
        </w:rPr>
        <w:t xml:space="preserve">compared to the three months ended </w:t>
      </w:r>
      <w:r>
        <w:rPr>
          <w:rFonts w:ascii="Times New Roman;serif" w:hAnsi="Times New Roman;serif"/>
          <w:b w:val="false"/>
          <w:color w:val="000000"/>
          <w:sz w:val="20"/>
        </w:rPr>
        <w:t>September 30, 2024</w:t>
      </w:r>
      <w:r>
        <w:rPr>
          <w:rFonts w:ascii="Times New Roman;serif" w:hAnsi="Times New Roman;serif"/>
          <w:b w:val="false"/>
          <w:color w:val="1F282C"/>
          <w:sz w:val="20"/>
        </w:rPr>
        <w:t xml:space="preserve">. Recurring revenues </w:t>
      </w:r>
      <w:r>
        <w:rPr>
          <w:rFonts w:ascii="Times New Roman;serif" w:hAnsi="Times New Roman;serif"/>
          <w:b w:val="false"/>
          <w:color w:val="000000"/>
          <w:sz w:val="20"/>
        </w:rPr>
        <w:t>accounted for 96% and 94% of our total revenues for the three months ended September 30, 2025</w:t>
      </w:r>
      <w:r>
        <w:rPr>
          <w:color w:val="1F282C"/>
        </w:rPr>
        <w:t xml:space="preserve"> </w:t>
      </w:r>
      <w:r>
        <w:rPr>
          <w:rFonts w:ascii="Times New Roman;serif" w:hAnsi="Times New Roman;serif"/>
          <w:b w:val="false"/>
          <w:color w:val="1F282C"/>
          <w:sz w:val="20"/>
        </w:rPr>
        <w:t>and</w:t>
      </w:r>
      <w:r>
        <w:rPr>
          <w:color w:val="000000"/>
        </w:rPr>
        <w:t xml:space="preserve"> </w:t>
      </w:r>
      <w:r>
        <w:rPr>
          <w:rFonts w:ascii="Times New Roman;serif" w:hAnsi="Times New Roman;serif"/>
          <w:b w:val="false"/>
          <w:color w:val="000000"/>
          <w:sz w:val="20"/>
        </w:rPr>
        <w:t>2024, respectively. We anticipate that the number of recurring revenue customers and ARPU will increase as we execute our growth strategy focused on further penetration of our market.</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Cost of Revenues -</w:t>
      </w:r>
      <w:r>
        <w:rPr>
          <w:color w:val="1F282C"/>
          <w:shd w:fill="FFFFFF" w:val="clear"/>
        </w:rPr>
        <w:t xml:space="preserve"> </w:t>
      </w:r>
      <w:r>
        <w:rPr>
          <w:rFonts w:ascii="Times New Roman;serif" w:hAnsi="Times New Roman;serif"/>
          <w:b w:val="false"/>
          <w:color w:val="000000"/>
          <w:sz w:val="20"/>
          <w:shd w:fill="FFFFFF" w:val="clear"/>
        </w:rPr>
        <w:t>The increase in cost of revenues was primarily due to increased headcount, which resulted in an increase of $2.3 million in personnel-related costs and an increase in software subscriptions of $1.0 million due to general growth of our business. Additionally, there was a $1.8 million increase in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85495"/>
                <wp:effectExtent l="0" t="0" r="0" b="0"/>
                <wp:wrapNone/>
                <wp:docPr id="72" name="Frame2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66700" cy="257175"/>
                                                </a:xfrm>
                                                <a:prstGeom prst="rect">
                                                  <a:avLst/>
                                                </a:prstGeom>
                                              </pic:spPr>
                                            </pic:pic>
                                          </a:graphicData>
                                        </a:graphic>
                                      </wp:inline>
                                    </w:drawing>
                                  </w:r>
                                  <w:bookmarkStart w:id="47" w:name="i-25"/>
                                  <w:bookmarkEnd w:id="4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66700" cy="257175"/>
                                          </a:xfrm>
                                          <a:prstGeom prst="rect">
                                            <a:avLst/>
                                          </a:prstGeom>
                                        </pic:spPr>
                                      </pic:pic>
                                    </a:graphicData>
                                  </a:graphic>
                                </wp:inline>
                              </w:drawing>
                            </w:r>
                            <w:bookmarkStart w:id="48" w:name="i-25"/>
                            <w:bookmarkEnd w:id="4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Sales and Marketing Expenses -</w:t>
      </w:r>
      <w:r>
        <w:rPr>
          <w:color w:val="1F282C"/>
          <w:shd w:fill="FFFFFF" w:val="clear"/>
        </w:rPr>
        <w:t xml:space="preserve"> </w:t>
      </w:r>
      <w:r>
        <w:rPr>
          <w:rFonts w:ascii="Times New Roman;serif" w:hAnsi="Times New Roman;serif"/>
          <w:b w:val="false"/>
          <w:color w:val="000000"/>
          <w:sz w:val="20"/>
          <w:shd w:fill="FFFFFF" w:val="clear"/>
        </w:rPr>
        <w:t xml:space="preserve">The increase in sales and marketing expense was primarily due to increased headcount, which resulted in an increase of $2.5 million in personnel-related costs. Additionally, partner and reseller fees increased by $1.1 million, primarily driven by the acquisition of </w:t>
      </w:r>
      <w:r>
        <w:rPr>
          <w:rFonts w:ascii="Times New Roman;serif" w:hAnsi="Times New Roman;serif"/>
          <w:b w:val="false"/>
          <w:color w:val="000000"/>
          <w:sz w:val="20"/>
        </w:rPr>
        <w:t>Carbon6.</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Research and Development Expenses -</w:t>
      </w:r>
      <w:r>
        <w:rPr>
          <w:color w:val="000000"/>
          <w:shd w:fill="FFFFFF" w:val="clear"/>
        </w:rPr>
        <w:t xml:space="preserve"> </w:t>
      </w:r>
      <w:r>
        <w:rPr>
          <w:rFonts w:ascii="Times New Roman;serif" w:hAnsi="Times New Roman;serif"/>
          <w:b w:val="false"/>
          <w:color w:val="000000"/>
          <w:sz w:val="20"/>
          <w:shd w:fill="FFFFFF" w:val="clear"/>
        </w:rPr>
        <w:t>The increase in research and development expense was primarily due to increased headcount, which resulted in an increase of $1.2 million in personnel-related costs.</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General and Administrative Expenses -</w:t>
      </w:r>
      <w:r>
        <w:rPr>
          <w:color w:val="1F282C"/>
          <w:shd w:fill="FFFFFF" w:val="clear"/>
        </w:rPr>
        <w:t xml:space="preserve"> </w:t>
      </w:r>
      <w:r>
        <w:rPr>
          <w:rFonts w:ascii="Times New Roman;serif" w:hAnsi="Times New Roman;serif"/>
          <w:b w:val="false"/>
          <w:color w:val="000000"/>
          <w:sz w:val="20"/>
          <w:shd w:fill="FFFFFF" w:val="clear"/>
        </w:rPr>
        <w:t>The increase in general and administrative expense was primarily due to increased headcount and third-party personnel, which resulted in an increase of $3.6 million in personnel-related costs. Additionally, there was an increase in stock-based compensation expense of $0.9 million.</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 xml:space="preserve">Amortization of Intangible Assets - </w:t>
      </w:r>
      <w:r>
        <w:rPr>
          <w:rFonts w:ascii="Times New Roman;serif" w:hAnsi="Times New Roman;serif"/>
          <w:b w:val="false"/>
          <w:color w:val="1F282C"/>
          <w:sz w:val="20"/>
          <w:shd w:fill="FFFFFF" w:val="clear"/>
        </w:rPr>
        <w:t>The increase in amortization of intangible assets was driven by acquired intangible assets related to recent business combinations.</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Other Income, Net -</w:t>
      </w:r>
      <w:r>
        <w:rPr>
          <w:color w:val="1F282C"/>
          <w:shd w:fill="FFFFFF" w:val="clear"/>
        </w:rPr>
        <w:t xml:space="preserve"> </w:t>
      </w:r>
      <w:r>
        <w:rPr>
          <w:rFonts w:ascii="Times New Roman;serif" w:hAnsi="Times New Roman;serif"/>
          <w:b w:val="false"/>
          <w:color w:val="1F282C"/>
          <w:sz w:val="20"/>
          <w:shd w:fill="FFFFFF" w:val="clear"/>
        </w:rPr>
        <w:t>The decrease in other income, net was primarily due to a decrease in investment income.</w:t>
      </w:r>
    </w:p>
    <w:p>
      <w:pPr>
        <w:pStyle w:val="TextBody"/>
        <w:bidi w:val="0"/>
        <w:spacing w:lineRule="auto" w:line="288" w:before="240" w:after="283"/>
        <w:ind w:left="0" w:right="0" w:firstLine="720"/>
        <w:jc w:val="left"/>
        <w:rPr/>
      </w:pPr>
      <w:r>
        <w:rPr>
          <w:rFonts w:ascii="Times New Roman;serif" w:hAnsi="Times New Roman;serif"/>
          <w:b/>
          <w:i/>
          <w:color w:val="1F282C"/>
          <w:sz w:val="20"/>
        </w:rPr>
        <w:t>Income Tax Expense -</w:t>
      </w:r>
      <w:r>
        <w:rPr>
          <w:color w:val="1F282C"/>
        </w:rPr>
        <w:t xml:space="preserve"> </w:t>
      </w:r>
      <w:r>
        <w:rPr>
          <w:rFonts w:ascii="Times New Roman;serif" w:hAnsi="Times New Roman;serif"/>
          <w:b w:val="false"/>
          <w:color w:val="1F282C"/>
          <w:sz w:val="20"/>
        </w:rPr>
        <w:t xml:space="preserve">The increase in income tax expense was primarily driven by the increase in pre-tax book income and reduction in tax benefits recognized from equity award exercise and settlement activity due to the fluctuations in share price. The increase was partially offset with increased benefit for Research &amp; Development tax credits. </w:t>
      </w:r>
    </w:p>
    <w:p>
      <w:pPr>
        <w:pStyle w:val="TextBody"/>
        <w:bidi w:val="0"/>
        <w:spacing w:lineRule="auto" w:line="288" w:before="240" w:after="283"/>
        <w:ind w:left="0" w:right="0" w:firstLine="720"/>
        <w:jc w:val="left"/>
        <w:rPr/>
      </w:pPr>
      <w:r>
        <w:rPr>
          <w:rFonts w:ascii="Times New Roman;serif" w:hAnsi="Times New Roman;serif"/>
          <w:b/>
          <w:i/>
          <w:color w:val="1F282C"/>
          <w:sz w:val="20"/>
        </w:rPr>
        <w:t xml:space="preserve">Adjusted EBITDA - </w:t>
      </w:r>
      <w:r>
        <w:rPr>
          <w:rFonts w:ascii="Times New Roman;serif" w:hAnsi="Times New Roman;serif"/>
          <w:b w:val="false"/>
          <w:color w:val="000000"/>
          <w:sz w:val="20"/>
        </w:rPr>
        <w:t xml:space="preserve">Adjusted EBITDA consists of net income adjusted for income tax expense, depreciation and amortization expense, stock-based compensation expense, realized gain or loss from investments held and foreign currency impact on cash and investments, investment income, and other adjustments as necessary for a fair presentation. Other adjustments for the three months ended September 30, 2025 included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expense impact from disposals of other equipment</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Net income is the comparable GAAP measure of financial performance.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9893" w:type="dxa"/>
        <w:jc w:val="left"/>
        <w:tblInd w:w="0" w:type="dxa"/>
        <w:tblLayout w:type="fixed"/>
        <w:tblCellMar>
          <w:top w:w="28" w:type="dxa"/>
          <w:left w:w="28" w:type="dxa"/>
          <w:bottom w:w="28" w:type="dxa"/>
          <w:right w:w="28" w:type="dxa"/>
        </w:tblCellMar>
      </w:tblPr>
      <w:tblGrid>
        <w:gridCol w:w="2691"/>
        <w:gridCol w:w="2372"/>
        <w:gridCol w:w="2376"/>
        <w:gridCol w:w="211"/>
        <w:gridCol w:w="721"/>
        <w:gridCol w:w="109"/>
        <w:gridCol w:w="109"/>
        <w:gridCol w:w="109"/>
        <w:gridCol w:w="109"/>
        <w:gridCol w:w="211"/>
        <w:gridCol w:w="721"/>
        <w:gridCol w:w="154"/>
      </w:tblGrid>
      <w:tr>
        <w:trPr/>
        <w:tc>
          <w:tcPr>
            <w:tcW w:w="269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i/>
          <w:color w:val="1F282C"/>
          <w:sz w:val="20"/>
        </w:rPr>
        <w:t>Adjusted EBITDA Margin -</w:t>
      </w:r>
      <w:r>
        <w:rPr>
          <w:color w:val="000000"/>
        </w:rPr>
        <w:t xml:space="preserve"> </w:t>
      </w:r>
      <w:r>
        <w:rPr>
          <w:rFonts w:ascii="Times New Roman;serif" w:hAnsi="Times New Roman;serif"/>
          <w:b w:val="false"/>
          <w:color w:val="000000"/>
          <w:sz w:val="20"/>
        </w:rPr>
        <w:t>Adjusted EBITDA Margin</w:t>
      </w:r>
      <w:r>
        <w:rPr>
          <w:color w:val="1F282C"/>
        </w:rPr>
        <w:t xml:space="preserve"> </w:t>
      </w:r>
      <w:r>
        <w:rPr>
          <w:rFonts w:ascii="Times New Roman;serif" w:hAnsi="Times New Roman;serif"/>
          <w:b w:val="false"/>
          <w:color w:val="000000"/>
          <w:sz w:val="20"/>
        </w:rPr>
        <w:t xml:space="preserve">consists of Adjusted EBITDA divided by revenue. Margin, the comparable GAAP measure of financial performance, consists of net income divided by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85495"/>
                <wp:effectExtent l="0" t="0" r="0" b="0"/>
                <wp:wrapNone/>
                <wp:docPr id="75" name="Frame2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66700" cy="257175"/>
                                                </a:xfrm>
                                                <a:prstGeom prst="rect">
                                                  <a:avLst/>
                                                </a:prstGeom>
                                              </pic:spPr>
                                            </pic:pic>
                                          </a:graphicData>
                                        </a:graphic>
                                      </wp:inline>
                                    </w:drawing>
                                  </w:r>
                                  <w:bookmarkStart w:id="49" w:name="i-26"/>
                                  <w:bookmarkEnd w:id="4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66700" cy="257175"/>
                                          </a:xfrm>
                                          <a:prstGeom prst="rect">
                                            <a:avLst/>
                                          </a:prstGeom>
                                        </pic:spPr>
                                      </pic:pic>
                                    </a:graphicData>
                                  </a:graphic>
                                </wp:inline>
                              </w:drawing>
                            </w:r>
                            <w:bookmarkStart w:id="50" w:name="i-26"/>
                            <w:bookmarkEnd w:id="5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Margin to Adjusted EBITDA Margin:</w:t>
      </w:r>
    </w:p>
    <w:tbl>
      <w:tblPr>
        <w:tblW w:w="6930" w:type="dxa"/>
        <w:jc w:val="left"/>
        <w:tblInd w:w="0" w:type="dxa"/>
        <w:tblLayout w:type="fixed"/>
        <w:tblCellMar>
          <w:top w:w="28" w:type="dxa"/>
          <w:left w:w="28" w:type="dxa"/>
          <w:bottom w:w="28" w:type="dxa"/>
          <w:right w:w="28" w:type="dxa"/>
        </w:tblCellMar>
      </w:tblPr>
      <w:tblGrid>
        <w:gridCol w:w="1641"/>
        <w:gridCol w:w="1442"/>
        <w:gridCol w:w="1447"/>
        <w:gridCol w:w="224"/>
        <w:gridCol w:w="224"/>
        <w:gridCol w:w="557"/>
        <w:gridCol w:w="115"/>
        <w:gridCol w:w="115"/>
        <w:gridCol w:w="115"/>
        <w:gridCol w:w="224"/>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Margin and Adjusted EBITDA Margin)</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163,686</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48,401</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pPr>
      <w:r>
        <w:rPr>
          <w:rFonts w:ascii="Times New Roman;serif" w:hAnsi="Times New Roman;serif"/>
          <w:b/>
          <w:i/>
          <w:color w:val="1F282C"/>
          <w:sz w:val="20"/>
        </w:rPr>
        <w:t xml:space="preserve">Non-GAAP Income per Share - </w:t>
      </w:r>
      <w:r>
        <w:rPr>
          <w:rFonts w:ascii="Times New Roman;serif" w:hAnsi="Times New Roman;serif"/>
          <w:b w:val="false"/>
          <w:color w:val="000000"/>
          <w:sz w:val="20"/>
        </w:rPr>
        <w:t>Non-GAAP income per share consists of net income adjusted for stock-based compensation expense, amortization expense related to intangible assets, realized gain or loss from investments held and foreign currency impact on cash and investments, other adjustments as necessary for a fair presentation, including for the three months ended September 30, 2025 the expense impact from disposals of other equipment, and the corresponding tax impacts of the adjustments to net income, divided by the weighted average number of shares of common and diluted stock outstanding during each period. Net income per share, the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per share to non-GAAP income per share:</w:t>
      </w:r>
    </w:p>
    <w:tbl>
      <w:tblPr>
        <w:tblW w:w="9894" w:type="dxa"/>
        <w:jc w:val="left"/>
        <w:tblInd w:w="0" w:type="dxa"/>
        <w:tblLayout w:type="fixed"/>
        <w:tblCellMar>
          <w:top w:w="28" w:type="dxa"/>
          <w:left w:w="28" w:type="dxa"/>
          <w:bottom w:w="28" w:type="dxa"/>
          <w:right w:w="28" w:type="dxa"/>
        </w:tblCellMar>
      </w:tblPr>
      <w:tblGrid>
        <w:gridCol w:w="2695"/>
        <w:gridCol w:w="2369"/>
        <w:gridCol w:w="2376"/>
        <w:gridCol w:w="211"/>
        <w:gridCol w:w="721"/>
        <w:gridCol w:w="109"/>
        <w:gridCol w:w="109"/>
        <w:gridCol w:w="109"/>
        <w:gridCol w:w="109"/>
        <w:gridCol w:w="211"/>
        <w:gridCol w:w="721"/>
        <w:gridCol w:w="154"/>
      </w:tblGrid>
      <w:tr>
        <w:trPr/>
        <w:tc>
          <w:tcPr>
            <w:tcW w:w="269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r>
      <w:tr>
        <w:trPr/>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and non-GAAP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85495"/>
                <wp:effectExtent l="0" t="0" r="0" b="0"/>
                <wp:wrapNone/>
                <wp:docPr id="78" name="Frame2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66700" cy="257175"/>
                                                </a:xfrm>
                                                <a:prstGeom prst="rect">
                                                  <a:avLst/>
                                                </a:prstGeom>
                                              </pic:spPr>
                                            </pic:pic>
                                          </a:graphicData>
                                        </a:graphic>
                                      </wp:inline>
                                    </w:drawing>
                                  </w:r>
                                  <w:bookmarkStart w:id="51" w:name="i-27"/>
                                  <w:bookmarkEnd w:id="5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66700" cy="257175"/>
                                          </a:xfrm>
                                          <a:prstGeom prst="rect">
                                            <a:avLst/>
                                          </a:prstGeom>
                                        </pic:spPr>
                                      </pic:pic>
                                    </a:graphicData>
                                  </a:graphic>
                                </wp:inline>
                              </w:drawing>
                            </w:r>
                            <w:bookmarkStart w:id="52" w:name="i-27"/>
                            <w:bookmarkEnd w:id="5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Nine Months Ended September 30, 2025</w:t>
      </w:r>
      <w:r>
        <w:rPr>
          <w:color w:val="1F282C"/>
        </w:rPr>
        <w:t xml:space="preserve"> </w:t>
      </w:r>
      <w:r>
        <w:rPr>
          <w:rFonts w:ascii="Times New Roman;serif" w:hAnsi="Times New Roman;serif"/>
          <w:b/>
          <w:i/>
          <w:color w:val="1F282C"/>
          <w:sz w:val="20"/>
        </w:rPr>
        <w:t xml:space="preserve">Compared to </w:t>
      </w:r>
      <w:r>
        <w:rPr>
          <w:rFonts w:ascii="Times New Roman;serif" w:hAnsi="Times New Roman;serif"/>
          <w:b/>
          <w:i/>
          <w:color w:val="000000"/>
          <w:sz w:val="20"/>
        </w:rPr>
        <w:t>Nine Months Ended September 30,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26"/>
        <w:gridCol w:w="699"/>
        <w:gridCol w:w="696"/>
        <w:gridCol w:w="211"/>
        <w:gridCol w:w="826"/>
        <w:gridCol w:w="109"/>
        <w:gridCol w:w="109"/>
        <w:gridCol w:w="109"/>
        <w:gridCol w:w="109"/>
        <w:gridCol w:w="267"/>
        <w:gridCol w:w="245"/>
        <w:gridCol w:w="578"/>
        <w:gridCol w:w="109"/>
        <w:gridCol w:w="109"/>
        <w:gridCol w:w="109"/>
        <w:gridCol w:w="211"/>
        <w:gridCol w:w="826"/>
        <w:gridCol w:w="109"/>
        <w:gridCol w:w="109"/>
        <w:gridCol w:w="109"/>
        <w:gridCol w:w="109"/>
        <w:gridCol w:w="267"/>
        <w:gridCol w:w="245"/>
        <w:gridCol w:w="578"/>
        <w:gridCol w:w="109"/>
        <w:gridCol w:w="109"/>
        <w:gridCol w:w="109"/>
        <w:gridCol w:w="211"/>
        <w:gridCol w:w="721"/>
        <w:gridCol w:w="109"/>
        <w:gridCol w:w="109"/>
        <w:gridCol w:w="109"/>
        <w:gridCol w:w="109"/>
        <w:gridCol w:w="206"/>
        <w:gridCol w:w="209"/>
        <w:gridCol w:w="321"/>
      </w:tblGrid>
      <w:tr>
        <w:trPr/>
        <w:tc>
          <w:tcPr>
            <w:tcW w:w="9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(1) Amounts in column may not foot due to rounding</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i/>
          <w:color w:val="1F282C"/>
          <w:sz w:val="20"/>
        </w:rPr>
        <w:t>Revenues</w:t>
      </w:r>
      <w:r>
        <w:rPr>
          <w:color w:val="000000"/>
        </w:rPr>
        <w:t xml:space="preserve"> </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Revenues increased for the 99th consecutive quarter. The increase in revenue period-over-period resulted from an increase in recurring revenue customers that was driven primarily by business acquisitions and continued business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ARPU increas</w:t>
      </w:r>
      <w:r>
        <w:rPr>
          <w:rFonts w:ascii="Times New Roman;serif" w:hAnsi="Times New Roman;serif"/>
          <w:b w:val="false"/>
          <w:color w:val="000000"/>
          <w:sz w:val="20"/>
          <w:shd w:fill="FFFFFF" w:val="clear"/>
        </w:rPr>
        <w:t>ed 9% to approximately $14,200 for the</w:t>
      </w:r>
      <w:r>
        <w:rPr>
          <w:color w:val="000000"/>
        </w:rPr>
        <w:t xml:space="preserve"> </w:t>
      </w:r>
      <w:r>
        <w:rPr>
          <w:rFonts w:ascii="Times New Roman;serif" w:hAnsi="Times New Roman;serif"/>
          <w:b w:val="false"/>
          <w:color w:val="000000"/>
          <w:sz w:val="20"/>
        </w:rPr>
        <w:t>nine months ended September 30, 2025. This was primarily attributable to increased usage of our products by our 1P recurring revenue customers, partially offset by the addition of 3P recurring revenue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of recurring revenue customers increased 22% to approximately 54,950 at September 30, 2025. Of the total recurring revenue customers, approximately 46,900</w:t>
      </w:r>
      <w:r>
        <w:rPr>
          <w:color w:val="1F282C"/>
        </w:rPr>
        <w:t xml:space="preserve"> </w:t>
      </w:r>
      <w:r>
        <w:rPr>
          <w:rFonts w:ascii="Times New Roman;serif" w:hAnsi="Times New Roman;serif"/>
          <w:b w:val="false"/>
          <w:color w:val="1F282C"/>
          <w:sz w:val="20"/>
        </w:rPr>
        <w:t>are 1P recurring revenue customers and the remainder are 3P recurring revenue customers. The increase in recurring revenue customers is primarily due to recent acquisitions of 3P recurring revenue customers, which have an inconsequential impact on recurring revenue. New recurring revenue customers do not have a meaningful contribution to revenue at the beginning of their tenure, and therefore a majority of the increased revenue was generated from existing recurring revenue customers.</w:t>
      </w:r>
    </w:p>
    <w:p>
      <w:pPr>
        <w:pStyle w:val="TextBody"/>
        <w:bidi w:val="0"/>
        <w:spacing w:lineRule="auto" w:line="288" w:before="120" w:after="283"/>
        <w:ind w:left="0" w:right="0" w:hanging="360"/>
        <w:jc w:val="left"/>
        <w:rPr/>
      </w:pPr>
      <w:r>
        <w:rPr>
          <w:color w:val="1F282C"/>
        </w:rPr>
        <w:t>•</w:t>
      </w:r>
      <w:r>
        <w:rPr>
          <w:rFonts w:ascii="Times New Roman;serif" w:hAnsi="Times New Roman;serif"/>
          <w:b w:val="false"/>
          <w:color w:val="1F282C"/>
          <w:sz w:val="20"/>
        </w:rPr>
        <w:t xml:space="preserve">Approximately </w:t>
      </w:r>
      <w:r>
        <w:rPr>
          <w:rFonts w:ascii="Times New Roman;serif" w:hAnsi="Times New Roman;serif"/>
          <w:b w:val="false"/>
          <w:color w:val="000000"/>
          <w:sz w:val="20"/>
        </w:rPr>
        <w:t>200</w:t>
      </w:r>
      <w:r>
        <w:rPr>
          <w:color w:val="1F282C"/>
        </w:rPr>
        <w:t xml:space="preserve"> </w:t>
      </w:r>
      <w:r>
        <w:rPr>
          <w:rFonts w:ascii="Times New Roman;serif" w:hAnsi="Times New Roman;serif"/>
          <w:b w:val="false"/>
          <w:color w:val="1F282C"/>
          <w:sz w:val="20"/>
        </w:rPr>
        <w:t xml:space="preserve">1P recurring revenue customers were added in </w:t>
      </w:r>
      <w:r>
        <w:rPr>
          <w:rFonts w:ascii="Times New Roman;serif" w:hAnsi="Times New Roman;serif"/>
          <w:b w:val="false"/>
          <w:color w:val="000000"/>
          <w:sz w:val="20"/>
        </w:rPr>
        <w:t>July 2024</w:t>
      </w:r>
      <w:r>
        <w:rPr>
          <w:color w:val="1F282C"/>
        </w:rPr>
        <w:t xml:space="preserve"> </w:t>
      </w:r>
      <w:r>
        <w:rPr>
          <w:rFonts w:ascii="Times New Roman;serif" w:hAnsi="Times New Roman;serif"/>
          <w:b w:val="false"/>
          <w:color w:val="1F282C"/>
          <w:sz w:val="20"/>
        </w:rPr>
        <w:t xml:space="preserve">due to the acquisition of the existing customer base of </w:t>
      </w:r>
      <w:r>
        <w:rPr>
          <w:rFonts w:ascii="Times New Roman;serif" w:hAnsi="Times New Roman;serif"/>
          <w:b w:val="false"/>
          <w:color w:val="000000"/>
          <w:sz w:val="20"/>
        </w:rPr>
        <w:t>SupplyPike</w:t>
      </w:r>
      <w:r>
        <w:rPr>
          <w:rFonts w:ascii="Times New Roman;serif" w:hAnsi="Times New Roman;serif"/>
          <w:b w:val="false"/>
          <w:color w:val="1F282C"/>
          <w:sz w:val="20"/>
        </w:rPr>
        <w:t xml:space="preserve">. Additionally, approximately </w:t>
      </w:r>
      <w:r>
        <w:rPr>
          <w:rFonts w:ascii="Times New Roman;serif" w:hAnsi="Times New Roman;serif"/>
          <w:b w:val="false"/>
          <w:color w:val="000000"/>
          <w:sz w:val="20"/>
        </w:rPr>
        <w:t>8,500</w:t>
      </w:r>
      <w:r>
        <w:rPr>
          <w:color w:val="1F282C"/>
        </w:rPr>
        <w:t xml:space="preserve"> </w:t>
      </w:r>
      <w:r>
        <w:rPr>
          <w:rFonts w:ascii="Times New Roman;serif" w:hAnsi="Times New Roman;serif"/>
          <w:b w:val="false"/>
          <w:color w:val="1F282C"/>
          <w:sz w:val="20"/>
        </w:rPr>
        <w:t xml:space="preserve">recurring revenue customers were added in </w:t>
      </w:r>
      <w:r>
        <w:rPr>
          <w:rFonts w:ascii="Times New Roman;serif" w:hAnsi="Times New Roman;serif"/>
          <w:b w:val="false"/>
          <w:color w:val="000000"/>
          <w:sz w:val="20"/>
        </w:rPr>
        <w:t>February 2025</w:t>
      </w:r>
      <w:r>
        <w:rPr>
          <w:color w:val="1F282C"/>
        </w:rPr>
        <w:t xml:space="preserve"> </w:t>
      </w:r>
      <w:r>
        <w:rPr>
          <w:rFonts w:ascii="Times New Roman;serif" w:hAnsi="Times New Roman;serif"/>
          <w:b w:val="false"/>
          <w:color w:val="1F282C"/>
          <w:sz w:val="20"/>
        </w:rPr>
        <w:t xml:space="preserve">due to the acquisition of the existing customer base of </w:t>
      </w:r>
      <w:r>
        <w:rPr>
          <w:rFonts w:ascii="Times New Roman;serif" w:hAnsi="Times New Roman;serif"/>
          <w:b w:val="false"/>
          <w:color w:val="000000"/>
          <w:sz w:val="20"/>
        </w:rPr>
        <w:t>Carbon6</w:t>
      </w:r>
      <w:r>
        <w:rPr>
          <w:rFonts w:ascii="Times New Roman;serif" w:hAnsi="Times New Roman;serif"/>
          <w:b w:val="false"/>
          <w:color w:val="1F282C"/>
          <w:sz w:val="20"/>
        </w:rPr>
        <w:t xml:space="preserve">, of which approximately </w:t>
      </w:r>
      <w:r>
        <w:rPr>
          <w:rFonts w:ascii="Times New Roman;serif" w:hAnsi="Times New Roman;serif"/>
          <w:b w:val="false"/>
          <w:color w:val="000000"/>
          <w:sz w:val="20"/>
        </w:rPr>
        <w:t>300</w:t>
      </w:r>
      <w:r>
        <w:rPr>
          <w:color w:val="1F282C"/>
        </w:rPr>
        <w:t xml:space="preserve"> </w:t>
      </w:r>
      <w:r>
        <w:rPr>
          <w:rFonts w:ascii="Times New Roman;serif" w:hAnsi="Times New Roman;serif"/>
          <w:b w:val="false"/>
          <w:color w:val="1F282C"/>
          <w:sz w:val="20"/>
        </w:rPr>
        <w:t>are 1P recurring revenue customers and the remainder are 3P recurring revenue customers.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Recurring revenues increased 22% to $533.4 million for the nine months ended September 30, 2025</w:t>
      </w:r>
      <w:r>
        <w:rPr>
          <w:color w:val="1F282C"/>
        </w:rPr>
        <w:t xml:space="preserve"> </w:t>
      </w:r>
      <w:r>
        <w:rPr>
          <w:rFonts w:ascii="Times New Roman;serif" w:hAnsi="Times New Roman;serif"/>
          <w:b w:val="false"/>
          <w:color w:val="1F282C"/>
          <w:sz w:val="20"/>
        </w:rPr>
        <w:t xml:space="preserve">compared to the </w:t>
      </w:r>
      <w:r>
        <w:rPr>
          <w:rFonts w:ascii="Times New Roman;serif" w:hAnsi="Times New Roman;serif"/>
          <w:b w:val="false"/>
          <w:color w:val="000000"/>
          <w:sz w:val="20"/>
        </w:rPr>
        <w:t>nine</w:t>
      </w:r>
      <w:r>
        <w:rPr>
          <w:color w:val="1F282C"/>
        </w:rPr>
        <w:t xml:space="preserve"> </w:t>
      </w:r>
      <w:r>
        <w:rPr>
          <w:rFonts w:ascii="Times New Roman;serif" w:hAnsi="Times New Roman;serif"/>
          <w:b w:val="false"/>
          <w:color w:val="1F282C"/>
          <w:sz w:val="20"/>
        </w:rPr>
        <w:t xml:space="preserve">months ended </w:t>
      </w:r>
      <w:r>
        <w:rPr>
          <w:rFonts w:ascii="Times New Roman;serif" w:hAnsi="Times New Roman;serif"/>
          <w:b w:val="false"/>
          <w:color w:val="000000"/>
          <w:sz w:val="20"/>
        </w:rPr>
        <w:t>September 30, 2024</w:t>
      </w:r>
      <w:r>
        <w:rPr>
          <w:rFonts w:ascii="Times New Roman;serif" w:hAnsi="Times New Roman;serif"/>
          <w:b w:val="false"/>
          <w:color w:val="1F282C"/>
          <w:sz w:val="20"/>
        </w:rPr>
        <w:t xml:space="preserve">. Recurring revenues </w:t>
      </w:r>
      <w:r>
        <w:rPr>
          <w:rFonts w:ascii="Times New Roman;serif" w:hAnsi="Times New Roman;serif"/>
          <w:b w:val="false"/>
          <w:color w:val="000000"/>
          <w:sz w:val="20"/>
        </w:rPr>
        <w:t>accounted for 95% and 94% of our total revenues for the nine months ended September 30, 2025</w:t>
      </w:r>
      <w:r>
        <w:rPr>
          <w:color w:val="1F282C"/>
        </w:rPr>
        <w:t xml:space="preserve"> </w:t>
      </w:r>
      <w:r>
        <w:rPr>
          <w:rFonts w:ascii="Times New Roman;serif" w:hAnsi="Times New Roman;serif"/>
          <w:b w:val="false"/>
          <w:color w:val="1F282C"/>
          <w:sz w:val="20"/>
        </w:rPr>
        <w:t>and</w:t>
      </w:r>
      <w:r>
        <w:rPr>
          <w:color w:val="000000"/>
        </w:rPr>
        <w:t xml:space="preserve"> </w:t>
      </w:r>
      <w:r>
        <w:rPr>
          <w:rFonts w:ascii="Times New Roman;serif" w:hAnsi="Times New Roman;serif"/>
          <w:b w:val="false"/>
          <w:color w:val="000000"/>
          <w:sz w:val="20"/>
        </w:rPr>
        <w:t>2024, respectively. We anticipate that the number of recurring revenue customers and ARPU will increase as we execute our growth strategy focused on further penetration of our market.</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Cost of Revenues -</w:t>
      </w:r>
      <w:r>
        <w:rPr>
          <w:color w:val="1F282C"/>
          <w:shd w:fill="FFFFFF" w:val="clear"/>
        </w:rPr>
        <w:t xml:space="preserve"> </w:t>
      </w:r>
      <w:r>
        <w:rPr>
          <w:rFonts w:ascii="Times New Roman;serif" w:hAnsi="Times New Roman;serif"/>
          <w:b w:val="false"/>
          <w:color w:val="000000"/>
          <w:sz w:val="20"/>
          <w:shd w:fill="FFFFFF" w:val="clear"/>
        </w:rPr>
        <w:t>The increase in cost of revenues was primarily due to increased headcount, which resulted in an increase of $10.9 million in personnel-related costs and an increase in software subscriptions of $4.8 million due to general growth of our business. Additionally, there was a $1.4 million increase in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85495"/>
                <wp:effectExtent l="0" t="0" r="0" b="0"/>
                <wp:wrapNone/>
                <wp:docPr id="81" name="Frame2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266700" cy="257175"/>
                                                </a:xfrm>
                                                <a:prstGeom prst="rect">
                                                  <a:avLst/>
                                                </a:prstGeom>
                                              </pic:spPr>
                                            </pic:pic>
                                          </a:graphicData>
                                        </a:graphic>
                                      </wp:inline>
                                    </w:drawing>
                                  </w:r>
                                  <w:bookmarkStart w:id="53" w:name="i-28"/>
                                  <w:bookmarkEnd w:id="5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266700" cy="257175"/>
                                          </a:xfrm>
                                          <a:prstGeom prst="rect">
                                            <a:avLst/>
                                          </a:prstGeom>
                                        </pic:spPr>
                                      </pic:pic>
                                    </a:graphicData>
                                  </a:graphic>
                                </wp:inline>
                              </w:drawing>
                            </w:r>
                            <w:bookmarkStart w:id="54" w:name="i-28"/>
                            <w:bookmarkEnd w:id="5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Sales and Marketing Expenses -</w:t>
      </w:r>
      <w:r>
        <w:rPr>
          <w:color w:val="1F282C"/>
          <w:shd w:fill="FFFFFF" w:val="clear"/>
        </w:rPr>
        <w:t xml:space="preserve"> </w:t>
      </w:r>
      <w:r>
        <w:rPr>
          <w:rFonts w:ascii="Times New Roman;serif" w:hAnsi="Times New Roman;serif"/>
          <w:b w:val="false"/>
          <w:color w:val="000000"/>
          <w:sz w:val="20"/>
          <w:shd w:fill="FFFFFF" w:val="clear"/>
        </w:rPr>
        <w:t xml:space="preserve">The increase in sales and marketing expense was primarily due to increased headcount, which resulted in an increase of $12.9 million in personnel-related costs. Additionally, partner and reseller fees increased by $3.1 million, primarily driven by the acquisition of </w:t>
      </w:r>
      <w:r>
        <w:rPr>
          <w:rFonts w:ascii="Times New Roman;serif" w:hAnsi="Times New Roman;serif"/>
          <w:b w:val="false"/>
          <w:color w:val="000000"/>
          <w:sz w:val="20"/>
        </w:rPr>
        <w:t>Carbon6.</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Research and Development Expenses -</w:t>
      </w:r>
      <w:r>
        <w:rPr>
          <w:color w:val="000000"/>
          <w:shd w:fill="FFFFFF" w:val="clear"/>
        </w:rPr>
        <w:t xml:space="preserve"> </w:t>
      </w:r>
      <w:r>
        <w:rPr>
          <w:rFonts w:ascii="Times New Roman;serif" w:hAnsi="Times New Roman;serif"/>
          <w:b w:val="false"/>
          <w:color w:val="000000"/>
          <w:sz w:val="20"/>
          <w:shd w:fill="FFFFFF" w:val="clear"/>
        </w:rPr>
        <w:t>The increase in research and development expense was primarily due to increased headcount and third-party personnel, which resulted in an increase of $9.6 million in personnel-related costs, partially offset by a decrease of $4.5 million related to capitalized software development.</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General and Administrative Expenses -</w:t>
      </w:r>
      <w:r>
        <w:rPr>
          <w:color w:val="1F282C"/>
          <w:shd w:fill="FFFFFF" w:val="clear"/>
        </w:rPr>
        <w:t xml:space="preserve"> </w:t>
      </w:r>
      <w:r>
        <w:rPr>
          <w:rFonts w:ascii="Times New Roman;serif" w:hAnsi="Times New Roman;serif"/>
          <w:b w:val="false"/>
          <w:color w:val="000000"/>
          <w:sz w:val="20"/>
          <w:shd w:fill="FFFFFF" w:val="clear"/>
        </w:rPr>
        <w:t xml:space="preserve">The increase in general and administrative expense was primarily due to increased headcount and third-party personnel, which resulted in an increase of $10.6 million in personnel-related costs. Additionally, other items contributing to the increase related to costs for continued support of our growing operations including the closing and on-going integration of acquisitions. </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Amortization of Intangible Assets -</w:t>
      </w:r>
      <w:r>
        <w:rPr>
          <w:color w:val="1F282C"/>
          <w:shd w:fill="FFFFFF" w:val="clear"/>
        </w:rPr>
        <w:t xml:space="preserve"> </w:t>
      </w:r>
      <w:r>
        <w:rPr>
          <w:rFonts w:ascii="Times New Roman;serif" w:hAnsi="Times New Roman;serif"/>
          <w:b w:val="false"/>
          <w:color w:val="1F282C"/>
          <w:sz w:val="20"/>
          <w:shd w:fill="FFFFFF" w:val="clear"/>
        </w:rPr>
        <w:t>The increase in amortization of intangible assets was driven by acquired intangible assets related to recent business combinations.</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Other Income, Net -</w:t>
      </w:r>
      <w:r>
        <w:rPr>
          <w:color w:val="1F282C"/>
          <w:shd w:fill="FFFFFF" w:val="clear"/>
        </w:rPr>
        <w:t xml:space="preserve"> </w:t>
      </w:r>
      <w:r>
        <w:rPr>
          <w:rFonts w:ascii="Times New Roman;serif" w:hAnsi="Times New Roman;serif"/>
          <w:b w:val="false"/>
          <w:color w:val="1F282C"/>
          <w:sz w:val="20"/>
          <w:shd w:fill="FFFFFF" w:val="clear"/>
        </w:rPr>
        <w:t>The decrease in other income, net was primarily due to a decrease in investment income.</w:t>
      </w:r>
    </w:p>
    <w:p>
      <w:pPr>
        <w:pStyle w:val="TextBody"/>
        <w:bidi w:val="0"/>
        <w:spacing w:lineRule="auto" w:line="288" w:before="240" w:after="283"/>
        <w:ind w:left="0" w:right="0" w:firstLine="720"/>
        <w:jc w:val="left"/>
        <w:rPr/>
      </w:pPr>
      <w:r>
        <w:rPr>
          <w:rFonts w:ascii="Times New Roman;serif" w:hAnsi="Times New Roman;serif"/>
          <w:b/>
          <w:i/>
          <w:color w:val="1F282C"/>
          <w:sz w:val="20"/>
          <w:shd w:fill="FFFFFF" w:val="clear"/>
        </w:rPr>
        <w:t>Income Tax Expense -</w:t>
      </w:r>
      <w:r>
        <w:rPr>
          <w:color w:val="1F282C"/>
          <w:shd w:fill="FFFFFF" w:val="clear"/>
        </w:rPr>
        <w:t xml:space="preserve"> </w:t>
      </w:r>
      <w:r>
        <w:rPr>
          <w:rFonts w:ascii="Times New Roman;serif" w:hAnsi="Times New Roman;serif"/>
          <w:b w:val="false"/>
          <w:color w:val="1F282C"/>
          <w:sz w:val="20"/>
          <w:shd w:fill="FFFFFF" w:val="clear"/>
        </w:rPr>
        <w:t>The increase in income tax expense was primarily driven by the increase in pre-tax book income and reduction in tax benefits re</w:t>
      </w:r>
      <w:r>
        <w:rPr>
          <w:rFonts w:ascii="Times New Roman;serif" w:hAnsi="Times New Roman;serif"/>
          <w:b w:val="false"/>
          <w:color w:val="1F282C"/>
          <w:sz w:val="20"/>
        </w:rPr>
        <w:t xml:space="preserve">cognized from equity award exercise and settlement activity due to the fluctuations in share price. The increase was partially offset with increased benefit for Research &amp; Development tax credits. </w:t>
      </w:r>
    </w:p>
    <w:p>
      <w:pPr>
        <w:pStyle w:val="TextBody"/>
        <w:bidi w:val="0"/>
        <w:spacing w:lineRule="auto" w:line="288" w:before="240" w:after="283"/>
        <w:ind w:left="0" w:right="0" w:firstLine="720"/>
        <w:jc w:val="left"/>
        <w:rPr/>
      </w:pPr>
      <w:r>
        <w:rPr>
          <w:rFonts w:ascii="Times New Roman;serif" w:hAnsi="Times New Roman;serif"/>
          <w:b/>
          <w:i/>
          <w:color w:val="1F282C"/>
          <w:sz w:val="20"/>
        </w:rPr>
        <w:t xml:space="preserve">Adjusted EBITDA - </w:t>
      </w:r>
      <w:r>
        <w:rPr>
          <w:rFonts w:ascii="Times New Roman;serif" w:hAnsi="Times New Roman;serif"/>
          <w:b w:val="false"/>
          <w:color w:val="000000"/>
          <w:sz w:val="20"/>
        </w:rPr>
        <w:t xml:space="preserve">Adjusted EBITDA consists of net income adjusted for income tax expense, depreciation and amortization expense, stock-based compensation expense, realized gain or loss from investments held and foreign currency impact on cash and investments, investment income, and other adjustments as necessary for a fair presentation. Other adjustments for the nine months ended September 30, 2025 included the expense impacts from disposals of certain capitalized internally developed software, disposals of other equipment, and one-time acquisition-related insurance costs. Net income is the comparable GAAP measure of financial performance.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10103" w:type="dxa"/>
        <w:jc w:val="left"/>
        <w:tblInd w:w="0" w:type="dxa"/>
        <w:tblLayout w:type="fixed"/>
        <w:tblCellMar>
          <w:top w:w="28" w:type="dxa"/>
          <w:left w:w="28" w:type="dxa"/>
          <w:bottom w:w="28" w:type="dxa"/>
          <w:right w:w="28" w:type="dxa"/>
        </w:tblCellMar>
      </w:tblPr>
      <w:tblGrid>
        <w:gridCol w:w="2691"/>
        <w:gridCol w:w="2372"/>
        <w:gridCol w:w="2376"/>
        <w:gridCol w:w="211"/>
        <w:gridCol w:w="826"/>
        <w:gridCol w:w="109"/>
        <w:gridCol w:w="109"/>
        <w:gridCol w:w="109"/>
        <w:gridCol w:w="109"/>
        <w:gridCol w:w="211"/>
        <w:gridCol w:w="826"/>
        <w:gridCol w:w="154"/>
      </w:tblGrid>
      <w:tr>
        <w:trPr/>
        <w:tc>
          <w:tcPr>
            <w:tcW w:w="269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i/>
          <w:color w:val="1F282C"/>
          <w:sz w:val="20"/>
        </w:rPr>
        <w:t>Adjusted EBITDA Margin -</w:t>
      </w:r>
      <w:r>
        <w:rPr>
          <w:color w:val="000000"/>
        </w:rPr>
        <w:t xml:space="preserve"> </w:t>
      </w:r>
      <w:r>
        <w:rPr>
          <w:rFonts w:ascii="Times New Roman;serif" w:hAnsi="Times New Roman;serif"/>
          <w:b w:val="false"/>
          <w:color w:val="000000"/>
          <w:sz w:val="20"/>
        </w:rPr>
        <w:t>Adjusted EBITDA Margin</w:t>
      </w:r>
      <w:r>
        <w:rPr>
          <w:color w:val="1F282C"/>
        </w:rPr>
        <w:t xml:space="preserve"> </w:t>
      </w:r>
      <w:r>
        <w:rPr>
          <w:rFonts w:ascii="Times New Roman;serif" w:hAnsi="Times New Roman;serif"/>
          <w:b w:val="false"/>
          <w:color w:val="000000"/>
          <w:sz w:val="20"/>
        </w:rPr>
        <w:t xml:space="preserve">consists of Adjusted EBITDA divided by revenue. Margin, the comparable GAAP measure of financial performance, consists of net income divided by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85495"/>
                <wp:effectExtent l="0" t="0" r="0" b="0"/>
                <wp:wrapNone/>
                <wp:docPr id="84" name="Frame2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266700" cy="257175"/>
                                                </a:xfrm>
                                                <a:prstGeom prst="rect">
                                                  <a:avLst/>
                                                </a:prstGeom>
                                              </pic:spPr>
                                            </pic:pic>
                                          </a:graphicData>
                                        </a:graphic>
                                      </wp:inline>
                                    </w:drawing>
                                  </w:r>
                                  <w:bookmarkStart w:id="55" w:name="i-29"/>
                                  <w:bookmarkEnd w:id="5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266700" cy="257175"/>
                                          </a:xfrm>
                                          <a:prstGeom prst="rect">
                                            <a:avLst/>
                                          </a:prstGeom>
                                        </pic:spPr>
                                      </pic:pic>
                                    </a:graphicData>
                                  </a:graphic>
                                </wp:inline>
                              </w:drawing>
                            </w:r>
                            <w:bookmarkStart w:id="56" w:name="i-29"/>
                            <w:bookmarkEnd w:id="5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Margin to Adjusted EBITDA Margin:</w:t>
      </w:r>
    </w:p>
    <w:tbl>
      <w:tblPr>
        <w:tblW w:w="6886" w:type="dxa"/>
        <w:jc w:val="left"/>
        <w:tblInd w:w="0" w:type="dxa"/>
        <w:tblLayout w:type="fixed"/>
        <w:tblCellMar>
          <w:top w:w="28" w:type="dxa"/>
          <w:left w:w="28" w:type="dxa"/>
          <w:bottom w:w="28" w:type="dxa"/>
          <w:right w:w="28" w:type="dxa"/>
        </w:tblCellMar>
      </w:tblPr>
      <w:tblGrid>
        <w:gridCol w:w="1641"/>
        <w:gridCol w:w="1442"/>
        <w:gridCol w:w="1447"/>
        <w:gridCol w:w="211"/>
        <w:gridCol w:w="224"/>
        <w:gridCol w:w="557"/>
        <w:gridCol w:w="109"/>
        <w:gridCol w:w="109"/>
        <w:gridCol w:w="109"/>
        <w:gridCol w:w="211"/>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Margin and Adjusted EBITDA Margin)</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466,858</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pPr>
      <w:r>
        <w:rPr>
          <w:rFonts w:ascii="Times New Roman;serif" w:hAnsi="Times New Roman;serif"/>
          <w:b/>
          <w:i/>
          <w:color w:val="1F282C"/>
          <w:sz w:val="20"/>
        </w:rPr>
        <w:t xml:space="preserve">Non-GAAP Income per Share - </w:t>
      </w:r>
      <w:r>
        <w:rPr>
          <w:rFonts w:ascii="Times New Roman;serif" w:hAnsi="Times New Roman;serif"/>
          <w:b w:val="false"/>
          <w:color w:val="000000"/>
          <w:sz w:val="20"/>
        </w:rPr>
        <w:t>Non-GAAP income per share consists of net income adjusted for stock-based compensation expense, amortization expense related to intangible assets, realized gain or loss from investments held and foreign currency impact on cash and investments, other adjustments as necessary for a fair presentation, including for the nine months ended September 30, 2025 the expense impacts from disposals of certain capitalized internally developed software, disposals of other equipment, and one-time acquisition-related insurance costs, and the corresponding tax impacts of the adjustments to net income, divided by the weighted average number of shares of common and diluted stock outstanding during each period. Net income per share, the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per share to non-GAAP income per share:</w:t>
      </w:r>
    </w:p>
    <w:tbl>
      <w:tblPr>
        <w:tblW w:w="9999" w:type="dxa"/>
        <w:jc w:val="left"/>
        <w:tblInd w:w="0" w:type="dxa"/>
        <w:tblLayout w:type="fixed"/>
        <w:tblCellMar>
          <w:top w:w="28" w:type="dxa"/>
          <w:left w:w="28" w:type="dxa"/>
          <w:bottom w:w="28" w:type="dxa"/>
          <w:right w:w="28" w:type="dxa"/>
        </w:tblCellMar>
      </w:tblPr>
      <w:tblGrid>
        <w:gridCol w:w="2695"/>
        <w:gridCol w:w="2369"/>
        <w:gridCol w:w="2376"/>
        <w:gridCol w:w="211"/>
        <w:gridCol w:w="826"/>
        <w:gridCol w:w="109"/>
        <w:gridCol w:w="109"/>
        <w:gridCol w:w="109"/>
        <w:gridCol w:w="109"/>
        <w:gridCol w:w="211"/>
        <w:gridCol w:w="721"/>
        <w:gridCol w:w="154"/>
      </w:tblGrid>
      <w:tr>
        <w:trPr/>
        <w:tc>
          <w:tcPr>
            <w:tcW w:w="269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held and foreign currency impact on cash and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and non-GAAP income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85495"/>
                <wp:effectExtent l="0" t="0" r="0" b="0"/>
                <wp:wrapNone/>
                <wp:docPr id="87" name="Frame3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266700" cy="257175"/>
                                                </a:xfrm>
                                                <a:prstGeom prst="rect">
                                                  <a:avLst/>
                                                </a:prstGeom>
                                              </pic:spPr>
                                            </pic:pic>
                                          </a:graphicData>
                                        </a:graphic>
                                      </wp:inline>
                                    </w:drawing>
                                  </w:r>
                                  <w:bookmarkStart w:id="57" w:name="i-30"/>
                                  <w:bookmarkEnd w:id="5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266700" cy="257175"/>
                                          </a:xfrm>
                                          <a:prstGeom prst="rect">
                                            <a:avLst/>
                                          </a:prstGeom>
                                        </pic:spPr>
                                      </pic:pic>
                                    </a:graphicData>
                                  </a:graphic>
                                </wp:inline>
                              </w:drawing>
                            </w:r>
                            <w:bookmarkStart w:id="58" w:name="i-30"/>
                            <w:bookmarkEnd w:id="5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Foreign Currency Exchange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Our predominate exposure to foreign currency exchange rates are due to non-monetary assets held in currencies other than the U.S. dollar, and thus fluctuations in foreign currencies primarily result in comprehensive income (loss), not net income (loss).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are primarily denominated in U.S. dollars. Our expenses are generally denominated in the local currencies in which our operations are located. As of September 30, 2025, we maintained 13% of our total cash and cash equivalents in foreign currencies. Based upon a sensitivity model, an immediate hypothetical 10% unfavorable change in all foreign currency exchange rates would have resulted in a $1.7 million impact on our cash and cash equivalents held in currencies other than the U.S. dollar as of September 30,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used any forward contracts or currency borrowings to hedge our exposure to foreign currency exchange risk, although we may do so in the future.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inflation and changing prices have not had a material effect on our business and we do not expect that inflation or changing prices will materially affect our business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4.    Controls and Procedures</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2025.</w:t>
      </w: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we acquired the Carbon6 business. We are currently in the process of incorporating internal controls specific to Carbon6 that we believe are appropriate and necessary to consolidate and report upon our financial results. Carbon6 will be included in our assessment of internal control over financial reporting within one year from the date of acquisition, pursuant to the SEC's general guidance for a recently acquired business' internal control over financial reporting. Excluding net intangible assets and goodwill, Carbon6 represented less than 5% of our consolidated assets as of September 30, 2025 and approximately 5% and 6% of our consolidated revenues for each of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85495"/>
                <wp:effectExtent l="0" t="0" r="0" b="0"/>
                <wp:wrapNone/>
                <wp:docPr id="90" name="Frame3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266700" cy="257175"/>
                                                </a:xfrm>
                                                <a:prstGeom prst="rect">
                                                  <a:avLst/>
                                                </a:prstGeom>
                                              </pic:spPr>
                                            </pic:pic>
                                          </a:graphicData>
                                        </a:graphic>
                                      </wp:inline>
                                    </w:drawing>
                                  </w:r>
                                  <w:bookmarkStart w:id="59" w:name="i-31"/>
                                  <w:bookmarkEnd w:id="5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266700" cy="257175"/>
                                          </a:xfrm>
                                          <a:prstGeom prst="rect">
                                            <a:avLst/>
                                          </a:prstGeom>
                                        </pic:spPr>
                                      </pic:pic>
                                    </a:graphicData>
                                  </a:graphic>
                                </wp:inline>
                              </w:drawing>
                            </w:r>
                            <w:bookmarkStart w:id="60" w:name="i-31"/>
                            <w:bookmarkEnd w:id="6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currently subject to, or aware of, any claims or actions that would have a material adverse effect on our business, financial condition, or results of operations.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1A.    Risk Factors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There have been no material changes in our risk factors from those disclosed under the heading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2024,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2.    Unregistered Sales of Equity Securities and Use of Proceeds</w:t>
      </w:r>
    </w:p>
    <w:p>
      <w:pPr>
        <w:pStyle w:val="TextBody"/>
        <w:bidi w:val="0"/>
        <w:spacing w:lineRule="auto" w:line="288" w:before="120" w:after="283"/>
        <w:ind w:left="0" w:right="0" w:firstLine="556"/>
        <w:jc w:val="left"/>
        <w:rPr/>
      </w:pPr>
      <w:r>
        <w:rPr>
          <w:rFonts w:ascii="Times New Roman;serif" w:hAnsi="Times New Roman;serif"/>
          <w:b/>
          <w:color w:val="1F282C"/>
          <w:sz w:val="20"/>
        </w:rPr>
        <w:t xml:space="preserve">(c) </w:t>
      </w:r>
      <w:r>
        <w:rPr>
          <w:rFonts w:ascii="Times New Roman;serif" w:hAnsi="Times New Roman;serif"/>
          <w:b/>
          <w:color w:val="000000"/>
          <w:sz w:val="20"/>
        </w:rPr>
        <w:t>Share</w:t>
      </w:r>
      <w:r>
        <w:rPr>
          <w:color w:val="1F282C"/>
        </w:rPr>
        <w:t xml:space="preserve"> </w:t>
      </w:r>
      <w:r>
        <w:rPr>
          <w:rFonts w:ascii="Times New Roman;serif" w:hAnsi="Times New Roman;serif"/>
          <w:b/>
          <w:color w:val="1F282C"/>
          <w:sz w:val="20"/>
        </w:rPr>
        <w:t>Repurchases</w:t>
      </w:r>
    </w:p>
    <w:p>
      <w:pPr>
        <w:pStyle w:val="TextBody"/>
        <w:bidi w:val="0"/>
        <w:spacing w:lineRule="auto" w:line="288" w:before="120" w:after="283"/>
        <w:ind w:left="0" w:right="0" w:firstLine="556"/>
        <w:jc w:val="center"/>
        <w:rPr>
          <w:rFonts w:ascii="Times New Roman;serif" w:hAnsi="Times New Roman;serif"/>
          <w:b/>
          <w:color w:val="1F282C"/>
          <w:sz w:val="20"/>
          <w:u w:val="single"/>
        </w:rPr>
      </w:pPr>
      <w:r>
        <w:rPr>
          <w:rFonts w:ascii="Times New Roman;serif" w:hAnsi="Times New Roman;serif"/>
          <w:b/>
          <w:color w:val="1F282C"/>
          <w:sz w:val="20"/>
          <w:u w:val="single"/>
        </w:rPr>
        <w:t>Issuer Repurchases of Equity Securities</w:t>
      </w:r>
    </w:p>
    <w:tbl>
      <w:tblPr>
        <w:tblW w:w="8395" w:type="dxa"/>
        <w:jc w:val="left"/>
        <w:tblInd w:w="0" w:type="dxa"/>
        <w:tblLayout w:type="fixed"/>
        <w:tblCellMar>
          <w:top w:w="28" w:type="dxa"/>
          <w:left w:w="28" w:type="dxa"/>
          <w:bottom w:w="28" w:type="dxa"/>
          <w:right w:w="28" w:type="dxa"/>
        </w:tblCellMar>
      </w:tblPr>
      <w:tblGrid>
        <w:gridCol w:w="720"/>
        <w:gridCol w:w="634"/>
        <w:gridCol w:w="641"/>
        <w:gridCol w:w="109"/>
        <w:gridCol w:w="109"/>
        <w:gridCol w:w="109"/>
        <w:gridCol w:w="428"/>
        <w:gridCol w:w="398"/>
        <w:gridCol w:w="376"/>
        <w:gridCol w:w="109"/>
        <w:gridCol w:w="109"/>
        <w:gridCol w:w="109"/>
        <w:gridCol w:w="240"/>
        <w:gridCol w:w="821"/>
        <w:gridCol w:w="124"/>
        <w:gridCol w:w="109"/>
        <w:gridCol w:w="109"/>
        <w:gridCol w:w="109"/>
        <w:gridCol w:w="419"/>
        <w:gridCol w:w="419"/>
        <w:gridCol w:w="421"/>
        <w:gridCol w:w="109"/>
        <w:gridCol w:w="109"/>
        <w:gridCol w:w="109"/>
        <w:gridCol w:w="211"/>
        <w:gridCol w:w="108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pPr>
            <w:r>
              <w:rPr>
                <w:rFonts w:ascii="Times New Roman;serif" w:hAnsi="Times New Roman;serif"/>
                <w:b/>
                <w:color w:val="000000"/>
                <w:sz w:val="16"/>
              </w:rPr>
              <w:t>Program</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that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w:t>
            </w:r>
          </w:p>
          <w:p>
            <w:pPr>
              <w:pStyle w:val="TableContents"/>
              <w:bidi w:val="0"/>
              <w:spacing w:lineRule="auto" w:line="240" w:before="0" w:after="0"/>
              <w:jc w:val="center"/>
              <w:rPr/>
            </w:pPr>
            <w:r>
              <w:rPr>
                <w:rFonts w:ascii="Times New Roman;serif" w:hAnsi="Times New Roman;serif"/>
                <w:b/>
                <w:color w:val="000000"/>
                <w:sz w:val="16"/>
              </w:rPr>
              <w:t xml:space="preserve">Program </w:t>
            </w:r>
            <w:r>
              <w:rPr>
                <w:rFonts w:ascii="Times New Roman;serif" w:hAnsi="Times New Roman;serif"/>
                <w:b/>
                <w:color w:val="000000"/>
                <w:sz w:val="10"/>
              </w:rPr>
              <w:t>(1)</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259,645 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20"/>
          <w:shd w:fill="FFFFFF" w:val="clear"/>
        </w:rPr>
        <w:t xml:space="preserve">For more information regarding our </w:t>
      </w:r>
      <w:r>
        <w:rPr>
          <w:rFonts w:ascii="Times New Roman;serif" w:hAnsi="Times New Roman;serif"/>
          <w:b w:val="false"/>
          <w:i/>
          <w:color w:val="000000"/>
          <w:sz w:val="20"/>
        </w:rPr>
        <w:t>share</w:t>
      </w:r>
      <w:r>
        <w:rPr>
          <w:color w:val="000000"/>
          <w:shd w:fill="FFFFFF" w:val="clear"/>
        </w:rPr>
        <w:t xml:space="preserve"> </w:t>
      </w:r>
      <w:r>
        <w:rPr>
          <w:rFonts w:ascii="Times New Roman;serif" w:hAnsi="Times New Roman;serif"/>
          <w:b w:val="false"/>
          <w:i/>
          <w:color w:val="000000"/>
          <w:sz w:val="20"/>
          <w:shd w:fill="FFFFFF" w:val="clear"/>
        </w:rPr>
        <w:t xml:space="preserve">repurchase programs, refer to Note </w:t>
      </w:r>
      <w:r>
        <w:rPr>
          <w:rFonts w:ascii="Times New Roman;serif" w:hAnsi="Times New Roman;serif"/>
          <w:b w:val="false"/>
          <w:i/>
          <w:color w:val="000000"/>
          <w:sz w:val="20"/>
        </w:rPr>
        <w:t>J</w:t>
      </w:r>
      <w:r>
        <w:rPr>
          <w:color w:val="000000"/>
          <w:shd w:fill="FFFFFF" w:val="clear"/>
        </w:rPr>
        <w:t xml:space="preserve"> </w:t>
      </w:r>
      <w:r>
        <w:rPr>
          <w:rFonts w:ascii="Times New Roman;serif" w:hAnsi="Times New Roman;serif"/>
          <w:b w:val="false"/>
          <w:i/>
          <w:color w:val="000000"/>
          <w:sz w:val="20"/>
          <w:shd w:fill="FFFFFF" w:val="clear"/>
        </w:rPr>
        <w:t>to our condensed consolidated financial statements, included in Part I of this Quarterly Report on Form 10-Q.</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On July 23, 2024 (announced July 25, 2024), our board of directors authorized a program to repurchase up to $100.0 million of our common stock, excluding costs to obtain. Under the program, purchases may be made from time to time in the open market or in privately negotiated purchases, or both. The share repurchase program became effective August 23, 2024 and expires on July 24, 2026.</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29, 2025 (announced October 30, 2025), our board of directors authorized a program to repurchase up to $100.0 million of our common stock, excluding costs to obtain. Under the program, purchases may be made from time to time in the open market or in privately negotiated purchases, or both. The share repurchase program will become effective December 1, 2025 and expires on December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85495"/>
                <wp:effectExtent l="0" t="0" r="0" b="0"/>
                <wp:wrapNone/>
                <wp:docPr id="93" name="Frame3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266700" cy="257175"/>
                                                </a:xfrm>
                                                <a:prstGeom prst="rect">
                                                  <a:avLst/>
                                                </a:prstGeom>
                                              </pic:spPr>
                                            </pic:pic>
                                          </a:graphicData>
                                        </a:graphic>
                                      </wp:inline>
                                    </w:drawing>
                                  </w:r>
                                  <w:bookmarkStart w:id="61" w:name="i-32"/>
                                  <w:bookmarkEnd w:id="6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266700" cy="257175"/>
                                          </a:xfrm>
                                          <a:prstGeom prst="rect">
                                            <a:avLst/>
                                          </a:prstGeom>
                                        </pic:spPr>
                                      </pic:pic>
                                    </a:graphicData>
                                  </a:graphic>
                                </wp:inline>
                              </w:drawing>
                            </w:r>
                            <w:bookmarkStart w:id="62" w:name="i-32"/>
                            <w:bookmarkEnd w:id="6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5.    Other Information</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Insider Adoption or Termination of Trading Arrangements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 following directors and officers (as defined in Rule 16a-1(f) of the Exchange Act) adopted written plans for the sale of our securities that are intended to satisfy the affirmative defense of Rule 10b5-1(c) of the Exchange Act:</w:t>
      </w:r>
    </w:p>
    <w:tbl>
      <w:tblPr>
        <w:tblW w:w="10205" w:type="dxa"/>
        <w:jc w:val="left"/>
        <w:tblInd w:w="0" w:type="dxa"/>
        <w:tblLayout w:type="fixed"/>
        <w:tblCellMar>
          <w:top w:w="28" w:type="dxa"/>
          <w:left w:w="28" w:type="dxa"/>
          <w:bottom w:w="28" w:type="dxa"/>
          <w:right w:w="28" w:type="dxa"/>
        </w:tblCellMar>
      </w:tblPr>
      <w:tblGrid>
        <w:gridCol w:w="393"/>
        <w:gridCol w:w="316"/>
        <w:gridCol w:w="319"/>
        <w:gridCol w:w="636"/>
        <w:gridCol w:w="636"/>
        <w:gridCol w:w="644"/>
        <w:gridCol w:w="474"/>
        <w:gridCol w:w="432"/>
        <w:gridCol w:w="406"/>
        <w:gridCol w:w="451"/>
        <w:gridCol w:w="362"/>
        <w:gridCol w:w="363"/>
        <w:gridCol w:w="553"/>
        <w:gridCol w:w="553"/>
        <w:gridCol w:w="554"/>
        <w:gridCol w:w="908"/>
        <w:gridCol w:w="908"/>
        <w:gridCol w:w="1297"/>
      </w:tblGrid>
      <w:tr>
        <w:trPr/>
        <w:tc>
          <w:tcPr>
            <w:tcW w:w="3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Adoption Date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Earliest Sale Date</w:t>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or Termination Date</w:t>
            </w:r>
          </w:p>
        </w:tc>
        <w:tc>
          <w:tcPr>
            <w:tcW w:w="31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Aggregate Number of Shares of the Company's Common Stock to be Sold</w:t>
            </w:r>
            <w:r>
              <w:rPr>
                <w:rFonts w:ascii="Times New Roman;serif" w:hAnsi="Times New Roman;serif"/>
                <w:b/>
                <w:color w:val="000000"/>
                <w:sz w:val="10"/>
              </w:rPr>
              <w:t>(1)</w:t>
            </w:r>
          </w:p>
        </w:tc>
      </w:tr>
      <w:tr>
        <w:trPr/>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Chad Collins</w:t>
            </w:r>
          </w:p>
        </w:tc>
        <w:tc>
          <w:tcPr>
            <w:tcW w:w="1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2025</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16, 2026</w:t>
            </w:r>
          </w:p>
        </w:tc>
        <w:tc>
          <w:tcPr>
            <w:tcW w:w="1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25,776</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Marty Réaume</w:t>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10, 2025</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7, 2026</w:t>
            </w:r>
          </w:p>
        </w:tc>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10, 2026</w:t>
            </w:r>
          </w:p>
        </w:tc>
        <w:tc>
          <w:tcPr>
            <w:tcW w:w="3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13,128</w:t>
            </w:r>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113" w:type="dxa"/>
            <w:gridSpan w:val="3"/>
            <w:tcBorders/>
            <w:vAlign w:val="center"/>
          </w:tcPr>
          <w:p>
            <w:pPr>
              <w:pStyle w:val="TableContents"/>
              <w:bidi w:val="0"/>
              <w:spacing w:before="0" w:after="283"/>
              <w:jc w:val="left"/>
              <w:rPr>
                <w:sz w:val="4"/>
                <w:szCs w:val="4"/>
              </w:rPr>
            </w:pPr>
            <w:r>
              <w:rPr>
                <w:sz w:val="4"/>
                <w:szCs w:val="4"/>
              </w:rPr>
            </w:r>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113" w:type="dxa"/>
            <w:gridSpan w:val="3"/>
            <w:tcBorders/>
            <w:vAlign w:val="center"/>
          </w:tcPr>
          <w:p>
            <w:pPr>
              <w:pStyle w:val="TableContents"/>
              <w:bidi w:val="0"/>
              <w:spacing w:before="0" w:after="283"/>
              <w:jc w:val="left"/>
              <w:rPr>
                <w:sz w:val="4"/>
                <w:szCs w:val="4"/>
              </w:rPr>
            </w:pPr>
            <w:r>
              <w:rPr>
                <w:sz w:val="4"/>
                <w:szCs w:val="4"/>
              </w:rPr>
            </w:r>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1916"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720"/>
        <w:jc w:val="left"/>
        <w:rPr/>
      </w:pPr>
      <w:r>
        <w:rPr>
          <w:rFonts w:ascii="Times New Roman;serif" w:hAnsi="Times New Roman;serif"/>
          <w:b w:val="false"/>
          <w:i/>
          <w:color w:val="000000"/>
          <w:sz w:val="12"/>
        </w:rPr>
        <w:t xml:space="preserve">(1) </w:t>
      </w:r>
      <w:r>
        <w:rPr>
          <w:rFonts w:ascii="Times New Roman;serif" w:hAnsi="Times New Roman;serif"/>
          <w:b w:val="false"/>
          <w:i/>
          <w:color w:val="000000"/>
          <w:sz w:val="18"/>
        </w:rPr>
        <w:t xml:space="preserve">The number of shares is the maximum number of shares to be sold but the actual activity may be lower. Transaction(s) may be contingent upon future events such as performance factors, tax withholding obligations, and/or future market price(s).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Rule 10b5-1(c) trading arrangements or non-Rule 10b5-1(c) trading arrangements adopted, modified or terminated by the Company's officers and directors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AAE5"/>
          <w:sz w:val="20"/>
        </w:rPr>
      </w:pPr>
      <w:r>
        <w:rPr>
          <w:rFonts w:ascii="Times New Roman;serif" w:hAnsi="Times New Roman;serif"/>
          <w:b/>
          <w:color w:val="00AAE5"/>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38"/>
        <w:gridCol w:w="2651"/>
        <w:gridCol w:w="37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65">
              <w:r>
                <w:rPr>
                  <w:rStyle w:val="InternetLink"/>
                  <w:rFonts w:ascii="Times New Roman;serif" w:hAnsi="Times New Roman;serif"/>
                  <w:b w:val="false"/>
                  <w:color w:val="0000EE"/>
                  <w:sz w:val="20"/>
                  <w:u w:val="single"/>
                </w:rPr>
                <w:t>Tenth Amended and Restated Certificate of Incorporation (incorporated by reference to Exhibit 3.1 to our Current Report on Form 8-K filed with the SEC on May 16,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6">
              <w:r>
                <w:rPr>
                  <w:rStyle w:val="InternetLink"/>
                  <w:rFonts w:ascii="Times New Roman;serif" w:hAnsi="Times New Roman;serif"/>
                  <w:b w:val="false"/>
                  <w:color w:val="0000EE"/>
                  <w:sz w:val="20"/>
                  <w:u w:val="single"/>
                </w:rPr>
                <w:t>Amended and Restated Bylaws (incorporated by reference to Exhibit 3.2 to our Form 10-K filed with the SEC on February 21,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_2025exhibitex311ceo.htm">
              <w:r>
                <w:rPr>
                  <w:rStyle w:val="InternetLink"/>
                  <w:rFonts w:ascii="Times New Roman;serif" w:hAnsi="Times New Roman;serif"/>
                  <w:b w:val="false"/>
                  <w:color w:val="0000EE"/>
                  <w:sz w:val="20"/>
                  <w:u w:val="single"/>
                </w:rPr>
                <w:t>Certification of Principal Executive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_2025exhibitex312cfo.htm">
              <w:r>
                <w:rPr>
                  <w:rStyle w:val="InternetLink"/>
                  <w:rFonts w:ascii="Times New Roman;serif" w:hAnsi="Times New Roman;serif"/>
                  <w:b w:val="false"/>
                  <w:color w:val="0000EE"/>
                  <w:sz w:val="20"/>
                  <w:u w:val="single"/>
                </w:rPr>
                <w:t>Certification of Principal Financial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_2025exhibitex321ceocfo.htm">
              <w:r>
                <w:rPr>
                  <w:rStyle w:val="InternetLink"/>
                  <w:rFonts w:ascii="Times New Roman;serif" w:hAnsi="Times New Roman;serif"/>
                  <w:b w:val="false"/>
                  <w:color w:val="0000EE"/>
                  <w:sz w:val="20"/>
                  <w:u w:val="single"/>
                </w:rPr>
                <w:t>Certification of Chief Executive Officer and Chief Financial Officer pursuant to 18 U.S.C. Sec. 1350, as adopted pursuant to Section 906 of the Sarbanes-Oxley Act of 2002 (furnished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Interactive Data Files Pursuant to Rule 405 of Regulation S-T (filed herewith).</w:t>
            </w:r>
            <w:r>
              <w:rPr>
                <w:color w:val="000000"/>
              </w:rPr>
              <w:t xml:space="preserve"> </w:t>
            </w:r>
            <w:r>
              <w:rPr>
                <w:rFonts w:ascii="Times New Roman;serif" w:hAnsi="Times New Roman;serif"/>
                <w:b w:val="false"/>
                <w:color w:val="000000"/>
                <w:sz w:val="20"/>
              </w:rPr>
              <w:t>The XBRL instance document does not appear in the Interactive Data File because its tags are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the Quarterly Report on Form 10-Q for the quarter ended September 30, 2025, formatted in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5495"/>
                <wp:effectExtent l="0" t="0" r="0" b="0"/>
                <wp:wrapNone/>
                <wp:docPr id="96" name="Frame3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7"/>
                                                <a:stretch>
                                                  <a:fillRect/>
                                                </a:stretch>
                                              </pic:blipFill>
                                              <pic:spPr bwMode="auto">
                                                <a:xfrm>
                                                  <a:off x="0" y="0"/>
                                                  <a:ext cx="266700" cy="257175"/>
                                                </a:xfrm>
                                                <a:prstGeom prst="rect">
                                                  <a:avLst/>
                                                </a:prstGeom>
                                              </pic:spPr>
                                            </pic:pic>
                                          </a:graphicData>
                                        </a:graphic>
                                      </wp:inline>
                                    </w:drawing>
                                  </w:r>
                                  <w:bookmarkStart w:id="63" w:name="i-33"/>
                                  <w:bookmarkEnd w:id="6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8"/>
                                          <a:stretch>
                                            <a:fillRect/>
                                          </a:stretch>
                                        </pic:blipFill>
                                        <pic:spPr bwMode="auto">
                                          <a:xfrm>
                                            <a:off x="0" y="0"/>
                                            <a:ext cx="266700" cy="257175"/>
                                          </a:xfrm>
                                          <a:prstGeom prst="rect">
                                            <a:avLst/>
                                          </a:prstGeom>
                                        </pic:spPr>
                                      </pic:pic>
                                    </a:graphicData>
                                  </a:graphic>
                                </wp:inline>
                              </w:drawing>
                            </w:r>
                            <w:bookmarkStart w:id="64" w:name="i-33"/>
                            <w:bookmarkEnd w:id="6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5c948455743d4247a3faad647ff398b0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09" w:type="dxa"/>
        <w:jc w:val="left"/>
        <w:tblInd w:w="0" w:type="dxa"/>
        <w:tblLayout w:type="fixed"/>
        <w:tblCellMar>
          <w:top w:w="28" w:type="dxa"/>
          <w:left w:w="28" w:type="dxa"/>
          <w:bottom w:w="28" w:type="dxa"/>
          <w:right w:w="28" w:type="dxa"/>
        </w:tblCellMar>
      </w:tblPr>
      <w:tblGrid>
        <w:gridCol w:w="726"/>
        <w:gridCol w:w="640"/>
        <w:gridCol w:w="643"/>
        <w:gridCol w:w="1315"/>
        <w:gridCol w:w="1315"/>
        <w:gridCol w:w="187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SPS COMMERCE,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NELSON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Nelson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5495"/>
                <wp:effectExtent l="0" t="0" r="0" b="0"/>
                <wp:wrapNone/>
                <wp:docPr id="99" name="Frame3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9"/>
                                                <a:stretch>
                                                  <a:fillRect/>
                                                </a:stretch>
                                              </pic:blipFill>
                                              <pic:spPr bwMode="auto">
                                                <a:xfrm>
                                                  <a:off x="0" y="0"/>
                                                  <a:ext cx="266700" cy="257175"/>
                                                </a:xfrm>
                                                <a:prstGeom prst="rect">
                                                  <a:avLst/>
                                                </a:prstGeom>
                                              </pic:spPr>
                                            </pic:pic>
                                          </a:graphicData>
                                        </a:graphic>
                                      </wp:inline>
                                    </w:drawing>
                                  </w:r>
                                  <w:bookmarkStart w:id="65" w:name="i-34"/>
                                  <w:bookmarkEnd w:id="6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6131"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1006"/>
                        <w:gridCol w:w="1006"/>
                        <w:gridCol w:w="142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70"/>
                                          <a:stretch>
                                            <a:fillRect/>
                                          </a:stretch>
                                        </pic:blipFill>
                                        <pic:spPr bwMode="auto">
                                          <a:xfrm>
                                            <a:off x="0" y="0"/>
                                            <a:ext cx="266700" cy="257175"/>
                                          </a:xfrm>
                                          <a:prstGeom prst="rect">
                                            <a:avLst/>
                                          </a:prstGeom>
                                        </pic:spPr>
                                      </pic:pic>
                                    </a:graphicData>
                                  </a:graphic>
                                </wp:inline>
                              </w:drawing>
                            </w:r>
                            <w:bookmarkStart w:id="66" w:name="i-34"/>
                            <w:bookmarkEnd w:id="6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September 30, 2025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Chadwick Collins,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102"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Kimberly Nelson,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103"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SPS Commerce, Inc. (the “Company”) for the period ended September 30, 2025,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04"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hyperlink" Target="https://www.sec.gov/Archives/edgar/data/1092699/000109269924000050/exhibit31.htm" TargetMode="External"/><Relationship Id="rId66" Type="http://schemas.openxmlformats.org/officeDocument/2006/relationships/hyperlink" Target="https://www.sec.gov/Archives/edgar/data/1092699/000109269923000006/a2022_10kxex32-bylawsclean.htm" TargetMode="External"/><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13979</Words>
  <Characters>78524</Characters>
  <CharactersWithSpaces>91092</CharactersWithSpaces>
  <Paragraphs>2746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