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4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760"/>
        <w:spacing w:after="0"/>
        <w:tabs>
          <w:tab w:leader="none" w:pos="6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3923030</wp:posOffset>
            </wp:positionH>
            <wp:positionV relativeFrom="paragraph">
              <wp:posOffset>-7620</wp:posOffset>
            </wp:positionV>
            <wp:extent cx="837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37565" cy="8255"/>
                    </a:xfrm>
                    <a:prstGeom prst="rect">
                      <a:avLst/>
                    </a:prstGeom>
                    <a:noFill/>
                  </pic:spPr>
                </pic:pic>
              </a:graphicData>
            </a:graphic>
          </wp:anchor>
        </w:drawing>
      </w:r>
    </w:p>
    <w:p>
      <w:pPr>
        <w:spacing w:after="0" w:line="8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001-34702</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SPS COMMERCE,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3288030</wp:posOffset>
            </wp:positionH>
            <wp:positionV relativeFrom="paragraph">
              <wp:posOffset>30480</wp:posOffset>
            </wp:positionV>
            <wp:extent cx="574675"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7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ectPr>
          <w:pgSz w:w="11900" w:h="16838" w:orient="portrait"/>
          <w:cols w:equalWidth="0" w:num="1">
            <w:col w:w="11240"/>
          </w:cols>
          <w:pgMar w:left="320" w:top="206" w:right="339" w:bottom="1440" w:gutter="0" w:footer="0" w:header="0"/>
        </w:sectPr>
      </w:pPr>
    </w:p>
    <w:p>
      <w:pPr>
        <w:spacing w:after="0" w:line="127"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41-2015127</w:t>
      </w:r>
    </w:p>
    <w:p>
      <w:pPr>
        <w:spacing w:after="0" w:line="31" w:lineRule="exact"/>
        <w:rPr>
          <w:sz w:val="24"/>
          <w:szCs w:val="24"/>
          <w:color w:val="auto"/>
        </w:rPr>
      </w:pPr>
    </w:p>
    <w:p>
      <w:pPr>
        <w:sectPr>
          <w:pgSz w:w="11900" w:h="16838" w:orient="portrait"/>
          <w:cols w:equalWidth="0" w:num="2">
            <w:col w:w="7280" w:space="720"/>
            <w:col w:w="3240"/>
          </w:cols>
          <w:pgMar w:left="320" w:top="206" w:right="339" w:bottom="1440" w:gutter="0" w:footer="0" w:header="0"/>
          <w:type w:val="continuous"/>
        </w:sectPr>
      </w:pPr>
    </w:p>
    <w:p>
      <w:pPr>
        <w:spacing w:after="0" w:line="19" w:lineRule="exact"/>
        <w:rPr>
          <w:sz w:val="24"/>
          <w:szCs w:val="24"/>
          <w:color w:val="auto"/>
        </w:rPr>
      </w:pPr>
    </w:p>
    <w:p>
      <w:pPr>
        <w:ind w:left="1960"/>
        <w:spacing w:after="0"/>
        <w:rPr>
          <w:sz w:val="20"/>
          <w:szCs w:val="20"/>
          <w:color w:val="auto"/>
        </w:rPr>
      </w:pPr>
      <w:r>
        <w:rPr>
          <w:rFonts w:ascii="Arial" w:cs="Arial" w:eastAsia="Arial" w:hAnsi="Arial"/>
          <w:sz w:val="12"/>
          <w:szCs w:val="12"/>
          <w:b w:val="1"/>
          <w:bCs w:val="1"/>
          <w:i w:val="1"/>
          <w:iCs w:val="1"/>
          <w:color w:val="auto"/>
        </w:rPr>
        <w:t>(State or other jurisdiction of</w:t>
      </w:r>
    </w:p>
    <w:p>
      <w:pPr>
        <w:spacing w:after="0" w:line="4" w:lineRule="exact"/>
        <w:rPr>
          <w:sz w:val="24"/>
          <w:szCs w:val="24"/>
          <w:color w:val="auto"/>
        </w:rPr>
      </w:pPr>
    </w:p>
    <w:p>
      <w:pPr>
        <w:ind w:left="1900"/>
        <w:spacing w:after="0"/>
        <w:rPr>
          <w:sz w:val="20"/>
          <w:szCs w:val="20"/>
          <w:color w:val="auto"/>
        </w:rPr>
      </w:pPr>
      <w:r>
        <w:rPr>
          <w:rFonts w:ascii="Arial" w:cs="Arial" w:eastAsia="Arial" w:hAnsi="Arial"/>
          <w:sz w:val="12"/>
          <w:szCs w:val="12"/>
          <w:b w:val="1"/>
          <w:bCs w:val="1"/>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i w:val="1"/>
          <w:iCs w:val="1"/>
          <w:color w:val="auto"/>
        </w:rPr>
        <w:t>(I.R.S. Employer</w:t>
      </w:r>
    </w:p>
    <w:p>
      <w:pPr>
        <w:jc w:val="center"/>
        <w:ind w:right="2260"/>
        <w:spacing w:after="0"/>
        <w:rPr>
          <w:sz w:val="20"/>
          <w:szCs w:val="20"/>
          <w:color w:val="auto"/>
        </w:rPr>
      </w:pPr>
      <w:r>
        <w:rPr>
          <w:rFonts w:ascii="Arial" w:cs="Arial" w:eastAsia="Arial" w:hAnsi="Arial"/>
          <w:sz w:val="13"/>
          <w:szCs w:val="13"/>
          <w:b w:val="1"/>
          <w:bCs w:val="1"/>
          <w:i w:val="1"/>
          <w:iCs w:val="1"/>
          <w:color w:val="auto"/>
        </w:rPr>
        <w:t>Identification No.)</w:t>
      </w:r>
    </w:p>
    <w:p>
      <w:pPr>
        <w:spacing w:after="0" w:line="109" w:lineRule="exact"/>
        <w:rPr>
          <w:sz w:val="24"/>
          <w:szCs w:val="24"/>
          <w:color w:val="auto"/>
        </w:rPr>
      </w:pPr>
    </w:p>
    <w:p>
      <w:pPr>
        <w:sectPr>
          <w:pgSz w:w="11900" w:h="16838" w:orient="portrait"/>
          <w:cols w:equalWidth="0" w:num="2">
            <w:col w:w="7160" w:space="720"/>
            <w:col w:w="3360"/>
          </w:cols>
          <w:pgMar w:left="320" w:top="206"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333 South Seventh Street, Suite 1000, Minneapolis, MN 55402</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of principal executive offices, including Zip Code)</w:t>
      </w:r>
    </w:p>
    <w:p>
      <w:pPr>
        <w:sectPr>
          <w:pgSz w:w="11900" w:h="16838" w:orient="portrait"/>
          <w:cols w:equalWidth="0" w:num="1">
            <w:col w:w="11240"/>
          </w:cols>
          <w:pgMar w:left="320" w:top="206" w:right="339" w:bottom="1440" w:gutter="0" w:footer="0" w:header="0"/>
          <w:type w:val="continuous"/>
        </w:sectPr>
      </w:pP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(612) 435-9400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(Registrant’s telephone number, including area code)</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2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Trading Symbol</w:t>
            </w: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360" w:type="dxa"/>
            <w:vAlign w:val="bottom"/>
            <w:gridSpan w:val="2"/>
            <w:vMerge w:val="continue"/>
          </w:tcPr>
          <w:p>
            <w:pPr>
              <w:spacing w:after="0"/>
              <w:rPr>
                <w:sz w:val="14"/>
                <w:szCs w:val="14"/>
                <w:color w:val="auto"/>
              </w:rPr>
            </w:pPr>
          </w:p>
        </w:tc>
        <w:tc>
          <w:tcPr>
            <w:tcW w:w="4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par value $0.001 per share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SPSC</w:t>
            </w:r>
          </w:p>
        </w:tc>
        <w:tc>
          <w:tcPr>
            <w:tcW w:w="120" w:type="dxa"/>
            <w:vAlign w:val="bottom"/>
          </w:tcPr>
          <w:p>
            <w:pPr>
              <w:spacing w:after="0"/>
              <w:rPr>
                <w:sz w:val="15"/>
                <w:szCs w:val="15"/>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Stock Market LLC (Nasdaq Global Market)</w:t>
            </w:r>
          </w:p>
        </w:tc>
        <w:tc>
          <w:tcPr>
            <w:tcW w:w="0" w:type="dxa"/>
            <w:vAlign w:val="bottom"/>
          </w:tcPr>
          <w:p>
            <w:pPr>
              <w:spacing w:after="0"/>
              <w:rPr>
                <w:sz w:val="1"/>
                <w:szCs w:val="1"/>
                <w:color w:val="auto"/>
              </w:rPr>
            </w:pPr>
          </w:p>
        </w:tc>
      </w:tr>
    </w:tbl>
    <w:p>
      <w:pPr>
        <w:spacing w:after="0" w:line="78" w:lineRule="exact"/>
        <w:rPr>
          <w:sz w:val="24"/>
          <w:szCs w:val="24"/>
          <w:color w:val="auto"/>
        </w:rPr>
      </w:pPr>
    </w:p>
    <w:p>
      <w:pPr>
        <w:jc w:val="both"/>
        <w:spacing w:after="0" w:line="284"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3"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60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294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98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5060" w:type="dxa"/>
            <w:vAlign w:val="bottom"/>
          </w:tcPr>
          <w:p>
            <w:pPr>
              <w:ind w:left="2940"/>
              <w:spacing w:after="0"/>
              <w:rPr>
                <w:sz w:val="20"/>
                <w:szCs w:val="20"/>
                <w:color w:val="auto"/>
              </w:rPr>
            </w:pPr>
            <w:r>
              <w:rPr>
                <w:rFonts w:ascii="Arial" w:cs="Arial" w:eastAsia="Arial" w:hAnsi="Arial"/>
                <w:sz w:val="16"/>
                <w:szCs w:val="16"/>
                <w:color w:val="auto"/>
              </w:rPr>
              <w:t>Emerging growth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3"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right="2400"/>
        <w:spacing w:after="0" w:line="27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number of shares of the registrant’s common stock, par value $0.001 per share, outstanding at October 21, 2021 was 35,964,238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197485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06" w:right="339" w:bottom="1440" w:gutter="0" w:footer="0" w:header="0"/>
          <w:type w:val="continuous"/>
        </w:sectPr>
      </w:pPr>
    </w:p>
    <w:bookmarkStart w:id="1" w:name="page2"/>
    <w:bookmarkEnd w:id="1"/>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6100" w:type="dxa"/>
            <w:vAlign w:val="bottom"/>
            <w:gridSpan w:val="11"/>
            <w:vMerge w:val="restart"/>
          </w:tcPr>
          <w:p>
            <w:pPr>
              <w:spacing w:after="0"/>
              <w:rPr>
                <w:sz w:val="20"/>
                <w:szCs w:val="20"/>
                <w:color w:val="auto"/>
              </w:rPr>
            </w:pPr>
          </w:p>
        </w:tc>
        <w:tc>
          <w:tcPr>
            <w:tcW w:w="20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1"/>
        </w:trPr>
        <w:tc>
          <w:tcPr>
            <w:tcW w:w="3080" w:type="dxa"/>
            <w:vAlign w:val="bottom"/>
            <w:tcBorders>
              <w:bottom w:val="single" w:sz="8" w:color="0000EE"/>
            </w:tcBorders>
            <w:gridSpan w:val="9"/>
            <w:vMerge w:val="continue"/>
          </w:tcPr>
          <w:p>
            <w:pPr>
              <w:spacing w:after="0"/>
              <w:rPr>
                <w:sz w:val="15"/>
                <w:szCs w:val="15"/>
                <w:color w:val="auto"/>
              </w:rPr>
            </w:pPr>
          </w:p>
        </w:tc>
        <w:tc>
          <w:tcPr>
            <w:tcW w:w="6100" w:type="dxa"/>
            <w:vAlign w:val="bottom"/>
            <w:gridSpan w:val="11"/>
            <w:vMerge w:val="continue"/>
          </w:tcPr>
          <w:p>
            <w:pPr>
              <w:spacing w:after="0"/>
              <w:rPr>
                <w:sz w:val="15"/>
                <w:szCs w:val="15"/>
                <w:color w:val="auto"/>
              </w:rPr>
            </w:pP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780" w:type="dxa"/>
            <w:vAlign w:val="bottom"/>
            <w:gridSpan w:val="9"/>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4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220" w:type="dxa"/>
            <w:vAlign w:val="bottom"/>
            <w:gridSpan w:val="8"/>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160" w:type="dxa"/>
            <w:vAlign w:val="bottom"/>
            <w:gridSpan w:val="1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17"/>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Stockholders’ Equity</w:t>
              </w:r>
            </w:hyperlink>
          </w:p>
        </w:tc>
        <w:tc>
          <w:tcPr>
            <w:tcW w:w="280" w:type="dxa"/>
            <w:vAlign w:val="bottom"/>
            <w:tcBorders>
              <w:top w:val="single" w:sz="8" w:color="0000EE"/>
            </w:tcBorders>
            <w:gridSpan w:val="3"/>
          </w:tcPr>
          <w:p>
            <w:pPr>
              <w:spacing w:after="0"/>
              <w:rPr>
                <w:sz w:val="24"/>
                <w:szCs w:val="24"/>
                <w:color w:val="auto"/>
              </w:rPr>
            </w:pPr>
          </w:p>
        </w:tc>
        <w:tc>
          <w:tcPr>
            <w:tcW w:w="3580" w:type="dxa"/>
            <w:vAlign w:val="bottom"/>
            <w:gridSpan w:val="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4440" w:type="dxa"/>
            <w:vAlign w:val="bottom"/>
            <w:gridSpan w:val="7"/>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18"/>
        </w:trPr>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160" w:type="dxa"/>
            <w:vAlign w:val="bottom"/>
            <w:gridSpan w:val="6"/>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Quantitative and Qualitative Disclosures About Market Risk</w:t>
              </w:r>
            </w:hyperlink>
          </w:p>
        </w:tc>
        <w:tc>
          <w:tcPr>
            <w:tcW w:w="3800" w:type="dxa"/>
            <w:vAlign w:val="bottom"/>
            <w:gridSpan w:val="3"/>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Controls and Procedures</w:t>
              </w:r>
            </w:hyperlink>
          </w:p>
        </w:tc>
        <w:tc>
          <w:tcPr>
            <w:tcW w:w="6380" w:type="dxa"/>
            <w:vAlign w:val="bottom"/>
            <w:gridSpan w:val="12"/>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18"/>
        </w:trPr>
        <w:tc>
          <w:tcPr>
            <w:tcW w:w="2780" w:type="dxa"/>
            <w:vAlign w:val="bottom"/>
            <w:tcBorders>
              <w:bottom w:val="single" w:sz="8" w:color="0000EE"/>
            </w:tcBorders>
            <w:gridSpan w:val="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6400" w:type="dxa"/>
            <w:vAlign w:val="bottom"/>
            <w:gridSpan w:val="13"/>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Legal Proceedings</w:t>
              </w:r>
            </w:hyperlink>
          </w:p>
        </w:tc>
        <w:tc>
          <w:tcPr>
            <w:tcW w:w="6820" w:type="dxa"/>
            <w:vAlign w:val="bottom"/>
            <w:gridSpan w:val="1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1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4"/>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3820" w:type="dxa"/>
            <w:vAlign w:val="bottom"/>
            <w:gridSpan w:val="4"/>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10"/>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Other Information</w:t>
              </w:r>
            </w:hyperlink>
          </w:p>
        </w:tc>
        <w:tc>
          <w:tcPr>
            <w:tcW w:w="6840" w:type="dxa"/>
            <w:vAlign w:val="bottom"/>
            <w:gridSpan w:val="15"/>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1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2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8"/>
        </w:trPr>
        <w:tc>
          <w:tcPr>
            <w:tcW w:w="1020" w:type="dxa"/>
            <w:vAlign w:val="bottom"/>
            <w:gridSpan w:val="2"/>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Unless the context otherwise requires, for purposes of the Quarterly Report on Form 10-Q, the words “we,” “us,” “our,” the “Company,” “SPS,” and “SPS Commerce” refer to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205740" cy="20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 w:name="page3"/>
    <w:bookmarkEnd w:id="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 – FINANCIAL INFORMATION</w:t>
      </w:r>
    </w:p>
    <w:p>
      <w:pPr>
        <w:spacing w:after="0" w:line="22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55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 except shares)</w:t>
            </w:r>
          </w:p>
        </w:tc>
        <w:tc>
          <w:tcPr>
            <w:tcW w:w="2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3480"/>
              <w:spacing w:after="0"/>
              <w:rPr>
                <w:sz w:val="20"/>
                <w:szCs w:val="20"/>
                <w:color w:val="auto"/>
              </w:rPr>
            </w:pPr>
            <w:r>
              <w:rPr>
                <w:rFonts w:ascii="Arial" w:cs="Arial" w:eastAsia="Arial" w:hAnsi="Arial"/>
                <w:sz w:val="16"/>
                <w:szCs w:val="16"/>
                <w:b w:val="1"/>
                <w:bCs w:val="1"/>
                <w:color w:val="auto"/>
              </w:rPr>
              <w:t>ASSETS</w:t>
            </w:r>
          </w:p>
        </w:tc>
        <w:tc>
          <w:tcPr>
            <w:tcW w:w="2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340"/>
              <w:spacing w:after="0"/>
              <w:rPr>
                <w:sz w:val="20"/>
                <w:szCs w:val="20"/>
                <w:color w:val="auto"/>
              </w:rPr>
            </w:pPr>
            <w:r>
              <w:rPr>
                <w:rFonts w:ascii="Arial" w:cs="Arial" w:eastAsia="Arial" w:hAnsi="Arial"/>
                <w:sz w:val="16"/>
                <w:szCs w:val="16"/>
                <w:color w:val="auto"/>
                <w:w w:val="93"/>
              </w:rPr>
              <w:t>(unaudited)</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CURRENT ASSETS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2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195,803</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56,183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39,934</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80"/>
              <w:spacing w:after="0"/>
              <w:rPr>
                <w:sz w:val="20"/>
                <w:szCs w:val="20"/>
                <w:color w:val="auto"/>
              </w:rPr>
            </w:pPr>
            <w:r>
              <w:rPr>
                <w:rFonts w:ascii="Arial" w:cs="Arial" w:eastAsia="Arial" w:hAnsi="Arial"/>
                <w:sz w:val="16"/>
                <w:szCs w:val="16"/>
                <w:color w:val="auto"/>
              </w:rPr>
              <w:t>Allowance for credit losses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(4,604)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3"/>
        </w:trPr>
        <w:tc>
          <w:tcPr>
            <w:tcW w:w="5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2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35,330</w:t>
            </w: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33,578</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costs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41,593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w:t>
            </w:r>
          </w:p>
        </w:tc>
        <w:tc>
          <w:tcPr>
            <w:tcW w:w="2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14,346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5580" w:type="dxa"/>
            <w:vAlign w:val="bottom"/>
          </w:tcPr>
          <w:p>
            <w:pPr>
              <w:ind w:left="500"/>
              <w:spacing w:after="0"/>
              <w:rPr>
                <w:sz w:val="20"/>
                <w:szCs w:val="20"/>
                <w:color w:val="auto"/>
              </w:rPr>
            </w:pPr>
            <w:r>
              <w:rPr>
                <w:rFonts w:ascii="Arial" w:cs="Arial" w:eastAsia="Arial" w:hAnsi="Arial"/>
                <w:sz w:val="16"/>
                <w:szCs w:val="16"/>
                <w:color w:val="auto"/>
              </w:rPr>
              <w:t>Total current assets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343,255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271,356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8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PROPERTY AND EQUIPMENT, less accumulated depreciation of $70,663 and $59,152, respectively</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31,036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12,665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15,581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134,680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134,853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INTANGIBLE ASSETS, net</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52,471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60,230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OTHER ASSETS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costs, non-current</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income tax assets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assets, non-current</w:t>
            </w:r>
          </w:p>
        </w:tc>
        <w:tc>
          <w:tcPr>
            <w:tcW w:w="2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8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2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591,283</w:t>
            </w:r>
          </w:p>
        </w:tc>
        <w:tc>
          <w:tcPr>
            <w:tcW w:w="100" w:type="dxa"/>
            <w:vAlign w:val="bottom"/>
          </w:tcPr>
          <w:p>
            <w:pPr>
              <w:spacing w:after="0"/>
              <w:rPr>
                <w:sz w:val="21"/>
                <w:szCs w:val="21"/>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580" w:type="dxa"/>
            <w:vAlign w:val="bottom"/>
            <w:tcBorders>
              <w:top w:val="single" w:sz="8" w:color="CFF0FC"/>
            </w:tcBorders>
            <w:shd w:val="clear" w:color="auto" w:fill="CFF0FC"/>
          </w:tcPr>
          <w:p>
            <w:pPr>
              <w:ind w:left="2020"/>
              <w:spacing w:after="0"/>
              <w:rPr>
                <w:sz w:val="20"/>
                <w:szCs w:val="20"/>
                <w:color w:val="auto"/>
              </w:rPr>
            </w:pPr>
            <w:r>
              <w:rPr>
                <w:rFonts w:ascii="Arial" w:cs="Arial" w:eastAsia="Arial" w:hAnsi="Arial"/>
                <w:sz w:val="16"/>
                <w:szCs w:val="16"/>
                <w:b w:val="1"/>
                <w:bCs w:val="1"/>
                <w:color w:val="auto"/>
              </w:rPr>
              <w:t>LIABILITIES AND STOCKHOLDERS’ EQUITY</w:t>
            </w:r>
          </w:p>
        </w:tc>
        <w:tc>
          <w:tcPr>
            <w:tcW w:w="2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80" w:type="dxa"/>
            <w:vAlign w:val="bottom"/>
          </w:tcPr>
          <w:p>
            <w:pPr>
              <w:spacing w:after="0"/>
              <w:rPr>
                <w:sz w:val="20"/>
                <w:szCs w:val="20"/>
                <w:color w:val="auto"/>
              </w:rPr>
            </w:pPr>
            <w:r>
              <w:rPr>
                <w:rFonts w:ascii="Arial" w:cs="Arial" w:eastAsia="Arial" w:hAnsi="Arial"/>
                <w:sz w:val="16"/>
                <w:szCs w:val="16"/>
                <w:color w:val="auto"/>
              </w:rPr>
              <w:t>CURRENT LIABILITIES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2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Accrued compensation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30,986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Accrued expenses</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7,110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revenue</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49,185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37,947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w:t>
            </w:r>
          </w:p>
        </w:tc>
        <w:tc>
          <w:tcPr>
            <w:tcW w:w="2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80" w:type="dxa"/>
            <w:vAlign w:val="bottom"/>
          </w:tcPr>
          <w:p>
            <w:pPr>
              <w:ind w:left="500"/>
              <w:spacing w:after="0"/>
              <w:rPr>
                <w:sz w:val="20"/>
                <w:szCs w:val="20"/>
                <w:color w:val="auto"/>
              </w:rPr>
            </w:pPr>
            <w:r>
              <w:rPr>
                <w:rFonts w:ascii="Arial" w:cs="Arial" w:eastAsia="Arial" w:hAnsi="Arial"/>
                <w:sz w:val="16"/>
                <w:szCs w:val="16"/>
                <w:color w:val="auto"/>
              </w:rPr>
              <w:t>Total current liabilities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94,928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80,132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Deferred revenue, non-current</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Operating lease liabilities, non-current</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16,697</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income tax liabilities</w:t>
            </w:r>
          </w:p>
        </w:tc>
        <w:tc>
          <w:tcPr>
            <w:tcW w:w="2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3,971</w:t>
            </w: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liabilities</w:t>
            </w:r>
          </w:p>
        </w:tc>
        <w:tc>
          <w:tcPr>
            <w:tcW w:w="2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120,755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105,737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58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80" w:type="dxa"/>
            <w:vAlign w:val="bottom"/>
            <w:gridSpan w:val="3"/>
          </w:tcPr>
          <w:p>
            <w:pPr>
              <w:ind w:left="260"/>
              <w:spacing w:after="0"/>
              <w:rPr>
                <w:sz w:val="20"/>
                <w:szCs w:val="20"/>
                <w:color w:val="auto"/>
              </w:rPr>
            </w:pPr>
            <w:r>
              <w:rPr>
                <w:rFonts w:ascii="Arial" w:cs="Arial" w:eastAsia="Arial" w:hAnsi="Arial"/>
                <w:sz w:val="16"/>
                <w:szCs w:val="16"/>
                <w:color w:val="auto"/>
              </w:rPr>
              <w:t>Preferred stock, $0.001 par value; 5,000,000 shares authorized; 0 shares issued and outstanding</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8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w w:val="95"/>
              </w:rPr>
              <w:t>Common stock, $0.001 par value; 110,000,000 shares authorized; 37,683,302 and 37,100,467 shares issued; and</w:t>
            </w: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35,964,238 and 35,487,217 shares outstanding, respectively</w:t>
            </w:r>
          </w:p>
        </w:tc>
        <w:tc>
          <w:tcPr>
            <w:tcW w:w="2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Treasury Stock, at cost; 1,719,064 and 1,613,250 shares, respectively</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6"/>
                <w:szCs w:val="16"/>
                <w:color w:val="auto"/>
              </w:rPr>
              <w:t>(75,908)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(65,247)</w:t>
            </w: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Additional paid-in capital</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422,670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393,462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260"/>
              <w:spacing w:after="0"/>
              <w:rPr>
                <w:sz w:val="20"/>
                <w:szCs w:val="20"/>
                <w:color w:val="auto"/>
              </w:rPr>
            </w:pPr>
            <w:r>
              <w:rPr>
                <w:rFonts w:ascii="Arial" w:cs="Arial" w:eastAsia="Arial" w:hAnsi="Arial"/>
                <w:sz w:val="16"/>
                <w:szCs w:val="16"/>
                <w:color w:val="auto"/>
              </w:rPr>
              <w:t>Retained earnings</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93,490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Accumulated other comprehensive loss</w:t>
            </w:r>
          </w:p>
        </w:tc>
        <w:tc>
          <w:tcPr>
            <w:tcW w:w="2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(1,594)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(1,021)</w:t>
            </w:r>
          </w:p>
        </w:tc>
        <w:tc>
          <w:tcPr>
            <w:tcW w:w="0" w:type="dxa"/>
            <w:vAlign w:val="bottom"/>
          </w:tcPr>
          <w:p>
            <w:pPr>
              <w:spacing w:after="0"/>
              <w:rPr>
                <w:sz w:val="1"/>
                <w:szCs w:val="1"/>
                <w:color w:val="auto"/>
              </w:rPr>
            </w:pPr>
          </w:p>
        </w:tc>
      </w:tr>
      <w:tr>
        <w:trPr>
          <w:trHeight w:val="206"/>
        </w:trPr>
        <w:tc>
          <w:tcPr>
            <w:tcW w:w="55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stockholders’ equity</w:t>
            </w:r>
          </w:p>
        </w:tc>
        <w:tc>
          <w:tcPr>
            <w:tcW w:w="218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470,528</w:t>
            </w:r>
          </w:p>
        </w:tc>
        <w:tc>
          <w:tcPr>
            <w:tcW w:w="100" w:type="dxa"/>
            <w:vAlign w:val="bottom"/>
            <w:tcBorders>
              <w:bottom w:val="single" w:sz="8" w:color="CFF0FC"/>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420,721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 and stockholders’ equity</w:t>
            </w:r>
          </w:p>
        </w:tc>
        <w:tc>
          <w:tcPr>
            <w:tcW w:w="2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591,283</w:t>
            </w:r>
          </w:p>
        </w:tc>
        <w:tc>
          <w:tcPr>
            <w:tcW w:w="10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526,458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FF0FC"/>
              <w:bottom w:val="single" w:sz="8" w:color="CFF0FC"/>
            </w:tcBorders>
            <w:gridSpan w:val="2"/>
            <w:vMerge w:val="restart"/>
          </w:tcPr>
          <w:p>
            <w:pPr>
              <w:ind w:left="3360"/>
              <w:spacing w:after="0"/>
              <w:rPr>
                <w:sz w:val="20"/>
                <w:szCs w:val="20"/>
                <w:color w:val="auto"/>
              </w:rPr>
            </w:pPr>
            <w:r>
              <w:rPr>
                <w:rFonts w:ascii="Arial" w:cs="Arial" w:eastAsia="Arial" w:hAnsi="Arial"/>
                <w:sz w:val="14"/>
                <w:szCs w:val="14"/>
                <w:color w:val="auto"/>
                <w:w w:val="88"/>
              </w:rPr>
              <w:t>See accompanying notes to these condensed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77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8"/>
        </w:trPr>
        <w:tc>
          <w:tcPr>
            <w:tcW w:w="5580" w:type="dxa"/>
            <w:vAlign w:val="bottom"/>
          </w:tcPr>
          <w:p>
            <w:pPr>
              <w:ind w:left="480"/>
              <w:spacing w:after="0"/>
              <w:rPr>
                <w:sz w:val="20"/>
                <w:szCs w:val="20"/>
                <w:color w:val="auto"/>
              </w:rPr>
            </w:pPr>
            <w:r>
              <w:rPr>
                <w:rFonts w:ascii="Arial" w:cs="Arial" w:eastAsia="Arial" w:hAnsi="Arial"/>
                <w:sz w:val="14"/>
                <w:szCs w:val="14"/>
                <w:b w:val="1"/>
                <w:bCs w:val="1"/>
                <w:color w:val="auto"/>
              </w:rPr>
              <w:t>SPS COMMERCE, INC.</w:t>
            </w:r>
          </w:p>
        </w:tc>
        <w:tc>
          <w:tcPr>
            <w:tcW w:w="2180" w:type="dxa"/>
            <w:vAlign w:val="bottom"/>
          </w:tcPr>
          <w:p>
            <w:pPr>
              <w:jc w:val="right"/>
              <w:ind w:right="2021"/>
              <w:spacing w:after="0"/>
              <w:rPr>
                <w:sz w:val="20"/>
                <w:szCs w:val="20"/>
                <w:color w:val="auto"/>
              </w:rPr>
            </w:pPr>
            <w:r>
              <w:rPr>
                <w:rFonts w:ascii="Arial" w:cs="Arial" w:eastAsia="Arial" w:hAnsi="Arial"/>
                <w:sz w:val="14"/>
                <w:szCs w:val="14"/>
                <w:color w:val="auto"/>
                <w:w w:val="76"/>
              </w:rPr>
              <w:t>3</w:t>
            </w:r>
          </w:p>
        </w:tc>
        <w:tc>
          <w:tcPr>
            <w:tcW w:w="220" w:type="dxa"/>
            <w:vAlign w:val="bottom"/>
          </w:tcPr>
          <w:p>
            <w:pPr>
              <w:spacing w:after="0"/>
              <w:rPr>
                <w:sz w:val="24"/>
                <w:szCs w:val="24"/>
                <w:color w:val="auto"/>
              </w:rPr>
            </w:pPr>
          </w:p>
        </w:tc>
        <w:tc>
          <w:tcPr>
            <w:tcW w:w="3260" w:type="dxa"/>
            <w:vAlign w:val="bottom"/>
            <w:gridSpan w:val="6"/>
          </w:tcPr>
          <w:p>
            <w:pPr>
              <w:jc w:val="right"/>
              <w:spacing w:after="0"/>
              <w:rPr>
                <w:sz w:val="20"/>
                <w:szCs w:val="20"/>
                <w:color w:val="auto"/>
              </w:rPr>
            </w:pPr>
            <w:r>
              <w:rPr>
                <w:rFonts w:ascii="Arial" w:cs="Arial" w:eastAsia="Arial" w:hAnsi="Arial"/>
                <w:sz w:val="11"/>
                <w:szCs w:val="11"/>
                <w:b w:val="1"/>
                <w:bCs w:val="1"/>
                <w:color w:val="auto"/>
              </w:rPr>
              <w:t>Form 10-Q for the Quarterly Period ended September 30, 2021</w:t>
            </w:r>
          </w:p>
        </w:tc>
        <w:tc>
          <w:tcPr>
            <w:tcW w:w="0" w:type="dxa"/>
            <w:vAlign w:val="bottom"/>
          </w:tcPr>
          <w:p>
            <w:pPr>
              <w:spacing w:after="0"/>
              <w:rPr>
                <w:sz w:val="1"/>
                <w:szCs w:val="1"/>
                <w:color w:val="auto"/>
              </w:rPr>
            </w:pPr>
          </w:p>
        </w:tc>
      </w:tr>
      <w:tr>
        <w:trPr>
          <w:trHeight w:val="168"/>
        </w:trPr>
        <w:tc>
          <w:tcPr>
            <w:tcW w:w="55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3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3" w:name="page4"/>
    <w:bookmarkEnd w:id="3"/>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SPS COMMERCE,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 (unaudited)</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97,887</w:t>
            </w: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79,557</w:t>
            </w: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282,520</w:t>
            </w:r>
          </w:p>
        </w:tc>
        <w:tc>
          <w:tcPr>
            <w:tcW w:w="160" w:type="dxa"/>
            <w:vAlign w:val="bottom"/>
            <w:shd w:val="clear" w:color="auto" w:fill="CFF0FC"/>
          </w:tcPr>
          <w:p>
            <w:pPr>
              <w:spacing w:after="0"/>
              <w:rPr>
                <w:sz w:val="20"/>
                <w:szCs w:val="20"/>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63,544</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54,512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186,477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10,854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8,053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28,459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50,023</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119,806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13,954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(716)</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(1,424)</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14,377</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(968)</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5"/>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Unrealized gain (loss) on investments, net of tax of ($9), ($21), ($36) and</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$6, respectively</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w:t>
            </w:r>
          </w:p>
        </w:tc>
        <w:tc>
          <w:tcPr>
            <w:tcW w:w="36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w:t>
            </w:r>
          </w:p>
        </w:tc>
        <w:tc>
          <w:tcPr>
            <w:tcW w:w="26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40" w:type="dxa"/>
            <w:vAlign w:val="bottom"/>
          </w:tcPr>
          <w:p>
            <w:pPr>
              <w:ind w:left="260"/>
              <w:spacing w:after="0"/>
              <w:rPr>
                <w:sz w:val="20"/>
                <w:szCs w:val="20"/>
                <w:color w:val="auto"/>
              </w:rPr>
            </w:pPr>
            <w:r>
              <w:rPr>
                <w:rFonts w:ascii="Arial" w:cs="Arial" w:eastAsia="Arial" w:hAnsi="Arial"/>
                <w:sz w:val="18"/>
                <w:szCs w:val="18"/>
                <w:color w:val="auto"/>
                <w:w w:val="97"/>
              </w:rPr>
              <w:t>Reclassification of (gain) loss on investments into earnings, net of tax of</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$16, $2, $46 and ($51), respectively</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comprehensive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(947)</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10,502</w:t>
            </w:r>
          </w:p>
        </w:tc>
        <w:tc>
          <w:tcPr>
            <w:tcW w:w="24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w:t>
            </w:r>
          </w:p>
        </w:tc>
        <w:tc>
          <w:tcPr>
            <w:tcW w:w="2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31,259</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31,205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0.86</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w w:val="98"/>
              </w:rPr>
              <w:t>Weighted average common shares used to compute net income per share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37,015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36,366</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36,898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36,137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4</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3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Borders>
              <w:bottom w:val="single" w:sz="8" w:color="0000EE"/>
            </w:tcBorders>
            <w:gridSpan w:val="3"/>
          </w:tcPr>
          <w:p>
            <w:pPr>
              <w:jc w:val="center"/>
              <w:spacing w:after="0"/>
              <w:rPr>
                <w:rFonts w:ascii="Arial" w:cs="Arial" w:eastAsia="Arial" w:hAnsi="Arial"/>
                <w:sz w:val="13"/>
                <w:szCs w:val="13"/>
                <w:color w:val="0000EE"/>
                <w:w w:val="93"/>
              </w:rPr>
            </w:pPr>
            <w:hyperlink w:anchor="page2">
              <w:r>
                <w:rPr>
                  <w:rFonts w:ascii="Arial" w:cs="Arial" w:eastAsia="Arial" w:hAnsi="Arial"/>
                  <w:sz w:val="13"/>
                  <w:szCs w:val="13"/>
                  <w:color w:val="0000EE"/>
                  <w:w w:val="93"/>
                </w:rPr>
                <w:t>Table of Contents</w:t>
              </w:r>
            </w:hyperlink>
          </w:p>
        </w:tc>
        <w:tc>
          <w:tcPr>
            <w:tcW w:w="0" w:type="dxa"/>
            <w:vAlign w:val="bottom"/>
          </w:tcPr>
          <w:p>
            <w:pPr>
              <w:spacing w:after="0"/>
              <w:rPr>
                <w:sz w:val="1"/>
                <w:szCs w:val="1"/>
                <w:color w:val="auto"/>
              </w:rPr>
            </w:pPr>
          </w:p>
        </w:tc>
      </w:tr>
      <w:tr>
        <w:trPr>
          <w:trHeight w:val="407"/>
        </w:trPr>
        <w:tc>
          <w:tcPr>
            <w:tcW w:w="3640" w:type="dxa"/>
            <w:vAlign w:val="bottom"/>
          </w:tcPr>
          <w:p>
            <w:pPr>
              <w:spacing w:after="0"/>
              <w:rPr>
                <w:sz w:val="24"/>
                <w:szCs w:val="24"/>
                <w:color w:val="auto"/>
              </w:rPr>
            </w:pPr>
          </w:p>
        </w:tc>
        <w:tc>
          <w:tcPr>
            <w:tcW w:w="3880" w:type="dxa"/>
            <w:vAlign w:val="bottom"/>
            <w:gridSpan w:val="13"/>
          </w:tcPr>
          <w:p>
            <w:pPr>
              <w:jc w:val="right"/>
              <w:spacing w:after="0"/>
              <w:rPr>
                <w:sz w:val="20"/>
                <w:szCs w:val="20"/>
                <w:color w:val="auto"/>
              </w:rPr>
            </w:pPr>
            <w:r>
              <w:rPr>
                <w:rFonts w:ascii="Arial" w:cs="Arial" w:eastAsia="Arial" w:hAnsi="Arial"/>
                <w:sz w:val="18"/>
                <w:szCs w:val="18"/>
                <w:b w:val="1"/>
                <w:bCs w:val="1"/>
                <w:color w:val="auto"/>
              </w:rPr>
              <w:t>SPS COMMERCE, INC. AND SUBSIDIARIES</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160" w:type="dxa"/>
            <w:vAlign w:val="bottom"/>
            <w:gridSpan w:val="19"/>
          </w:tcPr>
          <w:p>
            <w:pPr>
              <w:ind w:left="2360"/>
              <w:spacing w:after="0"/>
              <w:rPr>
                <w:sz w:val="20"/>
                <w:szCs w:val="20"/>
                <w:color w:val="auto"/>
              </w:rPr>
            </w:pPr>
            <w:r>
              <w:rPr>
                <w:rFonts w:ascii="Arial" w:cs="Arial" w:eastAsia="Arial" w:hAnsi="Arial"/>
                <w:sz w:val="18"/>
                <w:szCs w:val="18"/>
                <w:b w:val="1"/>
                <w:bCs w:val="1"/>
                <w:color w:val="auto"/>
              </w:rPr>
              <w:t>CONDENSED CONSOLIDATED STATEMENTS OF STOCKHOLDERS’ EQUITY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jc w:val="center"/>
              <w:ind w:right="101"/>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1"/>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Retained</w:t>
            </w:r>
          </w:p>
        </w:tc>
        <w:tc>
          <w:tcPr>
            <w:tcW w:w="11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3640" w:type="dxa"/>
            <w:vAlign w:val="bottom"/>
            <w:tcBorders>
              <w:bottom w:val="single" w:sz="8" w:color="CCF0FC"/>
            </w:tcBorders>
          </w:tcPr>
          <w:p>
            <w:pPr>
              <w:spacing w:after="0"/>
              <w:rPr>
                <w:sz w:val="20"/>
                <w:szCs w:val="20"/>
                <w:color w:val="auto"/>
              </w:rPr>
            </w:pPr>
            <w:r>
              <w:rPr>
                <w:rFonts w:ascii="Arial" w:cs="Arial" w:eastAsia="Arial" w:hAnsi="Arial"/>
                <w:sz w:val="13"/>
                <w:szCs w:val="13"/>
                <w:b w:val="1"/>
                <w:bCs w:val="1"/>
                <w:color w:val="auto"/>
              </w:rPr>
              <w:t>(in thousands, except shares) (unaudited)</w:t>
            </w: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June 30, 2020</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35,126,118</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(65,247)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373,686</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68,613</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(3,779)</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373,310</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bottom w:val="single" w:sz="8" w:color="CCF0FC"/>
            </w:tcBorders>
            <w:vMerge w:val="restart"/>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vMerge w:val="continue"/>
          </w:tcPr>
          <w:p>
            <w:pPr>
              <w:spacing w:after="0"/>
              <w:rPr>
                <w:sz w:val="12"/>
                <w:szCs w:val="12"/>
                <w:color w:val="auto"/>
              </w:rPr>
            </w:pPr>
          </w:p>
        </w:tc>
        <w:tc>
          <w:tcPr>
            <w:tcW w:w="9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4,494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
              <w:spacing w:after="0" w:line="143" w:lineRule="exact"/>
              <w:rPr>
                <w:sz w:val="20"/>
                <w:szCs w:val="20"/>
                <w:color w:val="auto"/>
              </w:rPr>
            </w:pPr>
            <w:r>
              <w:rPr>
                <w:rFonts w:ascii="Arial" w:cs="Arial" w:eastAsia="Arial" w:hAnsi="Arial"/>
                <w:sz w:val="13"/>
                <w:szCs w:val="13"/>
                <w:color w:val="auto"/>
              </w:rPr>
              <w:t>4,494</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163,478</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4,717</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4,717</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2,010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95</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11,407</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11,407</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969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969</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Unrealized loss on investments, net of tax</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62"/>
        </w:trPr>
        <w:tc>
          <w:tcPr>
            <w:tcW w:w="3640" w:type="dxa"/>
            <w:vAlign w:val="bottom"/>
            <w:tcBorders>
              <w:bottom w:val="single" w:sz="8" w:color="CCF0FC"/>
            </w:tcBorders>
          </w:tcPr>
          <w:p>
            <w:pPr>
              <w:spacing w:after="0"/>
              <w:rPr>
                <w:sz w:val="20"/>
                <w:szCs w:val="20"/>
                <w:color w:val="auto"/>
              </w:rPr>
            </w:pPr>
            <w:r>
              <w:rPr>
                <w:rFonts w:ascii="Arial" w:cs="Arial" w:eastAsia="Arial" w:hAnsi="Arial"/>
                <w:sz w:val="13"/>
                <w:szCs w:val="13"/>
                <w:color w:val="auto"/>
              </w:rPr>
              <w:t>Reclassification of loss on investments into earnings, net of tax</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4"/>
                <w:szCs w:val="14"/>
                <w:color w:val="auto"/>
              </w:rPr>
            </w:pPr>
          </w:p>
        </w:tc>
        <w:tc>
          <w:tcPr>
            <w:tcW w:w="8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F0FC"/>
            </w:tcBorders>
          </w:tcPr>
          <w:p>
            <w:pPr>
              <w:spacing w:after="0"/>
              <w:rPr>
                <w:sz w:val="14"/>
                <w:szCs w:val="14"/>
                <w:color w:val="auto"/>
              </w:rPr>
            </w:pPr>
          </w:p>
        </w:tc>
        <w:tc>
          <w:tcPr>
            <w:tcW w:w="80" w:type="dxa"/>
            <w:vAlign w:val="bottom"/>
            <w:tcBorders>
              <w:bottom w:val="single" w:sz="8" w:color="CC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C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F0FC"/>
            </w:tcBorders>
          </w:tcPr>
          <w:p>
            <w:pPr>
              <w:spacing w:after="0"/>
              <w:rPr>
                <w:sz w:val="14"/>
                <w:szCs w:val="14"/>
                <w:color w:val="auto"/>
              </w:rPr>
            </w:pPr>
          </w:p>
        </w:tc>
        <w:tc>
          <w:tcPr>
            <w:tcW w:w="100" w:type="dxa"/>
            <w:vAlign w:val="bottom"/>
            <w:tcBorders>
              <w:bottom w:val="single" w:sz="8" w:color="CC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F0FC"/>
            </w:tcBorders>
          </w:tcPr>
          <w:p>
            <w:pPr>
              <w:spacing w:after="0"/>
              <w:rPr>
                <w:sz w:val="14"/>
                <w:szCs w:val="14"/>
                <w:color w:val="auto"/>
              </w:rPr>
            </w:pPr>
          </w:p>
        </w:tc>
        <w:tc>
          <w:tcPr>
            <w:tcW w:w="100" w:type="dxa"/>
            <w:vAlign w:val="bottom"/>
            <w:tcBorders>
              <w:bottom w:val="single" w:sz="8" w:color="CC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September 30, 2020</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35,291,606</w:t>
            </w:r>
          </w:p>
        </w:tc>
        <w:tc>
          <w:tcPr>
            <w:tcW w:w="140" w:type="dxa"/>
            <w:vAlign w:val="bottom"/>
            <w:shd w:val="clear" w:color="auto" w:fill="CCF0FC"/>
          </w:tcPr>
          <w:p>
            <w:pPr>
              <w:spacing w:after="0"/>
              <w:rPr>
                <w:sz w:val="13"/>
                <w:szCs w:val="13"/>
                <w:color w:val="auto"/>
              </w:rPr>
            </w:pP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30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(65,247)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382,992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80,020</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(2,862)</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394,940</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tcBorders>
              <w:bottom w:val="single" w:sz="8" w:color="CC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CCF0FC"/>
            </w:tcBorders>
          </w:tcPr>
          <w:p>
            <w:pPr>
              <w:spacing w:after="0"/>
              <w:rPr>
                <w:sz w:val="12"/>
                <w:szCs w:val="12"/>
                <w:color w:val="auto"/>
              </w:rPr>
            </w:pPr>
          </w:p>
        </w:tc>
        <w:tc>
          <w:tcPr>
            <w:tcW w:w="80" w:type="dxa"/>
            <w:vAlign w:val="bottom"/>
            <w:tcBorders>
              <w:bottom w:val="single" w:sz="8" w:color="CC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F0FC"/>
            </w:tcBorders>
          </w:tcPr>
          <w:p>
            <w:pPr>
              <w:spacing w:after="0"/>
              <w:rPr>
                <w:sz w:val="12"/>
                <w:szCs w:val="12"/>
                <w:color w:val="auto"/>
              </w:rPr>
            </w:pPr>
          </w:p>
        </w:tc>
        <w:tc>
          <w:tcPr>
            <w:tcW w:w="80" w:type="dxa"/>
            <w:vAlign w:val="bottom"/>
            <w:tcBorders>
              <w:bottom w:val="single" w:sz="8" w:color="CC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F0FC"/>
            </w:tcBorders>
          </w:tcPr>
          <w:p>
            <w:pPr>
              <w:spacing w:after="0"/>
              <w:rPr>
                <w:sz w:val="12"/>
                <w:szCs w:val="12"/>
                <w:color w:val="auto"/>
              </w:rPr>
            </w:pPr>
          </w:p>
        </w:tc>
        <w:tc>
          <w:tcPr>
            <w:tcW w:w="100" w:type="dxa"/>
            <w:vAlign w:val="bottom"/>
            <w:tcBorders>
              <w:bottom w:val="single" w:sz="8" w:color="CC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CF0FC"/>
            </w:tcBorders>
          </w:tcPr>
          <w:p>
            <w:pPr>
              <w:spacing w:after="0"/>
              <w:rPr>
                <w:sz w:val="12"/>
                <w:szCs w:val="12"/>
                <w:color w:val="auto"/>
              </w:rPr>
            </w:pPr>
          </w:p>
        </w:tc>
        <w:tc>
          <w:tcPr>
            <w:tcW w:w="100" w:type="dxa"/>
            <w:vAlign w:val="bottom"/>
            <w:tcBorders>
              <w:bottom w:val="single" w:sz="8" w:color="CC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June 30, 2021</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35,859,353</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38</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1,676,765</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(71,697</w:t>
            </w:r>
          </w:p>
        </w:tc>
        <w:tc>
          <w:tcPr>
            <w:tcW w:w="140" w:type="dxa"/>
            <w:vAlign w:val="bottom"/>
            <w:shd w:val="clear" w:color="auto" w:fill="CCF0FC"/>
          </w:tcPr>
          <w:p>
            <w:pPr>
              <w:jc w:val="right"/>
              <w:ind w:right="61"/>
              <w:spacing w:after="0"/>
              <w:rPr>
                <w:sz w:val="20"/>
                <w:szCs w:val="20"/>
                <w:color w:val="auto"/>
              </w:rPr>
            </w:pPr>
            <w:r>
              <w:rPr>
                <w:rFonts w:ascii="Arial" w:cs="Arial" w:eastAsia="Arial" w:hAnsi="Arial"/>
                <w:sz w:val="8"/>
                <w:szCs w:val="8"/>
                <w:color w:val="auto"/>
                <w:w w:val="73"/>
              </w:rPr>
              <w:t>)</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413,182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113,873</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shd w:val="clear" w:color="auto" w:fill="CCF0FC"/>
          </w:tcPr>
          <w:p>
            <w:pPr>
              <w:jc w:val="right"/>
              <w:spacing w:after="0"/>
              <w:rPr>
                <w:sz w:val="20"/>
                <w:szCs w:val="20"/>
                <w:color w:val="auto"/>
              </w:rPr>
            </w:pPr>
            <w:r>
              <w:rPr>
                <w:rFonts w:ascii="Arial" w:cs="Arial" w:eastAsia="Arial" w:hAnsi="Arial"/>
                <w:sz w:val="13"/>
                <w:szCs w:val="13"/>
                <w:color w:val="auto"/>
              </w:rPr>
              <w:t>(647</w:t>
            </w:r>
          </w:p>
        </w:tc>
        <w:tc>
          <w:tcPr>
            <w:tcW w:w="120" w:type="dxa"/>
            <w:vAlign w:val="bottom"/>
            <w:shd w:val="clear" w:color="auto" w:fill="CCF0FC"/>
          </w:tcPr>
          <w:p>
            <w:pPr>
              <w:jc w:val="right"/>
              <w:ind w:right="41"/>
              <w:spacing w:after="0"/>
              <w:rPr>
                <w:sz w:val="20"/>
                <w:szCs w:val="20"/>
                <w:color w:val="auto"/>
              </w:rPr>
            </w:pPr>
            <w:r>
              <w:rPr>
                <w:rFonts w:ascii="Arial" w:cs="Arial" w:eastAsia="Arial" w:hAnsi="Arial"/>
                <w:sz w:val="8"/>
                <w:szCs w:val="8"/>
                <w:color w:val="auto"/>
                <w:w w:val="73"/>
              </w:rPr>
              <w:t>)</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454,749</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bottom w:val="single" w:sz="8" w:color="CCF0FC"/>
            </w:tcBorders>
            <w:vMerge w:val="restart"/>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vMerge w:val="continue"/>
          </w:tcPr>
          <w:p>
            <w:pPr>
              <w:spacing w:after="0"/>
              <w:rPr>
                <w:sz w:val="12"/>
                <w:szCs w:val="12"/>
                <w:color w:val="auto"/>
              </w:rPr>
            </w:pPr>
          </w:p>
        </w:tc>
        <w:tc>
          <w:tcPr>
            <w:tcW w:w="9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6,361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
              <w:spacing w:after="0" w:line="143" w:lineRule="exact"/>
              <w:rPr>
                <w:sz w:val="20"/>
                <w:szCs w:val="20"/>
                <w:color w:val="auto"/>
              </w:rPr>
            </w:pPr>
            <w:r>
              <w:rPr>
                <w:rFonts w:ascii="Arial" w:cs="Arial" w:eastAsia="Arial" w:hAnsi="Arial"/>
                <w:sz w:val="13"/>
                <w:szCs w:val="13"/>
                <w:color w:val="auto"/>
              </w:rPr>
              <w:t>6,361</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145,658</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2,997</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2,997</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1,526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130</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shd w:val="clear" w:color="auto" w:fill="CCF0FC"/>
          </w:tcPr>
          <w:p>
            <w:pPr>
              <w:jc w:val="right"/>
              <w:ind w:right="80"/>
              <w:spacing w:after="0"/>
              <w:rPr>
                <w:sz w:val="20"/>
                <w:szCs w:val="20"/>
                <w:color w:val="auto"/>
              </w:rPr>
            </w:pPr>
            <w:r>
              <w:rPr>
                <w:rFonts w:ascii="Arial" w:cs="Arial" w:eastAsia="Arial" w:hAnsi="Arial"/>
                <w:sz w:val="13"/>
                <w:szCs w:val="13"/>
                <w:color w:val="auto"/>
              </w:rPr>
              <w:t>(42,299)</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42,299</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(4,211)</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(4,211)</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11,449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11,449</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(968)</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(968)</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Unrealized loss on investments, net of tax</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Reclassification of loss on investments into earnings, net of tax</w:t>
            </w:r>
          </w:p>
        </w:tc>
        <w:tc>
          <w:tcPr>
            <w:tcW w:w="8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7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tcBorders>
              <w:bottom w:val="single" w:sz="8" w:color="auto"/>
            </w:tcBorders>
            <w:shd w:val="clear" w:color="auto" w:fill="CCF0FC"/>
          </w:tcPr>
          <w:p>
            <w:pPr>
              <w:spacing w:after="0"/>
              <w:rPr>
                <w:sz w:val="14"/>
                <w:szCs w:val="14"/>
                <w:color w:val="auto"/>
              </w:rPr>
            </w:pPr>
          </w:p>
        </w:tc>
        <w:tc>
          <w:tcPr>
            <w:tcW w:w="7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tcBorders>
              <w:bottom w:val="single" w:sz="8" w:color="auto"/>
            </w:tcBorders>
            <w:shd w:val="clear" w:color="auto" w:fill="CCF0FC"/>
          </w:tcPr>
          <w:p>
            <w:pPr>
              <w:spacing w:after="0"/>
              <w:rPr>
                <w:sz w:val="14"/>
                <w:szCs w:val="14"/>
                <w:color w:val="auto"/>
              </w:rPr>
            </w:pPr>
          </w:p>
        </w:tc>
        <w:tc>
          <w:tcPr>
            <w:tcW w:w="740" w:type="dxa"/>
            <w:vAlign w:val="bottom"/>
            <w:tcBorders>
              <w:bottom w:val="single" w:sz="8" w:color="auto"/>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5"/>
        </w:trPr>
        <w:tc>
          <w:tcPr>
            <w:tcW w:w="3640" w:type="dxa"/>
            <w:vAlign w:val="bottom"/>
          </w:tcPr>
          <w:p>
            <w:pPr>
              <w:spacing w:after="0"/>
              <w:rPr>
                <w:sz w:val="20"/>
                <w:szCs w:val="20"/>
                <w:color w:val="auto"/>
              </w:rPr>
            </w:pPr>
            <w:r>
              <w:rPr>
                <w:rFonts w:ascii="Arial" w:cs="Arial" w:eastAsia="Arial" w:hAnsi="Arial"/>
                <w:sz w:val="13"/>
                <w:szCs w:val="13"/>
                <w:color w:val="auto"/>
              </w:rPr>
              <w:t>Balances, September 30, 2021</w:t>
            </w:r>
          </w:p>
        </w:tc>
        <w:tc>
          <w:tcPr>
            <w:tcW w:w="800" w:type="dxa"/>
            <w:vAlign w:val="bottom"/>
          </w:tcPr>
          <w:p>
            <w:pPr>
              <w:jc w:val="right"/>
              <w:spacing w:after="0"/>
              <w:rPr>
                <w:sz w:val="20"/>
                <w:szCs w:val="20"/>
                <w:color w:val="auto"/>
              </w:rPr>
            </w:pPr>
            <w:r>
              <w:rPr>
                <w:rFonts w:ascii="Arial" w:cs="Arial" w:eastAsia="Arial" w:hAnsi="Arial"/>
                <w:sz w:val="13"/>
                <w:szCs w:val="13"/>
                <w:color w:val="auto"/>
              </w:rPr>
              <w:t>35,964,238</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1,719,064</w:t>
            </w:r>
          </w:p>
        </w:tc>
        <w:tc>
          <w:tcPr>
            <w:tcW w:w="2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61"/>
              <w:spacing w:after="0"/>
              <w:rPr>
                <w:sz w:val="20"/>
                <w:szCs w:val="20"/>
                <w:color w:val="auto"/>
              </w:rPr>
            </w:pPr>
            <w:r>
              <w:rPr>
                <w:rFonts w:ascii="Arial" w:cs="Arial" w:eastAsia="Arial" w:hAnsi="Arial"/>
                <w:sz w:val="13"/>
                <w:szCs w:val="13"/>
                <w:color w:val="auto"/>
              </w:rPr>
              <w:t>(75,908)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422,670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125,322</w:t>
            </w:r>
          </w:p>
        </w:tc>
        <w:tc>
          <w:tcPr>
            <w:tcW w:w="120" w:type="dxa"/>
            <w:vAlign w:val="bottom"/>
          </w:tcPr>
          <w:p>
            <w:pPr>
              <w:spacing w:after="0"/>
              <w:rPr>
                <w:sz w:val="13"/>
                <w:szCs w:val="13"/>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3"/>
                <w:szCs w:val="13"/>
                <w:color w:val="auto"/>
              </w:rPr>
              <w:t>(1,594)</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470,528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center"/>
              <w:ind w:right="101"/>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61"/>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133"/>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64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4"/>
                <w:szCs w:val="14"/>
                <w:color w:val="auto"/>
              </w:rPr>
            </w:pPr>
          </w:p>
        </w:tc>
        <w:tc>
          <w:tcPr>
            <w:tcW w:w="162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center"/>
              <w:ind w:right="33"/>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0"/>
              </w:rPr>
              <w:t>Retained</w:t>
            </w:r>
          </w:p>
        </w:tc>
        <w:tc>
          <w:tcPr>
            <w:tcW w:w="1120" w:type="dxa"/>
            <w:vAlign w:val="bottom"/>
            <w:gridSpan w:val="4"/>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3"/>
                <w:szCs w:val="13"/>
                <w:b w:val="1"/>
                <w:bCs w:val="1"/>
                <w:color w:val="auto"/>
                <w:w w:val="95"/>
              </w:rPr>
              <w:t>Stockholders'</w:t>
            </w:r>
          </w:p>
        </w:tc>
        <w:tc>
          <w:tcPr>
            <w:tcW w:w="0" w:type="dxa"/>
            <w:vAlign w:val="bottom"/>
          </w:tcPr>
          <w:p>
            <w:pPr>
              <w:spacing w:after="0"/>
              <w:rPr>
                <w:sz w:val="1"/>
                <w:szCs w:val="1"/>
                <w:color w:val="auto"/>
              </w:rPr>
            </w:pPr>
          </w:p>
        </w:tc>
      </w:tr>
      <w:tr>
        <w:trPr>
          <w:trHeight w:val="156"/>
        </w:trPr>
        <w:tc>
          <w:tcPr>
            <w:tcW w:w="3640" w:type="dxa"/>
            <w:vAlign w:val="bottom"/>
            <w:tcBorders>
              <w:bottom w:val="single" w:sz="8" w:color="CCF0FC"/>
            </w:tcBorders>
          </w:tcPr>
          <w:p>
            <w:pPr>
              <w:spacing w:after="0"/>
              <w:rPr>
                <w:sz w:val="13"/>
                <w:szCs w:val="13"/>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3"/>
              </w:rPr>
              <w:t>Amount</w:t>
            </w:r>
          </w:p>
        </w:tc>
        <w:tc>
          <w:tcPr>
            <w:tcW w:w="220" w:type="dxa"/>
            <w:vAlign w:val="bottom"/>
            <w:tcBorders>
              <w:bottom w:val="single" w:sz="8" w:color="CCF0FC"/>
            </w:tcBorders>
          </w:tcPr>
          <w:p>
            <w:pPr>
              <w:spacing w:after="0"/>
              <w:rPr>
                <w:sz w:val="13"/>
                <w:szCs w:val="13"/>
                <w:color w:val="auto"/>
              </w:rPr>
            </w:pPr>
          </w:p>
        </w:tc>
        <w:tc>
          <w:tcPr>
            <w:tcW w:w="7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w w:val="97"/>
              </w:rPr>
              <w:t>Amount</w:t>
            </w:r>
          </w:p>
        </w:tc>
        <w:tc>
          <w:tcPr>
            <w:tcW w:w="140" w:type="dxa"/>
            <w:vAlign w:val="bottom"/>
            <w:tcBorders>
              <w:bottom w:val="single" w:sz="8" w:color="CCF0FC"/>
            </w:tcBorders>
          </w:tcPr>
          <w:p>
            <w:pPr>
              <w:spacing w:after="0"/>
              <w:rPr>
                <w:sz w:val="13"/>
                <w:szCs w:val="13"/>
                <w:color w:val="auto"/>
              </w:rPr>
            </w:pPr>
          </w:p>
        </w:tc>
        <w:tc>
          <w:tcPr>
            <w:tcW w:w="80" w:type="dxa"/>
            <w:vAlign w:val="bottom"/>
            <w:tcBorders>
              <w:bottom w:val="single" w:sz="8" w:color="CC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33"/>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Borders>
              <w:bottom w:val="single" w:sz="8" w:color="CC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Borders>
              <w:bottom w:val="single" w:sz="8" w:color="CCF0FC"/>
            </w:tcBorders>
          </w:tcPr>
          <w:p>
            <w:pPr>
              <w:spacing w:after="0"/>
              <w:rPr>
                <w:sz w:val="13"/>
                <w:szCs w:val="13"/>
                <w:color w:val="auto"/>
              </w:rPr>
            </w:pPr>
          </w:p>
        </w:tc>
        <w:tc>
          <w:tcPr>
            <w:tcW w:w="100" w:type="dxa"/>
            <w:vAlign w:val="bottom"/>
            <w:tcBorders>
              <w:bottom w:val="single" w:sz="8" w:color="CC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13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2019</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34,863,271</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36</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1,241,348</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(46,297)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354,115</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48,973</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(1,951)</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354,876</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bottom w:val="single" w:sz="8" w:color="CCF0FC"/>
            </w:tcBorders>
            <w:vMerge w:val="restart"/>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vMerge w:val="continue"/>
          </w:tcPr>
          <w:p>
            <w:pPr>
              <w:spacing w:after="0"/>
              <w:rPr>
                <w:sz w:val="12"/>
                <w:szCs w:val="12"/>
                <w:color w:val="auto"/>
              </w:rPr>
            </w:pPr>
          </w:p>
        </w:tc>
        <w:tc>
          <w:tcPr>
            <w:tcW w:w="9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13,090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
              <w:spacing w:after="0" w:line="143" w:lineRule="exact"/>
              <w:rPr>
                <w:sz w:val="20"/>
                <w:szCs w:val="20"/>
                <w:color w:val="auto"/>
              </w:rPr>
            </w:pPr>
            <w:r>
              <w:rPr>
                <w:rFonts w:ascii="Arial" w:cs="Arial" w:eastAsia="Arial" w:hAnsi="Arial"/>
                <w:sz w:val="13"/>
                <w:szCs w:val="13"/>
                <w:color w:val="auto"/>
              </w:rPr>
              <w:t>13,090</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765,144</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14,142</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14,143</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35,093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1,645</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1,645</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shd w:val="clear" w:color="auto" w:fill="CCF0FC"/>
          </w:tcPr>
          <w:p>
            <w:pPr>
              <w:jc w:val="right"/>
              <w:ind w:right="80"/>
              <w:spacing w:after="0"/>
              <w:rPr>
                <w:sz w:val="20"/>
                <w:szCs w:val="20"/>
                <w:color w:val="auto"/>
              </w:rPr>
            </w:pPr>
            <w:r>
              <w:rPr>
                <w:rFonts w:ascii="Arial" w:cs="Arial" w:eastAsia="Arial" w:hAnsi="Arial"/>
                <w:sz w:val="13"/>
                <w:szCs w:val="13"/>
                <w:color w:val="auto"/>
              </w:rPr>
              <w:t>(371,902)</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371,902</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(18,950)</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(18,950)</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32,116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32,116</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(779)</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(779)</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Unrealized gain on investments, net of tax</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w w:val="99"/>
              </w:rPr>
              <w:t>Reclassification of gain on investments into earnings, net of tax</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(151)</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Adoption of ASU 2016-13</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(1,069)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(1,069)</w:t>
            </w: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CF0FC"/>
          </w:tcPr>
          <w:p>
            <w:pPr>
              <w:spacing w:after="0"/>
              <w:rPr>
                <w:sz w:val="20"/>
                <w:szCs w:val="20"/>
                <w:color w:val="auto"/>
              </w:rPr>
            </w:pPr>
            <w:r>
              <w:rPr>
                <w:rFonts w:ascii="Arial" w:cs="Arial" w:eastAsia="Arial" w:hAnsi="Arial"/>
                <w:sz w:val="13"/>
                <w:szCs w:val="13"/>
                <w:color w:val="auto"/>
              </w:rPr>
              <w:t>Balances, September 30, 2020</w:t>
            </w: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F0FC"/>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F0FC"/>
          </w:tcPr>
          <w:p>
            <w:pPr>
              <w:spacing w:after="0" w:line="20" w:lineRule="exact"/>
              <w:rPr>
                <w:sz w:val="1"/>
                <w:szCs w:val="1"/>
                <w:color w:val="auto"/>
              </w:rPr>
            </w:pPr>
          </w:p>
        </w:tc>
        <w:tc>
          <w:tcPr>
            <w:tcW w:w="80" w:type="dxa"/>
            <w:vAlign w:val="bottom"/>
            <w:shd w:val="clear" w:color="auto" w:fill="CC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CF0FC"/>
          </w:tcPr>
          <w:p>
            <w:pPr>
              <w:spacing w:after="0" w:line="20" w:lineRule="exact"/>
              <w:rPr>
                <w:sz w:val="1"/>
                <w:szCs w:val="1"/>
                <w:color w:val="auto"/>
              </w:rPr>
            </w:pPr>
          </w:p>
        </w:tc>
        <w:tc>
          <w:tcPr>
            <w:tcW w:w="100" w:type="dxa"/>
            <w:vAlign w:val="bottom"/>
            <w:shd w:val="clear" w:color="auto" w:fill="CC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640" w:type="dxa"/>
            <w:vAlign w:val="bottom"/>
            <w:vMerge w:val="continue"/>
            <w:shd w:val="clear" w:color="auto" w:fill="CCF0FC"/>
          </w:tcPr>
          <w:p>
            <w:pPr>
              <w:spacing w:after="0"/>
              <w:rPr>
                <w:sz w:val="13"/>
                <w:szCs w:val="13"/>
                <w:color w:val="auto"/>
              </w:rPr>
            </w:pP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35,291,606</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(65,247)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382,992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80,020</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(2,862)</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394,940</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tcBorders>
              <w:bottom w:val="single" w:sz="8" w:color="CCF0FC"/>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CCF0FC"/>
            </w:tcBorders>
          </w:tcPr>
          <w:p>
            <w:pPr>
              <w:spacing w:after="0"/>
              <w:rPr>
                <w:sz w:val="12"/>
                <w:szCs w:val="12"/>
                <w:color w:val="auto"/>
              </w:rPr>
            </w:pPr>
          </w:p>
        </w:tc>
        <w:tc>
          <w:tcPr>
            <w:tcW w:w="80" w:type="dxa"/>
            <w:vAlign w:val="bottom"/>
            <w:tcBorders>
              <w:bottom w:val="single" w:sz="8" w:color="CC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F0FC"/>
            </w:tcBorders>
          </w:tcPr>
          <w:p>
            <w:pPr>
              <w:spacing w:after="0"/>
              <w:rPr>
                <w:sz w:val="12"/>
                <w:szCs w:val="12"/>
                <w:color w:val="auto"/>
              </w:rPr>
            </w:pPr>
          </w:p>
        </w:tc>
        <w:tc>
          <w:tcPr>
            <w:tcW w:w="80" w:type="dxa"/>
            <w:vAlign w:val="bottom"/>
            <w:tcBorders>
              <w:bottom w:val="single" w:sz="8" w:color="CC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20" w:type="dxa"/>
            <w:vAlign w:val="bottom"/>
            <w:tcBorders>
              <w:bottom w:val="single" w:sz="8" w:color="CCF0FC"/>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CCF0FC"/>
            </w:tcBorders>
          </w:tcPr>
          <w:p>
            <w:pPr>
              <w:spacing w:after="0"/>
              <w:rPr>
                <w:sz w:val="12"/>
                <w:szCs w:val="12"/>
                <w:color w:val="auto"/>
              </w:rPr>
            </w:pPr>
          </w:p>
        </w:tc>
        <w:tc>
          <w:tcPr>
            <w:tcW w:w="100" w:type="dxa"/>
            <w:vAlign w:val="bottom"/>
            <w:tcBorders>
              <w:bottom w:val="single" w:sz="8" w:color="CC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20" w:type="dxa"/>
            <w:vAlign w:val="bottom"/>
            <w:tcBorders>
              <w:bottom w:val="single" w:sz="8" w:color="CCF0FC"/>
            </w:tcBorders>
          </w:tcPr>
          <w:p>
            <w:pPr>
              <w:spacing w:after="0"/>
              <w:rPr>
                <w:sz w:val="12"/>
                <w:szCs w:val="12"/>
                <w:color w:val="auto"/>
              </w:rPr>
            </w:pPr>
          </w:p>
        </w:tc>
        <w:tc>
          <w:tcPr>
            <w:tcW w:w="100" w:type="dxa"/>
            <w:vAlign w:val="bottom"/>
            <w:tcBorders>
              <w:bottom w:val="single" w:sz="8" w:color="CC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Balances, December 31, 2020</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35,487,217</w:t>
            </w:r>
          </w:p>
        </w:tc>
        <w:tc>
          <w:tcPr>
            <w:tcW w:w="140" w:type="dxa"/>
            <w:vAlign w:val="bottom"/>
            <w:shd w:val="clear" w:color="auto" w:fill="CCF0FC"/>
          </w:tcPr>
          <w:p>
            <w:pPr>
              <w:spacing w:after="0"/>
              <w:rPr>
                <w:sz w:val="13"/>
                <w:szCs w:val="13"/>
                <w:color w:val="auto"/>
              </w:rPr>
            </w:pPr>
          </w:p>
        </w:tc>
        <w:tc>
          <w:tcPr>
            <w:tcW w:w="80" w:type="dxa"/>
            <w:vAlign w:val="bottom"/>
            <w:shd w:val="clear" w:color="auto" w:fill="CCF0FC"/>
          </w:tcPr>
          <w:p>
            <w:pPr>
              <w:spacing w:after="0"/>
              <w:rPr>
                <w:sz w:val="13"/>
                <w:szCs w:val="13"/>
                <w:color w:val="auto"/>
              </w:rPr>
            </w:pPr>
          </w:p>
        </w:tc>
        <w:tc>
          <w:tcPr>
            <w:tcW w:w="100" w:type="dxa"/>
            <w:vAlign w:val="bottom"/>
            <w:shd w:val="clear" w:color="auto" w:fill="CC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37</w:t>
            </w:r>
          </w:p>
        </w:tc>
        <w:tc>
          <w:tcPr>
            <w:tcW w:w="220" w:type="dxa"/>
            <w:vAlign w:val="bottom"/>
            <w:shd w:val="clear" w:color="auto" w:fill="CCF0FC"/>
          </w:tcPr>
          <w:p>
            <w:pPr>
              <w:spacing w:after="0"/>
              <w:rPr>
                <w:sz w:val="13"/>
                <w:szCs w:val="13"/>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1,613,250</w:t>
            </w:r>
          </w:p>
        </w:tc>
        <w:tc>
          <w:tcPr>
            <w:tcW w:w="220" w:type="dxa"/>
            <w:vAlign w:val="bottom"/>
            <w:shd w:val="clear" w:color="auto" w:fill="CCF0FC"/>
          </w:tcPr>
          <w:p>
            <w:pPr>
              <w:spacing w:after="0"/>
              <w:rPr>
                <w:sz w:val="13"/>
                <w:szCs w:val="13"/>
                <w:color w:val="auto"/>
              </w:rPr>
            </w:pPr>
          </w:p>
        </w:tc>
        <w:tc>
          <w:tcPr>
            <w:tcW w:w="80" w:type="dxa"/>
            <w:vAlign w:val="bottom"/>
            <w:shd w:val="clear" w:color="auto" w:fill="CCF0FC"/>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(65,247)</w:t>
            </w:r>
          </w:p>
        </w:tc>
        <w:tc>
          <w:tcPr>
            <w:tcW w:w="180" w:type="dxa"/>
            <w:vAlign w:val="bottom"/>
            <w:gridSpan w:val="2"/>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393,462</w:t>
            </w:r>
          </w:p>
        </w:tc>
        <w:tc>
          <w:tcPr>
            <w:tcW w:w="300" w:type="dxa"/>
            <w:vAlign w:val="bottom"/>
            <w:gridSpan w:val="2"/>
            <w:shd w:val="clear" w:color="auto" w:fill="CCF0FC"/>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F0FC"/>
          </w:tcPr>
          <w:p>
            <w:pPr>
              <w:jc w:val="right"/>
              <w:spacing w:after="0"/>
              <w:rPr>
                <w:sz w:val="20"/>
                <w:szCs w:val="20"/>
                <w:color w:val="auto"/>
              </w:rPr>
            </w:pPr>
            <w:r>
              <w:rPr>
                <w:rFonts w:ascii="Arial" w:cs="Arial" w:eastAsia="Arial" w:hAnsi="Arial"/>
                <w:sz w:val="13"/>
                <w:szCs w:val="13"/>
                <w:color w:val="auto"/>
              </w:rPr>
              <w:t>93,490</w:t>
            </w:r>
          </w:p>
        </w:tc>
        <w:tc>
          <w:tcPr>
            <w:tcW w:w="120" w:type="dxa"/>
            <w:vAlign w:val="bottom"/>
            <w:shd w:val="clear" w:color="auto" w:fill="CCF0FC"/>
          </w:tcPr>
          <w:p>
            <w:pPr>
              <w:spacing w:after="0"/>
              <w:rPr>
                <w:sz w:val="13"/>
                <w:szCs w:val="13"/>
                <w:color w:val="auto"/>
              </w:rPr>
            </w:pPr>
          </w:p>
        </w:tc>
        <w:tc>
          <w:tcPr>
            <w:tcW w:w="26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(1,021)</w:t>
            </w:r>
          </w:p>
        </w:tc>
        <w:tc>
          <w:tcPr>
            <w:tcW w:w="220" w:type="dxa"/>
            <w:vAlign w:val="bottom"/>
            <w:gridSpan w:val="2"/>
            <w:shd w:val="clear" w:color="auto" w:fill="CCF0FC"/>
          </w:tcPr>
          <w:p>
            <w:pPr>
              <w:ind w:left="100"/>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420,721</w:t>
            </w:r>
          </w:p>
        </w:tc>
        <w:tc>
          <w:tcPr>
            <w:tcW w:w="0" w:type="dxa"/>
            <w:vAlign w:val="bottom"/>
          </w:tcPr>
          <w:p>
            <w:pPr>
              <w:spacing w:after="0"/>
              <w:rPr>
                <w:sz w:val="1"/>
                <w:szCs w:val="1"/>
                <w:color w:val="auto"/>
              </w:rPr>
            </w:pPr>
          </w:p>
        </w:tc>
      </w:tr>
      <w:tr>
        <w:trPr>
          <w:trHeight w:val="20"/>
        </w:trPr>
        <w:tc>
          <w:tcPr>
            <w:tcW w:w="3640" w:type="dxa"/>
            <w:vAlign w:val="bottom"/>
            <w:tcBorders>
              <w:top w:val="single" w:sz="8" w:color="CCF0FC"/>
              <w:bottom w:val="single" w:sz="8" w:color="CCF0FC"/>
            </w:tcBorders>
            <w:vMerge w:val="restart"/>
          </w:tcPr>
          <w:p>
            <w:pPr>
              <w:spacing w:after="0"/>
              <w:rPr>
                <w:sz w:val="20"/>
                <w:szCs w:val="20"/>
                <w:color w:val="auto"/>
              </w:rPr>
            </w:pPr>
            <w:r>
              <w:rPr>
                <w:rFonts w:ascii="Arial" w:cs="Arial" w:eastAsia="Arial" w:hAnsi="Arial"/>
                <w:sz w:val="13"/>
                <w:szCs w:val="13"/>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0FC"/>
            </w:tcBorders>
          </w:tcPr>
          <w:p>
            <w:pPr>
              <w:spacing w:after="0" w:line="20" w:lineRule="exact"/>
              <w:rPr>
                <w:sz w:val="1"/>
                <w:szCs w:val="1"/>
                <w:color w:val="auto"/>
              </w:rPr>
            </w:pPr>
          </w:p>
        </w:tc>
        <w:tc>
          <w:tcPr>
            <w:tcW w:w="100" w:type="dxa"/>
            <w:vAlign w:val="bottom"/>
            <w:tcBorders>
              <w:top w:val="single" w:sz="8" w:color="CC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640" w:type="dxa"/>
            <w:vAlign w:val="bottom"/>
            <w:vMerge w:val="continue"/>
          </w:tcPr>
          <w:p>
            <w:pPr>
              <w:spacing w:after="0"/>
              <w:rPr>
                <w:sz w:val="12"/>
                <w:szCs w:val="12"/>
                <w:color w:val="auto"/>
              </w:rPr>
            </w:pPr>
          </w:p>
        </w:tc>
        <w:tc>
          <w:tcPr>
            <w:tcW w:w="9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3" w:lineRule="exact"/>
              <w:rPr>
                <w:sz w:val="20"/>
                <w:szCs w:val="20"/>
                <w:color w:val="auto"/>
              </w:rPr>
            </w:pPr>
            <w:r>
              <w:rPr>
                <w:rFonts w:ascii="Arial" w:cs="Arial" w:eastAsia="Arial" w:hAnsi="Arial"/>
                <w:sz w:val="13"/>
                <w:szCs w:val="13"/>
                <w:color w:val="auto"/>
              </w:rPr>
              <w:t>19,866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01"/>
              <w:spacing w:after="0" w:line="143"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ind w:right="13"/>
              <w:spacing w:after="0" w:line="143" w:lineRule="exact"/>
              <w:rPr>
                <w:sz w:val="20"/>
                <w:szCs w:val="20"/>
                <w:color w:val="auto"/>
              </w:rPr>
            </w:pPr>
            <w:r>
              <w:rPr>
                <w:rFonts w:ascii="Arial" w:cs="Arial" w:eastAsia="Arial" w:hAnsi="Arial"/>
                <w:sz w:val="13"/>
                <w:szCs w:val="13"/>
                <w:color w:val="auto"/>
              </w:rPr>
              <w:t>19,866</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Exercise of stock options and issuance of restricted stock</w:t>
            </w:r>
          </w:p>
        </w:tc>
        <w:tc>
          <w:tcPr>
            <w:tcW w:w="8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555,160</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w:t>
            </w:r>
          </w:p>
        </w:tc>
        <w:tc>
          <w:tcPr>
            <w:tcW w:w="220" w:type="dxa"/>
            <w:vAlign w:val="bottom"/>
            <w:shd w:val="clear" w:color="auto" w:fill="CCF0FC"/>
          </w:tcPr>
          <w:p>
            <w:pPr>
              <w:spacing w:after="0"/>
              <w:rPr>
                <w:sz w:val="14"/>
                <w:szCs w:val="14"/>
                <w:color w:val="auto"/>
              </w:rPr>
            </w:pP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7,026</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7,027</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Employee stock purchase plan</w:t>
            </w:r>
          </w:p>
        </w:tc>
        <w:tc>
          <w:tcPr>
            <w:tcW w:w="800" w:type="dxa"/>
            <w:vAlign w:val="bottom"/>
          </w:tcPr>
          <w:p>
            <w:pPr>
              <w:jc w:val="right"/>
              <w:spacing w:after="0"/>
              <w:rPr>
                <w:sz w:val="20"/>
                <w:szCs w:val="20"/>
                <w:color w:val="auto"/>
              </w:rPr>
            </w:pPr>
            <w:r>
              <w:rPr>
                <w:rFonts w:ascii="Arial" w:cs="Arial" w:eastAsia="Arial" w:hAnsi="Arial"/>
                <w:sz w:val="13"/>
                <w:szCs w:val="13"/>
                <w:color w:val="auto"/>
              </w:rPr>
              <w:t>27,675</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2,316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2,316</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Repurchases of common stock</w:t>
            </w:r>
          </w:p>
        </w:tc>
        <w:tc>
          <w:tcPr>
            <w:tcW w:w="940" w:type="dxa"/>
            <w:vAlign w:val="bottom"/>
            <w:gridSpan w:val="2"/>
            <w:shd w:val="clear" w:color="auto" w:fill="CCF0FC"/>
          </w:tcPr>
          <w:p>
            <w:pPr>
              <w:jc w:val="right"/>
              <w:ind w:right="80"/>
              <w:spacing w:after="0"/>
              <w:rPr>
                <w:sz w:val="20"/>
                <w:szCs w:val="20"/>
                <w:color w:val="auto"/>
              </w:rPr>
            </w:pPr>
            <w:r>
              <w:rPr>
                <w:rFonts w:ascii="Arial" w:cs="Arial" w:eastAsia="Arial" w:hAnsi="Arial"/>
                <w:sz w:val="13"/>
                <w:szCs w:val="13"/>
                <w:color w:val="auto"/>
              </w:rPr>
              <w:t>(105,814)</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105,814</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61"/>
              <w:spacing w:after="0"/>
              <w:rPr>
                <w:sz w:val="20"/>
                <w:szCs w:val="20"/>
                <w:color w:val="auto"/>
              </w:rPr>
            </w:pPr>
            <w:r>
              <w:rPr>
                <w:rFonts w:ascii="Arial" w:cs="Arial" w:eastAsia="Arial" w:hAnsi="Arial"/>
                <w:sz w:val="13"/>
                <w:szCs w:val="13"/>
                <w:color w:val="auto"/>
              </w:rPr>
              <w:t>(10,661)</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(10,661)</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31,832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31,832</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Foreign currency translation adjustments</w:t>
            </w:r>
          </w:p>
        </w:tc>
        <w:tc>
          <w:tcPr>
            <w:tcW w:w="9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820" w:type="dxa"/>
            <w:vAlign w:val="bottom"/>
            <w:gridSpan w:val="2"/>
            <w:shd w:val="clear" w:color="auto" w:fill="CCF0FC"/>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60" w:type="dxa"/>
            <w:vAlign w:val="bottom"/>
            <w:gridSpan w:val="2"/>
            <w:shd w:val="clear" w:color="auto" w:fill="CCF0FC"/>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600" w:type="dxa"/>
            <w:vAlign w:val="bottom"/>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740" w:type="dxa"/>
            <w:vAlign w:val="bottom"/>
            <w:gridSpan w:val="2"/>
            <w:shd w:val="clear" w:color="auto" w:fill="CC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F0FC"/>
          </w:tcPr>
          <w:p>
            <w:pPr>
              <w:spacing w:after="0"/>
              <w:rPr>
                <w:sz w:val="14"/>
                <w:szCs w:val="14"/>
                <w:color w:val="auto"/>
              </w:rPr>
            </w:pPr>
          </w:p>
        </w:tc>
        <w:tc>
          <w:tcPr>
            <w:tcW w:w="160" w:type="dxa"/>
            <w:vAlign w:val="bottom"/>
            <w:shd w:val="clear" w:color="auto" w:fill="CCF0FC"/>
          </w:tcPr>
          <w:p>
            <w:pPr>
              <w:spacing w:after="0"/>
              <w:rPr>
                <w:sz w:val="14"/>
                <w:szCs w:val="14"/>
                <w:color w:val="auto"/>
              </w:rPr>
            </w:pPr>
          </w:p>
        </w:tc>
        <w:tc>
          <w:tcPr>
            <w:tcW w:w="860" w:type="dxa"/>
            <w:vAlign w:val="bottom"/>
            <w:gridSpan w:val="2"/>
            <w:shd w:val="clear" w:color="auto" w:fill="CCF0FC"/>
          </w:tcPr>
          <w:p>
            <w:pPr>
              <w:jc w:val="right"/>
              <w:ind w:right="41"/>
              <w:spacing w:after="0"/>
              <w:rPr>
                <w:sz w:val="20"/>
                <w:szCs w:val="20"/>
                <w:color w:val="auto"/>
              </w:rPr>
            </w:pPr>
            <w:r>
              <w:rPr>
                <w:rFonts w:ascii="Arial" w:cs="Arial" w:eastAsia="Arial" w:hAnsi="Arial"/>
                <w:sz w:val="13"/>
                <w:szCs w:val="13"/>
                <w:color w:val="auto"/>
              </w:rPr>
              <w:t>(604)</w:t>
            </w:r>
          </w:p>
        </w:tc>
        <w:tc>
          <w:tcPr>
            <w:tcW w:w="100" w:type="dxa"/>
            <w:vAlign w:val="bottom"/>
            <w:shd w:val="clear" w:color="auto" w:fill="CCF0FC"/>
          </w:tcPr>
          <w:p>
            <w:pPr>
              <w:spacing w:after="0"/>
              <w:rPr>
                <w:sz w:val="14"/>
                <w:szCs w:val="14"/>
                <w:color w:val="auto"/>
              </w:rPr>
            </w:pPr>
          </w:p>
        </w:tc>
        <w:tc>
          <w:tcPr>
            <w:tcW w:w="120" w:type="dxa"/>
            <w:vAlign w:val="bottom"/>
            <w:shd w:val="clear" w:color="auto" w:fill="CCF0FC"/>
          </w:tcPr>
          <w:p>
            <w:pPr>
              <w:spacing w:after="0"/>
              <w:rPr>
                <w:sz w:val="14"/>
                <w:szCs w:val="14"/>
                <w:color w:val="auto"/>
              </w:rPr>
            </w:pPr>
          </w:p>
        </w:tc>
        <w:tc>
          <w:tcPr>
            <w:tcW w:w="740" w:type="dxa"/>
            <w:vAlign w:val="bottom"/>
            <w:tcBorders>
              <w:right w:val="single" w:sz="8" w:color="CCF0FC"/>
            </w:tcBorders>
            <w:shd w:val="clear" w:color="auto" w:fill="CCF0FC"/>
          </w:tcPr>
          <w:p>
            <w:pPr>
              <w:jc w:val="right"/>
              <w:spacing w:after="0"/>
              <w:rPr>
                <w:sz w:val="20"/>
                <w:szCs w:val="20"/>
                <w:color w:val="auto"/>
              </w:rPr>
            </w:pPr>
            <w:r>
              <w:rPr>
                <w:rFonts w:ascii="Arial" w:cs="Arial" w:eastAsia="Arial" w:hAnsi="Arial"/>
                <w:sz w:val="13"/>
                <w:szCs w:val="13"/>
                <w:color w:val="auto"/>
              </w:rPr>
              <w:t>(604)</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20"/>
                <w:szCs w:val="20"/>
                <w:color w:val="auto"/>
              </w:rPr>
            </w:pPr>
            <w:r>
              <w:rPr>
                <w:rFonts w:ascii="Arial" w:cs="Arial" w:eastAsia="Arial" w:hAnsi="Arial"/>
                <w:sz w:val="13"/>
                <w:szCs w:val="13"/>
                <w:color w:val="auto"/>
              </w:rPr>
              <w:t>Unrealized loss on investments, net of tax</w:t>
            </w:r>
          </w:p>
        </w:tc>
        <w:tc>
          <w:tcPr>
            <w:tcW w:w="9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1"/>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right"/>
              <w:ind w:right="41"/>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62"/>
        </w:trPr>
        <w:tc>
          <w:tcPr>
            <w:tcW w:w="3640" w:type="dxa"/>
            <w:vAlign w:val="bottom"/>
            <w:shd w:val="clear" w:color="auto" w:fill="CCF0FC"/>
          </w:tcPr>
          <w:p>
            <w:pPr>
              <w:spacing w:after="0"/>
              <w:rPr>
                <w:sz w:val="20"/>
                <w:szCs w:val="20"/>
                <w:color w:val="auto"/>
              </w:rPr>
            </w:pPr>
            <w:r>
              <w:rPr>
                <w:rFonts w:ascii="Arial" w:cs="Arial" w:eastAsia="Arial" w:hAnsi="Arial"/>
                <w:sz w:val="13"/>
                <w:szCs w:val="13"/>
                <w:color w:val="auto"/>
              </w:rPr>
              <w:t>Reclassification of loss on investments into earnings, net of tax</w:t>
            </w:r>
          </w:p>
        </w:tc>
        <w:tc>
          <w:tcPr>
            <w:tcW w:w="8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7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CF0FC"/>
          </w:tcPr>
          <w:p>
            <w:pPr>
              <w:spacing w:after="0"/>
              <w:rPr>
                <w:sz w:val="14"/>
                <w:szCs w:val="14"/>
                <w:color w:val="auto"/>
              </w:rPr>
            </w:pPr>
          </w:p>
        </w:tc>
        <w:tc>
          <w:tcPr>
            <w:tcW w:w="80" w:type="dxa"/>
            <w:vAlign w:val="bottom"/>
            <w:shd w:val="clear" w:color="auto" w:fill="CCF0FC"/>
          </w:tcPr>
          <w:p>
            <w:pPr>
              <w:spacing w:after="0"/>
              <w:rPr>
                <w:sz w:val="14"/>
                <w:szCs w:val="14"/>
                <w:color w:val="auto"/>
              </w:rPr>
            </w:pPr>
          </w:p>
        </w:tc>
        <w:tc>
          <w:tcPr>
            <w:tcW w:w="100" w:type="dxa"/>
            <w:vAlign w:val="bottom"/>
            <w:tcBorders>
              <w:bottom w:val="single" w:sz="8" w:color="auto"/>
            </w:tcBorders>
            <w:shd w:val="clear" w:color="auto" w:fill="CCF0FC"/>
          </w:tcPr>
          <w:p>
            <w:pPr>
              <w:spacing w:after="0"/>
              <w:rPr>
                <w:sz w:val="14"/>
                <w:szCs w:val="14"/>
                <w:color w:val="auto"/>
              </w:rPr>
            </w:pPr>
          </w:p>
        </w:tc>
        <w:tc>
          <w:tcPr>
            <w:tcW w:w="60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CF0FC"/>
          </w:tcPr>
          <w:p>
            <w:pPr>
              <w:spacing w:after="0"/>
              <w:rPr>
                <w:sz w:val="14"/>
                <w:szCs w:val="14"/>
                <w:color w:val="auto"/>
              </w:rPr>
            </w:pPr>
          </w:p>
        </w:tc>
        <w:tc>
          <w:tcPr>
            <w:tcW w:w="80" w:type="dxa"/>
            <w:vAlign w:val="bottom"/>
            <w:tcBorders>
              <w:bottom w:val="single" w:sz="8" w:color="auto"/>
            </w:tcBorders>
            <w:shd w:val="clear" w:color="auto" w:fill="CCF0FC"/>
          </w:tcPr>
          <w:p>
            <w:pPr>
              <w:spacing w:after="0"/>
              <w:rPr>
                <w:sz w:val="14"/>
                <w:szCs w:val="14"/>
                <w:color w:val="auto"/>
              </w:rPr>
            </w:pPr>
          </w:p>
        </w:tc>
        <w:tc>
          <w:tcPr>
            <w:tcW w:w="62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60" w:type="dxa"/>
            <w:vAlign w:val="bottom"/>
            <w:tcBorders>
              <w:bottom w:val="single" w:sz="8" w:color="auto"/>
            </w:tcBorders>
            <w:shd w:val="clear" w:color="auto" w:fill="CCF0FC"/>
          </w:tcPr>
          <w:p>
            <w:pPr>
              <w:spacing w:after="0"/>
              <w:rPr>
                <w:sz w:val="14"/>
                <w:szCs w:val="14"/>
                <w:color w:val="auto"/>
              </w:rPr>
            </w:pPr>
          </w:p>
        </w:tc>
        <w:tc>
          <w:tcPr>
            <w:tcW w:w="740" w:type="dxa"/>
            <w:vAlign w:val="bottom"/>
            <w:tcBorders>
              <w:bottom w:val="single" w:sz="8" w:color="auto"/>
            </w:tcBorders>
            <w:shd w:val="clear" w:color="auto" w:fill="CCF0FC"/>
          </w:tcPr>
          <w:p>
            <w:pPr>
              <w:jc w:val="right"/>
              <w:spacing w:after="0"/>
              <w:rPr>
                <w:sz w:val="20"/>
                <w:szCs w:val="20"/>
                <w:color w:val="auto"/>
              </w:rPr>
            </w:pPr>
            <w:r>
              <w:rPr>
                <w:rFonts w:ascii="Arial" w:cs="Arial" w:eastAsia="Arial" w:hAnsi="Arial"/>
                <w:sz w:val="13"/>
                <w:szCs w:val="13"/>
                <w:color w:val="auto"/>
              </w:rPr>
              <w:t>138</w:t>
            </w:r>
          </w:p>
        </w:tc>
        <w:tc>
          <w:tcPr>
            <w:tcW w:w="120" w:type="dxa"/>
            <w:vAlign w:val="bottom"/>
            <w:shd w:val="clear" w:color="auto" w:fill="CCF0FC"/>
          </w:tcPr>
          <w:p>
            <w:pPr>
              <w:spacing w:after="0"/>
              <w:rPr>
                <w:sz w:val="14"/>
                <w:szCs w:val="14"/>
                <w:color w:val="auto"/>
              </w:rPr>
            </w:pPr>
          </w:p>
        </w:tc>
        <w:tc>
          <w:tcPr>
            <w:tcW w:w="100" w:type="dxa"/>
            <w:vAlign w:val="bottom"/>
            <w:shd w:val="clear" w:color="auto" w:fill="CCF0FC"/>
          </w:tcPr>
          <w:p>
            <w:pPr>
              <w:spacing w:after="0"/>
              <w:rPr>
                <w:sz w:val="14"/>
                <w:szCs w:val="14"/>
                <w:color w:val="auto"/>
              </w:rPr>
            </w:pPr>
          </w:p>
        </w:tc>
        <w:tc>
          <w:tcPr>
            <w:tcW w:w="120" w:type="dxa"/>
            <w:vAlign w:val="bottom"/>
            <w:tcBorders>
              <w:bottom w:val="single" w:sz="8" w:color="auto"/>
            </w:tcBorders>
            <w:shd w:val="clear" w:color="auto" w:fill="CCF0FC"/>
          </w:tcPr>
          <w:p>
            <w:pPr>
              <w:spacing w:after="0"/>
              <w:rPr>
                <w:sz w:val="14"/>
                <w:szCs w:val="14"/>
                <w:color w:val="auto"/>
              </w:rPr>
            </w:pPr>
          </w:p>
        </w:tc>
        <w:tc>
          <w:tcPr>
            <w:tcW w:w="740" w:type="dxa"/>
            <w:vAlign w:val="bottom"/>
            <w:tcBorders>
              <w:bottom w:val="single" w:sz="8" w:color="auto"/>
              <w:right w:val="single" w:sz="8" w:color="CCF0FC"/>
            </w:tcBorders>
            <w:shd w:val="clear" w:color="auto" w:fill="CCF0FC"/>
          </w:tcPr>
          <w:p>
            <w:pPr>
              <w:jc w:val="right"/>
              <w:ind w:right="13"/>
              <w:spacing w:after="0"/>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55"/>
        </w:trPr>
        <w:tc>
          <w:tcPr>
            <w:tcW w:w="3640" w:type="dxa"/>
            <w:vAlign w:val="bottom"/>
          </w:tcPr>
          <w:p>
            <w:pPr>
              <w:spacing w:after="0"/>
              <w:rPr>
                <w:sz w:val="20"/>
                <w:szCs w:val="20"/>
                <w:color w:val="auto"/>
              </w:rPr>
            </w:pPr>
            <w:r>
              <w:rPr>
                <w:rFonts w:ascii="Arial" w:cs="Arial" w:eastAsia="Arial" w:hAnsi="Arial"/>
                <w:sz w:val="13"/>
                <w:szCs w:val="13"/>
                <w:color w:val="auto"/>
              </w:rPr>
              <w:t>Balances, September 30, 2021</w:t>
            </w:r>
          </w:p>
        </w:tc>
        <w:tc>
          <w:tcPr>
            <w:tcW w:w="800" w:type="dxa"/>
            <w:vAlign w:val="bottom"/>
          </w:tcPr>
          <w:p>
            <w:pPr>
              <w:jc w:val="right"/>
              <w:spacing w:after="0"/>
              <w:rPr>
                <w:sz w:val="20"/>
                <w:szCs w:val="20"/>
                <w:color w:val="auto"/>
              </w:rPr>
            </w:pPr>
            <w:r>
              <w:rPr>
                <w:rFonts w:ascii="Arial" w:cs="Arial" w:eastAsia="Arial" w:hAnsi="Arial"/>
                <w:sz w:val="13"/>
                <w:szCs w:val="13"/>
                <w:color w:val="auto"/>
              </w:rPr>
              <w:t>35,964,238</w:t>
            </w:r>
          </w:p>
        </w:tc>
        <w:tc>
          <w:tcPr>
            <w:tcW w:w="14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38</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1,719,064</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61"/>
              <w:spacing w:after="0"/>
              <w:rPr>
                <w:sz w:val="20"/>
                <w:szCs w:val="20"/>
                <w:color w:val="auto"/>
              </w:rPr>
            </w:pPr>
            <w:r>
              <w:rPr>
                <w:rFonts w:ascii="Arial" w:cs="Arial" w:eastAsia="Arial" w:hAnsi="Arial"/>
                <w:sz w:val="13"/>
                <w:szCs w:val="13"/>
                <w:color w:val="auto"/>
              </w:rPr>
              <w:t>(75,908)</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422,670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125,322</w:t>
            </w:r>
          </w:p>
        </w:tc>
        <w:tc>
          <w:tcPr>
            <w:tcW w:w="120" w:type="dxa"/>
            <w:vAlign w:val="bottom"/>
          </w:tcPr>
          <w:p>
            <w:pPr>
              <w:spacing w:after="0"/>
              <w:rPr>
                <w:sz w:val="13"/>
                <w:szCs w:val="13"/>
                <w:color w:val="auto"/>
              </w:rPr>
            </w:pPr>
          </w:p>
        </w:tc>
        <w:tc>
          <w:tcPr>
            <w:tcW w:w="26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1"/>
              <w:spacing w:after="0"/>
              <w:rPr>
                <w:sz w:val="20"/>
                <w:szCs w:val="20"/>
                <w:color w:val="auto"/>
              </w:rPr>
            </w:pPr>
            <w:r>
              <w:rPr>
                <w:rFonts w:ascii="Arial" w:cs="Arial" w:eastAsia="Arial" w:hAnsi="Arial"/>
                <w:sz w:val="13"/>
                <w:szCs w:val="13"/>
                <w:color w:val="auto"/>
              </w:rPr>
              <w:t>(1,594)</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13"/>
              <w:spacing w:after="0"/>
              <w:rPr>
                <w:sz w:val="20"/>
                <w:szCs w:val="20"/>
                <w:color w:val="auto"/>
              </w:rPr>
            </w:pPr>
            <w:r>
              <w:rPr>
                <w:rFonts w:ascii="Arial" w:cs="Arial" w:eastAsia="Arial" w:hAnsi="Arial"/>
                <w:sz w:val="13"/>
                <w:szCs w:val="13"/>
                <w:color w:val="auto"/>
              </w:rPr>
              <w:t>470,528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20574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5</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0000EE"/>
            </w:tcBorders>
            <w:gridSpan w:val="2"/>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407"/>
        </w:trPr>
        <w:tc>
          <w:tcPr>
            <w:tcW w:w="7760" w:type="dxa"/>
            <w:vAlign w:val="bottom"/>
          </w:tcPr>
          <w:p>
            <w:pPr>
              <w:ind w:left="3780"/>
              <w:spacing w:after="0"/>
              <w:rPr>
                <w:sz w:val="20"/>
                <w:szCs w:val="20"/>
                <w:color w:val="auto"/>
              </w:rPr>
            </w:pPr>
            <w:r>
              <w:rPr>
                <w:rFonts w:ascii="Arial" w:cs="Arial" w:eastAsia="Arial" w:hAnsi="Arial"/>
                <w:sz w:val="18"/>
                <w:szCs w:val="18"/>
                <w:b w:val="1"/>
                <w:bCs w:val="1"/>
                <w:color w:val="auto"/>
              </w:rPr>
              <w:t>SPS COMMERCE, INC. AND SUBSIDIARIES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360" w:type="dxa"/>
            <w:vAlign w:val="bottom"/>
            <w:gridSpan w:val="2"/>
          </w:tcPr>
          <w:p>
            <w:pPr>
              <w:ind w:left="2920"/>
              <w:spacing w:after="0"/>
              <w:rPr>
                <w:sz w:val="20"/>
                <w:szCs w:val="20"/>
                <w:color w:val="auto"/>
              </w:rPr>
            </w:pPr>
            <w:r>
              <w:rPr>
                <w:rFonts w:ascii="Arial" w:cs="Arial" w:eastAsia="Arial" w:hAnsi="Arial"/>
                <w:sz w:val="18"/>
                <w:szCs w:val="18"/>
                <w:b w:val="1"/>
                <w:bCs w:val="1"/>
                <w:color w:val="auto"/>
                <w:w w:val="99"/>
              </w:rPr>
              <w:t>CONDENSED CONSOLIDATED STATEMENTS OF CASH FLOWS</w:t>
            </w: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(unaudited)</w:t>
            </w:r>
          </w:p>
        </w:tc>
        <w:tc>
          <w:tcPr>
            <w:tcW w:w="6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57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600" w:type="dxa"/>
            <w:vAlign w:val="bottom"/>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31,832</w:t>
            </w:r>
          </w:p>
        </w:tc>
        <w:tc>
          <w:tcPr>
            <w:tcW w:w="160" w:type="dxa"/>
            <w:vAlign w:val="bottom"/>
          </w:tcPr>
          <w:p>
            <w:pPr>
              <w:spacing w:after="0"/>
              <w:rPr>
                <w:sz w:val="19"/>
                <w:szCs w:val="19"/>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 in earn-out liability</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Depreciation and amortization of property and equipment</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10,989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assets and liabilities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(5,327)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(4,551)</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costs</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(5,686)</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(1,129)</w:t>
            </w: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Other current and non-current assets</w:t>
            </w:r>
          </w:p>
        </w:tc>
        <w:tc>
          <w:tcPr>
            <w:tcW w:w="6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(3,893)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(1,518)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740"/>
              <w:spacing w:after="0"/>
              <w:rPr>
                <w:sz w:val="20"/>
                <w:szCs w:val="20"/>
                <w:color w:val="auto"/>
              </w:rPr>
            </w:pPr>
            <w:r>
              <w:rPr>
                <w:rFonts w:ascii="Arial" w:cs="Arial" w:eastAsia="Arial" w:hAnsi="Arial"/>
                <w:sz w:val="18"/>
                <w:szCs w:val="18"/>
                <w:color w:val="auto"/>
              </w:rPr>
              <w:t>Accrued compensation</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Accrued expenses</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76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13,401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Operating leases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(1,128)</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81,568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65,529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6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(15,567)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(11,639)</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investments</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(84,020)</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(67,636)</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investments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67,500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47,300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(32,087)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(31,975)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Repurchases of common stock</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Net proceeds from exercise of options to purchase common stock</w:t>
            </w:r>
          </w:p>
        </w:tc>
        <w:tc>
          <w:tcPr>
            <w:tcW w:w="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7,027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employee stock purchase plan</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Payments for contingent consideration</w:t>
            </w:r>
          </w:p>
        </w:tc>
        <w:tc>
          <w:tcPr>
            <w:tcW w:w="6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(2,042)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(3,850)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currency exchange rate changes</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and cash equivalents</w:t>
            </w:r>
          </w:p>
        </w:tc>
        <w:tc>
          <w:tcPr>
            <w:tcW w:w="6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46,111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149,692</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179,252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600" w:type="dxa"/>
            <w:vAlign w:val="bottom"/>
            <w:tcBorders>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195,803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208,930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-98425</wp:posOffset>
            </wp:positionV>
            <wp:extent cx="214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355600</wp:posOffset>
            </wp:positionV>
            <wp:extent cx="20574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6</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SPS COMMERCE,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Notes to Condensed Consolidated Financial Statements (Unaudited)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A –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Description</w:t>
      </w:r>
    </w:p>
    <w:p>
      <w:pPr>
        <w:spacing w:after="0" w:line="117"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SPS Commerce is a leading provider of cloud-based supply chain management solutions that make it easier for retailers, suppliers, grocers, distributors, and logistics firms to orchestrate the management of item data, order fulfillment, inventory control and sales analytics across all channels. For many businesses, implementing and maintaining a suite of supply chain management capabilities is resource-intensive and not a core competency. The solutions offered by SPS Commerce eliminate the need for on-premise software and support staff by taking on that capability on the customer’s behalf. These solutions also enable our customers to increase their supply cycle agility, optimize their inventory levels and sell-through, reduce operational costs and gain increased visibility into customer orders, helping ensure that suppliers, grocers, distributors, and logistics firms can satisfy retailer requirements.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Basis of Presentation</w:t>
      </w:r>
    </w:p>
    <w:p>
      <w:pPr>
        <w:spacing w:after="0" w:line="117" w:lineRule="exact"/>
        <w:rPr>
          <w:sz w:val="20"/>
          <w:szCs w:val="20"/>
          <w:color w:val="auto"/>
        </w:rPr>
      </w:pPr>
    </w:p>
    <w:p>
      <w:pPr>
        <w:jc w:val="both"/>
        <w:ind w:right="160" w:firstLine="510"/>
        <w:spacing w:after="0" w:line="263"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of America (“GAAP”) and include the accounts of SPS Commerce, Inc. and its subsidiaries. All intercompany accounts and transactions have been eliminated in the condensed consolidated financial statements.</w:t>
      </w:r>
    </w:p>
    <w:p>
      <w:pPr>
        <w:spacing w:after="0" w:line="7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interim financial information has been prepared under the instructions to Form 10-Q and Rule 10-01 of Regulation S-X. Accordingly, these condensed consolidated financial statements do not include all of the information and notes required by GAAP. We have included all normal recurring adjustments considered necessary to provide a fair presentation of our financial position, results of operations, stockholders’ equity, and cash flows for the interim periods shown. Operating results for these interim periods are not necessarily indicative of the results to be expected for the full year. For further information, refer to the consolidated financial statements and accompanying notes included in our Annual Report on Form 10-K for the year ended December 31, 2020, as filed with the Securities and Exchange Commission (“SEC”).</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Business Combinations</w:t>
      </w:r>
    </w:p>
    <w:p>
      <w:pPr>
        <w:spacing w:after="0" w:line="117" w:lineRule="exact"/>
        <w:rPr>
          <w:sz w:val="20"/>
          <w:szCs w:val="20"/>
          <w:color w:val="auto"/>
        </w:rPr>
      </w:pPr>
    </w:p>
    <w:p>
      <w:pPr>
        <w:ind w:firstLine="510"/>
        <w:spacing w:after="0" w:line="307" w:lineRule="auto"/>
        <w:rPr>
          <w:sz w:val="20"/>
          <w:szCs w:val="20"/>
          <w:color w:val="auto"/>
        </w:rPr>
      </w:pPr>
      <w:r>
        <w:rPr>
          <w:rFonts w:ascii="Arial" w:cs="Arial" w:eastAsia="Arial" w:hAnsi="Arial"/>
          <w:sz w:val="16"/>
          <w:szCs w:val="16"/>
          <w:color w:val="auto"/>
        </w:rPr>
        <w:t>In December 2020, we acquired all of the outstanding equity ownership interests of D Masons Software, LLC (“Data Masons”). As of December 31, 2020, the purchase accounting for the acquisition was not finalized. During the three months ended March 31, 2021, the only change in the purchase accounting was a $0.3 million reduction of amounts due from the seller as part of the initial net working capital adjustment and a corresponding increase to goodwill. As of September 30, 2021, the purchase accounting for the acquisition was finalized, without any change from that recorded at March 31, 2021.</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Use of Estimates</w:t>
      </w:r>
    </w:p>
    <w:p>
      <w:pPr>
        <w:spacing w:after="0" w:line="11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Preparing financial statements in conformity with GAAP requires management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Recently Issued and Adopted Accounting Pronouncements</w:t>
      </w:r>
    </w:p>
    <w:p>
      <w:pPr>
        <w:spacing w:after="0" w:line="117"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For the nine months ended September 30, 2021, there were no newly adopted accounting pronouncements. As of September 30, 2021, there are no recently issued but not yet adopted accounting pronouncements that are expected to materially impact our consolidated financial statements.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Significant Accounting Policies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There were no material changes in our significant accounting policies during the nine months ended September 30, 2021. See Note A to the consolidated financial statements included in our Annual Report on Form 10-K for the year ended December 31, 2020, as filed with the SEC, for additional information regarding our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7</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7" w:name="page8"/>
    <w:bookmarkEnd w:id="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B – Revenue</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derive our revenues from the following revenue streams: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6"/>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140"/>
              <w:spacing w:after="0"/>
              <w:rPr>
                <w:sz w:val="20"/>
                <w:szCs w:val="20"/>
                <w:color w:val="auto"/>
              </w:rPr>
            </w:pPr>
            <w:r>
              <w:rPr>
                <w:rFonts w:ascii="Arial" w:cs="Arial" w:eastAsia="Arial" w:hAnsi="Arial"/>
                <w:sz w:val="18"/>
                <w:szCs w:val="18"/>
                <w:color w:val="auto"/>
              </w:rPr>
              <w:t>Fulfillment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78,106</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64,115</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224,738</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183,963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Analytics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31,383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4,019</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Recurring Revenues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90,399</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75,185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260,140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One-time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7,488</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22,380</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12,886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97,887</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79,557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282,520</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229,322</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Revenues are recognized when our services are made available to our customers, in an amount that reflects the consideration we are contractually and legally entitled to in exchange for those services.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1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Revenues</w:t>
      </w:r>
    </w:p>
    <w:p>
      <w:pPr>
        <w:spacing w:after="0" w:line="117" w:lineRule="exact"/>
        <w:rPr>
          <w:sz w:val="20"/>
          <w:szCs w:val="20"/>
          <w:color w:val="auto"/>
        </w:rPr>
      </w:pPr>
    </w:p>
    <w:p>
      <w:pPr>
        <w:ind w:right="140" w:firstLine="510"/>
        <w:spacing w:after="0" w:line="261" w:lineRule="auto"/>
        <w:rPr>
          <w:sz w:val="20"/>
          <w:szCs w:val="20"/>
          <w:color w:val="auto"/>
        </w:rPr>
      </w:pPr>
      <w:r>
        <w:rPr>
          <w:rFonts w:ascii="Arial" w:cs="Arial" w:eastAsia="Arial" w:hAnsi="Arial"/>
          <w:sz w:val="18"/>
          <w:szCs w:val="18"/>
          <w:color w:val="auto"/>
        </w:rPr>
        <w:t>Recurring revenues consist of recurring subscriptions from customers that utilize our Fulfillment, Analytics, and Other cloud-based supply chain management solutions. Revenue for these solutions is generally recognized on a ratable basis over the contract term beginning on the date that our service is made available to the customer. Our contracts with our recurring revenue customers are recurring in nature, ranging from monthly to annual, and generally allow the customer to cancel the contract for any reason with 30 to 90 days’ notice. Timing of billings varies by customer and by contract type and are either in advance or within 30 days of the service being performed.</w:t>
      </w:r>
    </w:p>
    <w:p>
      <w:pPr>
        <w:spacing w:after="0" w:line="184"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deferred revenue liability for recurring revenue contracts are for one year or less and recognized on a ratable basis over the contract term. We have applied the optional exemption to not disclose information about the remaining performance obligations for contracts which have original durations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One-time Revenues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One-time revenues consist of set-up fees from customers and miscellaneous one-time fees.</w:t>
      </w:r>
    </w:p>
    <w:p>
      <w:pPr>
        <w:spacing w:after="0" w:line="225" w:lineRule="exact"/>
        <w:rPr>
          <w:sz w:val="20"/>
          <w:szCs w:val="20"/>
          <w:color w:val="auto"/>
        </w:rPr>
      </w:pPr>
    </w:p>
    <w:p>
      <w:pPr>
        <w:jc w:val="both"/>
        <w:ind w:right="460" w:firstLine="510"/>
        <w:spacing w:after="0" w:line="286" w:lineRule="auto"/>
        <w:rPr>
          <w:sz w:val="20"/>
          <w:szCs w:val="20"/>
          <w:color w:val="auto"/>
        </w:rPr>
      </w:pPr>
      <w:r>
        <w:rPr>
          <w:rFonts w:ascii="Arial" w:cs="Arial" w:eastAsia="Arial" w:hAnsi="Arial"/>
          <w:sz w:val="17"/>
          <w:szCs w:val="17"/>
          <w:color w:val="212529"/>
        </w:rPr>
        <w:t>Set-up fees are specific for each connection a customer has with a trading partner and many of our customers have connections with numerous trading partners. Set-up fees related to our cloud-based supply chain management solutions are nonrefundable upfront fees that are necessary for our customers to utilize our cloud-based services. These set-up fees do not provide any standalone value to our customers.</w:t>
      </w:r>
    </w:p>
    <w:p>
      <w:pPr>
        <w:spacing w:after="0" w:line="165"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212529"/>
        </w:rPr>
        <w:t>Certain contracts contain set-up fees that constitute a material renewal option right. This material right provides customers a significant future incentive that would not otherwise be available to them unless they entered into the contract, as the set-up fees will not be incurred again upon contract renewal.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8</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8" w:name="page9"/>
    <w:bookmarkEnd w:id="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212529"/>
        </w:rPr>
        <w:t xml:space="preserve">For our Fulfillment solution, we have determined that the set-up fees and related costs represent a material renewal option right to our customers as they will not be incurred again upon renewal. These set-up fees and related costs are deferred and recognized ratably over </w:t>
      </w:r>
      <w:r>
        <w:rPr>
          <w:rFonts w:ascii="Arial" w:cs="Arial" w:eastAsia="Arial" w:hAnsi="Arial"/>
          <w:sz w:val="18"/>
          <w:szCs w:val="18"/>
          <w:color w:val="000000"/>
        </w:rPr>
        <w:t>two years</w:t>
      </w:r>
      <w:r>
        <w:rPr>
          <w:rFonts w:ascii="Arial" w:cs="Arial" w:eastAsia="Arial" w:hAnsi="Arial"/>
          <w:sz w:val="18"/>
          <w:szCs w:val="18"/>
          <w:color w:val="212529"/>
        </w:rPr>
        <w:t>, which is the estimated period for which a material right is present for our customers.</w:t>
      </w:r>
    </w:p>
    <w:p>
      <w:pPr>
        <w:spacing w:after="0" w:line="184" w:lineRule="exact"/>
        <w:rPr>
          <w:sz w:val="20"/>
          <w:szCs w:val="20"/>
          <w:color w:val="auto"/>
        </w:rPr>
      </w:pPr>
    </w:p>
    <w:p>
      <w:pPr>
        <w:jc w:val="both"/>
        <w:ind w:right="40" w:firstLine="510"/>
        <w:spacing w:after="0" w:line="277" w:lineRule="auto"/>
        <w:rPr>
          <w:sz w:val="20"/>
          <w:szCs w:val="20"/>
          <w:color w:val="auto"/>
        </w:rPr>
      </w:pPr>
      <w:r>
        <w:rPr>
          <w:rFonts w:ascii="Arial" w:cs="Arial" w:eastAsia="Arial" w:hAnsi="Arial"/>
          <w:sz w:val="18"/>
          <w:szCs w:val="18"/>
          <w:color w:val="212529"/>
        </w:rPr>
        <w:t xml:space="preserve">For our Analytics solution, we have determined that the set-up fees do not represent a material customer renewal right and, as such, are deferred and recognized ratably over the estimated initial contract term, which is generally </w:t>
      </w:r>
      <w:r>
        <w:rPr>
          <w:rFonts w:ascii="Arial" w:cs="Arial" w:eastAsia="Arial" w:hAnsi="Arial"/>
          <w:sz w:val="18"/>
          <w:szCs w:val="18"/>
          <w:color w:val="000000"/>
        </w:rPr>
        <w:t>one year</w:t>
      </w:r>
      <w:r>
        <w:rPr>
          <w:rFonts w:ascii="Arial" w:cs="Arial" w:eastAsia="Arial" w:hAnsi="Arial"/>
          <w:sz w:val="18"/>
          <w:szCs w:val="18"/>
          <w:color w:val="212529"/>
        </w:rPr>
        <w: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table below presents the activity of the portion of the deferred revenue liability relating to set-up fees: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10,633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11,118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10,518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Invoiced set-up fees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2,757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11,832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set-up fees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(3,245)</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(2,698)</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(9,229)</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(8,050)</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13,721</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The entire balance of set-up fees will be recognized within two years and, as such, current amounts will be recognized in the next 1-12 months and long-term amounts will be recognized in the next 13-24 months.</w:t>
      </w:r>
    </w:p>
    <w:p>
      <w:pPr>
        <w:spacing w:after="0" w:line="170"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auto"/>
        </w:rPr>
        <w:t>Miscellaneous one-time fees consist of professional services and testing and certification. The deferred revenue liability for these one-time fees are for one year or less and recognized at the time service is provided. We have applied the optional exemption to not disclose information about the remaining performance obligations for contracts which have original durations of one year or less.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C – Deferred Costs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deferred costs and amortization of deferred costs activity was as follows: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53,841</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46,649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50,595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Incurred deferred costs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14,258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45,922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Amortized deferred costs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(14,207)</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(12,774)</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(40,424)</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(38,137)</w:t>
            </w: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Balance, end of period</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56,093</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48,133</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D – Financial Instruments</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We invest primarily in money market funds, certificates of deposit, highly liquid debt instruments of the United States (“U.S.”) government and U.S. corporate debt securities. All investments with remaining maturities of less than one year from the balance sheet date are classified as short-term investments. Investments with remaining maturities of more than one year from the balance sheet date are classified as long-term investments. Our short-term marketable securities are classified as available-for-sale. We intend to hold marketable securities until maturity; however, we may sell these securities at any time for use in current operations or for other purposes.</w:t>
      </w:r>
    </w:p>
    <w:p>
      <w:pPr>
        <w:spacing w:after="0" w:line="188"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Our marketable securities are carried at fair value and unrealized gains and losses on these investments, net of taxes, are included in accumulated other comprehensive loss in the condensed consolidated balance sheets. Realized gains or losses are included in other income (expense), net in the condensed consolidated statements of comprehensive income. Certain securities accrue interest that is included in other income (expense), net. The unrealized gains (losses) noted below are exclusive of previously recognized interest income. When a determination has been made that the fair value of a marketable security is below its amortized cost basis, the portion of the unrealized loss that corresponds to a credit-related factor is realized through a credit allowance on the marketable security and the equivalent expense is realized in other income (expense), net in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205740"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480"/>
        <w:spacing w:after="0"/>
        <w:tabs>
          <w:tab w:leader="none" w:pos="558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9</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9" w:name="page10"/>
    <w:bookmarkEnd w:id="9"/>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equivalents and investments consisted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left="19"/>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8"/>
              </w:rPr>
              <w:t>Unrealized</w:t>
            </w: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Pr>
          <w:p>
            <w:pPr>
              <w:spacing w:after="0"/>
              <w:rPr>
                <w:sz w:val="12"/>
                <w:szCs w:val="12"/>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Gains (Losses),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2"/>
                <w:szCs w:val="12"/>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8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net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Losses, net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equivalents:</w:t>
            </w:r>
          </w:p>
        </w:tc>
        <w:tc>
          <w:tcPr>
            <w:tcW w:w="4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7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151,661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151,661</w:t>
            </w:r>
          </w:p>
        </w:tc>
        <w:tc>
          <w:tcPr>
            <w:tcW w:w="56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112,907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112,907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Certificates of deposit</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7,229</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spacing w:after="0"/>
              <w:rPr>
                <w:sz w:val="20"/>
                <w:szCs w:val="20"/>
                <w:color w:val="auto"/>
              </w:rPr>
            </w:pPr>
            <w:r>
              <w:rPr>
                <w:rFonts w:ascii="Arial" w:cs="Arial" w:eastAsia="Arial" w:hAnsi="Arial"/>
                <w:sz w:val="18"/>
                <w:szCs w:val="18"/>
                <w:b w:val="1"/>
                <w:bCs w:val="1"/>
                <w:color w:val="auto"/>
              </w:rPr>
              <w:t>Marketable securities:</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corporate bonds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60"/>
              <w:spacing w:after="0"/>
              <w:rPr>
                <w:sz w:val="20"/>
                <w:szCs w:val="20"/>
                <w:color w:val="auto"/>
              </w:rPr>
            </w:pPr>
            <w:r>
              <w:rPr>
                <w:rFonts w:ascii="Arial" w:cs="Arial" w:eastAsia="Arial" w:hAnsi="Arial"/>
                <w:sz w:val="18"/>
                <w:szCs w:val="18"/>
                <w:color w:val="auto"/>
              </w:rPr>
              <w:t>Commercial paper</w:t>
            </w: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32,485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32,486</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securities</w:t>
            </w:r>
          </w:p>
        </w:tc>
        <w:tc>
          <w:tcPr>
            <w:tcW w:w="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860" w:type="dxa"/>
            <w:vAlign w:val="bottom"/>
            <w:tcBorders>
              <w:bottom w:val="single" w:sz="8" w:color="CFF0FC"/>
            </w:tcBorders>
          </w:tcPr>
          <w:p>
            <w:pPr>
              <w:spacing w:after="0"/>
              <w:rPr>
                <w:sz w:val="22"/>
                <w:szCs w:val="22"/>
                <w:color w:val="auto"/>
              </w:rPr>
            </w:pPr>
          </w:p>
        </w:tc>
        <w:tc>
          <w:tcPr>
            <w:tcW w:w="460" w:type="dxa"/>
            <w:vAlign w:val="bottom"/>
            <w:tcBorders>
              <w:bottom w:val="single" w:sz="8" w:color="CFF0FC"/>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207,914</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207,844</w:t>
            </w:r>
          </w:p>
        </w:tc>
        <w:tc>
          <w:tcPr>
            <w:tcW w:w="26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153,304</w:t>
            </w:r>
          </w:p>
        </w:tc>
        <w:tc>
          <w:tcPr>
            <w:tcW w:w="2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Maturing within one year</w:t>
            </w: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207,844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150,693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Maturing within one to two years</w:t>
            </w:r>
          </w:p>
        </w:tc>
        <w:tc>
          <w:tcPr>
            <w:tcW w:w="4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7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207,844</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153,193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Recurring Fair Value Measurements</w:t>
      </w:r>
    </w:p>
    <w:p>
      <w:pPr>
        <w:spacing w:after="0" w:line="225"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color w:val="auto"/>
        </w:rPr>
        <w:t>The following table presents information about our financial assets and liabilities that are measured at fair value on a recurring basis and indicates the fair value hierarchy of the valuation techniques utilized to determine such fair value: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September 30, 2021</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35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9"/>
                <w:szCs w:val="19"/>
                <w:color w:val="auto"/>
              </w:rPr>
            </w:pPr>
          </w:p>
        </w:tc>
        <w:tc>
          <w:tcPr>
            <w:tcW w:w="640" w:type="dxa"/>
            <w:vAlign w:val="bottom"/>
          </w:tcPr>
          <w:p>
            <w:pPr>
              <w:jc w:val="right"/>
              <w:ind w:right="72"/>
              <w:spacing w:after="0"/>
              <w:rPr>
                <w:sz w:val="20"/>
                <w:szCs w:val="20"/>
                <w:color w:val="auto"/>
              </w:rPr>
            </w:pPr>
            <w:r>
              <w:rPr>
                <w:rFonts w:ascii="Arial" w:cs="Arial" w:eastAsia="Arial" w:hAnsi="Arial"/>
                <w:sz w:val="14"/>
                <w:szCs w:val="14"/>
                <w:b w:val="1"/>
                <w:bCs w:val="1"/>
                <w:color w:val="auto"/>
                <w:w w:val="96"/>
              </w:rPr>
              <w:t>Level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Level 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Level 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w w:val="96"/>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151,661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151,661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112,907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112,907</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ind w:left="260"/>
              <w:spacing w:after="0"/>
              <w:rPr>
                <w:sz w:val="20"/>
                <w:szCs w:val="20"/>
                <w:color w:val="auto"/>
              </w:rPr>
            </w:pPr>
            <w:r>
              <w:rPr>
                <w:rFonts w:ascii="Arial" w:cs="Arial" w:eastAsia="Arial" w:hAnsi="Arial"/>
                <w:sz w:val="18"/>
                <w:szCs w:val="18"/>
                <w:color w:val="auto"/>
              </w:rPr>
              <w:t>Certificates of deposit</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7,229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19"/>
                <w:szCs w:val="19"/>
                <w:color w:val="auto"/>
              </w:rPr>
            </w:pPr>
          </w:p>
        </w:tc>
      </w:tr>
      <w:tr>
        <w:trPr>
          <w:trHeight w:val="229"/>
        </w:trPr>
        <w:tc>
          <w:tcPr>
            <w:tcW w:w="3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ind w:left="500"/>
              <w:spacing w:after="0"/>
              <w:rPr>
                <w:sz w:val="20"/>
                <w:szCs w:val="20"/>
                <w:color w:val="auto"/>
              </w:rPr>
            </w:pPr>
            <w:r>
              <w:rPr>
                <w:rFonts w:ascii="Arial" w:cs="Arial" w:eastAsia="Arial" w:hAnsi="Arial"/>
                <w:sz w:val="18"/>
                <w:szCs w:val="18"/>
                <w:color w:val="auto"/>
              </w:rPr>
              <w:t>U.S. corporate bonds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5,040</w:t>
            </w:r>
          </w:p>
        </w:tc>
        <w:tc>
          <w:tcPr>
            <w:tcW w:w="120" w:type="dxa"/>
            <w:vAlign w:val="bottom"/>
          </w:tcPr>
          <w:p>
            <w:pPr>
              <w:spacing w:after="0"/>
              <w:rPr>
                <w:sz w:val="19"/>
                <w:szCs w:val="19"/>
                <w:color w:val="auto"/>
              </w:rPr>
            </w:pPr>
          </w:p>
        </w:tc>
      </w:tr>
      <w:tr>
        <w:trPr>
          <w:trHeight w:val="230"/>
        </w:trPr>
        <w:tc>
          <w:tcPr>
            <w:tcW w:w="35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Commercial paper</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7,514</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20,024</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20,024</w:t>
            </w:r>
          </w:p>
        </w:tc>
        <w:tc>
          <w:tcPr>
            <w:tcW w:w="120" w:type="dxa"/>
            <w:vAlign w:val="bottom"/>
            <w:tcBorders>
              <w:bottom w:val="single" w:sz="8" w:color="CFF0FC"/>
            </w:tcBorders>
          </w:tcPr>
          <w:p>
            <w:pPr>
              <w:spacing w:after="0"/>
              <w:rPr>
                <w:sz w:val="19"/>
                <w:szCs w:val="19"/>
                <w:color w:val="auto"/>
              </w:rPr>
            </w:pPr>
          </w:p>
        </w:tc>
      </w:tr>
      <w:tr>
        <w:trPr>
          <w:trHeight w:val="223"/>
        </w:trPr>
        <w:tc>
          <w:tcPr>
            <w:tcW w:w="35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158,890</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48,954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207,844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120,615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32,578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153,193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3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354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ind w:left="48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1,878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19"/>
                <w:szCs w:val="19"/>
                <w:color w:val="auto"/>
              </w:rPr>
            </w:pPr>
          </w:p>
        </w:tc>
      </w:tr>
      <w:tr>
        <w:trPr>
          <w:trHeight w:val="223"/>
        </w:trPr>
        <w:tc>
          <w:tcPr>
            <w:tcW w:w="35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left="520" w:right="280"/>
        <w:spacing w:after="0" w:line="277" w:lineRule="auto"/>
        <w:rPr>
          <w:sz w:val="20"/>
          <w:szCs w:val="20"/>
          <w:color w:val="auto"/>
        </w:rPr>
      </w:pPr>
      <w:r>
        <w:rPr>
          <w:rFonts w:ascii="Arial" w:cs="Arial" w:eastAsia="Arial" w:hAnsi="Arial"/>
          <w:sz w:val="18"/>
          <w:szCs w:val="18"/>
          <w:i w:val="1"/>
          <w:iCs w:val="1"/>
          <w:color w:val="auto"/>
        </w:rPr>
        <w:t>See Note E to the consolidated financial statements included in our Annual Report on Form 10-K for the year ended December 31, 2020, as filed with the SEC, for additional information regarding the three levels of inputs that may be used to measure fair value.</w:t>
      </w:r>
    </w:p>
    <w:p>
      <w:pPr>
        <w:spacing w:after="0" w:line="170" w:lineRule="exact"/>
        <w:rPr>
          <w:sz w:val="20"/>
          <w:szCs w:val="20"/>
          <w:color w:val="auto"/>
        </w:rPr>
      </w:pPr>
    </w:p>
    <w:p>
      <w:pPr>
        <w:jc w:val="both"/>
        <w:ind w:right="180" w:firstLine="510"/>
        <w:spacing w:after="0" w:line="259" w:lineRule="auto"/>
        <w:rPr>
          <w:sz w:val="20"/>
          <w:szCs w:val="20"/>
          <w:color w:val="auto"/>
        </w:rPr>
      </w:pPr>
      <w:r>
        <w:rPr>
          <w:rFonts w:ascii="Arial" w:cs="Arial" w:eastAsia="Arial" w:hAnsi="Arial"/>
          <w:sz w:val="18"/>
          <w:szCs w:val="18"/>
          <w:color w:val="auto"/>
        </w:rPr>
        <w:t>For the contingent consideration liability, related to the Data Masons acquisition, we were required to pay the former owners of Data Masons $1.9 million in the event the Paycheck Protection Program Loan (“PPP Loan”) acquired in the acquisition was forgiven in full. In the three months ended June 30, 2021, the Small Business Administration approved the full forgiveness of the PPP Loan and, accordingly, the payment of the $1.9 million contingent liability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20574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10</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49"/>
        </w:trPr>
        <w:tc>
          <w:tcPr>
            <w:tcW w:w="7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0000EE"/>
            </w:tcBorders>
            <w:gridSpan w:val="2"/>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574"/>
        </w:trPr>
        <w:tc>
          <w:tcPr>
            <w:tcW w:w="7720" w:type="dxa"/>
            <w:vAlign w:val="bottom"/>
          </w:tcPr>
          <w:p>
            <w:pPr>
              <w:spacing w:after="0"/>
              <w:rPr>
                <w:sz w:val="20"/>
                <w:szCs w:val="20"/>
                <w:color w:val="auto"/>
              </w:rPr>
            </w:pPr>
            <w:r>
              <w:rPr>
                <w:rFonts w:ascii="Arial" w:cs="Arial" w:eastAsia="Arial" w:hAnsi="Arial"/>
                <w:sz w:val="18"/>
                <w:szCs w:val="18"/>
                <w:b w:val="1"/>
                <w:bCs w:val="1"/>
                <w:color w:val="00AAE5"/>
              </w:rPr>
              <w:t>NOTE E – Allowance for Credit Losses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w w:val="97"/>
              </w:rPr>
              <w:t>The allowance for credit losses activity, included in accounts receivable, net, was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Adoption of ASU 2016-13</w:t>
            </w: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Write-offs, net of recoveries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(3,666)</w:t>
            </w:r>
          </w:p>
        </w:tc>
        <w:tc>
          <w:tcPr>
            <w:tcW w:w="56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(2,977)</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00AAE5"/>
              </w:rPr>
              <w:t>NOTE F – Goodwill and Intangible Assets, net</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spacing w:after="0"/>
              <w:rPr>
                <w:sz w:val="20"/>
                <w:szCs w:val="20"/>
                <w:color w:val="auto"/>
              </w:rPr>
            </w:pPr>
            <w:r>
              <w:rPr>
                <w:rFonts w:ascii="Arial" w:cs="Arial" w:eastAsia="Arial" w:hAnsi="Arial"/>
                <w:sz w:val="18"/>
                <w:szCs w:val="18"/>
                <w:b w:val="1"/>
                <w:bCs w:val="1"/>
                <w:i w:val="1"/>
                <w:iCs w:val="1"/>
                <w:color w:val="1F282C"/>
              </w:rPr>
              <w:t>Goodwill</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tcPr>
          <w:p>
            <w:pPr>
              <w:ind w:left="520"/>
              <w:spacing w:after="0"/>
              <w:rPr>
                <w:sz w:val="20"/>
                <w:szCs w:val="20"/>
                <w:color w:val="auto"/>
              </w:rPr>
            </w:pPr>
            <w:r>
              <w:rPr>
                <w:rFonts w:ascii="Arial" w:cs="Arial" w:eastAsia="Arial" w:hAnsi="Arial"/>
                <w:sz w:val="18"/>
                <w:szCs w:val="18"/>
                <w:color w:val="auto"/>
              </w:rPr>
              <w:t>The changes in the net carrying amount of goodwill were as follows: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7"/>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134,853</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76,845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Remeasurement from provisional purchase accounting amount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w:t>
            </w: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(441)</w:t>
            </w:r>
          </w:p>
        </w:tc>
        <w:tc>
          <w:tcPr>
            <w:tcW w:w="56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134,680</w:t>
            </w: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76,543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Intangible Assets</w:t>
      </w:r>
    </w:p>
    <w:p>
      <w:pPr>
        <w:spacing w:after="0" w:line="11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Intangible assets subject to amortization are amortized over their respective useful lives (ranging from three to ten years). Intangible assets, net included the following:</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5"/>
          </w:tcPr>
          <w:p>
            <w:pPr>
              <w:jc w:val="right"/>
              <w:ind w:right="900"/>
              <w:spacing w:after="0"/>
              <w:rPr>
                <w:sz w:val="20"/>
                <w:szCs w:val="20"/>
                <w:color w:val="auto"/>
              </w:rPr>
            </w:pPr>
            <w:r>
              <w:rPr>
                <w:rFonts w:ascii="Arial" w:cs="Arial" w:eastAsia="Arial" w:hAnsi="Arial"/>
                <w:sz w:val="14"/>
                <w:szCs w:val="14"/>
                <w:b w:val="1"/>
                <w:bCs w:val="1"/>
                <w:color w:val="auto"/>
              </w:rPr>
              <w:t>September 30, 2021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54,870</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(28,851)</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24,957</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107"/>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33,216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(5,702)</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27,514</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88,794</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(35,261)</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52,471</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6"/>
        </w:trPr>
        <w:tc>
          <w:tcPr>
            <w:tcW w:w="5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40"/>
              <w:spacing w:after="0" w:line="147"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3"/>
              </w:rPr>
              <w:t>Foreign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Currency</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58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4"/>
                <w:szCs w:val="14"/>
                <w:color w:val="auto"/>
              </w:rPr>
            </w:pP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Translation</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ind w:left="180"/>
              <w:spacing w:after="0"/>
              <w:rPr>
                <w:sz w:val="20"/>
                <w:szCs w:val="20"/>
                <w:color w:val="auto"/>
              </w:rPr>
            </w:pPr>
            <w:r>
              <w:rPr>
                <w:rFonts w:ascii="Arial" w:cs="Arial" w:eastAsia="Arial" w:hAnsi="Arial"/>
                <w:sz w:val="14"/>
                <w:szCs w:val="14"/>
                <w:b w:val="1"/>
                <w:bCs w:val="1"/>
                <w:color w:val="auto"/>
              </w:rPr>
              <w:t>Net</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Subscriber relationships</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54,447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(24,792)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Non-competition agreements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(691)</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Acquired technology</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(2,724)</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30,471</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88,340</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(28,207)</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60,230</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11</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estimated future annual amortization expense related to intangible assets subject to amortization is as follows: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5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17,876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future amortization</w:t>
            </w:r>
          </w:p>
        </w:tc>
        <w:tc>
          <w:tcPr>
            <w:tcW w:w="4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52,471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00AAE5"/>
              </w:rPr>
              <w:t>NOTE G – Other Assets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160" w:type="dxa"/>
            <w:vAlign w:val="bottom"/>
            <w:gridSpan w:val="16"/>
          </w:tcPr>
          <w:p>
            <w:pPr>
              <w:ind w:left="520"/>
              <w:spacing w:after="0"/>
              <w:rPr>
                <w:sz w:val="20"/>
                <w:szCs w:val="20"/>
                <w:color w:val="auto"/>
              </w:rPr>
            </w:pPr>
            <w:r>
              <w:rPr>
                <w:rFonts w:ascii="Arial" w:cs="Arial" w:eastAsia="Arial" w:hAnsi="Arial"/>
                <w:sz w:val="18"/>
                <w:szCs w:val="18"/>
                <w:color w:val="auto"/>
                <w:w w:val="92"/>
              </w:rPr>
              <w:t>The changes in the net amount of capitalized implementation costs for software hosting arrangements was as follows: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11"/>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6"/>
              </w:rPr>
              <w:t>September 30,</w:t>
            </w: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6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gridSpan w:val="3"/>
          </w:tcPr>
          <w:p>
            <w:pPr>
              <w:jc w:val="right"/>
              <w:ind w:right="16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1,188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58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60"/>
              <w:spacing w:after="0"/>
              <w:rPr>
                <w:sz w:val="20"/>
                <w:szCs w:val="20"/>
                <w:color w:val="auto"/>
              </w:rPr>
            </w:pPr>
            <w:r>
              <w:rPr>
                <w:rFonts w:ascii="Arial" w:cs="Arial" w:eastAsia="Arial" w:hAnsi="Arial"/>
                <w:sz w:val="18"/>
                <w:szCs w:val="18"/>
                <w:color w:val="auto"/>
              </w:rPr>
              <w:t>Capitalized implementation fees</w:t>
            </w: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implementation fees</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5"/>
            <w:shd w:val="clear" w:color="auto" w:fill="CFF0FC"/>
          </w:tcPr>
          <w:p>
            <w:pPr>
              <w:jc w:val="right"/>
              <w:ind w:right="88"/>
              <w:spacing w:after="0"/>
              <w:rPr>
                <w:sz w:val="20"/>
                <w:szCs w:val="20"/>
                <w:color w:val="auto"/>
              </w:rPr>
            </w:pPr>
            <w:r>
              <w:rPr>
                <w:rFonts w:ascii="Arial" w:cs="Arial" w:eastAsia="Arial" w:hAnsi="Arial"/>
                <w:sz w:val="18"/>
                <w:szCs w:val="18"/>
                <w:color w:val="auto"/>
              </w:rPr>
              <w:t>(65)</w:t>
            </w:r>
          </w:p>
        </w:tc>
        <w:tc>
          <w:tcPr>
            <w:tcW w:w="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7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(508)</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Balance, end of period</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ind w:right="52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803</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803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8"/>
                <w:szCs w:val="18"/>
                <w:b w:val="1"/>
                <w:bCs w:val="1"/>
                <w:color w:val="00AAE5"/>
              </w:rPr>
              <w:t>NOTE H – Commitments and Contingencies</w:t>
            </w: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3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1F282C"/>
              </w:rPr>
              <w:t>Leases</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80" w:type="dxa"/>
            <w:vAlign w:val="bottom"/>
            <w:gridSpan w:val="9"/>
          </w:tcPr>
          <w:p>
            <w:pPr>
              <w:ind w:left="520"/>
              <w:spacing w:after="0"/>
              <w:rPr>
                <w:sz w:val="20"/>
                <w:szCs w:val="20"/>
                <w:color w:val="auto"/>
              </w:rPr>
            </w:pPr>
            <w:r>
              <w:rPr>
                <w:rFonts w:ascii="Arial" w:cs="Arial" w:eastAsia="Arial" w:hAnsi="Arial"/>
                <w:sz w:val="18"/>
                <w:szCs w:val="18"/>
                <w:color w:val="auto"/>
                <w:w w:val="93"/>
              </w:rPr>
              <w:t>We are obligated under non-cancellable operating leases, primarily for office space, as follows: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53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September 30, 2021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3"/>
              </w:rPr>
              <w:t>December 31, 2020</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remaining term)</w:t>
            </w:r>
          </w:p>
        </w:tc>
        <w:tc>
          <w:tcPr>
            <w:tcW w:w="1200" w:type="dxa"/>
            <w:vAlign w:val="bottom"/>
            <w:gridSpan w:val="3"/>
          </w:tcPr>
          <w:p>
            <w:pPr>
              <w:jc w:val="right"/>
              <w:ind w:right="100"/>
              <w:spacing w:after="0" w:line="133" w:lineRule="exact"/>
              <w:rPr>
                <w:sz w:val="20"/>
                <w:szCs w:val="20"/>
                <w:color w:val="auto"/>
              </w:rPr>
            </w:pPr>
            <w:r>
              <w:rPr>
                <w:rFonts w:ascii="Arial" w:cs="Arial" w:eastAsia="Arial" w:hAnsi="Arial"/>
                <w:sz w:val="14"/>
                <w:szCs w:val="14"/>
                <w:b w:val="1"/>
                <w:bCs w:val="1"/>
                <w:color w:val="auto"/>
                <w:w w:val="98"/>
              </w:rPr>
              <w:t>Remaining Term</w:t>
            </w:r>
          </w:p>
        </w:tc>
        <w:tc>
          <w:tcPr>
            <w:tcW w:w="400" w:type="dxa"/>
            <w:vAlign w:val="bottom"/>
          </w:tcPr>
          <w:p>
            <w:pPr>
              <w:spacing w:after="0"/>
              <w:rPr>
                <w:sz w:val="11"/>
                <w:szCs w:val="11"/>
                <w:color w:val="auto"/>
              </w:rPr>
            </w:pPr>
          </w:p>
        </w:tc>
        <w:tc>
          <w:tcPr>
            <w:tcW w:w="1380" w:type="dxa"/>
            <w:vAlign w:val="bottom"/>
            <w:gridSpan w:val="7"/>
            <w:vMerge w:val="restart"/>
          </w:tcPr>
          <w:p>
            <w:pPr>
              <w:jc w:val="right"/>
              <w:ind w:right="220"/>
              <w:spacing w:after="0"/>
              <w:rPr>
                <w:sz w:val="20"/>
                <w:szCs w:val="20"/>
                <w:color w:val="auto"/>
              </w:rPr>
            </w:pPr>
            <w:r>
              <w:rPr>
                <w:rFonts w:ascii="Arial" w:cs="Arial" w:eastAsia="Arial" w:hAnsi="Arial"/>
                <w:sz w:val="14"/>
                <w:szCs w:val="14"/>
                <w:b w:val="1"/>
                <w:bCs w:val="1"/>
                <w:color w:val="auto"/>
                <w:w w:val="90"/>
              </w:rPr>
              <w:t>Right-of-Use Asset</w:t>
            </w:r>
          </w:p>
        </w:tc>
        <w:tc>
          <w:tcPr>
            <w:tcW w:w="20" w:type="dxa"/>
            <w:vAlign w:val="bottom"/>
          </w:tcPr>
          <w:p>
            <w:pPr>
              <w:spacing w:after="0"/>
              <w:rPr>
                <w:sz w:val="11"/>
                <w:szCs w:val="11"/>
                <w:color w:val="auto"/>
              </w:rPr>
            </w:pPr>
          </w:p>
        </w:tc>
        <w:tc>
          <w:tcPr>
            <w:tcW w:w="1520" w:type="dxa"/>
            <w:vAlign w:val="bottom"/>
            <w:gridSpan w:val="8"/>
          </w:tcPr>
          <w:p>
            <w:pPr>
              <w:jc w:val="right"/>
              <w:ind w:right="420"/>
              <w:spacing w:after="0" w:line="133" w:lineRule="exact"/>
              <w:rPr>
                <w:sz w:val="20"/>
                <w:szCs w:val="20"/>
                <w:color w:val="auto"/>
              </w:rPr>
            </w:pPr>
            <w:r>
              <w:rPr>
                <w:rFonts w:ascii="Arial" w:cs="Arial" w:eastAsia="Arial" w:hAnsi="Arial"/>
                <w:sz w:val="14"/>
                <w:szCs w:val="14"/>
                <w:b w:val="1"/>
                <w:bCs w:val="1"/>
                <w:color w:val="auto"/>
                <w:w w:val="98"/>
              </w:rPr>
              <w:t>Remaining Term</w:t>
            </w:r>
          </w:p>
        </w:tc>
        <w:tc>
          <w:tcPr>
            <w:tcW w:w="80" w:type="dxa"/>
            <w:vAlign w:val="bottom"/>
          </w:tcPr>
          <w:p>
            <w:pPr>
              <w:spacing w:after="0"/>
              <w:rPr>
                <w:sz w:val="11"/>
                <w:szCs w:val="11"/>
                <w:color w:val="auto"/>
              </w:rPr>
            </w:pPr>
          </w:p>
        </w:tc>
        <w:tc>
          <w:tcPr>
            <w:tcW w:w="1280" w:type="dxa"/>
            <w:vAlign w:val="bottom"/>
            <w:gridSpan w:val="5"/>
            <w:vMerge w:val="restart"/>
          </w:tcPr>
          <w:p>
            <w:pPr>
              <w:spacing w:after="0"/>
              <w:rPr>
                <w:sz w:val="20"/>
                <w:szCs w:val="20"/>
                <w:color w:val="auto"/>
              </w:rPr>
            </w:pPr>
            <w:r>
              <w:rPr>
                <w:rFonts w:ascii="Arial" w:cs="Arial" w:eastAsia="Arial" w:hAnsi="Arial"/>
                <w:sz w:val="14"/>
                <w:szCs w:val="14"/>
                <w:b w:val="1"/>
                <w:bCs w:val="1"/>
                <w:color w:val="auto"/>
                <w:w w:val="99"/>
              </w:rPr>
              <w:t>Right-of-Use Asset</w:t>
            </w:r>
          </w:p>
        </w:tc>
        <w:tc>
          <w:tcPr>
            <w:tcW w:w="0" w:type="dxa"/>
            <w:vAlign w:val="bottom"/>
          </w:tcPr>
          <w:p>
            <w:pPr>
              <w:spacing w:after="0"/>
              <w:rPr>
                <w:sz w:val="1"/>
                <w:szCs w:val="1"/>
                <w:color w:val="auto"/>
              </w:rPr>
            </w:pPr>
          </w:p>
        </w:tc>
      </w:tr>
      <w:tr>
        <w:trPr>
          <w:trHeight w:val="171"/>
        </w:trPr>
        <w:tc>
          <w:tcPr>
            <w:tcW w:w="5360" w:type="dxa"/>
            <w:vAlign w:val="bottom"/>
            <w:vMerge w:val="continue"/>
          </w:tcPr>
          <w:p>
            <w:pPr>
              <w:spacing w:after="0"/>
              <w:rPr>
                <w:sz w:val="14"/>
                <w:szCs w:val="14"/>
                <w:color w:val="auto"/>
              </w:rPr>
            </w:pPr>
          </w:p>
        </w:tc>
        <w:tc>
          <w:tcPr>
            <w:tcW w:w="120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(years)</w:t>
            </w:r>
          </w:p>
        </w:tc>
        <w:tc>
          <w:tcPr>
            <w:tcW w:w="400" w:type="dxa"/>
            <w:vAlign w:val="bottom"/>
          </w:tcPr>
          <w:p>
            <w:pPr>
              <w:spacing w:after="0"/>
              <w:rPr>
                <w:sz w:val="14"/>
                <w:szCs w:val="14"/>
                <w:color w:val="auto"/>
              </w:rPr>
            </w:pPr>
          </w:p>
        </w:tc>
        <w:tc>
          <w:tcPr>
            <w:tcW w:w="1380" w:type="dxa"/>
            <w:vAlign w:val="bottom"/>
            <w:gridSpan w:val="7"/>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Minneapolis, MN lease</w:t>
            </w:r>
          </w:p>
        </w:tc>
        <w:tc>
          <w:tcPr>
            <w:tcW w:w="1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9,268</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Kyiv, Ukraine lease</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 leases</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&lt;1 - 4</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6"/>
            <w:shd w:val="clear" w:color="auto" w:fill="CFF0FC"/>
          </w:tcPr>
          <w:p>
            <w:pPr>
              <w:jc w:val="right"/>
              <w:spacing w:after="0"/>
              <w:rPr>
                <w:sz w:val="20"/>
                <w:szCs w:val="20"/>
                <w:color w:val="auto"/>
              </w:rPr>
            </w:pPr>
            <w:r>
              <w:rPr>
                <w:rFonts w:ascii="Arial" w:cs="Arial" w:eastAsia="Arial" w:hAnsi="Arial"/>
                <w:sz w:val="18"/>
                <w:szCs w:val="18"/>
                <w:color w:val="auto"/>
              </w:rPr>
              <w:t>&lt;1 - 5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12,665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15,581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520"/>
              <w:spacing w:after="0"/>
              <w:rPr>
                <w:sz w:val="20"/>
                <w:szCs w:val="20"/>
                <w:color w:val="auto"/>
              </w:rPr>
            </w:pPr>
            <w:r>
              <w:rPr>
                <w:rFonts w:ascii="Arial" w:cs="Arial" w:eastAsia="Arial" w:hAnsi="Arial"/>
                <w:sz w:val="18"/>
                <w:szCs w:val="18"/>
                <w:color w:val="auto"/>
              </w:rPr>
              <w:t>The components of lease expense were as follows:</w:t>
            </w: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3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5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500" w:type="dxa"/>
            <w:vAlign w:val="bottom"/>
            <w:gridSpan w:val="10"/>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80" w:type="dxa"/>
            <w:vAlign w:val="bottom"/>
            <w:gridSpan w:val="11"/>
          </w:tcPr>
          <w:p>
            <w:pPr>
              <w:ind w:left="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b w:val="1"/>
                <w:bCs w:val="1"/>
                <w:color w:val="auto"/>
                <w:w w:val="98"/>
              </w:rPr>
              <w:t>September 30,</w:t>
            </w: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360" w:type="dxa"/>
            <w:vAlign w:val="bottom"/>
            <w:tcBorders>
              <w:bottom w:val="single" w:sz="8" w:color="CFF0FC"/>
            </w:tcBorders>
            <w:vMerge w:val="continue"/>
          </w:tcPr>
          <w:p>
            <w:pPr>
              <w:spacing w:after="0"/>
              <w:rPr>
                <w:sz w:val="13"/>
                <w:szCs w:val="13"/>
                <w:color w:val="auto"/>
              </w:rPr>
            </w:pPr>
          </w:p>
        </w:tc>
        <w:tc>
          <w:tcPr>
            <w:tcW w:w="48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960" w:type="dxa"/>
            <w:vAlign w:val="bottom"/>
            <w:tcBorders>
              <w:bottom w:val="single" w:sz="8" w:color="auto"/>
            </w:tcBorders>
            <w:gridSpan w:val="4"/>
          </w:tcPr>
          <w:p>
            <w:pPr>
              <w:jc w:val="right"/>
              <w:ind w:right="16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w w:val="96"/>
              </w:rPr>
              <w:t>2020</w:t>
            </w: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2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857</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2,309</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cost</w:t>
            </w:r>
          </w:p>
        </w:tc>
        <w:tc>
          <w:tcPr>
            <w:tcW w:w="4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886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2,694</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2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1,849</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ind w:right="407"/>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5,003</w:t>
            </w:r>
          </w:p>
        </w:tc>
        <w:tc>
          <w:tcPr>
            <w:tcW w:w="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4,912</w:t>
            </w: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480" w:type="dxa"/>
            <w:vAlign w:val="bottom"/>
            <w:vMerge w:val="restart"/>
          </w:tcPr>
          <w:p>
            <w:pPr>
              <w:jc w:val="right"/>
              <w:ind w:right="59"/>
              <w:spacing w:after="0"/>
              <w:rPr>
                <w:sz w:val="20"/>
                <w:szCs w:val="20"/>
                <w:color w:val="auto"/>
              </w:rPr>
            </w:pPr>
            <w:r>
              <w:rPr>
                <w:rFonts w:ascii="Arial" w:cs="Arial" w:eastAsia="Arial" w:hAnsi="Arial"/>
                <w:sz w:val="14"/>
                <w:szCs w:val="14"/>
                <w:color w:val="auto"/>
              </w:rPr>
              <w:t>12</w:t>
            </w: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4"/>
        </w:trPr>
        <w:tc>
          <w:tcPr>
            <w:tcW w:w="5360" w:type="dxa"/>
            <w:vAlign w:val="bottom"/>
            <w:vMerge w:val="continue"/>
          </w:tcPr>
          <w:p>
            <w:pPr>
              <w:spacing w:after="0"/>
              <w:rPr>
                <w:sz w:val="24"/>
                <w:szCs w:val="24"/>
                <w:color w:val="auto"/>
              </w:rPr>
            </w:pPr>
          </w:p>
        </w:tc>
        <w:tc>
          <w:tcPr>
            <w:tcW w:w="48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00" w:type="dxa"/>
            <w:vAlign w:val="bottom"/>
            <w:gridSpan w:val="15"/>
          </w:tcPr>
          <w:p>
            <w:pPr>
              <w:jc w:val="right"/>
              <w:spacing w:after="0"/>
              <w:rPr>
                <w:sz w:val="20"/>
                <w:szCs w:val="20"/>
                <w:color w:val="auto"/>
              </w:rPr>
            </w:pPr>
            <w:r>
              <w:rPr>
                <w:rFonts w:ascii="Arial" w:cs="Arial" w:eastAsia="Arial" w:hAnsi="Arial"/>
                <w:sz w:val="11"/>
                <w:szCs w:val="11"/>
                <w:b w:val="1"/>
                <w:bCs w:val="1"/>
                <w:color w:val="auto"/>
                <w:w w:val="89"/>
              </w:rPr>
              <w:t>Form 10-Q for the Quarterly Period ended September 30, 2021</w:t>
            </w:r>
          </w:p>
        </w:tc>
        <w:tc>
          <w:tcPr>
            <w:tcW w:w="0" w:type="dxa"/>
            <w:vAlign w:val="bottom"/>
          </w:tcPr>
          <w:p>
            <w:pPr>
              <w:spacing w:after="0"/>
              <w:rPr>
                <w:sz w:val="1"/>
                <w:szCs w:val="1"/>
                <w:color w:val="auto"/>
              </w:rPr>
            </w:pPr>
          </w:p>
        </w:tc>
      </w:tr>
      <w:tr>
        <w:trPr>
          <w:trHeight w:val="168"/>
        </w:trPr>
        <w:tc>
          <w:tcPr>
            <w:tcW w:w="536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49"/>
        </w:trPr>
        <w:tc>
          <w:tcPr>
            <w:tcW w:w="7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Borders>
              <w:bottom w:val="single" w:sz="8" w:color="0000EE"/>
            </w:tcBorders>
            <w:gridSpan w:val="4"/>
          </w:tcPr>
          <w:p>
            <w:pPr>
              <w:jc w:val="right"/>
              <w:spacing w:after="0"/>
              <w:rPr>
                <w:rFonts w:ascii="Arial" w:cs="Arial" w:eastAsia="Arial" w:hAnsi="Arial"/>
                <w:sz w:val="13"/>
                <w:szCs w:val="13"/>
                <w:color w:val="0000EE"/>
                <w:w w:val="91"/>
              </w:rPr>
            </w:pPr>
            <w:hyperlink w:anchor="page2">
              <w:r>
                <w:rPr>
                  <w:rFonts w:ascii="Arial" w:cs="Arial" w:eastAsia="Arial" w:hAnsi="Arial"/>
                  <w:sz w:val="13"/>
                  <w:szCs w:val="13"/>
                  <w:color w:val="0000EE"/>
                  <w:w w:val="91"/>
                </w:rPr>
                <w:t>Table of Contents</w:t>
              </w:r>
            </w:hyperlink>
          </w:p>
        </w:tc>
        <w:tc>
          <w:tcPr>
            <w:tcW w:w="0" w:type="dxa"/>
            <w:vAlign w:val="bottom"/>
          </w:tcPr>
          <w:p>
            <w:pPr>
              <w:spacing w:after="0"/>
              <w:rPr>
                <w:sz w:val="1"/>
                <w:szCs w:val="1"/>
                <w:color w:val="auto"/>
              </w:rPr>
            </w:pPr>
          </w:p>
        </w:tc>
      </w:tr>
      <w:tr>
        <w:trPr>
          <w:trHeight w:val="655"/>
        </w:trPr>
        <w:tc>
          <w:tcPr>
            <w:tcW w:w="7420" w:type="dxa"/>
            <w:vAlign w:val="bottom"/>
            <w:gridSpan w:val="2"/>
          </w:tcPr>
          <w:p>
            <w:pPr>
              <w:ind w:left="5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60" w:type="dxa"/>
            <w:vAlign w:val="bottom"/>
            <w:gridSpan w:val="6"/>
          </w:tcPr>
          <w:p>
            <w:pPr>
              <w:jc w:val="center"/>
              <w:ind w:left="576"/>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79"/>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420" w:type="dxa"/>
            <w:vAlign w:val="bottom"/>
            <w:tcBorders>
              <w:bottom w:val="single" w:sz="8" w:color="CFF0FC"/>
            </w:tcBorders>
            <w:gridSpan w:val="2"/>
            <w:vMerge w:val="continue"/>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501"/>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2,488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ind w:right="379"/>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3,190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80" w:type="dxa"/>
            <w:vAlign w:val="bottom"/>
            <w:gridSpan w:val="4"/>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342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73"/>
        </w:trPr>
        <w:tc>
          <w:tcPr>
            <w:tcW w:w="7420" w:type="dxa"/>
            <w:vAlign w:val="bottom"/>
            <w:gridSpan w:val="2"/>
          </w:tcPr>
          <w:p>
            <w:pPr>
              <w:ind w:left="5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7"/>
          </w:tcPr>
          <w:p>
            <w:pPr>
              <w:jc w:val="right"/>
              <w:ind w:right="860"/>
              <w:spacing w:after="0"/>
              <w:rPr>
                <w:sz w:val="20"/>
                <w:szCs w:val="20"/>
                <w:color w:val="auto"/>
              </w:rPr>
            </w:pPr>
            <w:r>
              <w:rPr>
                <w:rFonts w:ascii="Arial" w:cs="Arial" w:eastAsia="Arial" w:hAnsi="Arial"/>
                <w:sz w:val="14"/>
                <w:szCs w:val="14"/>
                <w:b w:val="1"/>
                <w:bCs w:val="1"/>
                <w:color w:val="auto"/>
                <w:w w:val="96"/>
              </w:rPr>
              <w:t>September 30, 2021</w:t>
            </w:r>
          </w:p>
        </w:tc>
        <w:tc>
          <w:tcPr>
            <w:tcW w:w="16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Weighted-average remaining lease term - operating leases</w:t>
            </w:r>
          </w:p>
        </w:tc>
        <w:tc>
          <w:tcPr>
            <w:tcW w:w="1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 years</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 years</w:t>
            </w:r>
          </w:p>
        </w:tc>
        <w:tc>
          <w:tcPr>
            <w:tcW w:w="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Weighted-average discount rate - operating leases</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59"/>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5"/>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8"/>
        </w:trPr>
        <w:tc>
          <w:tcPr>
            <w:tcW w:w="7420" w:type="dxa"/>
            <w:vAlign w:val="bottom"/>
            <w:gridSpan w:val="2"/>
          </w:tcPr>
          <w:p>
            <w:pPr>
              <w:ind w:left="520"/>
              <w:spacing w:after="0"/>
              <w:rPr>
                <w:sz w:val="20"/>
                <w:szCs w:val="20"/>
                <w:color w:val="auto"/>
              </w:rPr>
            </w:pPr>
            <w:r>
              <w:rPr>
                <w:rFonts w:ascii="Arial" w:cs="Arial" w:eastAsia="Arial" w:hAnsi="Arial"/>
                <w:sz w:val="18"/>
                <w:szCs w:val="18"/>
                <w:color w:val="auto"/>
                <w:w w:val="91"/>
              </w:rPr>
              <w:t>At September 30, 2021, our future minimum payments under operating leases were as follows: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00" w:type="dxa"/>
            <w:vAlign w:val="bottom"/>
            <w:gridSpan w:val="5"/>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4,676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4,412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tcPr>
          <w:p>
            <w:pPr>
              <w:spacing w:after="0"/>
              <w:rPr>
                <w:sz w:val="20"/>
                <w:szCs w:val="20"/>
                <w:color w:val="auto"/>
              </w:rPr>
            </w:pPr>
            <w:r>
              <w:rPr>
                <w:rFonts w:ascii="Arial" w:cs="Arial" w:eastAsia="Arial" w:hAnsi="Arial"/>
                <w:sz w:val="18"/>
                <w:szCs w:val="18"/>
                <w:color w:val="auto"/>
              </w:rPr>
              <w:t>2024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4"/>
          </w:tcPr>
          <w:p>
            <w:pPr>
              <w:jc w:val="right"/>
              <w:ind w:right="20"/>
              <w:spacing w:after="0"/>
              <w:rPr>
                <w:sz w:val="20"/>
                <w:szCs w:val="20"/>
                <w:color w:val="auto"/>
              </w:rPr>
            </w:pPr>
            <w:r>
              <w:rPr>
                <w:rFonts w:ascii="Arial" w:cs="Arial" w:eastAsia="Arial" w:hAnsi="Arial"/>
                <w:sz w:val="18"/>
                <w:szCs w:val="18"/>
                <w:color w:val="auto"/>
              </w:rPr>
              <w:t>4,057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4,850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future gross payments</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2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22,885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5"/>
          </w:tcPr>
          <w:p>
            <w:pPr>
              <w:jc w:val="right"/>
              <w:ind w:right="4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23"/>
        </w:trPr>
        <w:tc>
          <w:tcPr>
            <w:tcW w:w="742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operating lease liabilities</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1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3"/>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20,592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Purchase Commitments</w:t>
      </w:r>
    </w:p>
    <w:p>
      <w:pPr>
        <w:spacing w:after="0" w:line="117" w:lineRule="exact"/>
        <w:rPr>
          <w:sz w:val="20"/>
          <w:szCs w:val="20"/>
          <w:color w:val="auto"/>
        </w:rPr>
      </w:pPr>
    </w:p>
    <w:p>
      <w:pPr>
        <w:ind w:right="120" w:firstLine="468"/>
        <w:spacing w:after="0" w:line="277" w:lineRule="auto"/>
        <w:rPr>
          <w:sz w:val="20"/>
          <w:szCs w:val="20"/>
          <w:color w:val="auto"/>
        </w:rPr>
      </w:pPr>
      <w:r>
        <w:rPr>
          <w:rFonts w:ascii="Arial" w:cs="Arial" w:eastAsia="Arial" w:hAnsi="Arial"/>
          <w:sz w:val="18"/>
          <w:szCs w:val="18"/>
          <w:color w:val="auto"/>
        </w:rPr>
        <w:t>We have entered into separate noncancelable agreements with computing infrastructure and customer relationship management vendors for services through 2023. At September 30, 2021, the total remaining purchase commitments were $11.9 million.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I –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Repurchase Program</w:t>
      </w:r>
    </w:p>
    <w:p>
      <w:pPr>
        <w:spacing w:after="0" w:line="11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212529"/>
        </w:rPr>
        <w:t>On November 2, 2019, our board of directors authorized a program to repurchase up to $50.0 million of common stock. Under the program, purchases may be made from time to time in the open market or in privately negotiated purchases, or both over two years. For the three months ended September 30, 2021, we repurchased 42,299 shares at a cost of $4.2 million. As of September 30, 2021, $20.4 million of the share repurchase program was available for future share repurchases.</w:t>
      </w:r>
    </w:p>
    <w:p>
      <w:pPr>
        <w:spacing w:after="0" w:line="295" w:lineRule="exact"/>
        <w:rPr>
          <w:sz w:val="20"/>
          <w:szCs w:val="20"/>
          <w:color w:val="auto"/>
        </w:rPr>
      </w:pPr>
    </w:p>
    <w:p>
      <w:pPr>
        <w:ind w:right="300" w:firstLine="510"/>
        <w:spacing w:after="0" w:line="263" w:lineRule="auto"/>
        <w:rPr>
          <w:sz w:val="20"/>
          <w:szCs w:val="20"/>
          <w:color w:val="auto"/>
        </w:rPr>
      </w:pPr>
      <w:r>
        <w:rPr>
          <w:rFonts w:ascii="Arial" w:cs="Arial" w:eastAsia="Arial" w:hAnsi="Arial"/>
          <w:sz w:val="18"/>
          <w:szCs w:val="18"/>
          <w:color w:val="212529"/>
        </w:rPr>
        <w:t>In October 2021, our board of directors authorized a new program to repurchase up to $50.0 million of our common stock. Under the program, purchases may be made from time to time in the open market or in privately negotiated purchases, or both. The new share repurchase program becomes effective on November 28, 2021 and expires on November 28,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20574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13</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J – Stock-Based Compensation</w:t>
      </w:r>
    </w:p>
    <w:p>
      <w:pPr>
        <w:spacing w:after="0" w:line="22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Our equity compensation plans provide for the grant of incentive and nonqualified stock options, as well as other stock-based awards including performance share units (“PSUs”), restricted stock awards (“RSAs”), restricted stock units (“RSUs”), and deferred stock units (“DSUs”). We also have an employee stock purchase plan (“ESPP”). We recognize stock-based compensation expense based on grant date award fair value. This cost is recognized over the period for which the employee is required to provide service in exchange for the award or the award performance period, except for expense relating to retirement-eligible employees that have not given their required notice, which is recognized on a pro-rata basis over the notice period prior to retirement. At September 30, 2021, there were 13.5 million shares available for grant under approved equity compensation plans.</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was allocated in the condensed consolidated statements of comprehensive income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6"/>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4,945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4,854</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1,195</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983</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2,324</w:t>
            </w:r>
          </w:p>
        </w:tc>
        <w:tc>
          <w:tcPr>
            <w:tcW w:w="22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Stock-based compensation expense by plan or award type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2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PSUs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2,729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RSAs &amp; DSUs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325</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ESPP</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401(k) stock match</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6,849</w:t>
            </w:r>
          </w:p>
        </w:tc>
        <w:tc>
          <w:tcPr>
            <w:tcW w:w="2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4,893</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21,273</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September 30, 2021, there was $35.7 million of unrecognized stock-based compensation expense under our equity compensation plans, which is expected to be recognized on a straight-line basis over a weighted average period of 2.5 years.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stock option activity was as follows:</w:t>
      </w:r>
    </w:p>
    <w:p>
      <w:pPr>
        <w:spacing w:after="0" w:line="95" w:lineRule="exact"/>
        <w:rPr>
          <w:sz w:val="20"/>
          <w:szCs w:val="20"/>
          <w:color w:val="auto"/>
        </w:rPr>
      </w:pPr>
    </w:p>
    <w:p>
      <w:pPr>
        <w:ind w:left="7660"/>
        <w:spacing w:after="0"/>
        <w:rPr>
          <w:sz w:val="20"/>
          <w:szCs w:val="20"/>
          <w:color w:val="auto"/>
        </w:rPr>
      </w:pPr>
      <w:r>
        <w:rPr>
          <w:rFonts w:ascii="Arial" w:cs="Arial" w:eastAsia="Arial" w:hAnsi="Arial"/>
          <w:sz w:val="14"/>
          <w:szCs w:val="14"/>
          <w:b w:val="1"/>
          <w:bCs w:val="1"/>
          <w:color w:val="auto"/>
        </w:rPr>
        <w:t>Nine Months Ended September 30, 2021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6680" w:type="dxa"/>
            <w:vAlign w:val="bottom"/>
          </w:tcPr>
          <w:p>
            <w:pPr>
              <w:spacing w:after="0"/>
              <w:rPr>
                <w:sz w:val="12"/>
                <w:szCs w:val="12"/>
                <w:color w:val="auto"/>
              </w:rPr>
            </w:pPr>
          </w:p>
        </w:tc>
        <w:tc>
          <w:tcPr>
            <w:tcW w:w="1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tcPr>
          <w:p>
            <w:pPr>
              <w:jc w:val="center"/>
              <w:ind w:right="95"/>
              <w:spacing w:after="0" w:line="147" w:lineRule="exact"/>
              <w:rPr>
                <w:sz w:val="20"/>
                <w:szCs w:val="20"/>
                <w:color w:val="auto"/>
              </w:rPr>
            </w:pPr>
            <w:r>
              <w:rPr>
                <w:rFonts w:ascii="Arial" w:cs="Arial" w:eastAsia="Arial" w:hAnsi="Arial"/>
                <w:sz w:val="14"/>
                <w:szCs w:val="14"/>
                <w:b w:val="1"/>
                <w:bCs w:val="1"/>
                <w:color w:val="auto"/>
                <w:w w:val="91"/>
              </w:rPr>
              <w:t>Weighted Average</w:t>
            </w:r>
          </w:p>
        </w:tc>
        <w:tc>
          <w:tcPr>
            <w:tcW w:w="100" w:type="dxa"/>
            <w:vAlign w:val="bottom"/>
          </w:tcPr>
          <w:p>
            <w:pPr>
              <w:spacing w:after="0"/>
              <w:rPr>
                <w:sz w:val="12"/>
                <w:szCs w:val="12"/>
                <w:color w:val="auto"/>
              </w:rPr>
            </w:pPr>
          </w:p>
        </w:tc>
      </w:tr>
      <w:tr>
        <w:trPr>
          <w:trHeight w:val="171"/>
        </w:trPr>
        <w:tc>
          <w:tcPr>
            <w:tcW w:w="6680" w:type="dxa"/>
            <w:vAlign w:val="bottom"/>
          </w:tcPr>
          <w:p>
            <w:pPr>
              <w:spacing w:after="0"/>
              <w:rPr>
                <w:sz w:val="14"/>
                <w:szCs w:val="14"/>
                <w:color w:val="auto"/>
              </w:rPr>
            </w:pPr>
          </w:p>
        </w:tc>
        <w:tc>
          <w:tcPr>
            <w:tcW w:w="1400" w:type="dxa"/>
            <w:vAlign w:val="bottom"/>
          </w:tcPr>
          <w:p>
            <w:pPr>
              <w:ind w:left="680"/>
              <w:spacing w:after="0"/>
              <w:rPr>
                <w:sz w:val="20"/>
                <w:szCs w:val="20"/>
                <w:color w:val="auto"/>
              </w:rPr>
            </w:pPr>
            <w:r>
              <w:rPr>
                <w:rFonts w:ascii="Arial" w:cs="Arial" w:eastAsia="Arial" w:hAnsi="Arial"/>
                <w:sz w:val="14"/>
                <w:szCs w:val="14"/>
                <w:b w:val="1"/>
                <w:bCs w:val="1"/>
                <w:color w:val="auto"/>
                <w:w w:val="94"/>
              </w:rPr>
              <w:t>Options (#)</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 (per share)</w:t>
            </w:r>
          </w:p>
        </w:tc>
      </w:tr>
      <w:tr>
        <w:trPr>
          <w:trHeight w:val="223"/>
        </w:trPr>
        <w:tc>
          <w:tcPr>
            <w:tcW w:w="6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14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944,886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rPr>
              <w:t>52,184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104.81</w:t>
            </w:r>
          </w:p>
        </w:tc>
        <w:tc>
          <w:tcPr>
            <w:tcW w:w="100" w:type="dxa"/>
            <w:vAlign w:val="bottom"/>
          </w:tcPr>
          <w:p>
            <w:pPr>
              <w:spacing w:after="0"/>
              <w:rPr>
                <w:sz w:val="19"/>
                <w:szCs w:val="19"/>
                <w:color w:val="auto"/>
              </w:rPr>
            </w:pPr>
          </w:p>
        </w:tc>
      </w:tr>
      <w:tr>
        <w:trPr>
          <w:trHeight w:val="230"/>
        </w:trPr>
        <w:tc>
          <w:tcPr>
            <w:tcW w:w="80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Exercised</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w w:val="93"/>
              </w:rPr>
              <w:t>(231,590)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30.34</w:t>
            </w:r>
          </w:p>
        </w:tc>
        <w:tc>
          <w:tcPr>
            <w:tcW w:w="100" w:type="dxa"/>
            <w:vAlign w:val="bottom"/>
            <w:shd w:val="clear" w:color="auto" w:fill="CFF0FC"/>
          </w:tcPr>
          <w:p>
            <w:pPr>
              <w:spacing w:after="0"/>
              <w:rPr>
                <w:sz w:val="19"/>
                <w:szCs w:val="19"/>
                <w:color w:val="auto"/>
              </w:rPr>
            </w:pPr>
          </w:p>
        </w:tc>
      </w:tr>
      <w:tr>
        <w:trPr>
          <w:trHeight w:val="230"/>
        </w:trPr>
        <w:tc>
          <w:tcPr>
            <w:tcW w:w="8080" w:type="dxa"/>
            <w:vAlign w:val="bottom"/>
            <w:gridSpan w:val="2"/>
          </w:tcPr>
          <w:p>
            <w:pPr>
              <w:ind w:left="260"/>
              <w:spacing w:after="0"/>
              <w:rPr>
                <w:sz w:val="20"/>
                <w:szCs w:val="20"/>
                <w:color w:val="auto"/>
              </w:rPr>
            </w:pPr>
            <w:r>
              <w:rPr>
                <w:rFonts w:ascii="Arial" w:cs="Arial" w:eastAsia="Arial" w:hAnsi="Arial"/>
                <w:sz w:val="18"/>
                <w:szCs w:val="18"/>
                <w:color w:val="auto"/>
              </w:rPr>
              <w:t>Forfeited</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Pr>
          <w:p>
            <w:pPr>
              <w:spacing w:after="0"/>
              <w:rPr>
                <w:sz w:val="19"/>
                <w:szCs w:val="19"/>
                <w:color w:val="auto"/>
              </w:rPr>
            </w:pPr>
          </w:p>
        </w:tc>
      </w:tr>
      <w:tr>
        <w:trPr>
          <w:trHeight w:val="223"/>
        </w:trPr>
        <w:tc>
          <w:tcPr>
            <w:tcW w:w="66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1400" w:type="dxa"/>
            <w:vAlign w:val="bottom"/>
            <w:tcBorders>
              <w:top w:val="single" w:sz="8" w:color="auto"/>
              <w:bottom w:val="single" w:sz="8" w:color="auto"/>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760,578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9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43.14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6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14</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4" w:name="page15"/>
    <w:bookmarkEnd w:id="1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520" w:firstLine="510"/>
        <w:spacing w:after="0" w:line="277" w:lineRule="auto"/>
        <w:rPr>
          <w:sz w:val="20"/>
          <w:szCs w:val="20"/>
          <w:color w:val="auto"/>
        </w:rPr>
      </w:pPr>
      <w:r>
        <w:rPr>
          <w:rFonts w:ascii="Arial" w:cs="Arial" w:eastAsia="Arial" w:hAnsi="Arial"/>
          <w:sz w:val="18"/>
          <w:szCs w:val="18"/>
          <w:color w:val="auto"/>
        </w:rPr>
        <w:t>Of the total outstanding options at September 30, 2021, 0.6 million were exercisable. The outstanding and exercisable options had a weighted average exercise price of $36.83 per share and a weighted average remaining contractual life of 3.3 years.</w:t>
      </w:r>
    </w:p>
    <w:p>
      <w:pPr>
        <w:spacing w:after="0" w:line="170" w:lineRule="exact"/>
        <w:rPr>
          <w:sz w:val="20"/>
          <w:szCs w:val="20"/>
          <w:color w:val="auto"/>
        </w:rPr>
      </w:pPr>
    </w:p>
    <w:p>
      <w:pPr>
        <w:ind w:right="320" w:firstLine="510"/>
        <w:spacing w:after="0" w:line="308" w:lineRule="auto"/>
        <w:rPr>
          <w:sz w:val="20"/>
          <w:szCs w:val="20"/>
          <w:color w:val="auto"/>
        </w:rPr>
      </w:pPr>
      <w:r>
        <w:rPr>
          <w:rFonts w:ascii="Arial" w:cs="Arial" w:eastAsia="Arial" w:hAnsi="Arial"/>
          <w:sz w:val="17"/>
          <w:szCs w:val="17"/>
          <w:color w:val="auto"/>
        </w:rPr>
        <w:t>The weighted average grant date fair value of options granted during the nine months ended September 30, 2021 was $30.98 per share. This was estimated on the date of grant using the Black-Scholes option pricing model with the following weighted-average assumptions: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4.4</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Performance Share Units, Restricted Stock Units and Awards, and Deferred Stock Units</w:t>
      </w:r>
    </w:p>
    <w:p>
      <w:pPr>
        <w:spacing w:after="0" w:line="225" w:lineRule="exact"/>
        <w:rPr>
          <w:sz w:val="20"/>
          <w:szCs w:val="20"/>
          <w:color w:val="auto"/>
        </w:rPr>
      </w:pPr>
    </w:p>
    <w:p>
      <w:pPr>
        <w:ind w:right="100" w:firstLine="510"/>
        <w:spacing w:after="0" w:line="301" w:lineRule="auto"/>
        <w:rPr>
          <w:sz w:val="20"/>
          <w:szCs w:val="20"/>
          <w:color w:val="auto"/>
        </w:rPr>
      </w:pPr>
      <w:r>
        <w:rPr>
          <w:rFonts w:ascii="Arial" w:cs="Arial" w:eastAsia="Arial" w:hAnsi="Arial"/>
          <w:sz w:val="16"/>
          <w:szCs w:val="16"/>
          <w:color w:val="auto"/>
        </w:rPr>
        <w:t>In each of the quarters ended March 31, 2021, 2020, 2019, and 2018 we granted PSU awards with a target performance level. These awards are earned based upon our company’s total shareholder return as compared to an indexed total shareholder return over the course of a fiscal based three-year performance period, starting in the year of grant. Awards vest in the quarter following the conclusion of the performance period. In the three months ended March 31, 2021, PSU awards granted in 2018 vested at the maximum performance level and 0.1 million shares of common stock were issued.</w:t>
      </w:r>
    </w:p>
    <w:p>
      <w:pPr>
        <w:spacing w:after="0" w:line="200" w:lineRule="exact"/>
        <w:rPr>
          <w:sz w:val="20"/>
          <w:szCs w:val="20"/>
          <w:color w:val="auto"/>
        </w:rPr>
      </w:pPr>
    </w:p>
    <w:p>
      <w:pPr>
        <w:spacing w:after="0" w:line="3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PSU, RSU, RSA, and DSU activity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14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4"/>
                <w:szCs w:val="14"/>
                <w:b w:val="1"/>
                <w:bCs w:val="1"/>
                <w:color w:val="auto"/>
              </w:rPr>
              <w:t>Nine Months Ended September 30, 2021</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00" w:type="dxa"/>
            <w:vAlign w:val="bottom"/>
            <w:gridSpan w:val="4"/>
          </w:tcPr>
          <w:p>
            <w:pPr>
              <w:jc w:val="center"/>
              <w:spacing w:after="0" w:line="147" w:lineRule="exact"/>
              <w:rPr>
                <w:sz w:val="20"/>
                <w:szCs w:val="20"/>
                <w:color w:val="auto"/>
              </w:rPr>
            </w:pPr>
            <w:r>
              <w:rPr>
                <w:rFonts w:ascii="Arial" w:cs="Arial" w:eastAsia="Arial" w:hAnsi="Arial"/>
                <w:sz w:val="14"/>
                <w:szCs w:val="14"/>
                <w:b w:val="1"/>
                <w:bCs w:val="1"/>
                <w:color w:val="auto"/>
                <w:w w:val="93"/>
              </w:rPr>
              <w:t>Weighted Average Grant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Date Fair Value (per unit)</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beginning of period</w:t>
            </w:r>
          </w:p>
        </w:tc>
        <w:tc>
          <w:tcPr>
            <w:tcW w:w="7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738,422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Granted</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310,984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common stock issued</w:t>
            </w:r>
          </w:p>
        </w:tc>
        <w:tc>
          <w:tcPr>
            <w:tcW w:w="7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(323,030)</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8"/>
                <w:szCs w:val="18"/>
                <w:color w:val="auto"/>
              </w:rPr>
              <w:t>(14,867)</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end of period</w:t>
            </w:r>
          </w:p>
        </w:tc>
        <w:tc>
          <w:tcPr>
            <w:tcW w:w="7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711,509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77.94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i w:val="1"/>
                <w:iCs w:val="1"/>
                <w:color w:val="1F282C"/>
              </w:rPr>
              <w:t>Employee Stock Purchase Plan</w:t>
            </w: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8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40" w:type="dxa"/>
            <w:vAlign w:val="bottom"/>
          </w:tcPr>
          <w:p>
            <w:pPr>
              <w:ind w:left="520"/>
              <w:spacing w:after="0"/>
              <w:rPr>
                <w:sz w:val="20"/>
                <w:szCs w:val="20"/>
                <w:color w:val="auto"/>
              </w:rPr>
            </w:pPr>
            <w:r>
              <w:rPr>
                <w:rFonts w:ascii="Arial" w:cs="Arial" w:eastAsia="Arial" w:hAnsi="Arial"/>
                <w:sz w:val="18"/>
                <w:szCs w:val="18"/>
                <w:color w:val="auto"/>
              </w:rPr>
              <w:t>Our ESPP activity was as follows: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40" w:type="dxa"/>
            <w:vAlign w:val="bottom"/>
          </w:tcPr>
          <w:p>
            <w:pPr>
              <w:spacing w:after="0"/>
              <w:rPr>
                <w:sz w:val="20"/>
                <w:szCs w:val="20"/>
                <w:color w:val="auto"/>
              </w:rPr>
            </w:pPr>
          </w:p>
        </w:tc>
        <w:tc>
          <w:tcPr>
            <w:tcW w:w="2080" w:type="dxa"/>
            <w:vAlign w:val="bottom"/>
            <w:gridSpan w:val="5"/>
          </w:tcPr>
          <w:p>
            <w:pPr>
              <w:jc w:val="right"/>
              <w:ind w:right="108"/>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left="248"/>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368"/>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Amounts for shares purchased</w:t>
            </w:r>
          </w:p>
        </w:tc>
        <w:tc>
          <w:tcPr>
            <w:tcW w:w="720" w:type="dxa"/>
            <w:vAlign w:val="bottom"/>
            <w:shd w:val="clear" w:color="auto" w:fill="CFF0FC"/>
          </w:tcPr>
          <w:p>
            <w:pPr>
              <w:jc w:val="right"/>
              <w:ind w:right="542"/>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48"/>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Shares purchased</w:t>
            </w:r>
          </w:p>
        </w:tc>
        <w:tc>
          <w:tcPr>
            <w:tcW w:w="72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1,526</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2,010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27,675</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35,093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total of 1.8 million shares of common stock are reserved for issuance under the ESPP as of September 30, 2021.</w:t>
      </w:r>
    </w:p>
    <w:p>
      <w:pPr>
        <w:spacing w:after="0" w:line="26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fair value was estimated based on the market price of our common stock at the beginning of the offering period using the Black-Scholes option pricing model with the following assumptions: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5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Dividend yield</w:t>
            </w:r>
          </w:p>
        </w:tc>
        <w:tc>
          <w:tcPr>
            <w:tcW w:w="508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Life (in years)</w:t>
            </w:r>
          </w:p>
        </w:tc>
        <w:tc>
          <w:tcPr>
            <w:tcW w:w="50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0.5</w:t>
            </w: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5080" w:type="dxa"/>
            <w:vAlign w:val="bottom"/>
          </w:tcPr>
          <w:p>
            <w:pPr>
              <w:jc w:val="right"/>
              <w:spacing w:after="0"/>
              <w:rPr>
                <w:sz w:val="20"/>
                <w:szCs w:val="20"/>
                <w:color w:val="auto"/>
              </w:rPr>
            </w:pPr>
            <w:r>
              <w:rPr>
                <w:rFonts w:ascii="Arial" w:cs="Arial" w:eastAsia="Arial" w:hAnsi="Arial"/>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15</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5" w:name="page16"/>
    <w:bookmarkEnd w:id="1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K – Income Taxes</w:t>
      </w:r>
    </w:p>
    <w:p>
      <w:pPr>
        <w:spacing w:after="0" w:line="121"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We record our interim provision for income taxes by applying our estimated annual effective tax rate to our year-to-date pretax income and adjust the provision for discrete tax items recorded in the period. Differences between our effective tax rate and statutory tax rates are primarily due to the impact of permanently non-deductible expenses partially offset by the federal research and development credits and tax benefits associated with foreign-derived intangible income. Additionally, excess tax benefits generated upon settlement or exercise of stock awards are recognized as a reduction to income tax expense as a discrete tax item in the quarter that the event occurs, creating potentially significant fluctuation in tax expense by quarter and by year. Our provisions for income taxes includes current federal, state, and foreign income tax expense, as well as deferred tax expense.</w:t>
      </w:r>
    </w:p>
    <w:p>
      <w:pPr>
        <w:spacing w:after="0" w:line="16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we did not have any unrecognized tax benefits, accrued interest, or tax penalties.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L – Other Income and Expense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income (expense), net included the following:</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56"/>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40" w:type="dxa"/>
            <w:vAlign w:val="bottom"/>
            <w:tcBorders>
              <w:bottom w:val="single" w:sz="8" w:color="CFF0FC"/>
            </w:tcBorders>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97"/>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3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w w:val="99"/>
              </w:rPr>
              <w:t>Realized gain (loss) from foreign currency on cash and investments held</w:t>
            </w: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(854)</w:t>
            </w:r>
          </w:p>
        </w:tc>
        <w:tc>
          <w:tcPr>
            <w:tcW w:w="7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(1,492)</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3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w w:val="95"/>
              </w:rPr>
              <w:t>(243)</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(174)</w:t>
            </w: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5740" w:type="dxa"/>
            <w:vAlign w:val="bottom"/>
          </w:tcPr>
          <w:p>
            <w:pPr>
              <w:spacing w:after="0"/>
              <w:rPr>
                <w:sz w:val="20"/>
                <w:szCs w:val="20"/>
                <w:color w:val="auto"/>
              </w:rPr>
            </w:pPr>
            <w:r>
              <w:rPr>
                <w:rFonts w:ascii="Arial" w:cs="Arial" w:eastAsia="Arial" w:hAnsi="Arial"/>
                <w:sz w:val="18"/>
                <w:szCs w:val="18"/>
                <w:color w:val="auto"/>
              </w:rPr>
              <w:t>Change in earn-out liability</w:t>
            </w:r>
          </w:p>
        </w:tc>
        <w:tc>
          <w:tcPr>
            <w:tcW w:w="220" w:type="dxa"/>
            <w:vAlign w:val="bottom"/>
          </w:tcPr>
          <w:p>
            <w:pPr>
              <w:spacing w:after="0"/>
              <w:rPr>
                <w:sz w:val="19"/>
                <w:szCs w:val="19"/>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ind w:right="516"/>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3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Effective January 1, 2021, all realized gains or losses and interest income on our investments are included in investment income. Previously, realized gains and losses were included in other income (expense), net and interest income was included in interest income, net. Additionally, realized gains or losses from foreign currency on cash and investments held were previously included in other income (expense), net. Amounts for the three and nine months ended September 30, 2020 have been reclassified to be consistent with the classifications for the three and nine months ended September 30, 2021.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M – Net Income Per Share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Basic net income per share has been computed using the weighted average number of shares of common stock outstanding during each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Diluted net income per share also includes the impact of our outstanding potential common shares, including options, PSUs, RSUs, RSAs, and DSUs.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Potential common shares that are anti-dilutive are excluded from the calculation of diluted net income per share.</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and computation of basic and diluted net income per share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11,449</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11,407</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31,832</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35,961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35,295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35,873</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35,133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Options to purchase common stock</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PSUs, RSUs, RSAs, and DSUs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37,015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36,366</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36,898</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36,137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Net income per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6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50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0.31</w:t>
            </w:r>
          </w:p>
        </w:tc>
        <w:tc>
          <w:tcPr>
            <w:tcW w:w="240" w:type="dxa"/>
            <w:vAlign w:val="bottom"/>
          </w:tcPr>
          <w:p>
            <w:pPr>
              <w:spacing w:after="0"/>
              <w:rPr>
                <w:sz w:val="20"/>
                <w:szCs w:val="20"/>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0.86</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16</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6" w:name="page17"/>
    <w:bookmarkEnd w:id="1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140" w:firstLine="510"/>
        <w:spacing w:after="0" w:line="293" w:lineRule="auto"/>
        <w:rPr>
          <w:sz w:val="20"/>
          <w:szCs w:val="20"/>
          <w:color w:val="auto"/>
        </w:rPr>
      </w:pPr>
      <w:r>
        <w:rPr>
          <w:rFonts w:ascii="Arial" w:cs="Arial" w:eastAsia="Arial" w:hAnsi="Arial"/>
          <w:sz w:val="18"/>
          <w:szCs w:val="18"/>
          <w:color w:val="auto"/>
        </w:rPr>
        <w:t>The following table presents the number of outstanding potential common shares that were excluded from the calculation of diluted net income per share as they were anti-dilutive: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3680" w:type="dxa"/>
            <w:vAlign w:val="bottom"/>
            <w:gridSpan w:val="5"/>
          </w:tcPr>
          <w:p>
            <w:pPr>
              <w:jc w:val="center"/>
              <w:ind w:right="1120"/>
              <w:spacing w:after="0"/>
              <w:rPr>
                <w:sz w:val="20"/>
                <w:szCs w:val="20"/>
                <w:color w:val="auto"/>
              </w:rPr>
            </w:pPr>
            <w:r>
              <w:rPr>
                <w:rFonts w:ascii="Arial" w:cs="Arial" w:eastAsia="Arial" w:hAnsi="Arial"/>
                <w:sz w:val="14"/>
                <w:szCs w:val="14"/>
                <w:b w:val="1"/>
                <w:bCs w:val="1"/>
                <w:color w:val="auto"/>
                <w:w w:val="95"/>
              </w:rPr>
              <w:t>Three Months Ended</w:t>
            </w:r>
          </w:p>
        </w:tc>
        <w:tc>
          <w:tcPr>
            <w:tcW w:w="26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228"/>
        </w:trPr>
        <w:tc>
          <w:tcPr>
            <w:tcW w:w="4960" w:type="dxa"/>
            <w:vAlign w:val="bottom"/>
          </w:tcPr>
          <w:p>
            <w:pPr>
              <w:spacing w:after="0"/>
              <w:rPr>
                <w:sz w:val="19"/>
                <w:szCs w:val="19"/>
                <w:color w:val="auto"/>
              </w:rPr>
            </w:pPr>
          </w:p>
        </w:tc>
        <w:tc>
          <w:tcPr>
            <w:tcW w:w="180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180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89"/>
              </w:rPr>
              <w:t>September 30,</w:t>
            </w:r>
          </w:p>
        </w:tc>
        <w:tc>
          <w:tcPr>
            <w:tcW w:w="800" w:type="dxa"/>
            <w:vAlign w:val="bottom"/>
            <w:tcBorders>
              <w:bottom w:val="single" w:sz="8" w:color="auto"/>
            </w:tcBorders>
          </w:tcPr>
          <w:p>
            <w:pPr>
              <w:spacing w:after="0"/>
              <w:rPr>
                <w:sz w:val="19"/>
                <w:szCs w:val="19"/>
                <w:color w:val="auto"/>
              </w:rPr>
            </w:pPr>
          </w:p>
        </w:tc>
      </w:tr>
      <w:tr>
        <w:trPr>
          <w:trHeight w:val="223"/>
        </w:trPr>
        <w:tc>
          <w:tcPr>
            <w:tcW w:w="496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CFF0FC"/>
            </w:tcBorders>
          </w:tcPr>
          <w:p>
            <w:pPr>
              <w:spacing w:after="0"/>
              <w:rPr>
                <w:sz w:val="19"/>
                <w:szCs w:val="19"/>
                <w:color w:val="auto"/>
              </w:rPr>
            </w:pPr>
          </w:p>
        </w:tc>
        <w:tc>
          <w:tcPr>
            <w:tcW w:w="112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2020</w:t>
            </w:r>
          </w:p>
        </w:tc>
      </w:tr>
      <w:tr>
        <w:trPr>
          <w:trHeight w:val="237"/>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Antidilutive shares</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3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1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NOTE N – Geographic Information</w:t>
      </w:r>
    </w:p>
    <w:p>
      <w:pPr>
        <w:spacing w:after="0" w:line="22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following table presents domestic revenue, which we define as the percentage of revenue that was attributable to customers based within the U.S. No single jurisdiction outside of the U.S. had revenues in excess of 10%.</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24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880" w:type="dxa"/>
            <w:vAlign w:val="bottom"/>
            <w:gridSpan w:val="3"/>
          </w:tcPr>
          <w:p>
            <w:pPr>
              <w:ind w:left="640"/>
              <w:spacing w:after="0"/>
              <w:rPr>
                <w:sz w:val="20"/>
                <w:szCs w:val="20"/>
                <w:color w:val="auto"/>
              </w:rPr>
            </w:pPr>
            <w:r>
              <w:rPr>
                <w:rFonts w:ascii="Arial" w:cs="Arial" w:eastAsia="Arial" w:hAnsi="Arial"/>
                <w:sz w:val="14"/>
                <w:szCs w:val="14"/>
                <w:b w:val="1"/>
                <w:bCs w:val="1"/>
                <w:color w:val="auto"/>
                <w:w w:val="93"/>
              </w:rPr>
              <w:t>Nine Months Ended</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28"/>
        </w:trPr>
        <w:tc>
          <w:tcPr>
            <w:tcW w:w="474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Borders>
              <w:bottom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18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37"/>
        </w:trPr>
        <w:tc>
          <w:tcPr>
            <w:tcW w:w="474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CFF0FC"/>
            </w:tcBorders>
          </w:tcPr>
          <w:p>
            <w:pPr>
              <w:spacing w:after="0"/>
              <w:rPr>
                <w:sz w:val="20"/>
                <w:szCs w:val="20"/>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CFF0FC"/>
            </w:tcBorders>
          </w:tcPr>
          <w:p>
            <w:pPr>
              <w:spacing w:after="0"/>
              <w:rPr>
                <w:sz w:val="20"/>
                <w:szCs w:val="20"/>
                <w:color w:val="auto"/>
              </w:rPr>
            </w:pPr>
          </w:p>
        </w:tc>
        <w:tc>
          <w:tcPr>
            <w:tcW w:w="9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83"/>
              </w:rPr>
              <w:t>2020</w:t>
            </w:r>
          </w:p>
        </w:tc>
        <w:tc>
          <w:tcPr>
            <w:tcW w:w="180" w:type="dxa"/>
            <w:vAlign w:val="bottom"/>
            <w:tcBorders>
              <w:bottom w:val="single" w:sz="8" w:color="CFF0FC"/>
            </w:tcBorders>
          </w:tcPr>
          <w:p>
            <w:pPr>
              <w:spacing w:after="0"/>
              <w:rPr>
                <w:sz w:val="20"/>
                <w:szCs w:val="20"/>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Domestic revenue</w:t>
            </w:r>
          </w:p>
        </w:tc>
        <w:tc>
          <w:tcPr>
            <w:tcW w:w="7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ind w:left="80"/>
              <w:spacing w:after="0"/>
              <w:rPr>
                <w:sz w:val="20"/>
                <w:szCs w:val="20"/>
                <w:color w:val="auto"/>
              </w:rPr>
            </w:pPr>
            <w:r>
              <w:rPr>
                <w:rFonts w:ascii="Arial" w:cs="Arial" w:eastAsia="Arial" w:hAnsi="Arial"/>
                <w:sz w:val="18"/>
                <w:szCs w:val="18"/>
                <w:color w:val="auto"/>
              </w:rPr>
              <w:t>84%</w:t>
            </w:r>
          </w:p>
        </w:tc>
        <w:tc>
          <w:tcPr>
            <w:tcW w:w="70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140"/>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FF0FC"/>
          </w:tcPr>
          <w:p>
            <w:pPr>
              <w:ind w:left="80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w:t>
            </w:r>
          </w:p>
        </w:tc>
      </w:tr>
    </w:tbl>
    <w:p>
      <w:pPr>
        <w:spacing w:after="0" w:line="22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At September 30, 2021 and December 31, 2020, 13% and 15%, respectively, of property and equipment, net was located at subsidiary and office locations outside of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20574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17</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7" w:name="page18"/>
    <w:bookmarkEnd w:id="1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2.</w:t>
      </w:r>
      <w:r>
        <w:rPr>
          <w:sz w:val="20"/>
          <w:szCs w:val="20"/>
          <w:color w:val="auto"/>
        </w:rPr>
        <w:tab/>
      </w:r>
      <w:r>
        <w:rPr>
          <w:rFonts w:ascii="Arial" w:cs="Arial" w:eastAsia="Arial" w:hAnsi="Arial"/>
          <w:sz w:val="16"/>
          <w:szCs w:val="16"/>
          <w:b w:val="1"/>
          <w:bCs w:val="1"/>
          <w:color w:val="00AAE5"/>
        </w:rPr>
        <w:t>Management’s Discussion and Analysis of Financial Condition and Results of Operations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U.S. Private Securities Litigation Reform Act of 1995. Forward-looking statements regarding us, our business prospects and our results of operations are subject to certain risks and uncertainties posed by many factors and events, many of which may be amplified by the coronavirus (COVID-19) pandemic, that could cause our actual business, prospects, and results of operations to differ materially from those that may be anticipated by such forward-looking statements. Readers are cautioned not to place undue reliance on these forward-looking statements, which speak only as of the date of this report. In some cases, you can identify forward-looking statements by the following words: “anticipate,” “assumes,” “believe,” “continue,” “could,” “estimate,” “expect,” “intend,” “may,” “ongoing,” “plan,” “potential,” “predict,” “project,” “should,” “will,” “would,” or the negative of these terms or other comparable terminology, although not all forward-looking statements contain these words. Similarly, statements that describe our future plans, objectives or goals are also forward-looking. Forward-looking statements may also be made from time to time in oral presentations, including telephone conferences and/or webcasts open to the public. Shareholders, potential investors and others are cautioned that all forward-looking statements involve risks and uncertainties that could cause results in future periods to differ materially from those anticipated by some of the statements made in this report, including the risks and uncertainties described under the heading “Risk Factors” appearing in our Annual Report on Form 10-K for the year ended December 31, 2020, as may be updated in our subsequent Quarterly Reports on Form 10-Q from time to time. We expressly disclaim any intent or obligation to update or revise any forward-looking statements, whether as a result of new information, future events or otherwise. Readers are urged to carefully review and consider the various disclosures made by us in this report and in our other reports filed with the SEC that advise interested parties of the risks and factors that may affect our business.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Overview</w:t>
      </w:r>
    </w:p>
    <w:p>
      <w:pPr>
        <w:spacing w:after="0" w:line="121"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SPS Commerce is a leading provider of cloud-based solutions that make it easier for retailers, suppliers, grocers, distributors, and logistics firms to orchestrate the management of item data, order fulfillment, inventory control and sales analytics across all channels. The solutions offered by SPS Commerce eliminate the need for on-premise software and support staff by taking on that capability on the customer’s behalf. We derive the majority of our revenues from numerous monthly recurring subscriptions from businesses that utilize our solutions.</w:t>
      </w:r>
    </w:p>
    <w:p>
      <w:pPr>
        <w:spacing w:after="0" w:line="171"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We plan to continue to grow our business by further penetrating the supply chain management market, increasing revenues from our customers as their businesses grow, expanding our distribution channels, expanding our international presence and, from time to time, developing new solutions and applications. We also intend to selectively pursue acquisitions that will add customers, allow us to expand into new regions, or allow us to offer new functionalities.</w:t>
      </w:r>
    </w:p>
    <w:p>
      <w:pPr>
        <w:spacing w:after="0" w:line="187" w:lineRule="exact"/>
        <w:rPr>
          <w:sz w:val="20"/>
          <w:szCs w:val="20"/>
          <w:color w:val="auto"/>
        </w:rPr>
      </w:pPr>
    </w:p>
    <w:p>
      <w:pPr>
        <w:ind w:right="380" w:firstLine="510"/>
        <w:spacing w:after="0" w:line="342" w:lineRule="auto"/>
        <w:rPr>
          <w:sz w:val="20"/>
          <w:szCs w:val="20"/>
          <w:color w:val="auto"/>
        </w:rPr>
      </w:pPr>
      <w:r>
        <w:rPr>
          <w:rFonts w:ascii="Arial" w:cs="Arial" w:eastAsia="Arial" w:hAnsi="Arial"/>
          <w:sz w:val="16"/>
          <w:szCs w:val="16"/>
          <w:color w:val="auto"/>
        </w:rPr>
        <w:t>For the three months ended September 30, 2021, our revenues were $97.9 million, an increase of 23% from the comparable period in 2020, and represented our 83rd consecutive quarter of increased revenues. Total operating expenses increased 23% for the same period in 2021 from 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Key Financial Terms and Metrics</w:t>
      </w:r>
    </w:p>
    <w:p>
      <w:pPr>
        <w:spacing w:after="0" w:line="121"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We have several key financial terms and metrics, including annualized average recurring revenues per recurring revenue customer. Beginning in 2021, we added Adjusted EBITDA Margin as a financial metric. There were no additional changes in the definitions of our key financial terms and metrics, which are discussed in more detail under the heading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included in our Annual Report on Form 10-K for the year ended December 31, 2020, as filed with the SEC.</w:t>
      </w:r>
    </w:p>
    <w:p>
      <w:pPr>
        <w:spacing w:after="0" w:line="171"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To supplement our financial statements, we provide investors with Adjusted EBITDA, Adjusted EBITDA Margin, and non-GAAP income per share, all of which are non-GAAP financial measures. We believe that these non-GAAP measures provide useful information to our management, board of directors, and investors regarding certain financial and business trends relating to our financial condition and results of operations. Our management uses these non-GAAP measures to compare our performance to that of prior periods for trend analyses and planning purposes. Adjusted EBITDA is also used for purposes of determining executive and senior management incentive compensation.</w:t>
      </w:r>
    </w:p>
    <w:p>
      <w:pPr>
        <w:spacing w:after="0" w:line="176"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color w:val="auto"/>
        </w:rPr>
        <w:t>These non-GAAP measures should not be considered a substitute for, or superior to, financial measures calculated in accordance with GAAP. These non-GAAP financial measures exclude significant expenses and income that are required by GAAP to be recorded in our financial statements and are subject to inherent limitations. Investors should review the reconciliations of non-GAAP financial measures to the comparable GAAP financial measures that are included in this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20574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18</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8" w:name="page19"/>
    <w:bookmarkEnd w:id="18"/>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Critical Accounting Policies and Estimates</w:t>
      </w:r>
    </w:p>
    <w:p>
      <w:pPr>
        <w:spacing w:after="0" w:line="121" w:lineRule="exact"/>
        <w:rPr>
          <w:sz w:val="20"/>
          <w:szCs w:val="20"/>
          <w:color w:val="auto"/>
        </w:rPr>
      </w:pPr>
    </w:p>
    <w:p>
      <w:pPr>
        <w:ind w:right="320" w:firstLine="514"/>
        <w:spacing w:after="0" w:line="255" w:lineRule="auto"/>
        <w:rPr>
          <w:sz w:val="20"/>
          <w:szCs w:val="20"/>
          <w:color w:val="auto"/>
        </w:rPr>
      </w:pPr>
      <w:r>
        <w:rPr>
          <w:rFonts w:ascii="Arial" w:cs="Arial" w:eastAsia="Arial" w:hAnsi="Arial"/>
          <w:sz w:val="18"/>
          <w:szCs w:val="18"/>
          <w:color w:val="auto"/>
        </w:rPr>
        <w:t>This discussion of our financial condition and results of operations is based upon our condensed consolidated financial statements, which are prepared in accordance with GAAP and with the instructions to Form 10-Q and Rule 10-01 of Regulation S-X. The preparation of these financial statements requires us to make estimates, judgments and assumptions that affect the reported amounts of assets, liabilities, revenues, and expenses and related disclosures. On an ongoing basis, we evaluate our estimates and assumptions. We base our estimates of the carrying value of certain assets and liabilities on historical experience and on various other assumptions that we believe to be reasonable. Our actual results may differ from these estimates under different assumptions or conditions.</w:t>
      </w:r>
    </w:p>
    <w:p>
      <w:pPr>
        <w:spacing w:after="0" w:line="192" w:lineRule="exact"/>
        <w:rPr>
          <w:sz w:val="20"/>
          <w:szCs w:val="20"/>
          <w:color w:val="auto"/>
        </w:rPr>
      </w:pPr>
    </w:p>
    <w:p>
      <w:pPr>
        <w:ind w:right="40" w:firstLine="514"/>
        <w:spacing w:after="0" w:line="259" w:lineRule="auto"/>
        <w:rPr>
          <w:sz w:val="20"/>
          <w:szCs w:val="20"/>
          <w:color w:val="auto"/>
        </w:rPr>
      </w:pPr>
      <w:r>
        <w:rPr>
          <w:rFonts w:ascii="Arial" w:cs="Arial" w:eastAsia="Arial" w:hAnsi="Arial"/>
          <w:sz w:val="18"/>
          <w:szCs w:val="18"/>
          <w:color w:val="auto"/>
        </w:rPr>
        <w:t>A critical accounting policy is one that is both material to the presentation of our financial statements and requires us to make difficult, subjective, or complex judgments relating to uncertain matters that could have a material effect on our financial condition and results of operations. Accordingly, we believe that our policies for revenue recognition, internal-use software, and business combinations are the most critical to fully understand and evaluate our financial condition and results of operations.</w:t>
      </w:r>
    </w:p>
    <w:p>
      <w:pPr>
        <w:spacing w:after="0" w:line="187" w:lineRule="exact"/>
        <w:rPr>
          <w:sz w:val="20"/>
          <w:szCs w:val="20"/>
          <w:color w:val="auto"/>
        </w:rPr>
      </w:pPr>
    </w:p>
    <w:p>
      <w:pPr>
        <w:ind w:right="240" w:firstLine="514"/>
        <w:spacing w:after="0" w:line="263" w:lineRule="auto"/>
        <w:rPr>
          <w:sz w:val="20"/>
          <w:szCs w:val="20"/>
          <w:color w:val="auto"/>
        </w:rPr>
      </w:pPr>
      <w:r>
        <w:rPr>
          <w:rFonts w:ascii="Arial" w:cs="Arial" w:eastAsia="Arial" w:hAnsi="Arial"/>
          <w:sz w:val="18"/>
          <w:szCs w:val="18"/>
          <w:color w:val="auto"/>
        </w:rPr>
        <w:t>During the nine months ended September 30, 2021, there were no changes in our critical accounting policies or estimates. See Note A to our condensed consolidated financial statements included in this Quarterly Report on Form 10-Q and in our Annual Report on Form 10-K for the year ended December 31, 2020, as filed with the SEC, for additional information regarding our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Three Months Ended September 30, 2021 Compared to Three Months Ended September 30,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rPr>
              <w:t>Three Months Ended September 30,</w:t>
            </w: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40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4"/>
              </w:rPr>
              <w:t>% of revenue</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of revenue</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jc w:val="right"/>
              <w:ind w:right="352"/>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3"/>
                <w:szCs w:val="13"/>
                <w:color w:val="auto"/>
              </w:rPr>
            </w:pPr>
          </w:p>
        </w:tc>
        <w:tc>
          <w:tcPr>
            <w:tcW w:w="680" w:type="dxa"/>
            <w:vAlign w:val="bottom"/>
          </w:tcPr>
          <w:p>
            <w:pPr>
              <w:jc w:val="right"/>
              <w:ind w:right="311"/>
              <w:spacing w:after="0" w:line="155"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0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97,887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79,557</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18,330</w:t>
            </w:r>
          </w:p>
        </w:tc>
        <w:tc>
          <w:tcPr>
            <w:tcW w:w="4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34,343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35.1</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25,045</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31.5</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9,298</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63,544</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54,512</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9,032</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19,233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10,854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8,053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2,801</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14,691</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11,939</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2,752</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2,399</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2.5</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FF0FC"/>
            </w:tcBorders>
          </w:tcPr>
          <w:p>
            <w:pPr>
              <w:spacing w:after="0"/>
              <w:rPr>
                <w:sz w:val="19"/>
                <w:szCs w:val="19"/>
                <w:color w:val="auto"/>
              </w:rPr>
            </w:pPr>
          </w:p>
        </w:tc>
        <w:tc>
          <w:tcPr>
            <w:tcW w:w="9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480" w:type="dxa"/>
            <w:vAlign w:val="bottom"/>
            <w:tcBorders>
              <w:bottom w:val="single" w:sz="8" w:color="CFF0FC"/>
            </w:tcBorders>
          </w:tcPr>
          <w:p>
            <w:pPr>
              <w:spacing w:after="0"/>
              <w:rPr>
                <w:sz w:val="19"/>
                <w:szCs w:val="19"/>
                <w:color w:val="auto"/>
              </w:rPr>
            </w:pPr>
          </w:p>
        </w:tc>
        <w:tc>
          <w:tcPr>
            <w:tcW w:w="6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80.0</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50,023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40,558</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9,465</w:t>
            </w:r>
          </w:p>
        </w:tc>
        <w:tc>
          <w:tcPr>
            <w:tcW w:w="4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13,521</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13,954</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(433)</w:t>
            </w:r>
          </w:p>
        </w:tc>
        <w:tc>
          <w:tcPr>
            <w:tcW w:w="4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(716)</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(1,139)</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7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w:t>
            </w:r>
          </w:p>
        </w:tc>
        <w:tc>
          <w:tcPr>
            <w:tcW w:w="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48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3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expense</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2,970</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(1,614)</w:t>
            </w:r>
          </w:p>
        </w:tc>
        <w:tc>
          <w:tcPr>
            <w:tcW w:w="8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3"/>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11.7%</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11,407</w:t>
            </w: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10% to 35,400 at September 30, 2021 from 32,050 at September 30, 2020.</w:t>
      </w:r>
    </w:p>
    <w:p>
      <w:pPr>
        <w:spacing w:after="0" w:line="142" w:lineRule="exact"/>
        <w:rPr>
          <w:rFonts w:ascii="Arial" w:cs="Arial" w:eastAsia="Arial" w:hAnsi="Arial"/>
          <w:sz w:val="17"/>
          <w:szCs w:val="17"/>
          <w:color w:val="auto"/>
        </w:rPr>
      </w:pPr>
    </w:p>
    <w:p>
      <w:pPr>
        <w:ind w:left="1000" w:right="640" w:hanging="493"/>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Wallet share increased 10% to $10,350 for the three months ended September 30, 2021 from $9,450 for the same period in 2020. The increase was primarily attributable to increased usage of our solutions by our recurring revenue customers.</w:t>
      </w:r>
    </w:p>
    <w:p>
      <w:pPr>
        <w:spacing w:after="0" w:line="146"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92% and 95% of our total revenues for the three months ended September 30, 2021 and 2020, respectively.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26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Cost of Revenues - </w:t>
      </w:r>
      <w:r>
        <w:rPr>
          <w:rFonts w:ascii="Arial" w:cs="Arial" w:eastAsia="Arial" w:hAnsi="Arial"/>
          <w:sz w:val="17"/>
          <w:szCs w:val="17"/>
          <w:color w:val="000000"/>
        </w:rPr>
        <w:t>The increase in cost of revenues for the three months ended September 30, 2021 was primarily due to increased headcount</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which resulted in an increase of $7.8 million in personnel-related costs and an increase of $0.7 million in stock-based compensation. Additionally, as we continued to invest in the infrastructure supporting our platform, depreciation expense increased by $0.4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19</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19" w:name="page20"/>
    <w:bookmarkEnd w:id="19"/>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Sales and Marketing Expenses - </w:t>
      </w:r>
      <w:r>
        <w:rPr>
          <w:rFonts w:ascii="Arial" w:cs="Arial" w:eastAsia="Arial" w:hAnsi="Arial"/>
          <w:sz w:val="16"/>
          <w:szCs w:val="16"/>
          <w:color w:val="000000"/>
        </w:rPr>
        <w:t>The increase in sales and marketing expense for the three months ended September 30, 2021 was primarily due to</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increased headcount which resulted in an increase of $1.7 million in personnel-related costs and an increase of $0.7 million in variable compensation earned by sales personnel and referral partners. Additionally, an increase of $0.5 million in stock-based compensation contributed to the overall increase.</w:t>
      </w:r>
    </w:p>
    <w:p>
      <w:pPr>
        <w:spacing w:after="0" w:line="149"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for the three months ended September 30, 2021 was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increased headcount, which resulted in an increase in personnel costs of $2.2 million, and an increase in software subscription expense of $0.4 million.</w:t>
      </w:r>
    </w:p>
    <w:p>
      <w:pPr>
        <w:spacing w:after="0" w:line="184"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for the three months ended September 30, 2021 was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increased headcount which resulted in an increase in personnel-related costs of $1.9 million and stock-based compensation expense of $0.5 million. Additionally, continued growth of the business led to the increase in general and administrative expenses, partially offset by a decrease of $0.3 million in charitable contributions.</w:t>
      </w:r>
    </w:p>
    <w:p>
      <w:pPr>
        <w:spacing w:after="0" w:line="18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the amortization of the acquired intangible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assets related to Data Masons, which we acquired in December 2020.</w:t>
      </w:r>
    </w:p>
    <w:p>
      <w:pPr>
        <w:spacing w:after="0" w:line="170"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change to other expense, net of $0.7 million, compared to other income, net of $0.4 million in the same prior</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year period, was primarily due to unfavorable foreign currency exchange rate changes.</w:t>
      </w:r>
    </w:p>
    <w:p>
      <w:pPr>
        <w:spacing w:after="0" w:line="170"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b w:val="1"/>
          <w:bCs w:val="1"/>
          <w:i w:val="1"/>
          <w:iCs w:val="1"/>
          <w:color w:val="1F282C"/>
        </w:rPr>
        <w:t xml:space="preserve">Income Tax Expense - </w:t>
      </w:r>
      <w:r>
        <w:rPr>
          <w:rFonts w:ascii="Arial" w:cs="Arial" w:eastAsia="Arial" w:hAnsi="Arial"/>
          <w:sz w:val="17"/>
          <w:szCs w:val="17"/>
          <w:color w:val="000000"/>
        </w:rPr>
        <w:t>The decrease in income tax expense was driven by an increase in discrete tax benefits from stock activity, partially offset by</w:t>
      </w:r>
      <w:r>
        <w:rPr>
          <w:rFonts w:ascii="Arial" w:cs="Arial" w:eastAsia="Arial" w:hAnsi="Arial"/>
          <w:sz w:val="17"/>
          <w:szCs w:val="17"/>
          <w:b w:val="1"/>
          <w:bCs w:val="1"/>
          <w:i w:val="1"/>
          <w:iCs w:val="1"/>
          <w:color w:val="1F282C"/>
        </w:rPr>
        <w:t xml:space="preserve"> </w:t>
      </w:r>
      <w:r>
        <w:rPr>
          <w:rFonts w:ascii="Arial" w:cs="Arial" w:eastAsia="Arial" w:hAnsi="Arial"/>
          <w:sz w:val="17"/>
          <w:szCs w:val="17"/>
          <w:color w:val="000000"/>
        </w:rPr>
        <w:t>an increase in nondeductible executive compensation. Excess tax benefits generated upon the settlement or exercise of stock awards are recognized as a reduction to income tax expense and, as a result, we expect that our annual effective income tax rate will fluctuate.</w:t>
      </w:r>
    </w:p>
    <w:p>
      <w:pPr>
        <w:spacing w:after="0" w:line="165"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b w:val="1"/>
          <w:bCs w:val="1"/>
          <w:i w:val="1"/>
          <w:iCs w:val="1"/>
          <w:color w:val="1F282C"/>
        </w:rPr>
        <w:t xml:space="preserve">Adjusted EBITDA - </w:t>
      </w:r>
      <w:r>
        <w:rPr>
          <w:rFonts w:ascii="Arial" w:cs="Arial" w:eastAsia="Arial" w:hAnsi="Arial"/>
          <w:sz w:val="16"/>
          <w:szCs w:val="16"/>
          <w:color w:val="000000"/>
        </w:rPr>
        <w:t>Adjusted EBITDA, which is a non-GAAP measure of financial performance, consists of net income adjusted for income tax</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expense, depreciation and amortization expense, stock-based compensation expense, realized gain or loss from foreign currency on cash and investments held, investment income or loss, and other adjustments as necessary for a fair presentation. For the three months ended September 30, 2020, other adjustments included the expense impact from the disposals of certain capitalized internally developed software, cloud hosting arrangement implementation costs and an earn-out liability fair value adjustment. The following table provides a reconciliation of net income to Adjusted EBITDA: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26,536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60" w:type="dxa"/>
            <w:vAlign w:val="bottom"/>
            <w:tcBorders>
              <w:top w:val="single" w:sz="8" w:color="auto"/>
              <w:bottom w:val="single" w:sz="8" w:color="auto"/>
            </w:tcBorders>
            <w:shd w:val="clear" w:color="auto" w:fill="CFF0FC"/>
          </w:tcPr>
          <w:p>
            <w:pPr>
              <w:jc w:val="right"/>
              <w:ind w:right="40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20574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20</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0" w:name="page21"/>
    <w:bookmarkEnd w:id="20"/>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81"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190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September 30,</w:t>
            </w:r>
          </w:p>
        </w:tc>
        <w:tc>
          <w:tcPr>
            <w:tcW w:w="10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5700" w:type="dxa"/>
            <w:vAlign w:val="bottom"/>
            <w:vMerge w:val="continue"/>
          </w:tcPr>
          <w:p>
            <w:pPr>
              <w:spacing w:after="0"/>
              <w:rPr>
                <w:sz w:val="14"/>
                <w:szCs w:val="14"/>
                <w:color w:val="auto"/>
              </w:rPr>
            </w:pPr>
          </w:p>
        </w:tc>
        <w:tc>
          <w:tcPr>
            <w:tcW w:w="2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700" w:type="dxa"/>
            <w:vAlign w:val="bottom"/>
          </w:tcPr>
          <w:p>
            <w:pPr>
              <w:spacing w:after="0"/>
              <w:rPr>
                <w:sz w:val="4"/>
                <w:szCs w:val="4"/>
                <w:color w:val="auto"/>
              </w:rPr>
            </w:pPr>
          </w:p>
        </w:tc>
        <w:tc>
          <w:tcPr>
            <w:tcW w:w="2880" w:type="dxa"/>
            <w:vAlign w:val="bottom"/>
            <w:gridSpan w:val="2"/>
            <w:vMerge w:val="continue"/>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90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97,887</w:t>
            </w:r>
          </w:p>
        </w:tc>
        <w:tc>
          <w:tcPr>
            <w:tcW w:w="3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79,557</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9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11,449</w:t>
            </w:r>
          </w:p>
        </w:tc>
        <w:tc>
          <w:tcPr>
            <w:tcW w:w="3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700" w:type="dxa"/>
            <w:vAlign w:val="bottom"/>
          </w:tcPr>
          <w:p>
            <w:pPr>
              <w:spacing w:after="0"/>
              <w:rPr>
                <w:sz w:val="20"/>
                <w:szCs w:val="20"/>
                <w:color w:val="auto"/>
              </w:rPr>
            </w:pPr>
            <w:r>
              <w:rPr>
                <w:rFonts w:ascii="Arial" w:cs="Arial" w:eastAsia="Arial" w:hAnsi="Arial"/>
                <w:sz w:val="18"/>
                <w:szCs w:val="18"/>
                <w:color w:val="auto"/>
              </w:rPr>
              <w:t>Margin</w:t>
            </w:r>
          </w:p>
        </w:tc>
        <w:tc>
          <w:tcPr>
            <w:tcW w:w="19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w:t>
            </w:r>
          </w:p>
        </w:tc>
        <w:tc>
          <w:tcPr>
            <w:tcW w:w="540" w:type="dxa"/>
            <w:vAlign w:val="bottom"/>
          </w:tcPr>
          <w:p>
            <w:pPr>
              <w:spacing w:after="0"/>
              <w:rPr>
                <w:sz w:val="22"/>
                <w:szCs w:val="22"/>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700" w:type="dxa"/>
            <w:vAlign w:val="bottom"/>
            <w:tcBorders>
              <w:top w:val="single" w:sz="8" w:color="CFF0FC"/>
            </w:tcBorders>
            <w:shd w:val="clear" w:color="auto" w:fill="CFF0FC"/>
          </w:tcPr>
          <w:p>
            <w:pPr>
              <w:spacing w:after="0"/>
              <w:rPr>
                <w:sz w:val="18"/>
                <w:szCs w:val="18"/>
                <w:color w:val="auto"/>
              </w:rPr>
            </w:pPr>
          </w:p>
        </w:tc>
        <w:tc>
          <w:tcPr>
            <w:tcW w:w="190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9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26,536</w:t>
            </w:r>
          </w:p>
        </w:tc>
        <w:tc>
          <w:tcPr>
            <w:tcW w:w="3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9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w:t>
            </w:r>
          </w:p>
        </w:tc>
        <w:tc>
          <w:tcPr>
            <w:tcW w:w="5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b w:val="1"/>
          <w:bCs w:val="1"/>
          <w:i w:val="1"/>
          <w:iCs w:val="1"/>
          <w:color w:val="1F282C"/>
        </w:rPr>
        <w:t xml:space="preserve">Non-GAAP Income per Share - </w:t>
      </w:r>
      <w:r>
        <w:rPr>
          <w:rFonts w:ascii="Arial" w:cs="Arial" w:eastAsia="Arial" w:hAnsi="Arial"/>
          <w:sz w:val="18"/>
          <w:szCs w:val="18"/>
          <w:color w:val="000000"/>
        </w:rPr>
        <w:t>Non-GAAP income per share, which is a non-GAAP measure of financial performance, consists of net income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adjusted for stock-based compensation expense, amortization expense related to intangible assets, realized gain or loss from foreign currency on cash and investments held, and other adjustments as necessary for a fair presentation, divided by the weighted average number of shares of common and diluted stock outstanding during each period. For the three months ended September 30, 2020, other adjustments included the expense impact from the disposals of certain capitalized internally developed software, cloud hosting arrangement implementation costs and an earn-out liability fair value adjustment.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2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6,849</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2,399</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854</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(4,178)</w:t>
            </w:r>
          </w:p>
        </w:tc>
        <w:tc>
          <w:tcPr>
            <w:tcW w:w="5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(2,929)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17,373</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14,248</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35,961</w:t>
            </w:r>
          </w:p>
        </w:tc>
        <w:tc>
          <w:tcPr>
            <w:tcW w:w="2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37,015</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36,366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0.48</w:t>
            </w:r>
          </w:p>
        </w:tc>
        <w:tc>
          <w:tcPr>
            <w:tcW w:w="28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28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21</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1" w:name="page22"/>
    <w:bookmarkEnd w:id="21"/>
    <w:p>
      <w:pPr>
        <w:ind w:left="10280"/>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Nine Months Ended September 30, 2021 Compared to Nine Months Ended September 30,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5"/>
              </w:rPr>
              <w:t>Nine Months Ended September 30,</w:t>
            </w:r>
          </w:p>
        </w:tc>
        <w:tc>
          <w:tcPr>
            <w:tcW w:w="9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right"/>
              <w:ind w:right="75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751"/>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vMerge w:val="continue"/>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6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 of revenue</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3"/>
                <w:szCs w:val="13"/>
                <w:color w:val="auto"/>
              </w:rPr>
            </w:pPr>
          </w:p>
        </w:tc>
        <w:tc>
          <w:tcPr>
            <w:tcW w:w="640" w:type="dxa"/>
            <w:vAlign w:val="bottom"/>
          </w:tcPr>
          <w:p>
            <w:pPr>
              <w:jc w:val="right"/>
              <w:ind w:right="29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282,520</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229,322</w:t>
            </w:r>
          </w:p>
        </w:tc>
        <w:tc>
          <w:tcPr>
            <w:tcW w:w="1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53,198</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96,043</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72,915</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31.8</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23,128</w:t>
            </w: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31.7</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186,477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156,407</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30,070</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 and marketing</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65,386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56,143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9,243</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28,459</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23,087</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5,372</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45,186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36,591</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8,595</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2.7</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3,749</w:t>
            </w: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94.1</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146,765</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119,806</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26,959</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39,712</w:t>
            </w: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14.1</w:t>
            </w:r>
          </w:p>
        </w:tc>
        <w:tc>
          <w:tcPr>
            <w:tcW w:w="20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36,601</w:t>
            </w:r>
          </w:p>
        </w:tc>
        <w:tc>
          <w:tcPr>
            <w:tcW w:w="14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16.0</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3,111</w:t>
            </w:r>
          </w:p>
        </w:tc>
        <w:tc>
          <w:tcPr>
            <w:tcW w:w="4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(1,424)</w:t>
            </w: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(0.5)</w:t>
            </w: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1,218</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4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38,288</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37,819</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w:t>
            </w:r>
          </w:p>
        </w:tc>
        <w:tc>
          <w:tcPr>
            <w:tcW w:w="4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4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31,832</w:t>
            </w:r>
          </w:p>
        </w:tc>
        <w:tc>
          <w:tcPr>
            <w:tcW w:w="1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11.3%</w:t>
            </w: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32,116</w:t>
            </w:r>
          </w:p>
        </w:tc>
        <w:tc>
          <w:tcPr>
            <w:tcW w:w="14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4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Revenues </w:t>
      </w:r>
      <w:r>
        <w:rPr>
          <w:rFonts w:ascii="Arial" w:cs="Arial" w:eastAsia="Arial" w:hAnsi="Arial"/>
          <w:sz w:val="18"/>
          <w:szCs w:val="18"/>
          <w:b w:val="1"/>
          <w:bCs w:val="1"/>
          <w:i w:val="1"/>
          <w:iCs w:val="1"/>
          <w:color w:val="000000"/>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revenues resulted from two primary factors: the increase in recurring revenue customers and an increase in annualized</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average recurring revenues per recurring revenue customer, which we also refer to as wallet share.</w:t>
      </w:r>
    </w:p>
    <w:p>
      <w:pPr>
        <w:spacing w:after="0" w:line="62" w:lineRule="exact"/>
        <w:rPr>
          <w:sz w:val="20"/>
          <w:szCs w:val="20"/>
          <w:color w:val="auto"/>
        </w:rPr>
      </w:pPr>
    </w:p>
    <w:p>
      <w:pPr>
        <w:ind w:left="1000" w:hanging="493"/>
        <w:spacing w:after="0"/>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number of recurring revenue customers increased 10% to 35,400 at September 30, 2021 from 32,050 at September 30, 2020.</w:t>
      </w:r>
    </w:p>
    <w:p>
      <w:pPr>
        <w:spacing w:after="0" w:line="142" w:lineRule="exact"/>
        <w:rPr>
          <w:rFonts w:ascii="Arial" w:cs="Arial" w:eastAsia="Arial" w:hAnsi="Arial"/>
          <w:sz w:val="17"/>
          <w:szCs w:val="17"/>
          <w:color w:val="auto"/>
        </w:rPr>
      </w:pPr>
    </w:p>
    <w:p>
      <w:pPr>
        <w:ind w:left="1000" w:right="40" w:hanging="493"/>
        <w:spacing w:after="0" w:line="277"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Wallet share increased 10% to $10,100 for the nine months ended September 30, 2021 from $9,200 for the same period in 2020. The increase was primarily attributable to increased usage of our solutions by our recurring revenue customers.</w:t>
      </w:r>
    </w:p>
    <w:p>
      <w:pPr>
        <w:spacing w:after="0" w:line="170" w:lineRule="exact"/>
        <w:rPr>
          <w:sz w:val="20"/>
          <w:szCs w:val="20"/>
          <w:color w:val="auto"/>
        </w:rPr>
      </w:pPr>
    </w:p>
    <w:p>
      <w:pPr>
        <w:ind w:right="200" w:firstLine="510"/>
        <w:spacing w:after="0" w:line="263" w:lineRule="auto"/>
        <w:rPr>
          <w:sz w:val="20"/>
          <w:szCs w:val="20"/>
          <w:color w:val="auto"/>
        </w:rPr>
      </w:pPr>
      <w:r>
        <w:rPr>
          <w:rFonts w:ascii="Arial" w:cs="Arial" w:eastAsia="Arial" w:hAnsi="Arial"/>
          <w:sz w:val="18"/>
          <w:szCs w:val="18"/>
          <w:color w:val="auto"/>
        </w:rPr>
        <w:t>Recurring revenues from recurring revenue customers accounted for 92% and 94% of our total revenues for the nine months ended September 30, 2021 and 2020, respectively. We anticipate that the number of recurring revenue customers and wallet share will increase as we increase the number of solutions we offer and increase the penetration of those solutions across our customer base.</w:t>
      </w:r>
    </w:p>
    <w:p>
      <w:pPr>
        <w:spacing w:after="0" w:line="184"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Cost of Revenues - </w:t>
      </w:r>
      <w:r>
        <w:rPr>
          <w:rFonts w:ascii="Arial" w:cs="Arial" w:eastAsia="Arial" w:hAnsi="Arial"/>
          <w:sz w:val="18"/>
          <w:szCs w:val="18"/>
          <w:color w:val="000000"/>
        </w:rPr>
        <w:t>The increase in cost of revenues for the nine months ended September 30, 2021 was primarily due to increased headcount which</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resulted in an increase of $19.2 million in personnel-related costs and an increase of $2.2 million in stock-based compensation. Additionally, as we continued to invest in the infrastructure supporting our platform, depreciation expense increased by $1.2 million. Further, software subscriptions increased by $0.4 million.</w:t>
      </w:r>
    </w:p>
    <w:p>
      <w:pPr>
        <w:spacing w:after="0" w:line="187" w:lineRule="exact"/>
        <w:rPr>
          <w:sz w:val="20"/>
          <w:szCs w:val="20"/>
          <w:color w:val="auto"/>
        </w:rPr>
      </w:pPr>
    </w:p>
    <w:p>
      <w:pPr>
        <w:ind w:right="14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Sales and Marketing Expenses - </w:t>
      </w:r>
      <w:r>
        <w:rPr>
          <w:rFonts w:ascii="Arial" w:cs="Arial" w:eastAsia="Arial" w:hAnsi="Arial"/>
          <w:sz w:val="16"/>
          <w:szCs w:val="16"/>
          <w:color w:val="000000"/>
        </w:rPr>
        <w:t>The increase in sales and marketing expense for the nine months ended September 30, 2021 was primarily due to</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increased headcount which resulted in an increase of $4.1 million in personnel-related costs and an increase of $3.0 million in variable compensation earned by sales personnel and referral partners. Additionally, an increase of $1.9 million in stock-based compensation contributed to the overall increase.</w:t>
      </w:r>
    </w:p>
    <w:p>
      <w:pPr>
        <w:spacing w:after="0" w:line="149"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Research and Development Expenses - </w:t>
      </w:r>
      <w:r>
        <w:rPr>
          <w:rFonts w:ascii="Arial" w:cs="Arial" w:eastAsia="Arial" w:hAnsi="Arial"/>
          <w:sz w:val="18"/>
          <w:szCs w:val="18"/>
          <w:color w:val="000000"/>
        </w:rPr>
        <w:t>The increase in research and development expense for the nine months ended September 30, 2021 was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increased headcount which resulted in increases of personnel costs of $4.0 million and stock-based compensation of $0.4 million. In addition, there was an increase in software subscription expense of $1.0 million.</w:t>
      </w:r>
    </w:p>
    <w:p>
      <w:pPr>
        <w:spacing w:after="0" w:line="184" w:lineRule="exact"/>
        <w:rPr>
          <w:sz w:val="20"/>
          <w:szCs w:val="20"/>
          <w:color w:val="auto"/>
        </w:rPr>
      </w:pPr>
    </w:p>
    <w:p>
      <w:pPr>
        <w:ind w:right="360" w:firstLine="510"/>
        <w:spacing w:after="0" w:line="259" w:lineRule="auto"/>
        <w:rPr>
          <w:sz w:val="20"/>
          <w:szCs w:val="20"/>
          <w:color w:val="auto"/>
        </w:rPr>
      </w:pPr>
      <w:r>
        <w:rPr>
          <w:rFonts w:ascii="Arial" w:cs="Arial" w:eastAsia="Arial" w:hAnsi="Arial"/>
          <w:sz w:val="18"/>
          <w:szCs w:val="18"/>
          <w:b w:val="1"/>
          <w:bCs w:val="1"/>
          <w:i w:val="1"/>
          <w:iCs w:val="1"/>
          <w:color w:val="1F282C"/>
        </w:rPr>
        <w:t xml:space="preserve">General and Administrative Expenses </w:t>
      </w:r>
      <w:r>
        <w:rPr>
          <w:rFonts w:ascii="Arial" w:cs="Arial" w:eastAsia="Arial" w:hAnsi="Arial"/>
          <w:sz w:val="18"/>
          <w:szCs w:val="18"/>
          <w:color w:val="1F282C"/>
        </w:rPr>
        <w:t>-</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The increase in general and administrative expense for the nine months ended September 30, 2021 was</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primarily due to increased headcount which resulted in an increase in personnel-related costs of $3.9 million and stock-based compensation increase of $2.6 million. Additionally, there were increases of $0.6 million in software subscription fees, $0.5 million in credit card fees, and $0.4 million in professional service fees that contributed to the overall increase.</w:t>
      </w:r>
    </w:p>
    <w:p>
      <w:pPr>
        <w:spacing w:after="0" w:line="214"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Amortization of Intangible Assets - </w:t>
      </w:r>
      <w:r>
        <w:rPr>
          <w:rFonts w:ascii="Arial" w:cs="Arial" w:eastAsia="Arial" w:hAnsi="Arial"/>
          <w:sz w:val="18"/>
          <w:szCs w:val="18"/>
          <w:color w:val="000000"/>
        </w:rPr>
        <w:t>The increase in amortization of intangible assets was driven by the amortization of the acquired intangible</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assets related to Data Masons, which we acquired in December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20574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22</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2" w:name="page23"/>
    <w:bookmarkEnd w:id="22"/>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1F282C"/>
        </w:rPr>
        <w:t xml:space="preserve">Other Income (Expense), Net - </w:t>
      </w:r>
      <w:r>
        <w:rPr>
          <w:rFonts w:ascii="Arial" w:cs="Arial" w:eastAsia="Arial" w:hAnsi="Arial"/>
          <w:sz w:val="18"/>
          <w:szCs w:val="18"/>
          <w:color w:val="000000"/>
        </w:rPr>
        <w:t>The change to other expense, net of $1.4 million, compared to other income, net of $1.2 million in the same prior</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year period, was primarily due to unfavorable foreign currency exchange rate changes and decreased investment income.</w:t>
      </w:r>
    </w:p>
    <w:p>
      <w:pPr>
        <w:spacing w:after="0" w:line="197" w:lineRule="exact"/>
        <w:rPr>
          <w:sz w:val="20"/>
          <w:szCs w:val="20"/>
          <w:color w:val="auto"/>
        </w:rPr>
      </w:pPr>
    </w:p>
    <w:p>
      <w:pPr>
        <w:ind w:right="100" w:firstLine="510"/>
        <w:spacing w:after="0" w:line="311" w:lineRule="auto"/>
        <w:rPr>
          <w:sz w:val="20"/>
          <w:szCs w:val="20"/>
          <w:color w:val="auto"/>
        </w:rPr>
      </w:pPr>
      <w:r>
        <w:rPr>
          <w:rFonts w:ascii="Arial" w:cs="Arial" w:eastAsia="Arial" w:hAnsi="Arial"/>
          <w:sz w:val="16"/>
          <w:szCs w:val="16"/>
          <w:b w:val="1"/>
          <w:bCs w:val="1"/>
          <w:i w:val="1"/>
          <w:iCs w:val="1"/>
          <w:color w:val="1F282C"/>
        </w:rPr>
        <w:t xml:space="preserve">Income Tax Expense - </w:t>
      </w:r>
      <w:r>
        <w:rPr>
          <w:rFonts w:ascii="Arial" w:cs="Arial" w:eastAsia="Arial" w:hAnsi="Arial"/>
          <w:sz w:val="16"/>
          <w:szCs w:val="16"/>
          <w:color w:val="000000"/>
        </w:rPr>
        <w:t>The increase in income tax expense was due to an increase in nondeductible executive compensation and an increase in pre-tax income, partially offset by an increase in the discrete tax benefits from stock activity. Excess tax benefits generated upon the settlement or exercise of stock awards are recognized as a reduction to income tax expense and, as a result, we expect that our annual effective income tax rate will fluctuate.</w:t>
      </w:r>
    </w:p>
    <w:p>
      <w:pPr>
        <w:spacing w:after="0" w:line="14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b w:val="1"/>
          <w:bCs w:val="1"/>
          <w:i w:val="1"/>
          <w:iCs w:val="1"/>
          <w:color w:val="1F282C"/>
        </w:rPr>
        <w:t xml:space="preserve">Adjusted EBITDA - </w:t>
      </w:r>
      <w:r>
        <w:rPr>
          <w:rFonts w:ascii="Arial" w:cs="Arial" w:eastAsia="Arial" w:hAnsi="Arial"/>
          <w:sz w:val="18"/>
          <w:szCs w:val="18"/>
          <w:color w:val="000000"/>
        </w:rPr>
        <w:t>Adjusted EBITDA, which is a non-GAAP measure of financial performance, consists of net income adjusted for income tax</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expense, depreciation and amortization expense, stock-based compensation expense, realized gain or loss from foreign currency on cash and investments held, investment income or loss, and other adjustments as necessary for a fair presentation. For the nine months ended September 30, 2021, other adjustments include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nine months ended September 30, 2020, other adjustments included the expense impact from the disposals of certain capitalized internally developed software and cloud hosting arrangement implementation costs in addition to an earn-out liability fair value adjustment. The following table provides a reconciliation of net income to Adjusted EBITDA:</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6,456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Investment income</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79,321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280" w:firstLine="510"/>
        <w:spacing w:after="0" w:line="263" w:lineRule="auto"/>
        <w:rPr>
          <w:sz w:val="20"/>
          <w:szCs w:val="20"/>
          <w:color w:val="auto"/>
        </w:rPr>
      </w:pPr>
      <w:r>
        <w:rPr>
          <w:rFonts w:ascii="Arial" w:cs="Arial" w:eastAsia="Arial" w:hAnsi="Arial"/>
          <w:sz w:val="18"/>
          <w:szCs w:val="18"/>
          <w:b w:val="1"/>
          <w:bCs w:val="1"/>
          <w:i w:val="1"/>
          <w:iCs w:val="1"/>
          <w:color w:val="1F282C"/>
        </w:rPr>
        <w:t xml:space="preserve">Adjusted EBITDA Margin - </w:t>
      </w:r>
      <w:r>
        <w:rPr>
          <w:rFonts w:ascii="Arial" w:cs="Arial" w:eastAsia="Arial" w:hAnsi="Arial"/>
          <w:sz w:val="18"/>
          <w:szCs w:val="18"/>
          <w:color w:val="000000"/>
        </w:rPr>
        <w:t>Adjusted EBITDA Margin, which is a non-GAAP measure of financial performance, consists of Adjusted EBITDA</w:t>
      </w:r>
      <w:r>
        <w:rPr>
          <w:rFonts w:ascii="Arial" w:cs="Arial" w:eastAsia="Arial" w:hAnsi="Arial"/>
          <w:sz w:val="18"/>
          <w:szCs w:val="18"/>
          <w:b w:val="1"/>
          <w:bCs w:val="1"/>
          <w:i w:val="1"/>
          <w:iCs w:val="1"/>
          <w:color w:val="1F282C"/>
        </w:rPr>
        <w:t xml:space="preserve"> </w:t>
      </w:r>
      <w:r>
        <w:rPr>
          <w:rFonts w:ascii="Arial" w:cs="Arial" w:eastAsia="Arial" w:hAnsi="Arial"/>
          <w:sz w:val="18"/>
          <w:szCs w:val="18"/>
          <w:color w:val="000000"/>
        </w:rPr>
        <w:t>divided by revenue. Margin, the comparable GAAP measure of financial performance, consists of net income divided by revenue. The following table provides a comparison of Margin to Adjusted EBITDA Margin: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40" w:type="dxa"/>
            <w:vAlign w:val="bottom"/>
            <w:gridSpan w:val="4"/>
          </w:tcPr>
          <w:p>
            <w:pPr>
              <w:jc w:val="center"/>
              <w:ind w:left="697"/>
              <w:spacing w:after="0"/>
              <w:rPr>
                <w:sz w:val="20"/>
                <w:szCs w:val="20"/>
                <w:color w:val="auto"/>
              </w:rPr>
            </w:pPr>
            <w:r>
              <w:rPr>
                <w:rFonts w:ascii="Arial" w:cs="Arial" w:eastAsia="Arial" w:hAnsi="Arial"/>
                <w:sz w:val="14"/>
                <w:szCs w:val="14"/>
                <w:b w:val="1"/>
                <w:bCs w:val="1"/>
                <w:color w:val="auto"/>
                <w:w w:val="94"/>
              </w:rPr>
              <w:t>Nine Months Ended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Margin and Adjusted EBITDA Margin)</w:t>
            </w:r>
          </w:p>
        </w:tc>
        <w:tc>
          <w:tcPr>
            <w:tcW w:w="16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center"/>
              <w:ind w:left="697"/>
              <w:spacing w:after="0"/>
              <w:rPr>
                <w:sz w:val="20"/>
                <w:szCs w:val="20"/>
                <w:color w:val="auto"/>
              </w:rPr>
            </w:pPr>
            <w:r>
              <w:rPr>
                <w:rFonts w:ascii="Arial" w:cs="Arial" w:eastAsia="Arial" w:hAnsi="Arial"/>
                <w:sz w:val="14"/>
                <w:szCs w:val="14"/>
                <w:b w:val="1"/>
                <w:bCs w:val="1"/>
                <w:color w:val="auto"/>
                <w:w w:val="91"/>
              </w:rPr>
              <w:t>September 30,</w:t>
            </w:r>
          </w:p>
        </w:tc>
        <w:tc>
          <w:tcPr>
            <w:tcW w:w="12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40" w:type="dxa"/>
            <w:vAlign w:val="bottom"/>
            <w:tcBorders>
              <w:bottom w:val="single" w:sz="8" w:color="CFF0FC"/>
            </w:tcBorders>
            <w:vMerge w:val="continue"/>
          </w:tcPr>
          <w:p>
            <w:pPr>
              <w:spacing w:after="0"/>
              <w:rPr>
                <w:sz w:val="13"/>
                <w:szCs w:val="13"/>
                <w:color w:val="auto"/>
              </w:rPr>
            </w:pPr>
          </w:p>
        </w:tc>
        <w:tc>
          <w:tcPr>
            <w:tcW w:w="162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677"/>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7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282,520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229,322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6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31,832</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32,116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40" w:type="dxa"/>
            <w:vAlign w:val="bottom"/>
          </w:tcPr>
          <w:p>
            <w:pPr>
              <w:spacing w:after="0"/>
              <w:rPr>
                <w:sz w:val="20"/>
                <w:szCs w:val="20"/>
                <w:color w:val="auto"/>
              </w:rPr>
            </w:pPr>
            <w:r>
              <w:rPr>
                <w:rFonts w:ascii="Arial" w:cs="Arial" w:eastAsia="Arial" w:hAnsi="Arial"/>
                <w:sz w:val="18"/>
                <w:szCs w:val="18"/>
                <w:color w:val="auto"/>
              </w:rPr>
              <w:t>Margin</w:t>
            </w:r>
          </w:p>
        </w:tc>
        <w:tc>
          <w:tcPr>
            <w:tcW w:w="16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544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Adjusted EBITDA</w:t>
            </w:r>
          </w:p>
        </w:tc>
        <w:tc>
          <w:tcPr>
            <w:tcW w:w="16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79,321</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64,016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Margin</w:t>
            </w:r>
          </w:p>
        </w:tc>
        <w:tc>
          <w:tcPr>
            <w:tcW w:w="16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60" w:firstLine="510"/>
        <w:spacing w:after="0" w:line="290" w:lineRule="auto"/>
        <w:rPr>
          <w:sz w:val="20"/>
          <w:szCs w:val="20"/>
          <w:color w:val="auto"/>
        </w:rPr>
      </w:pPr>
      <w:r>
        <w:rPr>
          <w:rFonts w:ascii="Arial" w:cs="Arial" w:eastAsia="Arial" w:hAnsi="Arial"/>
          <w:sz w:val="16"/>
          <w:szCs w:val="16"/>
          <w:b w:val="1"/>
          <w:bCs w:val="1"/>
          <w:i w:val="1"/>
          <w:iCs w:val="1"/>
          <w:color w:val="1F282C"/>
        </w:rPr>
        <w:t xml:space="preserve">Non-GAAP Income per Share - </w:t>
      </w:r>
      <w:r>
        <w:rPr>
          <w:rFonts w:ascii="Arial" w:cs="Arial" w:eastAsia="Arial" w:hAnsi="Arial"/>
          <w:sz w:val="16"/>
          <w:szCs w:val="16"/>
          <w:color w:val="000000"/>
        </w:rPr>
        <w:t>Non-GAAP income per share, which is a non-GAAP measure of financial performance, consists of net income</w:t>
      </w:r>
      <w:r>
        <w:rPr>
          <w:rFonts w:ascii="Arial" w:cs="Arial" w:eastAsia="Arial" w:hAnsi="Arial"/>
          <w:sz w:val="16"/>
          <w:szCs w:val="16"/>
          <w:b w:val="1"/>
          <w:bCs w:val="1"/>
          <w:i w:val="1"/>
          <w:iCs w:val="1"/>
          <w:color w:val="1F282C"/>
        </w:rPr>
        <w:t xml:space="preserve"> </w:t>
      </w:r>
      <w:r>
        <w:rPr>
          <w:rFonts w:ascii="Arial" w:cs="Arial" w:eastAsia="Arial" w:hAnsi="Arial"/>
          <w:sz w:val="16"/>
          <w:szCs w:val="16"/>
          <w:color w:val="000000"/>
        </w:rPr>
        <w:t>adjusted for stock-based compensation expense, amortization expense related to intangible assets, realized gain or loss from foreign currency on cash and investments held, and other adjustments as necessary for a fair presentation, divided by the weighted average number of shares of common and diluted stock outstanding during each period. For the nine months ended September 30, 2021, other adjustments include disposals of cloud hosting arrangement implementation costs and accelerated tenant improvement benefit, which was incurred as part of executing a lease agreement. This tenant improvement adjustment was partially offset by accelerated depreciation, which is included within Depreciation and amortization of property and equipment and was also incurred as part of executing a lease agreement. For the nine months ended September 30, 2020, other adjustments included the expense impact from the disposals of certain capitalized internally developed software and cloud hosting arrangement implementation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20574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23</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3" w:name="page24"/>
    <w:bookmarkEnd w:id="23"/>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5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costs in addition to an earn-out liability fair value adjustment. To quantify the tax effects, we recalculated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reconciliation of net income to non-GAAP income per share:</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16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6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31,832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intangible assets</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7,734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Realized (gain) loss from foreign currency on cash and investments held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Income tax effects of adjustments</w:t>
            </w:r>
          </w:p>
        </w:tc>
        <w:tc>
          <w:tcPr>
            <w:tcW w:w="36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(12,152)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(8,841)</w:t>
            </w:r>
          </w:p>
        </w:tc>
        <w:tc>
          <w:tcPr>
            <w:tcW w:w="0" w:type="dxa"/>
            <w:vAlign w:val="bottom"/>
          </w:tcPr>
          <w:p>
            <w:pPr>
              <w:spacing w:after="0"/>
              <w:rPr>
                <w:sz w:val="1"/>
                <w:szCs w:val="1"/>
                <w:color w:val="auto"/>
              </w:rPr>
            </w:pPr>
          </w:p>
        </w:tc>
      </w:tr>
      <w:tr>
        <w:trPr>
          <w:trHeight w:val="223"/>
        </w:trPr>
        <w:tc>
          <w:tcPr>
            <w:tcW w:w="7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income</w:t>
            </w: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49,966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Shares used to compute non-GAAP income per share</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36,898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shd w:val="clear" w:color="auto" w:fill="CFF0FC"/>
          </w:tcPr>
          <w:p>
            <w:pPr>
              <w:spacing w:after="0"/>
              <w:rPr>
                <w:sz w:val="20"/>
                <w:szCs w:val="20"/>
                <w:color w:val="auto"/>
              </w:rPr>
            </w:pPr>
            <w:r>
              <w:rPr>
                <w:rFonts w:ascii="Arial" w:cs="Arial" w:eastAsia="Arial" w:hAnsi="Arial"/>
                <w:sz w:val="18"/>
                <w:szCs w:val="18"/>
                <w:color w:val="auto"/>
              </w:rPr>
              <w:t>Non-GAAP income per share</w:t>
            </w: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tcPr>
          <w:p>
            <w:pPr>
              <w:ind w:left="26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Pr>
          <w:p>
            <w:pPr>
              <w:spacing w:after="0"/>
              <w:rPr>
                <w:sz w:val="19"/>
                <w:szCs w:val="19"/>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AAE5"/>
        </w:rPr>
        <w:t>Liquidity and Capital Resources</w:t>
      </w:r>
    </w:p>
    <w:p>
      <w:pPr>
        <w:spacing w:after="0" w:line="121"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At September 30, 2021, our principal sources of liquidity were cash and cash equivalents, certificates of deposit and short-term investments totaling $252.0 million and accounts receivable, net of provision for credit losses, of $35.3 million. Certificates of deposit and investments are invested in accordance with our investment policy, with a goal of maintaining liquidity and capital preservation. Our cash equivalents and short-term investments are held in highly liquid money market funds, certificates of deposits, commercial paper, U.S. treasury securities and U.S. corporate bonds.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summary of activity within the condensed consolidated statements of cash flows was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4"/>
              </w:rPr>
              <w:t>Nine Months Ended</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vMerge w:val="continue"/>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81,568</w:t>
            </w:r>
          </w:p>
        </w:tc>
        <w:tc>
          <w:tcPr>
            <w:tcW w:w="280" w:type="dxa"/>
            <w:vAlign w:val="bottom"/>
            <w:shd w:val="clear" w:color="auto" w:fill="CFF0FC"/>
          </w:tcPr>
          <w:p>
            <w:pPr>
              <w:spacing w:after="0"/>
              <w:rPr>
                <w:sz w:val="19"/>
                <w:szCs w:val="19"/>
                <w:color w:val="auto"/>
              </w:rPr>
            </w:pPr>
          </w:p>
        </w:tc>
        <w:tc>
          <w:tcPr>
            <w:tcW w:w="56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(32,087)</w:t>
            </w:r>
          </w:p>
        </w:tc>
        <w:tc>
          <w:tcPr>
            <w:tcW w:w="5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(31,975)</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(3,360)</w:t>
            </w:r>
          </w:p>
        </w:tc>
        <w:tc>
          <w:tcPr>
            <w:tcW w:w="5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(3,850)</w:t>
            </w:r>
          </w:p>
        </w:tc>
        <w:tc>
          <w:tcPr>
            <w:tcW w:w="0" w:type="dxa"/>
            <w:vAlign w:val="bottom"/>
          </w:tcPr>
          <w:p>
            <w:pPr>
              <w:spacing w:after="0"/>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Operating Activities</w:t>
      </w:r>
    </w:p>
    <w:p>
      <w:pPr>
        <w:spacing w:after="0" w:line="117"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increase in cash provided by operating activities was primarily driven by an increase in non-cash expenses and changes in operating assets and liabilities. Significant changes in non-cash items included increased stock-based compensation and amortization of intangible assets resulting from business expansion. Significant changes in operating assets and liabilities included increases in deferred revenue and accrued compensation balances.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Investing Activities</w:t>
      </w:r>
    </w:p>
    <w:p>
      <w:pPr>
        <w:spacing w:after="0" w:line="11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change in net cash used in investing activities was primarily due to increased purchases of property and equipment, partially offset by a decrease in net purchases of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Net Cash Flows from Financing Activities</w:t>
      </w:r>
    </w:p>
    <w:p>
      <w:pPr>
        <w:spacing w:after="0" w:line="117"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The change in net cash used in financing activities was primarily due to the decreases in cash used for share repurchases and net proceeds from stock option exercises.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0574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24</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4" w:name="page25"/>
    <w:bookmarkEnd w:id="24"/>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Effect of Foreign Currency Exchange Rate Changes</w:t>
      </w:r>
    </w:p>
    <w:p>
      <w:pPr>
        <w:spacing w:after="0" w:line="117" w:lineRule="exact"/>
        <w:rPr>
          <w:sz w:val="20"/>
          <w:szCs w:val="20"/>
          <w:color w:val="auto"/>
        </w:rPr>
      </w:pPr>
    </w:p>
    <w:p>
      <w:pPr>
        <w:ind w:right="360" w:firstLine="510"/>
        <w:spacing w:after="0" w:line="308" w:lineRule="auto"/>
        <w:rPr>
          <w:sz w:val="20"/>
          <w:szCs w:val="20"/>
          <w:color w:val="auto"/>
        </w:rPr>
      </w:pPr>
      <w:r>
        <w:rPr>
          <w:rFonts w:ascii="Arial" w:cs="Arial" w:eastAsia="Arial" w:hAnsi="Arial"/>
          <w:sz w:val="17"/>
          <w:szCs w:val="17"/>
          <w:color w:val="auto"/>
        </w:rPr>
        <w:t>For information regarding the effect of foreign currency exchange rate changes, refer to the section entitled “Foreign Currency Exchange Risk,” included in Part I, Item 3, “Quantitative and Qualitative Disclosures About Market Risk” of this Quarterly Report on Form 10-Q.</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Adequacy of Capital Resources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may vary significantly from those now planned and will depend on many factors, including:</w:t>
      </w:r>
    </w:p>
    <w:p>
      <w:pPr>
        <w:spacing w:after="0" w:line="117"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to develop and implement new solutions and applications, if any;</w:t>
      </w:r>
    </w:p>
    <w:p>
      <w:pPr>
        <w:spacing w:after="0" w:line="130" w:lineRule="exact"/>
        <w:rPr>
          <w:rFonts w:ascii="Arial" w:cs="Arial" w:eastAsia="Arial" w:hAnsi="Arial"/>
          <w:sz w:val="18"/>
          <w:szCs w:val="18"/>
          <w:color w:val="auto"/>
        </w:rPr>
      </w:pPr>
    </w:p>
    <w:p>
      <w:pPr>
        <w:ind w:left="1000" w:right="4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sales and marketing resources needed to further penetrate our market and gain acceptance of new solutions and applications that we may develop;</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expansion of our operations in the U.S. and internationally;</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response of competitors to our solutions and applications; and</w:t>
      </w:r>
    </w:p>
    <w:p>
      <w:pPr>
        <w:spacing w:after="0" w:line="130" w:lineRule="exact"/>
        <w:rPr>
          <w:rFonts w:ascii="Arial" w:cs="Arial" w:eastAsia="Arial" w:hAnsi="Arial"/>
          <w:sz w:val="18"/>
          <w:szCs w:val="18"/>
          <w:color w:val="auto"/>
        </w:rPr>
      </w:pPr>
    </w:p>
    <w:p>
      <w:pPr>
        <w:ind w:left="1000" w:hanging="493"/>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use of capital for acquisitions, if any.</w:t>
      </w:r>
    </w:p>
    <w:p>
      <w:pPr>
        <w:spacing w:after="0" w:line="239"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color w:val="auto"/>
        </w:rPr>
        <w:t>Historically, we have experienced increases in our expenditures consistent with the growth in our operations, and we anticipate that our expenditures will continue to increase as we expand our business.</w:t>
      </w:r>
    </w:p>
    <w:p>
      <w:pPr>
        <w:spacing w:after="0" w:line="170"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We believe our cash, cash equivalents, investments and our cash flows from operations will be sufficient to meet our working capital and capital expenditure requirements for at least the next twelve months.</w:t>
      </w:r>
    </w:p>
    <w:p>
      <w:pPr>
        <w:spacing w:after="0" w:line="17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Inflation and changing prices did not have a material effect on our business during the nine months ended September 30, 2021 and we do not expect that inflation or changing prices will materially affect our business in the foreseeable future.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Off-Balance Sheet Arrangements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do not have any off-balance sheet arrangements, investments in special purpose entities or undisclosed borrowings or debt. Additionally, we are not a party to any derivative contracts or synthetic leases.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Contractual and Commercial Commitment Summary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contractual obligations and commercial commitments as of September 30, 2021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Payments Due by Period</w:t>
            </w: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4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99"/>
              <w:spacing w:after="0" w:line="147" w:lineRule="exact"/>
              <w:rPr>
                <w:sz w:val="20"/>
                <w:szCs w:val="20"/>
                <w:color w:val="auto"/>
              </w:rPr>
            </w:pPr>
            <w:r>
              <w:rPr>
                <w:rFonts w:ascii="Arial" w:cs="Arial" w:eastAsia="Arial" w:hAnsi="Arial"/>
                <w:sz w:val="14"/>
                <w:szCs w:val="14"/>
                <w:b w:val="1"/>
                <w:bCs w:val="1"/>
                <w:color w:val="auto"/>
                <w:w w:val="95"/>
              </w:rPr>
              <w:t>Less Than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360"/>
              <w:spacing w:after="0" w:line="147" w:lineRule="exact"/>
              <w:rPr>
                <w:sz w:val="20"/>
                <w:szCs w:val="20"/>
                <w:color w:val="auto"/>
              </w:rPr>
            </w:pPr>
            <w:r>
              <w:rPr>
                <w:rFonts w:ascii="Arial" w:cs="Arial" w:eastAsia="Arial" w:hAnsi="Arial"/>
                <w:sz w:val="14"/>
                <w:szCs w:val="14"/>
                <w:b w:val="1"/>
                <w:bCs w:val="1"/>
                <w:color w:val="auto"/>
                <w:w w:val="98"/>
              </w:rPr>
              <w:t>More Than</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8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219"/>
              <w:spacing w:after="0"/>
              <w:rPr>
                <w:sz w:val="20"/>
                <w:szCs w:val="20"/>
                <w:color w:val="auto"/>
              </w:rPr>
            </w:pPr>
            <w:r>
              <w:rPr>
                <w:rFonts w:ascii="Arial" w:cs="Arial" w:eastAsia="Arial" w:hAnsi="Arial"/>
                <w:sz w:val="14"/>
                <w:szCs w:val="14"/>
                <w:b w:val="1"/>
                <w:bCs w:val="1"/>
                <w:color w:val="auto"/>
              </w:rPr>
              <w:t>1 Year</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4"/>
                <w:szCs w:val="14"/>
                <w:color w:val="auto"/>
              </w:rPr>
            </w:pPr>
          </w:p>
        </w:tc>
        <w:tc>
          <w:tcPr>
            <w:tcW w:w="860" w:type="dxa"/>
            <w:vAlign w:val="bottom"/>
          </w:tcPr>
          <w:p>
            <w:pPr>
              <w:jc w:val="right"/>
              <w:ind w:right="141"/>
              <w:spacing w:after="0"/>
              <w:rPr>
                <w:sz w:val="20"/>
                <w:szCs w:val="20"/>
                <w:color w:val="auto"/>
              </w:rPr>
            </w:pPr>
            <w:r>
              <w:rPr>
                <w:rFonts w:ascii="Arial" w:cs="Arial" w:eastAsia="Arial" w:hAnsi="Arial"/>
                <w:sz w:val="14"/>
                <w:szCs w:val="14"/>
                <w:b w:val="1"/>
                <w:bCs w:val="1"/>
                <w:color w:val="auto"/>
                <w:w w:val="99"/>
              </w:rPr>
              <w:t>3-5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5 Years</w:t>
            </w:r>
          </w:p>
        </w:tc>
        <w:tc>
          <w:tcPr>
            <w:tcW w:w="2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obligations, including imputed interest</w:t>
            </w:r>
          </w:p>
        </w:tc>
        <w:tc>
          <w:tcPr>
            <w:tcW w:w="6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8,687</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22,885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Purchase commitments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11,071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14,196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2,137</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SPS COMMERCE, INC.</w:t>
            </w: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7"/>
        </w:trPr>
        <w:tc>
          <w:tcPr>
            <w:tcW w:w="45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419"/>
              <w:spacing w:after="0"/>
              <w:rPr>
                <w:sz w:val="20"/>
                <w:szCs w:val="20"/>
                <w:color w:val="auto"/>
              </w:rPr>
            </w:pPr>
            <w:r>
              <w:rPr>
                <w:rFonts w:ascii="Arial" w:cs="Arial" w:eastAsia="Arial" w:hAnsi="Arial"/>
                <w:sz w:val="14"/>
                <w:szCs w:val="14"/>
                <w:color w:val="auto"/>
              </w:rPr>
              <w:t>25</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8"/>
          </w:tcPr>
          <w:p>
            <w:pPr>
              <w:ind w:left="540"/>
              <w:spacing w:after="0"/>
              <w:rPr>
                <w:sz w:val="20"/>
                <w:szCs w:val="20"/>
                <w:color w:val="auto"/>
              </w:rPr>
            </w:pPr>
            <w:r>
              <w:rPr>
                <w:rFonts w:ascii="Arial" w:cs="Arial" w:eastAsia="Arial" w:hAnsi="Arial"/>
                <w:sz w:val="11"/>
                <w:szCs w:val="11"/>
                <w:b w:val="1"/>
                <w:bCs w:val="1"/>
                <w:color w:val="auto"/>
                <w:w w:val="89"/>
              </w:rPr>
              <w:t>Form 10-Q for the Quarterly Period ended September 30, 2021</w:t>
            </w:r>
          </w:p>
        </w:tc>
        <w:tc>
          <w:tcPr>
            <w:tcW w:w="0" w:type="dxa"/>
            <w:vAlign w:val="bottom"/>
          </w:tcPr>
          <w:p>
            <w:pPr>
              <w:spacing w:after="0"/>
              <w:rPr>
                <w:sz w:val="1"/>
                <w:szCs w:val="1"/>
                <w:color w:val="auto"/>
              </w:rPr>
            </w:pPr>
          </w:p>
        </w:tc>
      </w:tr>
      <w:tr>
        <w:trPr>
          <w:trHeight w:val="168"/>
        </w:trPr>
        <w:tc>
          <w:tcPr>
            <w:tcW w:w="45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205740" cy="2057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5" w:name="page26"/>
    <w:bookmarkEnd w:id="25"/>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Interest Rate Sensitivity Risk</w:t>
      </w:r>
    </w:p>
    <w:p>
      <w:pPr>
        <w:spacing w:after="0" w:line="117" w:lineRule="exact"/>
        <w:rPr>
          <w:sz w:val="20"/>
          <w:szCs w:val="20"/>
          <w:color w:val="auto"/>
        </w:rPr>
      </w:pPr>
    </w:p>
    <w:p>
      <w:pPr>
        <w:jc w:val="both"/>
        <w:ind w:right="260" w:firstLine="510"/>
        <w:spacing w:after="0" w:line="311" w:lineRule="auto"/>
        <w:rPr>
          <w:sz w:val="20"/>
          <w:szCs w:val="20"/>
          <w:color w:val="auto"/>
        </w:rPr>
      </w:pPr>
      <w:r>
        <w:rPr>
          <w:rFonts w:ascii="Arial" w:cs="Arial" w:eastAsia="Arial" w:hAnsi="Arial"/>
          <w:sz w:val="16"/>
          <w:szCs w:val="16"/>
          <w:color w:val="auto"/>
        </w:rPr>
        <w:t>The principal objectives of our investment activities are to preserve principal, provide liquidity and maximize income consistent with minimizing risk of material loss. We are exposed to market risk related to changes in interest rates. However, based on the nature and current level of our cash, cash equivalents, and investments, we believe there is no material risk of exposure. We do not enter into investments for trading or speculative purposes.</w:t>
      </w:r>
    </w:p>
    <w:p>
      <w:pPr>
        <w:spacing w:after="0" w:line="149"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did not have any variable interest rate outstanding debt as of September 30, 2021. Therefore, we do not have any material risk to interest rate fluctuations.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Foreign Currency Exchange Risk</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have revenue, expenses, assets, and liabilities that are denominated in currencies other than the U.S. dollar, primarily the Australian dollar and Canadian dollar. As of September 30, 2021, we maintained approximately 6% of our total cash and cash equivalents outside of the U.S. in foreign currencies. We believe that a hypothetical 10% change in foreign currency exchange rates or an inability to access foreign funds would not affect our ability to meet our operational needs or result in a material foreign currency loss. Our results of operations and cash flows may be impacted by changes in foreign currency exchange rates and would be adversely impacted when the U.S. dollar appreciates relative to other foreign currencies. We have not used any forward contracts or currency borrowings to hedge our exposure to foreign currency exchange risk, although we may do so in the future.</w:t>
      </w:r>
    </w:p>
    <w:p>
      <w:pPr>
        <w:spacing w:after="0" w:line="26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Evaluation of Disclosure Controls and Procedures</w:t>
      </w:r>
    </w:p>
    <w:p>
      <w:pPr>
        <w:spacing w:after="0" w:line="117"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our management has evaluated, under the supervision and with the participation of our Chief Executive Officer and Chief Financial Officer, the effectiveness of our disclosure controls and procedures (as defined in Rules 13a-15(e) and 15d-15(e) under the Securities Exchange Act of 1934). Disclosure controls and procedures are designed to ensure that information required to be disclosed in our reports filed under the Securities Exchange Act of 1934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 Based on this evaluation, our Chief Executive Officer and Chief Financial Officer concluded that our disclosure controls and procedures were effective as of September 30,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282C"/>
        </w:rPr>
        <w:t>Changes in Internal Control over Financial Reporting</w:t>
      </w:r>
    </w:p>
    <w:p>
      <w:pPr>
        <w:spacing w:after="0" w:line="225"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In December 2020, we acquired the Data Masons business. Pursuant to the SEC’s general guidance that an assessment of a recently acquired business may be omitted from our scope for a period not to exceed one year from the date of acquisition, the scope of our most recent assessment did not include Data Masons. We are currently in the process of incorporating internal controls specific to Data Masons that we believe are appropriate and necessary to consolidate and report upon our financial results. Our assessment of the effectiveness of internal control over financial reporting as of December 31, 2021 will include Data Masons. As of and for the three and nine months ended September 30, 2021, excluding net intangible assets and goodwill, Data Masons represented approximately 3% of our consolidated assets and 6% of our consolidated revenues.</w:t>
      </w:r>
    </w:p>
    <w:p>
      <w:pPr>
        <w:spacing w:after="0" w:line="56"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With the exception of the internal control related to integration activities associated with our acquisition of Data Masons, there were no changes in our internal control over financial reporting during the quarter ended September 30,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205740" cy="205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26</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6" w:name="page27"/>
    <w:bookmarkEnd w:id="26"/>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PART II. –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w:t>
      </w:r>
      <w:r>
        <w:rPr>
          <w:sz w:val="20"/>
          <w:szCs w:val="20"/>
          <w:color w:val="auto"/>
        </w:rPr>
        <w:tab/>
      </w:r>
      <w:r>
        <w:rPr>
          <w:rFonts w:ascii="Arial" w:cs="Arial" w:eastAsia="Arial" w:hAnsi="Arial"/>
          <w:sz w:val="15"/>
          <w:szCs w:val="15"/>
          <w:b w:val="1"/>
          <w:bCs w:val="1"/>
          <w:color w:val="00AAE5"/>
        </w:rPr>
        <w:t>Legal Proceedings</w:t>
      </w:r>
    </w:p>
    <w:p>
      <w:pPr>
        <w:spacing w:after="0" w:line="12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are not currently subject to any material legal proceedings. From time to time, we may be named as a defendant in legal actions or otherwise be subject to claims arising from our normal business activities. Any such actions, even those that lack merit, could result in the expenditure of significant financial and managerial resources. We believe that we have obtained adequate insurance coverage or rights to indemnification in connection with potential legal proceedings that may arise.</w:t>
      </w:r>
    </w:p>
    <w:p>
      <w:pPr>
        <w:spacing w:after="0" w:line="29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1A.</w:t>
      </w:r>
      <w:r>
        <w:rPr>
          <w:sz w:val="20"/>
          <w:szCs w:val="20"/>
          <w:color w:val="auto"/>
        </w:rPr>
        <w:tab/>
      </w:r>
      <w:r>
        <w:rPr>
          <w:rFonts w:ascii="Arial" w:cs="Arial" w:eastAsia="Arial" w:hAnsi="Arial"/>
          <w:sz w:val="16"/>
          <w:szCs w:val="16"/>
          <w:b w:val="1"/>
          <w:bCs w:val="1"/>
          <w:color w:val="00AAE5"/>
        </w:rPr>
        <w:t>Risk Factors</w:t>
      </w:r>
    </w:p>
    <w:p>
      <w:pPr>
        <w:spacing w:after="0" w:line="121"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 xml:space="preserve">There have been no material changes in our risk factors from those disclosed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Annual Report on Form 10-K for the year ended December 31, 2020, as filed with the SEC.</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r>
              <w:rPr>
                <w:rFonts w:ascii="Arial" w:cs="Arial" w:eastAsia="Arial" w:hAnsi="Arial"/>
                <w:sz w:val="18"/>
                <w:szCs w:val="18"/>
                <w:b w:val="1"/>
                <w:bCs w:val="1"/>
                <w:color w:val="00AAE5"/>
              </w:rPr>
              <w:t>Item 2.</w:t>
            </w:r>
          </w:p>
        </w:tc>
        <w:tc>
          <w:tcPr>
            <w:tcW w:w="5060" w:type="dxa"/>
            <w:vAlign w:val="bottom"/>
            <w:gridSpan w:val="2"/>
          </w:tcPr>
          <w:p>
            <w:pPr>
              <w:ind w:left="240"/>
              <w:spacing w:after="0"/>
              <w:rPr>
                <w:sz w:val="20"/>
                <w:szCs w:val="20"/>
                <w:color w:val="auto"/>
              </w:rPr>
            </w:pPr>
            <w:r>
              <w:rPr>
                <w:rFonts w:ascii="Arial" w:cs="Arial" w:eastAsia="Arial" w:hAnsi="Arial"/>
                <w:sz w:val="18"/>
                <w:szCs w:val="18"/>
                <w:b w:val="1"/>
                <w:bCs w:val="1"/>
                <w:color w:val="00AAE5"/>
                <w:w w:val="92"/>
              </w:rPr>
              <w:t>Unregistered Sales of Equity Securities and Use of Proceeds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40" w:type="dxa"/>
            <w:vAlign w:val="bottom"/>
            <w:gridSpan w:val="3"/>
          </w:tcPr>
          <w:p>
            <w:pPr>
              <w:ind w:left="520"/>
              <w:spacing w:after="0"/>
              <w:rPr>
                <w:sz w:val="20"/>
                <w:szCs w:val="20"/>
                <w:color w:val="auto"/>
              </w:rPr>
            </w:pPr>
            <w:r>
              <w:rPr>
                <w:rFonts w:ascii="Arial" w:cs="Arial" w:eastAsia="Arial" w:hAnsi="Arial"/>
                <w:sz w:val="18"/>
                <w:szCs w:val="18"/>
                <w:b w:val="1"/>
                <w:bCs w:val="1"/>
                <w:color w:val="1F282C"/>
              </w:rPr>
              <w:t>(c) Share Repurchases</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Total Number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8"/>
        </w:trPr>
        <w:tc>
          <w:tcPr>
            <w:tcW w:w="780" w:type="dxa"/>
            <w:vAlign w:val="bottom"/>
          </w:tcPr>
          <w:p>
            <w:pPr>
              <w:spacing w:after="0"/>
              <w:rPr>
                <w:sz w:val="12"/>
                <w:szCs w:val="12"/>
                <w:color w:val="auto"/>
              </w:rPr>
            </w:pPr>
          </w:p>
        </w:tc>
        <w:tc>
          <w:tcPr>
            <w:tcW w:w="5060" w:type="dxa"/>
            <w:vAlign w:val="bottom"/>
            <w:gridSpan w:val="2"/>
            <w:vMerge w:val="restart"/>
          </w:tcPr>
          <w:p>
            <w:pPr>
              <w:ind w:left="1880"/>
              <w:spacing w:after="0"/>
              <w:rPr>
                <w:sz w:val="20"/>
                <w:szCs w:val="20"/>
                <w:color w:val="auto"/>
              </w:rPr>
            </w:pPr>
            <w:r>
              <w:rPr>
                <w:rFonts w:ascii="Arial" w:cs="Arial" w:eastAsia="Arial" w:hAnsi="Arial"/>
                <w:sz w:val="14"/>
                <w:szCs w:val="14"/>
                <w:b w:val="1"/>
                <w:bCs w:val="1"/>
                <w:color w:val="auto"/>
              </w:rPr>
              <w:t>Period</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1"/>
        </w:trPr>
        <w:tc>
          <w:tcPr>
            <w:tcW w:w="78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Paid per Share</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Program</w:t>
            </w:r>
            <w:r>
              <w:rPr>
                <w:rFonts w:ascii="Arial" w:cs="Arial" w:eastAsia="Arial" w:hAnsi="Arial"/>
                <w:sz w:val="12"/>
                <w:szCs w:val="12"/>
                <w:b w:val="1"/>
                <w:bCs w:val="1"/>
                <w:color w:val="auto"/>
                <w:w w:val="96"/>
              </w:rPr>
              <w:t>(1)</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23"/>
        </w:trPr>
        <w:tc>
          <w:tcPr>
            <w:tcW w:w="57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July 1 - 31, 2021</w:t>
            </w:r>
          </w:p>
        </w:tc>
        <w:tc>
          <w:tcPr>
            <w:tcW w:w="1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99.19</w:t>
            </w:r>
          </w:p>
        </w:tc>
        <w:tc>
          <w:tcPr>
            <w:tcW w:w="22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20,555,000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gridSpan w:val="3"/>
          </w:tcPr>
          <w:p>
            <w:pPr>
              <w:spacing w:after="0"/>
              <w:rPr>
                <w:sz w:val="20"/>
                <w:szCs w:val="20"/>
                <w:color w:val="auto"/>
              </w:rPr>
            </w:pPr>
            <w:r>
              <w:rPr>
                <w:rFonts w:ascii="Arial" w:cs="Arial" w:eastAsia="Arial" w:hAnsi="Arial"/>
                <w:sz w:val="18"/>
                <w:szCs w:val="18"/>
                <w:color w:val="auto"/>
              </w:rPr>
              <w:t>August 1 - 31, 2021</w:t>
            </w:r>
          </w:p>
        </w:tc>
        <w:tc>
          <w:tcPr>
            <w:tcW w:w="1140" w:type="dxa"/>
            <w:vAlign w:val="bottom"/>
          </w:tcPr>
          <w:p>
            <w:pPr>
              <w:jc w:val="right"/>
              <w:spacing w:after="0"/>
              <w:rPr>
                <w:sz w:val="20"/>
                <w:szCs w:val="20"/>
                <w:color w:val="auto"/>
              </w:rPr>
            </w:pPr>
            <w:r>
              <w:rPr>
                <w:rFonts w:ascii="Arial" w:cs="Arial" w:eastAsia="Arial" w:hAnsi="Arial"/>
                <w:sz w:val="18"/>
                <w:szCs w:val="18"/>
                <w:color w:val="auto"/>
              </w:rPr>
              <w:t>1,517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109.43</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20,389,000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September 1 - 30,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20,389,000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Total</w:t>
            </w:r>
          </w:p>
        </w:tc>
        <w:tc>
          <w:tcPr>
            <w:tcW w:w="4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99.55</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42,299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20,389,000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right="100" w:hanging="373"/>
        <w:spacing w:after="0" w:line="263" w:lineRule="auto"/>
        <w:tabs>
          <w:tab w:leader="none" w:pos="880" w:val="left"/>
        </w:tabs>
        <w:numPr>
          <w:ilvl w:val="0"/>
          <w:numId w:val="7"/>
        </w:numPr>
        <w:rPr>
          <w:rFonts w:ascii="Arial" w:cs="Arial" w:eastAsia="Arial" w:hAnsi="Arial"/>
          <w:sz w:val="18"/>
          <w:szCs w:val="18"/>
          <w:color w:val="212529"/>
        </w:rPr>
      </w:pPr>
      <w:r>
        <w:rPr>
          <w:rFonts w:ascii="Arial" w:cs="Arial" w:eastAsia="Arial" w:hAnsi="Arial"/>
          <w:sz w:val="18"/>
          <w:szCs w:val="18"/>
          <w:color w:val="auto"/>
        </w:rPr>
        <w:t>Under a share repurchase program announced by our board of directors on November 2, 2019, we can repurchase up to a total of $50.0 million of our common stock in the open market or in privately negotiated purchases, or both, through November 2, 2021. Our stock repurchase activity during the three months ended September 30, 2021 is included in this column.</w:t>
      </w:r>
    </w:p>
    <w:p>
      <w:pPr>
        <w:spacing w:after="0" w:line="143"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212529"/>
        </w:rPr>
        <w:t>In October 2021, our board of directors authorized a new program to repurchase shares of our common stock in the open market or in privately negotiated purchases, or both, at an aggregate purchase price of up to $50.0 million. The new share repurchase program becomes effective on November 28, 2021 and expires on November 28, 2023.</w:t>
      </w:r>
    </w:p>
    <w:p>
      <w:pPr>
        <w:spacing w:after="0" w:line="200" w:lineRule="exact"/>
        <w:rPr>
          <w:sz w:val="20"/>
          <w:szCs w:val="20"/>
          <w:color w:val="auto"/>
        </w:rPr>
      </w:pPr>
    </w:p>
    <w:p>
      <w:pPr>
        <w:spacing w:after="0" w:line="26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3.</w:t>
      </w:r>
      <w:r>
        <w:rPr>
          <w:sz w:val="20"/>
          <w:szCs w:val="20"/>
          <w:color w:val="auto"/>
        </w:rPr>
        <w:tab/>
      </w:r>
      <w:r>
        <w:rPr>
          <w:rFonts w:ascii="Arial" w:cs="Arial" w:eastAsia="Arial" w:hAnsi="Arial"/>
          <w:sz w:val="16"/>
          <w:szCs w:val="16"/>
          <w:b w:val="1"/>
          <w:bCs w:val="1"/>
          <w:color w:val="00AAE5"/>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4.</w:t>
      </w:r>
      <w:r>
        <w:rPr>
          <w:sz w:val="20"/>
          <w:szCs w:val="20"/>
          <w:color w:val="auto"/>
        </w:rPr>
        <w:tab/>
      </w:r>
      <w:r>
        <w:rPr>
          <w:rFonts w:ascii="Arial" w:cs="Arial" w:eastAsia="Arial" w:hAnsi="Arial"/>
          <w:sz w:val="15"/>
          <w:szCs w:val="15"/>
          <w:b w:val="1"/>
          <w:bCs w:val="1"/>
          <w:color w:val="00AAE5"/>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5.</w:t>
      </w:r>
      <w:r>
        <w:rPr>
          <w:sz w:val="20"/>
          <w:szCs w:val="20"/>
          <w:color w:val="auto"/>
        </w:rPr>
        <w:tab/>
      </w:r>
      <w:r>
        <w:rPr>
          <w:rFonts w:ascii="Arial" w:cs="Arial" w:eastAsia="Arial" w:hAnsi="Arial"/>
          <w:sz w:val="17"/>
          <w:szCs w:val="17"/>
          <w:b w:val="1"/>
          <w:bCs w:val="1"/>
          <w:color w:val="00AAE5"/>
        </w:rPr>
        <w:t>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205740" cy="2057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27</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7" w:name="page28"/>
    <w:bookmarkEnd w:id="27"/>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00AAE5"/>
        </w:rPr>
        <w:t>Item 6.</w:t>
      </w:r>
      <w:r>
        <w:rPr>
          <w:sz w:val="20"/>
          <w:szCs w:val="20"/>
          <w:color w:val="auto"/>
        </w:rPr>
        <w:tab/>
      </w:r>
      <w:r>
        <w:rPr>
          <w:rFonts w:ascii="Arial" w:cs="Arial" w:eastAsia="Arial" w:hAnsi="Arial"/>
          <w:sz w:val="16"/>
          <w:szCs w:val="16"/>
          <w:b w:val="1"/>
          <w:bCs w:val="1"/>
          <w:color w:val="00AAE5"/>
        </w:rPr>
        <w:t>Exhibits</w:t>
      </w:r>
    </w:p>
    <w:p>
      <w:pPr>
        <w:spacing w:after="0" w:line="221"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 w:lineRule="exact"/>
        <w:rPr>
          <w:sz w:val="20"/>
          <w:szCs w:val="20"/>
          <w:color w:val="auto"/>
        </w:rPr>
      </w:pPr>
    </w:p>
    <w:p>
      <w:pPr>
        <w:ind w:left="700" w:right="100" w:hanging="687"/>
        <w:spacing w:after="0" w:line="259"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68">
        <w:r>
          <w:rPr>
            <w:rFonts w:ascii="Arial" w:cs="Arial" w:eastAsia="Arial" w:hAnsi="Arial"/>
            <w:sz w:val="18"/>
            <w:szCs w:val="18"/>
            <w:u w:val="single" w:color="auto"/>
            <w:color w:val="0000EE"/>
          </w:rPr>
          <w:t>Ninth Amended and Restated Certificate of Incorporation (incorporated by reference to Exhibit 3.2 to our Current Report on Form 8-K filed with</w:t>
        </w:r>
      </w:hyperlink>
      <w:r>
        <w:rPr>
          <w:rFonts w:ascii="Arial" w:cs="Arial" w:eastAsia="Arial" w:hAnsi="Arial"/>
          <w:sz w:val="18"/>
          <w:szCs w:val="18"/>
          <w:u w:val="single" w:color="auto"/>
          <w:color w:val="0000EE"/>
        </w:rPr>
        <w:t xml:space="preserve"> </w:t>
      </w:r>
      <w:hyperlink r:id="rId68">
        <w:r>
          <w:rPr>
            <w:rFonts w:ascii="Arial" w:cs="Arial" w:eastAsia="Arial" w:hAnsi="Arial"/>
            <w:sz w:val="18"/>
            <w:szCs w:val="18"/>
            <w:u w:val="single" w:color="auto"/>
            <w:color w:val="0000EE"/>
          </w:rPr>
          <w:t>the SEC on May 21, 2020).</w:t>
        </w:r>
      </w:hyperlink>
    </w:p>
    <w:p>
      <w:pPr>
        <w:spacing w:after="0" w:line="9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69">
        <w:r>
          <w:rPr>
            <w:rFonts w:ascii="Arial" w:cs="Arial" w:eastAsia="Arial" w:hAnsi="Arial"/>
            <w:sz w:val="16"/>
            <w:szCs w:val="16"/>
            <w:u w:val="single" w:color="auto"/>
            <w:color w:val="0000EE"/>
          </w:rPr>
          <w:t>Amended and Restated Bylaws (incorporated by reference to Exhibit 3.1 to our Current Report on Form 8-K filed with the SEC on October 17,</w:t>
        </w:r>
      </w:hyperlink>
    </w:p>
    <w:p>
      <w:pPr>
        <w:spacing w:after="0" w:line="23" w:lineRule="exact"/>
        <w:rPr>
          <w:sz w:val="20"/>
          <w:szCs w:val="20"/>
          <w:color w:val="auto"/>
        </w:rPr>
      </w:pPr>
    </w:p>
    <w:p>
      <w:pPr>
        <w:ind w:left="700"/>
        <w:spacing w:after="0"/>
        <w:rPr>
          <w:rFonts w:ascii="Arial" w:cs="Arial" w:eastAsia="Arial" w:hAnsi="Arial"/>
          <w:sz w:val="18"/>
          <w:szCs w:val="18"/>
          <w:u w:val="single" w:color="auto"/>
          <w:color w:val="0000EE"/>
        </w:rPr>
      </w:pPr>
      <w:hyperlink r:id="rId69">
        <w:r>
          <w:rPr>
            <w:rFonts w:ascii="Arial" w:cs="Arial" w:eastAsia="Arial" w:hAnsi="Arial"/>
            <w:sz w:val="18"/>
            <w:szCs w:val="18"/>
            <w:u w:val="single" w:color="auto"/>
            <w:color w:val="0000EE"/>
          </w:rPr>
          <w:t>2017).</w:t>
        </w:r>
      </w:hyperlink>
    </w:p>
    <w:p>
      <w:pPr>
        <w:spacing w:after="0" w:line="116"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0">
        <w:r>
          <w:rPr>
            <w:rFonts w:ascii="Arial" w:cs="Arial" w:eastAsia="Arial" w:hAnsi="Arial"/>
            <w:sz w:val="16"/>
            <w:szCs w:val="16"/>
            <w:u w:val="single" w:color="auto"/>
            <w:color w:val="0000EE"/>
          </w:rPr>
          <w:t>Certification of Principal Executive Officer pursuant to Rules 13a-14(a) under the Securities Exchange Act of 1934, as amended (filed herewith).</w:t>
        </w:r>
      </w:hyperlink>
    </w:p>
    <w:p>
      <w:pPr>
        <w:spacing w:after="0" w:line="131" w:lineRule="exact"/>
        <w:rPr>
          <w:sz w:val="20"/>
          <w:szCs w:val="20"/>
          <w:color w:val="auto"/>
        </w:rPr>
      </w:pPr>
    </w:p>
    <w:p>
      <w:pPr>
        <w:spacing w:after="0"/>
        <w:tabs>
          <w:tab w:leader="none" w:pos="68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1">
        <w:r>
          <w:rPr>
            <w:rFonts w:ascii="Arial" w:cs="Arial" w:eastAsia="Arial" w:hAnsi="Arial"/>
            <w:sz w:val="16"/>
            <w:szCs w:val="16"/>
            <w:u w:val="single" w:color="auto"/>
            <w:color w:val="0000EE"/>
          </w:rPr>
          <w:t>Certification of Principal Financial Officer pursuant to Rules 13a-14(a) under the Securities Exchange Act of 1934, as amended (filed herewith).</w:t>
        </w:r>
      </w:hyperlink>
    </w:p>
    <w:p>
      <w:pPr>
        <w:spacing w:after="0" w:line="131" w:lineRule="exact"/>
        <w:rPr>
          <w:sz w:val="20"/>
          <w:szCs w:val="20"/>
          <w:color w:val="auto"/>
        </w:rPr>
      </w:pPr>
    </w:p>
    <w:p>
      <w:pPr>
        <w:ind w:left="700" w:right="220" w:hanging="687"/>
        <w:spacing w:after="0" w:line="277" w:lineRule="auto"/>
        <w:tabs>
          <w:tab w:leader="none" w:pos="68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32">
        <w:r>
          <w:rPr>
            <w:rFonts w:ascii="Arial" w:cs="Arial" w:eastAsia="Arial" w:hAnsi="Arial"/>
            <w:sz w:val="18"/>
            <w:szCs w:val="18"/>
            <w:u w:val="single" w:color="auto"/>
            <w:color w:val="0000EE"/>
          </w:rPr>
          <w:t>Certification of Chief Executive Officer and Chief Financial Officer pursuant to 18 U.S.C. Sec. 1350, as adopted pursuant to Section 906 of the</w:t>
        </w:r>
      </w:hyperlink>
      <w:r>
        <w:rPr>
          <w:rFonts w:ascii="Arial" w:cs="Arial" w:eastAsia="Arial" w:hAnsi="Arial"/>
          <w:sz w:val="18"/>
          <w:szCs w:val="18"/>
          <w:u w:val="single" w:color="auto"/>
          <w:color w:val="0000EE"/>
        </w:rPr>
        <w:t xml:space="preserve"> </w:t>
      </w:r>
      <w:hyperlink w:anchor="page32">
        <w:r>
          <w:rPr>
            <w:rFonts w:ascii="Arial" w:cs="Arial" w:eastAsia="Arial" w:hAnsi="Arial"/>
            <w:sz w:val="18"/>
            <w:szCs w:val="18"/>
            <w:u w:val="single" w:color="auto"/>
            <w:color w:val="0000EE"/>
          </w:rPr>
          <w:t>Sarbanes-Oxley Act of 2002 (filed herewith).</w:t>
        </w:r>
      </w:hyperlink>
    </w:p>
    <w:p>
      <w:pPr>
        <w:spacing w:after="0" w:line="89" w:lineRule="exact"/>
        <w:rPr>
          <w:sz w:val="20"/>
          <w:szCs w:val="20"/>
          <w:color w:val="auto"/>
        </w:rPr>
      </w:pPr>
    </w:p>
    <w:p>
      <w:pPr>
        <w:ind w:left="700" w:right="200" w:hanging="692"/>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(filed herewith). The XBRL instance document does not appear in the Interactive Data File because its tags are embedded within the Inline XBRL document.</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cover page from the Quarterly Report on Form 10-Q for the quarter ended September 30, 2021,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366395</wp:posOffset>
            </wp:positionV>
            <wp:extent cx="205740" cy="2057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28</w:t>
      </w:r>
      <w:r>
        <w:rPr>
          <w:sz w:val="20"/>
          <w:szCs w:val="20"/>
          <w:color w:val="auto"/>
        </w:rPr>
        <w:tab/>
      </w:r>
      <w:r>
        <w:rPr>
          <w:rFonts w:ascii="Arial" w:cs="Arial" w:eastAsia="Arial" w:hAnsi="Arial"/>
          <w:sz w:val="9"/>
          <w:szCs w:val="9"/>
          <w:b w:val="1"/>
          <w:bCs w:val="1"/>
          <w:color w:val="auto"/>
        </w:rPr>
        <w:t>Form 10-Q for the Quarterly Period ended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105410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 w:right="339" w:bottom="1440" w:gutter="0" w:footer="0" w:header="0"/>
        </w:sectPr>
      </w:pPr>
    </w:p>
    <w:bookmarkStart w:id="28" w:name="page29"/>
    <w:bookmarkEnd w:id="28"/>
    <w:p>
      <w:pPr>
        <w:jc w:val="right"/>
        <w:spacing w:after="0"/>
        <w:rPr>
          <w:rFonts w:ascii="Arial" w:cs="Arial" w:eastAsia="Arial" w:hAnsi="Arial"/>
          <w:sz w:val="13"/>
          <w:szCs w:val="13"/>
          <w:u w:val="single" w:color="auto"/>
          <w:color w:val="0000EE"/>
        </w:rPr>
      </w:pPr>
      <w:hyperlink w:anchor="page2">
        <w:r>
          <w:rPr>
            <w:rFonts w:ascii="Arial" w:cs="Arial" w:eastAsia="Arial" w:hAnsi="Arial"/>
            <w:sz w:val="13"/>
            <w:szCs w:val="13"/>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AAE5"/>
        </w:rPr>
        <w:t>SIGNATURES</w:t>
      </w:r>
    </w:p>
    <w:p>
      <w:pPr>
        <w:spacing w:after="0" w:line="229"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6280" w:val="left"/>
        </w:tabs>
        <w:rPr>
          <w:sz w:val="20"/>
          <w:szCs w:val="20"/>
          <w:color w:val="auto"/>
        </w:rPr>
      </w:pPr>
      <w:r>
        <w:rPr>
          <w:rFonts w:ascii="Arial" w:cs="Arial" w:eastAsia="Arial" w:hAnsi="Arial"/>
          <w:sz w:val="18"/>
          <w:szCs w:val="18"/>
          <w:color w:val="auto"/>
        </w:rPr>
        <w:t>Dated: October 28, 2021</w:t>
      </w:r>
      <w:r>
        <w:rPr>
          <w:sz w:val="20"/>
          <w:szCs w:val="20"/>
          <w:color w:val="auto"/>
        </w:rPr>
        <w:tab/>
      </w:r>
      <w:r>
        <w:rPr>
          <w:rFonts w:ascii="Arial" w:cs="Arial" w:eastAsia="Arial" w:hAnsi="Arial"/>
          <w:sz w:val="17"/>
          <w:szCs w:val="17"/>
          <w:b w:val="1"/>
          <w:bCs w:val="1"/>
          <w:color w:val="auto"/>
        </w:rPr>
        <w:t>SPS COMMERCE, INC.</w:t>
      </w:r>
    </w:p>
    <w:p>
      <w:pPr>
        <w:spacing w:after="0" w:line="25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14605</wp:posOffset>
            </wp:positionV>
            <wp:extent cx="31375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205740" cy="2057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05740" cy="205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80"/>
        <w:spacing w:after="0"/>
        <w:tabs>
          <w:tab w:leader="none" w:pos="5540" w:val="left"/>
          <w:tab w:leader="none" w:pos="8320" w:val="left"/>
        </w:tabs>
        <w:rPr>
          <w:sz w:val="20"/>
          <w:szCs w:val="20"/>
          <w:color w:val="auto"/>
        </w:rPr>
      </w:pPr>
      <w:r>
        <w:rPr>
          <w:rFonts w:ascii="Arial" w:cs="Arial" w:eastAsia="Arial" w:hAnsi="Arial"/>
          <w:sz w:val="14"/>
          <w:szCs w:val="14"/>
          <w:b w:val="1"/>
          <w:bCs w:val="1"/>
          <w:color w:val="auto"/>
        </w:rPr>
        <w:t>SPS COMMERCE, INC.</w:t>
      </w:r>
      <w:r>
        <w:rPr>
          <w:sz w:val="20"/>
          <w:szCs w:val="20"/>
          <w:color w:val="auto"/>
        </w:rPr>
        <w:tab/>
      </w:r>
      <w:r>
        <w:rPr>
          <w:rFonts w:ascii="Arial" w:cs="Arial" w:eastAsia="Arial" w:hAnsi="Arial"/>
          <w:sz w:val="14"/>
          <w:szCs w:val="14"/>
          <w:color w:val="auto"/>
        </w:rPr>
        <w:t>29</w:t>
      </w:r>
      <w:r>
        <w:rPr>
          <w:sz w:val="20"/>
          <w:szCs w:val="20"/>
          <w:color w:val="auto"/>
        </w:rPr>
        <w:tab/>
      </w:r>
      <w:r>
        <w:rPr>
          <w:rFonts w:ascii="Arial" w:cs="Arial" w:eastAsia="Arial" w:hAnsi="Arial"/>
          <w:sz w:val="9"/>
          <w:szCs w:val="9"/>
          <w:b w:val="1"/>
          <w:bCs w:val="1"/>
          <w:color w:val="auto"/>
        </w:rPr>
        <w:t>Form 10-Q for the Quarterly Period ended September 30, 2021</w:t>
      </w:r>
    </w:p>
    <w:p>
      <w:pPr>
        <w:sectPr>
          <w:pgSz w:w="11900" w:h="16838" w:orient="portrait"/>
          <w:cols w:equalWidth="0" w:num="1">
            <w:col w:w="11240"/>
          </w:cols>
          <w:pgMar w:left="320" w:top="12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Archie C. Black, certify that:</w:t>
      </w:r>
    </w:p>
    <w:p>
      <w:pPr>
        <w:spacing w:after="0" w:line="225" w:lineRule="exact"/>
        <w:rPr>
          <w:sz w:val="20"/>
          <w:szCs w:val="20"/>
          <w:color w:val="auto"/>
        </w:rPr>
      </w:pPr>
    </w:p>
    <w:p>
      <w:pPr>
        <w:ind w:left="1000" w:hanging="493"/>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CERTIFICATION PURSUANT TO SECTION 302 OF THE SARBANES-OXLEY 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Kimberly K. Nelson, certify that:</w:t>
      </w:r>
    </w:p>
    <w:p>
      <w:pPr>
        <w:spacing w:after="0" w:line="225"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SPS Commerce, Inc.;</w:t>
      </w:r>
    </w:p>
    <w:p>
      <w:pPr>
        <w:spacing w:after="0" w:line="238"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1000" w:right="46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000" w:right="80" w:hanging="493"/>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20" w:right="8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520" w:right="40" w:hanging="500"/>
        <w:spacing w:after="0" w:line="263"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520" w:right="260" w:hanging="500"/>
        <w:spacing w:after="0" w:line="286" w:lineRule="auto"/>
        <w:tabs>
          <w:tab w:leader="none" w:pos="152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000" w:right="40" w:hanging="493"/>
        <w:spacing w:after="0" w:line="342"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20" w:right="460" w:hanging="500"/>
        <w:spacing w:after="0" w:line="277" w:lineRule="auto"/>
        <w:tabs>
          <w:tab w:leader="none" w:pos="1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In connection with the Quarterly Report on Form 10-Q of SPS Commerce, Inc. (the “Company”) for the period ended September 30, 2021, as filed with the Securities and Exchange Commission on the date hereof (the “Report”), the undersigned, the Chief Executive Officer and the Chief Financial Officer of the Company, hereby certify, pursuant to and for purposes of 18 U.S.C. §1350, as adopted pursuant to Section 906 of the Sarbanes-Oxley Act of 2002, that:</w:t>
      </w:r>
    </w:p>
    <w:p>
      <w:pPr>
        <w:spacing w:after="0" w:line="79"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ARCHIE C.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 KIMBERLY K.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Kimberly K.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October 28,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0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70" Type="http://schemas.openxmlformats.org/officeDocument/2006/relationships/image" Target="media/image61.jpe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jpe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68" Type="http://schemas.openxmlformats.org/officeDocument/2006/relationships/hyperlink" Target="http://www.sec.gov/Archives/edgar/data/1092699/000119312520148645/d833455dex32.htm" TargetMode="External"/><Relationship Id="rId69" Type="http://schemas.openxmlformats.org/officeDocument/2006/relationships/hyperlink" Target="http://www.sec.gov/Archives/edgar/data/1092699/000119312517311896/d430310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2021-10-28T15:27:29Z</dcterms:created>
  <dcterms:modified xsi:type="dcterms:W3CDTF">2021-10-28T15:27:29Z</dcterms:modified>
</cp:coreProperties>
</file>