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6.jpeg" ContentType="image/jpeg"/>
  <Override PartName="/word/media/image25.jpeg" ContentType="image/jpeg"/>
  <Override PartName="/word/media/image9.jpeg" ContentType="image/jpeg"/>
  <Override PartName="/word/media/image24.jpeg" ContentType="image/jpeg"/>
  <Override PartName="/word/media/image8.jpeg" ContentType="image/jpeg"/>
  <Override PartName="/word/media/image23.jpeg" ContentType="image/jpeg"/>
  <Override PartName="/word/media/image7.jpeg" ContentType="image/jpeg"/>
  <Override PartName="/word/media/image18.jpeg" ContentType="image/jpeg"/>
  <Override PartName="/word/media/image3.jpeg" ContentType="image/jpeg"/>
  <Override PartName="/word/media/image5.jpeg" ContentType="image/jpeg"/>
  <Override PartName="/word/media/image21.jpeg" ContentType="image/jpeg"/>
  <Override PartName="/word/media/image10.jpeg" ContentType="image/jpeg"/>
  <Override PartName="/word/media/image19.jpeg" ContentType="image/jpeg"/>
  <Override PartName="/word/media/image20.jpeg" ContentType="image/jpeg"/>
  <Override PartName="/word/media/image4.jpeg" ContentType="image/jpeg"/>
  <Override PartName="/word/media/image6.jpeg" ContentType="image/jpeg"/>
  <Override PartName="/word/media/image22.jpeg" ContentType="image/jpeg"/>
  <Override PartName="/word/media/image11.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media/image1.jpeg" ContentType="image/jpeg"/>
  <Override PartName="/word/media/image16.jpeg" ContentType="image/jpeg"/>
  <Override PartName="/word/media/image2.jpeg" ContentType="image/jpeg"/>
  <Override PartName="/word/media/image17.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240" w:after="283"/>
        <w:jc w:val="right"/>
        <w:rPr/>
      </w:pPr>
      <w:hyperlink w:anchor="i6d9a8d1ab1f5454885a98aaf9e60872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spacing w:lineRule="auto" w:line="288" w:before="160" w:after="283"/>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center"/>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ind w:left="0" w:right="0" w:hanging="490"/>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Wingdings;sans-serif" w:hAnsi="Wingdings;sans-serif"/>
                <w:b/>
                <w:color w:val="000000"/>
                <w:sz w:val="24"/>
              </w:rPr>
            </w:pPr>
            <w:r>
              <w:rPr>
                <w:rFonts w:ascii="Wingdings;sans-serif" w:hAnsi="Wingdings;sans-serif"/>
                <w:b/>
                <w:color w:val="000000"/>
                <w:sz w:val="24"/>
              </w:rPr>
              <w:t>x</w:t>
            </w:r>
          </w:p>
        </w:tc>
        <w:tc>
          <w:tcPr>
            <w:tcW w:w="986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r>
    </w:p>
    <w:tbl>
      <w:tblPr>
        <w:tblW w:w="10205" w:type="dxa"/>
        <w:jc w:val="center"/>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Wingdings;sans-serif" w:hAnsi="Wingdings;sans-serif"/>
                <w:b/>
                <w:color w:val="000000"/>
                <w:sz w:val="24"/>
              </w:rPr>
            </w:pPr>
            <w:r>
              <w:rPr>
                <w:rFonts w:ascii="Wingdings;sans-serif" w:hAnsi="Wingdings;sans-serif"/>
                <w:b/>
                <w:color w:val="000000"/>
                <w:sz w:val="24"/>
              </w:rPr>
              <w:t>o</w:t>
            </w:r>
          </w:p>
        </w:tc>
        <w:tc>
          <w:tcPr>
            <w:tcW w:w="986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 to ________</w:t>
      </w:r>
    </w:p>
    <w:p>
      <w:pPr>
        <w:pStyle w:val="TextBody"/>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Commission file number 001-34702</w:t>
      </w:r>
    </w:p>
    <w:p>
      <w:pPr>
        <w:pStyle w:val="TextBody"/>
        <w:spacing w:lineRule="auto" w:line="288" w:before="120" w:after="283"/>
        <w:jc w:val="center"/>
        <w:rPr>
          <w:rFonts w:ascii="Times New Roman;sans-serif" w:hAnsi="Times New Roman;sans-serif"/>
          <w:b/>
          <w:color w:val="000000"/>
          <w:sz w:val="48"/>
        </w:rPr>
      </w:pPr>
      <w:r>
        <w:rPr>
          <w:rFonts w:ascii="Times New Roman;sans-serif" w:hAnsi="Times New Roman;sans-serif"/>
          <w:b/>
          <w:color w:val="000000"/>
          <w:sz w:val="48"/>
        </w:rPr>
        <w:t>SPS COMMERCE, INC.</w:t>
      </w:r>
    </w:p>
    <w:p>
      <w:pPr>
        <w:pStyle w:val="TextBody"/>
        <w:spacing w:before="0" w:after="0"/>
        <w:jc w:val="center"/>
        <w:rPr/>
      </w:pPr>
      <w:r>
        <w:rPr/>
        <w:drawing>
          <wp:inline distT="0" distB="63500" distL="0" distR="0">
            <wp:extent cx="904875"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04875" cy="904875"/>
                    </a:xfrm>
                    <a:prstGeom prst="rect">
                      <a:avLst/>
                    </a:prstGeom>
                  </pic:spPr>
                </pic:pic>
              </a:graphicData>
            </a:graphic>
          </wp:inline>
        </w:drawing>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(Exact Name of Registrant as Specified in its Charter)</w:t>
      </w:r>
    </w:p>
    <w:tbl>
      <w:tblPr>
        <w:tblW w:w="3719" w:type="dxa"/>
        <w:jc w:val="center"/>
        <w:tblInd w:w="0" w:type="dxa"/>
        <w:tblCellMar>
          <w:top w:w="28" w:type="dxa"/>
          <w:left w:w="28" w:type="dxa"/>
          <w:bottom w:w="28" w:type="dxa"/>
          <w:right w:w="28" w:type="dxa"/>
        </w:tblCellMar>
      </w:tblPr>
      <w:tblGrid>
        <w:gridCol w:w="819"/>
        <w:gridCol w:w="718"/>
        <w:gridCol w:w="727"/>
        <w:gridCol w:w="425"/>
        <w:gridCol w:w="425"/>
        <w:gridCol w:w="605"/>
      </w:tblGrid>
      <w:tr>
        <w:trPr/>
        <w:tc>
          <w:tcPr>
            <w:tcW w:w="819"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r>
      <w:tr>
        <w:trPr/>
        <w:tc>
          <w:tcPr>
            <w:tcW w:w="226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4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41-2015127</w:t>
            </w:r>
          </w:p>
        </w:tc>
      </w:tr>
      <w:tr>
        <w:trPr/>
        <w:tc>
          <w:tcPr>
            <w:tcW w:w="226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i/>
                <w:color w:val="000000"/>
                <w:sz w:val="16"/>
              </w:rPr>
            </w:pPr>
            <w:r>
              <w:rPr>
                <w:rFonts w:ascii="Times New Roman;sans-serif" w:hAnsi="Times New Roman;sans-serif"/>
                <w:b/>
                <w:i/>
                <w:color w:val="000000"/>
                <w:sz w:val="16"/>
              </w:rPr>
              <w:t>(State or other jurisdiction of</w:t>
            </w:r>
          </w:p>
          <w:p>
            <w:pPr>
              <w:pStyle w:val="TableContents"/>
              <w:spacing w:lineRule="auto" w:line="276" w:before="0" w:after="0"/>
              <w:jc w:val="center"/>
              <w:rPr>
                <w:rFonts w:ascii="Times New Roman;sans-serif" w:hAnsi="Times New Roman;sans-serif"/>
                <w:b/>
                <w:i/>
                <w:color w:val="000000"/>
                <w:sz w:val="16"/>
              </w:rPr>
            </w:pPr>
            <w:r>
              <w:rPr>
                <w:rFonts w:ascii="Times New Roman;sans-serif" w:hAnsi="Times New Roman;sans-serif"/>
                <w:b/>
                <w:i/>
                <w:color w:val="000000"/>
                <w:sz w:val="16"/>
              </w:rPr>
              <w:t>incorporation or organization)</w:t>
            </w:r>
          </w:p>
        </w:tc>
        <w:tc>
          <w:tcPr>
            <w:tcW w:w="145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i/>
                <w:color w:val="000000"/>
                <w:sz w:val="16"/>
              </w:rPr>
            </w:pPr>
            <w:r>
              <w:rPr>
                <w:rFonts w:ascii="Times New Roman;sans-serif" w:hAnsi="Times New Roman;sans-serif"/>
                <w:b/>
                <w:i/>
                <w:color w:val="000000"/>
                <w:sz w:val="16"/>
              </w:rPr>
              <w:t>(I.R.S. Employer</w:t>
            </w:r>
          </w:p>
          <w:p>
            <w:pPr>
              <w:pStyle w:val="TableContents"/>
              <w:spacing w:lineRule="auto" w:line="276" w:before="0" w:after="0"/>
              <w:jc w:val="center"/>
              <w:rPr>
                <w:rFonts w:ascii="Times New Roman;sans-serif" w:hAnsi="Times New Roman;sans-serif"/>
                <w:b/>
                <w:i/>
                <w:color w:val="000000"/>
                <w:sz w:val="16"/>
              </w:rPr>
            </w:pPr>
            <w:r>
              <w:rPr>
                <w:rFonts w:ascii="Times New Roman;sans-serif" w:hAnsi="Times New Roman;sans-serif"/>
                <w:b/>
                <w:i/>
                <w:color w:val="000000"/>
                <w:sz w:val="16"/>
              </w:rPr>
              <w:t>Identification No.)</w:t>
            </w:r>
          </w:p>
        </w:tc>
      </w:tr>
    </w:tbl>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333 South Seventh Street, Suite 1000, Minneapolis, MN 55402</w:t>
      </w:r>
    </w:p>
    <w:p>
      <w:pPr>
        <w:pStyle w:val="TextBody"/>
        <w:spacing w:lineRule="auto" w:line="288" w:before="0" w:after="0"/>
        <w:jc w:val="center"/>
        <w:rPr>
          <w:rFonts w:ascii="Times New Roman;sans-serif" w:hAnsi="Times New Roman;sans-serif"/>
          <w:b/>
          <w:i/>
          <w:color w:val="000000"/>
          <w:sz w:val="16"/>
        </w:rPr>
      </w:pPr>
      <w:r>
        <w:rPr>
          <w:rFonts w:ascii="Times New Roman;sans-serif" w:hAnsi="Times New Roman;sans-serif"/>
          <w:b/>
          <w:i/>
          <w:color w:val="000000"/>
          <w:sz w:val="16"/>
        </w:rPr>
        <w:t>(Address of principal executive offices, including Zip Code)</w:t>
      </w:r>
    </w:p>
    <w:p>
      <w:pPr>
        <w:pStyle w:val="TextBody"/>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(612) 435-9400</w:t>
      </w:r>
    </w:p>
    <w:p>
      <w:pPr>
        <w:pStyle w:val="TextBody"/>
        <w:spacing w:lineRule="auto" w:line="288" w:before="0" w:after="0"/>
        <w:jc w:val="center"/>
        <w:rPr>
          <w:rFonts w:ascii="Times New Roman;sans-serif" w:hAnsi="Times New Roman;sans-serif"/>
          <w:b/>
          <w:i/>
          <w:color w:val="000000"/>
          <w:sz w:val="16"/>
        </w:rPr>
      </w:pPr>
      <w:r>
        <w:rPr>
          <w:rFonts w:ascii="Times New Roman;sans-serif" w:hAnsi="Times New Roman;sans-serif"/>
          <w:b/>
          <w:i/>
          <w:color w:val="000000"/>
          <w:sz w:val="16"/>
        </w:rPr>
        <w:t>(Registrant’s telephone number, including area code)</w:t>
      </w:r>
    </w:p>
    <w:p>
      <w:pPr>
        <w:pStyle w:val="TextBody"/>
        <w:spacing w:lineRule="auto" w:line="288" w:before="60" w:after="283"/>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9112" w:type="dxa"/>
        <w:jc w:val="left"/>
        <w:tblInd w:w="0" w:type="dxa"/>
        <w:tblCellMar>
          <w:top w:w="28" w:type="dxa"/>
          <w:left w:w="28" w:type="dxa"/>
          <w:bottom w:w="28" w:type="dxa"/>
          <w:right w:w="28" w:type="dxa"/>
        </w:tblCellMar>
      </w:tblPr>
      <w:tblGrid>
        <w:gridCol w:w="1139"/>
        <w:gridCol w:w="999"/>
        <w:gridCol w:w="1012"/>
        <w:gridCol w:w="109"/>
        <w:gridCol w:w="109"/>
        <w:gridCol w:w="109"/>
        <w:gridCol w:w="424"/>
        <w:gridCol w:w="424"/>
        <w:gridCol w:w="426"/>
        <w:gridCol w:w="109"/>
        <w:gridCol w:w="109"/>
        <w:gridCol w:w="109"/>
        <w:gridCol w:w="1181"/>
        <w:gridCol w:w="1181"/>
        <w:gridCol w:w="1672"/>
      </w:tblGrid>
      <w:tr>
        <w:trPr/>
        <w:tc>
          <w:tcPr>
            <w:tcW w:w="1139"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1672" w:type="dxa"/>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Name of exchange on which registered</w:t>
            </w:r>
          </w:p>
        </w:tc>
      </w:tr>
      <w:tr>
        <w:trPr/>
        <w:tc>
          <w:tcPr>
            <w:tcW w:w="3150"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SPSC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4"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 (Nasdaq Global Market)</w:t>
            </w:r>
          </w:p>
        </w:tc>
      </w:tr>
    </w:tbl>
    <w:p>
      <w:pPr>
        <w:pStyle w:val="TextBody"/>
        <w:spacing w:lineRule="auto" w:line="288" w:before="60" w:after="283"/>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p>
    <w:p>
      <w:pPr>
        <w:pStyle w:val="TextBody"/>
        <w:spacing w:lineRule="auto" w:line="288" w:before="120" w:after="283"/>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p>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r>
    </w:tbl>
    <w:p>
      <w:pPr>
        <w:pStyle w:val="TextBody"/>
        <w:spacing w:lineRule="auto" w:line="288" w:before="0" w:after="0"/>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spacing w:lineRule="auto" w:line="288" w:before="60" w:after="283"/>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18"/>
        </w:rPr>
        <w:t>o</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x</w:t>
      </w:r>
    </w:p>
    <w:p>
      <w:pPr>
        <w:pStyle w:val="TextBody"/>
        <w:spacing w:lineRule="auto" w:line="288" w:before="60" w:after="283"/>
        <w:rPr>
          <w:rFonts w:ascii="Times New Roman;sans-serif" w:hAnsi="Times New Roman;sans-serif"/>
          <w:b w:val="false"/>
          <w:color w:val="000000"/>
          <w:sz w:val="18"/>
        </w:rPr>
      </w:pPr>
      <w:r>
        <w:rPr>
          <w:rFonts w:ascii="Times New Roman;sans-serif" w:hAnsi="Times New Roman;sans-serif"/>
          <w:b w:val="false"/>
          <w:color w:val="000000"/>
          <w:sz w:val="18"/>
        </w:rPr>
        <w:t>The number of shares of the registrant’s common stock, par value $0.001 per share, outstanding at April 19, 2023 was 36,532,756 shares.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pPr>
      <w:hyperlink w:anchor="i6d9a8d1ab1f5454885a98aaf9e608722_7">
        <w:r>
          <w:rPr>
            <w:rStyle w:val="InternetLink"/>
            <w:rFonts w:ascii="Times New Roman;sans-serif" w:hAnsi="Times New Roman;sans-serif"/>
            <w:b w:val="false"/>
            <w:color w:val="0000FF"/>
            <w:sz w:val="16"/>
            <w:u w:val="single"/>
          </w:rPr>
          <w:t>Table of Contents</w:t>
        </w:r>
      </w:hyperlink>
    </w:p>
    <w:p>
      <w:pPr>
        <w:pStyle w:val="TextBody"/>
        <w:spacing w:lineRule="auto" w:line="288" w:before="240" w:after="283"/>
        <w:jc w:val="center"/>
        <w:rPr>
          <w:rFonts w:ascii="Times New Roman;sans-serif" w:hAnsi="Times New Roman;sans-serif"/>
          <w:b/>
          <w:color w:val="00AAE5"/>
          <w:sz w:val="20"/>
        </w:rPr>
      </w:pPr>
      <w:r>
        <w:rPr>
          <w:rFonts w:ascii="Times New Roman;sans-serif" w:hAnsi="Times New Roman;sans-serif"/>
          <w:b/>
          <w:color w:val="00AAE5"/>
          <w:sz w:val="20"/>
        </w:rPr>
        <w:t>SPS COMMERCE, INC.</w:t>
      </w:r>
    </w:p>
    <w:p>
      <w:pPr>
        <w:pStyle w:val="TextBody"/>
        <w:spacing w:lineRule="auto" w:line="288" w:before="0" w:after="0"/>
        <w:jc w:val="center"/>
        <w:rPr>
          <w:rFonts w:ascii="Times New Roman;sans-serif" w:hAnsi="Times New Roman;sans-serif"/>
          <w:b/>
          <w:color w:val="00AAE5"/>
          <w:sz w:val="20"/>
        </w:rPr>
      </w:pPr>
      <w:r>
        <w:rPr>
          <w:rFonts w:ascii="Times New Roman;sans-serif" w:hAnsi="Times New Roman;sans-serif"/>
          <w:b/>
          <w:color w:val="00AAE5"/>
          <w:sz w:val="20"/>
        </w:rPr>
        <w:t>QUARTERLY REPORT ON FORM 10-Q</w:t>
      </w:r>
    </w:p>
    <w:p>
      <w:pPr>
        <w:pStyle w:val="TextBody"/>
        <w:spacing w:lineRule="auto" w:line="288" w:before="0" w:after="0"/>
        <w:jc w:val="center"/>
        <w:rPr>
          <w:rFonts w:ascii="Times New Roman;sans-serif" w:hAnsi="Times New Roman;sans-serif"/>
          <w:b/>
          <w:color w:val="00AAE5"/>
          <w:sz w:val="20"/>
        </w:rPr>
      </w:pPr>
      <w:r>
        <w:rPr>
          <w:rFonts w:ascii="Times New Roman;sans-serif" w:hAnsi="Times New Roman;sans-serif"/>
          <w:b/>
          <w:color w:val="00AAE5"/>
          <w:sz w:val="20"/>
        </w:rPr>
        <w:t>TABLE OF CONTENTS</w:t>
      </w:r>
    </w:p>
    <w:tbl>
      <w:tblPr>
        <w:tblW w:w="9670" w:type="dxa"/>
        <w:jc w:val="center"/>
        <w:tblInd w:w="0" w:type="dxa"/>
        <w:tblCellMar>
          <w:top w:w="28" w:type="dxa"/>
          <w:left w:w="28" w:type="dxa"/>
          <w:bottom w:w="28" w:type="dxa"/>
          <w:right w:w="28" w:type="dxa"/>
        </w:tblCellMar>
      </w:tblPr>
      <w:tblGrid>
        <w:gridCol w:w="630"/>
        <w:gridCol w:w="552"/>
        <w:gridCol w:w="552"/>
        <w:gridCol w:w="2439"/>
        <w:gridCol w:w="2439"/>
        <w:gridCol w:w="2487"/>
        <w:gridCol w:w="167"/>
        <w:gridCol w:w="167"/>
        <w:gridCol w:w="237"/>
      </w:tblGrid>
      <w:tr>
        <w:trPr/>
        <w:tc>
          <w:tcPr>
            <w:tcW w:w="630"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2439" w:type="dxa"/>
            <w:tcBorders/>
            <w:shd w:fill="auto" w:val="clear"/>
            <w:vAlign w:val="center"/>
          </w:tcPr>
          <w:p>
            <w:pPr>
              <w:pStyle w:val="TableContents"/>
              <w:spacing w:before="0" w:after="283"/>
              <w:rPr>
                <w:sz w:val="4"/>
                <w:szCs w:val="4"/>
              </w:rPr>
            </w:pPr>
            <w:r>
              <w:rPr>
                <w:sz w:val="4"/>
                <w:szCs w:val="4"/>
              </w:rPr>
            </w:r>
          </w:p>
        </w:tc>
        <w:tc>
          <w:tcPr>
            <w:tcW w:w="2439" w:type="dxa"/>
            <w:tcBorders/>
            <w:shd w:fill="auto" w:val="clear"/>
            <w:vAlign w:val="center"/>
          </w:tcPr>
          <w:p>
            <w:pPr>
              <w:pStyle w:val="TableContents"/>
              <w:spacing w:before="0" w:after="283"/>
              <w:rPr>
                <w:sz w:val="4"/>
                <w:szCs w:val="4"/>
              </w:rPr>
            </w:pPr>
            <w:r>
              <w:rPr>
                <w:sz w:val="4"/>
                <w:szCs w:val="4"/>
              </w:rPr>
            </w:r>
          </w:p>
        </w:tc>
        <w:tc>
          <w:tcPr>
            <w:tcW w:w="248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1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099"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9a8d1ab1f5454885a98aaf9e608722_10">
              <w:r>
                <w:rPr>
                  <w:rStyle w:val="InternetLink"/>
                  <w:rFonts w:ascii="Times New Roman;sans-serif" w:hAnsi="Times New Roman;sans-serif"/>
                  <w:b/>
                  <w:color w:val="0000FF"/>
                  <w:sz w:val="20"/>
                  <w:u w:val="single"/>
                </w:rPr>
                <w:t>PART I. FINANCIAL INFORMATION</w:t>
              </w:r>
            </w:hyperlink>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9a8d1ab1f5454885a98aaf9e608722_10">
              <w:r>
                <w:rPr>
                  <w:rStyle w:val="InternetLink"/>
                  <w:rFonts w:ascii="Times New Roman;sans-serif" w:hAnsi="Times New Roman;sans-serif"/>
                  <w:b w:val="false"/>
                  <w:color w:val="0000FF"/>
                  <w:sz w:val="20"/>
                  <w:u w:val="single"/>
                </w:rPr>
                <w:t>Financial Statements (unaudited)</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d9a8d1ab1f5454885a98aaf9e608722_10">
              <w:r>
                <w:rPr>
                  <w:rStyle w:val="InternetLink"/>
                  <w:rFonts w:ascii="Times New Roman;sans-serif" w:hAnsi="Times New Roman;sans-serif"/>
                  <w:b w:val="false"/>
                  <w:strike w:val="false"/>
                  <w:dstrike w:val="false"/>
                  <w:color w:val="000000"/>
                  <w:sz w:val="20"/>
                  <w:u w:val="none"/>
                  <w:effect w:val="none"/>
                </w:rPr>
                <w:t>3</w:t>
              </w:r>
            </w:hyperlink>
          </w:p>
        </w:tc>
      </w:tr>
      <w:tr>
        <w:trPr/>
        <w:tc>
          <w:tcPr>
            <w:tcW w:w="1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9a8d1ab1f5454885a98aaf9e608722_16">
              <w:r>
                <w:rPr>
                  <w:rStyle w:val="InternetLink"/>
                  <w:rFonts w:ascii="Times New Roman;sans-serif" w:hAnsi="Times New Roman;sans-serif"/>
                  <w:b w:val="false"/>
                  <w:color w:val="0000FF"/>
                  <w:sz w:val="20"/>
                  <w:u w:val="single"/>
                </w:rPr>
                <w:t xml:space="preserve">Condensed Consolidated Balance Sheets </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d9a8d1ab1f5454885a98aaf9e608722_16">
              <w:r>
                <w:rPr>
                  <w:rStyle w:val="InternetLink"/>
                  <w:rFonts w:ascii="Times New Roman;sans-serif" w:hAnsi="Times New Roman;sans-serif"/>
                  <w:b w:val="false"/>
                  <w:strike w:val="false"/>
                  <w:dstrike w:val="false"/>
                  <w:color w:val="000000"/>
                  <w:sz w:val="20"/>
                  <w:u w:val="none"/>
                  <w:effect w:val="none"/>
                </w:rPr>
                <w:t>3</w:t>
              </w:r>
            </w:hyperlink>
          </w:p>
        </w:tc>
      </w:tr>
      <w:tr>
        <w:trPr/>
        <w:tc>
          <w:tcPr>
            <w:tcW w:w="1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9a8d1ab1f5454885a98aaf9e608722_19">
              <w:r>
                <w:rPr>
                  <w:rStyle w:val="InternetLink"/>
                  <w:rFonts w:ascii="Times New Roman;sans-serif" w:hAnsi="Times New Roman;sans-serif"/>
                  <w:b w:val="false"/>
                  <w:color w:val="0000FF"/>
                  <w:sz w:val="20"/>
                  <w:u w:val="single"/>
                </w:rPr>
                <w:t xml:space="preserve">Condensed Consolidated Statements of Comprehensive Income </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d9a8d1ab1f5454885a98aaf9e608722_19">
              <w:r>
                <w:rPr>
                  <w:rStyle w:val="InternetLink"/>
                  <w:rFonts w:ascii="Times New Roman;sans-serif" w:hAnsi="Times New Roman;sans-serif"/>
                  <w:b w:val="false"/>
                  <w:strike w:val="false"/>
                  <w:dstrike w:val="false"/>
                  <w:color w:val="000000"/>
                  <w:sz w:val="20"/>
                  <w:u w:val="none"/>
                  <w:effect w:val="none"/>
                </w:rPr>
                <w:t>4</w:t>
              </w:r>
            </w:hyperlink>
          </w:p>
        </w:tc>
      </w:tr>
      <w:tr>
        <w:trPr/>
        <w:tc>
          <w:tcPr>
            <w:tcW w:w="1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9a8d1ab1f5454885a98aaf9e608722_22">
              <w:r>
                <w:rPr>
                  <w:rStyle w:val="InternetLink"/>
                  <w:rFonts w:ascii="Times New Roman;sans-serif" w:hAnsi="Times New Roman;sans-serif"/>
                  <w:b w:val="false"/>
                  <w:color w:val="0000FF"/>
                  <w:sz w:val="20"/>
                  <w:u w:val="single"/>
                </w:rPr>
                <w:t xml:space="preserve">Condensed Consolidated Statements of Stockholders’ Equity </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d9a8d1ab1f5454885a98aaf9e608722_22">
              <w:r>
                <w:rPr>
                  <w:rStyle w:val="InternetLink"/>
                  <w:rFonts w:ascii="Times New Roman;sans-serif" w:hAnsi="Times New Roman;sans-serif"/>
                  <w:b w:val="false"/>
                  <w:strike w:val="false"/>
                  <w:dstrike w:val="false"/>
                  <w:color w:val="000000"/>
                  <w:sz w:val="20"/>
                  <w:u w:val="none"/>
                  <w:effect w:val="none"/>
                </w:rPr>
                <w:t>5</w:t>
              </w:r>
            </w:hyperlink>
          </w:p>
        </w:tc>
      </w:tr>
      <w:tr>
        <w:trPr/>
        <w:tc>
          <w:tcPr>
            <w:tcW w:w="1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9a8d1ab1f5454885a98aaf9e608722_25">
              <w:r>
                <w:rPr>
                  <w:rStyle w:val="InternetLink"/>
                  <w:rFonts w:ascii="Times New Roman;sans-serif" w:hAnsi="Times New Roman;sans-serif"/>
                  <w:b w:val="false"/>
                  <w:color w:val="0000FF"/>
                  <w:sz w:val="20"/>
                  <w:u w:val="single"/>
                </w:rPr>
                <w:t xml:space="preserve">Condensed Consolidated Statements of Cash Flows </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d9a8d1ab1f5454885a98aaf9e608722_25">
              <w:r>
                <w:rPr>
                  <w:rStyle w:val="InternetLink"/>
                  <w:rFonts w:ascii="Times New Roman;sans-serif" w:hAnsi="Times New Roman;sans-serif"/>
                  <w:b w:val="false"/>
                  <w:strike w:val="false"/>
                  <w:dstrike w:val="false"/>
                  <w:color w:val="000000"/>
                  <w:sz w:val="20"/>
                  <w:u w:val="none"/>
                  <w:effect w:val="none"/>
                </w:rPr>
                <w:t>6</w:t>
              </w:r>
            </w:hyperlink>
          </w:p>
        </w:tc>
      </w:tr>
      <w:tr>
        <w:trPr/>
        <w:tc>
          <w:tcPr>
            <w:tcW w:w="1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9a8d1ab1f5454885a98aaf9e608722_31">
              <w:r>
                <w:rPr>
                  <w:rStyle w:val="InternetLink"/>
                  <w:rFonts w:ascii="Times New Roman;sans-serif" w:hAnsi="Times New Roman;sans-serif"/>
                  <w:b w:val="false"/>
                  <w:color w:val="0000FF"/>
                  <w:sz w:val="20"/>
                  <w:u w:val="single"/>
                </w:rPr>
                <w:t>Notes to Condensed Consolidated Financial Statements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d9a8d1ab1f5454885a98aaf9e608722_31">
              <w:r>
                <w:rPr>
                  <w:rStyle w:val="InternetLink"/>
                  <w:rFonts w:ascii="Times New Roman;sans-serif" w:hAnsi="Times New Roman;sans-serif"/>
                  <w:b w:val="false"/>
                  <w:strike w:val="false"/>
                  <w:dstrike w:val="false"/>
                  <w:color w:val="000000"/>
                  <w:sz w:val="20"/>
                  <w:u w:val="none"/>
                  <w:effect w:val="none"/>
                </w:rPr>
                <w:t>7</w:t>
              </w:r>
            </w:hyperlink>
          </w:p>
        </w:tc>
      </w:tr>
      <w:tr>
        <w:trPr/>
        <w:tc>
          <w:tcPr>
            <w:tcW w:w="1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9a8d1ab1f5454885a98aaf9e608722_79">
              <w:r>
                <w:rPr>
                  <w:rStyle w:val="InternetLink"/>
                  <w:rFonts w:ascii="Times New Roman;sans-serif" w:hAnsi="Times New Roman;sans-serif"/>
                  <w:b w:val="false"/>
                  <w:strike w:val="false"/>
                  <w:dstrike w:val="false"/>
                  <w:color w:val="000000"/>
                  <w:sz w:val="20"/>
                  <w:u w:val="none"/>
                  <w:effect w:val="none"/>
                </w:rPr>
                <w:t>Item 2.</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9a8d1ab1f5454885a98aaf9e608722_7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d9a8d1ab1f5454885a98aaf9e608722_79">
              <w:r>
                <w:rPr>
                  <w:rStyle w:val="InternetLink"/>
                  <w:rFonts w:ascii="Times New Roman;sans-serif" w:hAnsi="Times New Roman;sans-serif"/>
                  <w:b w:val="false"/>
                  <w:strike w:val="false"/>
                  <w:dstrike w:val="false"/>
                  <w:color w:val="000000"/>
                  <w:sz w:val="20"/>
                  <w:u w:val="none"/>
                  <w:effect w:val="none"/>
                </w:rPr>
                <w:t>17</w:t>
              </w:r>
            </w:hyperlink>
          </w:p>
        </w:tc>
      </w:tr>
      <w:tr>
        <w:trPr/>
        <w:tc>
          <w:tcPr>
            <w:tcW w:w="1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9a8d1ab1f5454885a98aaf9e608722_109">
              <w:r>
                <w:rPr>
                  <w:rStyle w:val="InternetLink"/>
                  <w:rFonts w:ascii="Times New Roman;sans-serif" w:hAnsi="Times New Roman;sans-serif"/>
                  <w:b w:val="false"/>
                  <w:strike w:val="false"/>
                  <w:dstrike w:val="false"/>
                  <w:color w:val="000000"/>
                  <w:sz w:val="20"/>
                  <w:u w:val="none"/>
                  <w:effect w:val="none"/>
                </w:rPr>
                <w:t>Item 3.</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9a8d1ab1f5454885a98aaf9e608722_109">
              <w:r>
                <w:rPr>
                  <w:rStyle w:val="InternetLink"/>
                  <w:rFonts w:ascii="Times New Roman;sans-serif" w:hAnsi="Times New Roman;sans-serif"/>
                  <w:b w:val="false"/>
                  <w:color w:val="0000FF"/>
                  <w:sz w:val="20"/>
                  <w:u w:val="single"/>
                </w:rPr>
                <w:t>Quantitative and Qualitative Disclosures About Market Risk</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d9a8d1ab1f5454885a98aaf9e608722_109">
              <w:r>
                <w:rPr>
                  <w:rStyle w:val="InternetLink"/>
                  <w:rFonts w:ascii="Times New Roman;sans-serif" w:hAnsi="Times New Roman;sans-serif"/>
                  <w:b w:val="false"/>
                  <w:strike w:val="false"/>
                  <w:dstrike w:val="false"/>
                  <w:color w:val="000000"/>
                  <w:sz w:val="20"/>
                  <w:u w:val="none"/>
                  <w:effect w:val="none"/>
                </w:rPr>
                <w:t>22</w:t>
              </w:r>
            </w:hyperlink>
          </w:p>
        </w:tc>
      </w:tr>
      <w:tr>
        <w:trPr/>
        <w:tc>
          <w:tcPr>
            <w:tcW w:w="1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9a8d1ab1f5454885a98aaf9e608722_118">
              <w:r>
                <w:rPr>
                  <w:rStyle w:val="InternetLink"/>
                  <w:rFonts w:ascii="Times New Roman;sans-serif" w:hAnsi="Times New Roman;sans-serif"/>
                  <w:b w:val="false"/>
                  <w:strike w:val="false"/>
                  <w:dstrike w:val="false"/>
                  <w:color w:val="000000"/>
                  <w:sz w:val="20"/>
                  <w:u w:val="none"/>
                  <w:effect w:val="none"/>
                </w:rPr>
                <w:t>Item 4.</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9a8d1ab1f5454885a98aaf9e608722_118">
              <w:r>
                <w:rPr>
                  <w:rStyle w:val="InternetLink"/>
                  <w:rFonts w:ascii="Times New Roman;sans-serif" w:hAnsi="Times New Roman;sans-serif"/>
                  <w:b w:val="false"/>
                  <w:color w:val="0000FF"/>
                  <w:sz w:val="20"/>
                  <w:u w:val="single"/>
                </w:rPr>
                <w:t>Controls and Procedures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d9a8d1ab1f5454885a98aaf9e608722_118">
              <w:r>
                <w:rPr>
                  <w:rStyle w:val="InternetLink"/>
                  <w:rFonts w:ascii="Times New Roman;sans-serif" w:hAnsi="Times New Roman;sans-serif"/>
                  <w:b w:val="false"/>
                  <w:strike w:val="false"/>
                  <w:dstrike w:val="false"/>
                  <w:color w:val="000000"/>
                  <w:sz w:val="20"/>
                  <w:u w:val="none"/>
                  <w:effect w:val="none"/>
                </w:rPr>
                <w:t>23</w:t>
              </w:r>
            </w:hyperlink>
          </w:p>
        </w:tc>
      </w:tr>
      <w:tr>
        <w:trPr/>
        <w:tc>
          <w:tcPr>
            <w:tcW w:w="1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99"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9a8d1ab1f5454885a98aaf9e608722_121">
              <w:r>
                <w:rPr>
                  <w:rStyle w:val="InternetLink"/>
                  <w:rFonts w:ascii="Times New Roman;sans-serif" w:hAnsi="Times New Roman;sans-serif"/>
                  <w:b/>
                  <w:color w:val="0000FF"/>
                  <w:sz w:val="20"/>
                  <w:u w:val="single"/>
                </w:rPr>
                <w:t>PART II. OTHER INFORMATION</w:t>
              </w:r>
            </w:hyperlink>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9a8d1ab1f5454885a98aaf9e608722_124">
              <w:r>
                <w:rPr>
                  <w:rStyle w:val="InternetLink"/>
                  <w:rFonts w:ascii="Times New Roman;sans-serif" w:hAnsi="Times New Roman;sans-serif"/>
                  <w:b w:val="false"/>
                  <w:strike w:val="false"/>
                  <w:dstrike w:val="false"/>
                  <w:color w:val="000000"/>
                  <w:sz w:val="20"/>
                  <w:u w:val="none"/>
                  <w:effect w:val="none"/>
                </w:rPr>
                <w:t>Item 1.</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9a8d1ab1f5454885a98aaf9e608722_124">
              <w:r>
                <w:rPr>
                  <w:rStyle w:val="InternetLink"/>
                  <w:rFonts w:ascii="Times New Roman;sans-serif" w:hAnsi="Times New Roman;sans-serif"/>
                  <w:b w:val="false"/>
                  <w:color w:val="0000FF"/>
                  <w:sz w:val="20"/>
                  <w:u w:val="single"/>
                </w:rPr>
                <w:t>Legal Proceedings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d9a8d1ab1f5454885a98aaf9e608722_124">
              <w:r>
                <w:rPr>
                  <w:rStyle w:val="InternetLink"/>
                  <w:rFonts w:ascii="Times New Roman;sans-serif" w:hAnsi="Times New Roman;sans-serif"/>
                  <w:b w:val="false"/>
                  <w:strike w:val="false"/>
                  <w:dstrike w:val="false"/>
                  <w:color w:val="000000"/>
                  <w:sz w:val="20"/>
                  <w:u w:val="none"/>
                  <w:effect w:val="none"/>
                </w:rPr>
                <w:t>24</w:t>
              </w:r>
            </w:hyperlink>
          </w:p>
        </w:tc>
      </w:tr>
      <w:tr>
        <w:trPr/>
        <w:tc>
          <w:tcPr>
            <w:tcW w:w="1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9a8d1ab1f5454885a98aaf9e608722_127">
              <w:r>
                <w:rPr>
                  <w:rStyle w:val="InternetLink"/>
                  <w:rFonts w:ascii="Times New Roman;sans-serif" w:hAnsi="Times New Roman;sans-serif"/>
                  <w:b w:val="false"/>
                  <w:strike w:val="false"/>
                  <w:dstrike w:val="false"/>
                  <w:color w:val="000000"/>
                  <w:sz w:val="20"/>
                  <w:u w:val="none"/>
                  <w:effect w:val="none"/>
                </w:rPr>
                <w:t>Item 1A.</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9a8d1ab1f5454885a98aaf9e608722_127">
              <w:r>
                <w:rPr>
                  <w:rStyle w:val="InternetLink"/>
                  <w:rFonts w:ascii="Times New Roman;sans-serif" w:hAnsi="Times New Roman;sans-serif"/>
                  <w:b w:val="false"/>
                  <w:color w:val="0000FF"/>
                  <w:sz w:val="20"/>
                  <w:u w:val="single"/>
                </w:rPr>
                <w:t>Risk Factors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d9a8d1ab1f5454885a98aaf9e608722_127">
              <w:r>
                <w:rPr>
                  <w:rStyle w:val="InternetLink"/>
                  <w:rFonts w:ascii="Times New Roman;sans-serif" w:hAnsi="Times New Roman;sans-serif"/>
                  <w:b w:val="false"/>
                  <w:strike w:val="false"/>
                  <w:dstrike w:val="false"/>
                  <w:color w:val="000000"/>
                  <w:sz w:val="20"/>
                  <w:u w:val="none"/>
                  <w:effect w:val="none"/>
                </w:rPr>
                <w:t>24</w:t>
              </w:r>
            </w:hyperlink>
          </w:p>
        </w:tc>
      </w:tr>
      <w:tr>
        <w:trPr/>
        <w:tc>
          <w:tcPr>
            <w:tcW w:w="1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9a8d1ab1f5454885a98aaf9e608722_130">
              <w:r>
                <w:rPr>
                  <w:rStyle w:val="InternetLink"/>
                  <w:rFonts w:ascii="Times New Roman;sans-serif" w:hAnsi="Times New Roman;sans-serif"/>
                  <w:b w:val="false"/>
                  <w:strike w:val="false"/>
                  <w:dstrike w:val="false"/>
                  <w:color w:val="000000"/>
                  <w:sz w:val="20"/>
                  <w:u w:val="none"/>
                  <w:effect w:val="none"/>
                </w:rPr>
                <w:t>Item 2.</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9a8d1ab1f5454885a98aaf9e608722_130">
              <w:r>
                <w:rPr>
                  <w:rStyle w:val="InternetLink"/>
                  <w:rFonts w:ascii="Times New Roman;sans-serif" w:hAnsi="Times New Roman;sans-serif"/>
                  <w:b w:val="false"/>
                  <w:color w:val="0000FF"/>
                  <w:sz w:val="20"/>
                  <w:u w:val="single"/>
                </w:rPr>
                <w:t>Unregistered Sales of Equity Securities and Use of Proceeds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d9a8d1ab1f5454885a98aaf9e608722_130">
              <w:r>
                <w:rPr>
                  <w:rStyle w:val="InternetLink"/>
                  <w:rFonts w:ascii="Times New Roman;sans-serif" w:hAnsi="Times New Roman;sans-serif"/>
                  <w:b w:val="false"/>
                  <w:strike w:val="false"/>
                  <w:dstrike w:val="false"/>
                  <w:color w:val="000000"/>
                  <w:sz w:val="20"/>
                  <w:u w:val="none"/>
                  <w:effect w:val="none"/>
                </w:rPr>
                <w:t>24</w:t>
              </w:r>
            </w:hyperlink>
          </w:p>
        </w:tc>
      </w:tr>
      <w:tr>
        <w:trPr/>
        <w:tc>
          <w:tcPr>
            <w:tcW w:w="1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9a8d1ab1f5454885a98aaf9e608722_133">
              <w:r>
                <w:rPr>
                  <w:rStyle w:val="InternetLink"/>
                  <w:rFonts w:ascii="Times New Roman;sans-serif" w:hAnsi="Times New Roman;sans-serif"/>
                  <w:b w:val="false"/>
                  <w:strike w:val="false"/>
                  <w:dstrike w:val="false"/>
                  <w:color w:val="000000"/>
                  <w:sz w:val="20"/>
                  <w:u w:val="none"/>
                  <w:effect w:val="none"/>
                </w:rPr>
                <w:t>Item 3.</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9a8d1ab1f5454885a98aaf9e608722_133">
              <w:r>
                <w:rPr>
                  <w:rStyle w:val="InternetLink"/>
                  <w:rFonts w:ascii="Times New Roman;sans-serif" w:hAnsi="Times New Roman;sans-serif"/>
                  <w:b w:val="false"/>
                  <w:color w:val="0000FF"/>
                  <w:sz w:val="20"/>
                  <w:u w:val="single"/>
                </w:rPr>
                <w:t>Defaults Upon Senior Securities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d9a8d1ab1f5454885a98aaf9e608722_133">
              <w:r>
                <w:rPr>
                  <w:rStyle w:val="InternetLink"/>
                  <w:rFonts w:ascii="Times New Roman;sans-serif" w:hAnsi="Times New Roman;sans-serif"/>
                  <w:b w:val="false"/>
                  <w:strike w:val="false"/>
                  <w:dstrike w:val="false"/>
                  <w:color w:val="000000"/>
                  <w:sz w:val="20"/>
                  <w:u w:val="none"/>
                  <w:effect w:val="none"/>
                </w:rPr>
                <w:t>24</w:t>
              </w:r>
            </w:hyperlink>
          </w:p>
        </w:tc>
      </w:tr>
      <w:tr>
        <w:trPr/>
        <w:tc>
          <w:tcPr>
            <w:tcW w:w="1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9a8d1ab1f5454885a98aaf9e608722_136">
              <w:r>
                <w:rPr>
                  <w:rStyle w:val="InternetLink"/>
                  <w:rFonts w:ascii="Times New Roman;sans-serif" w:hAnsi="Times New Roman;sans-serif"/>
                  <w:b w:val="false"/>
                  <w:strike w:val="false"/>
                  <w:dstrike w:val="false"/>
                  <w:color w:val="000000"/>
                  <w:sz w:val="20"/>
                  <w:u w:val="none"/>
                  <w:effect w:val="none"/>
                </w:rPr>
                <w:t>Item 4.</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9a8d1ab1f5454885a98aaf9e608722_136">
              <w:r>
                <w:rPr>
                  <w:rStyle w:val="InternetLink"/>
                  <w:rFonts w:ascii="Times New Roman;sans-serif" w:hAnsi="Times New Roman;sans-serif"/>
                  <w:b w:val="false"/>
                  <w:color w:val="0000FF"/>
                  <w:sz w:val="20"/>
                  <w:u w:val="single"/>
                </w:rPr>
                <w:t>Mine Safety Disclosures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d9a8d1ab1f5454885a98aaf9e608722_136">
              <w:r>
                <w:rPr>
                  <w:rStyle w:val="InternetLink"/>
                  <w:rFonts w:ascii="Times New Roman;sans-serif" w:hAnsi="Times New Roman;sans-serif"/>
                  <w:b w:val="false"/>
                  <w:strike w:val="false"/>
                  <w:dstrike w:val="false"/>
                  <w:color w:val="000000"/>
                  <w:sz w:val="20"/>
                  <w:u w:val="none"/>
                  <w:effect w:val="none"/>
                </w:rPr>
                <w:t>24</w:t>
              </w:r>
            </w:hyperlink>
          </w:p>
        </w:tc>
      </w:tr>
      <w:tr>
        <w:trPr/>
        <w:tc>
          <w:tcPr>
            <w:tcW w:w="1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9a8d1ab1f5454885a98aaf9e608722_139">
              <w:r>
                <w:rPr>
                  <w:rStyle w:val="InternetLink"/>
                  <w:rFonts w:ascii="Times New Roman;sans-serif" w:hAnsi="Times New Roman;sans-serif"/>
                  <w:b w:val="false"/>
                  <w:strike w:val="false"/>
                  <w:dstrike w:val="false"/>
                  <w:color w:val="000000"/>
                  <w:sz w:val="20"/>
                  <w:u w:val="none"/>
                  <w:effect w:val="none"/>
                </w:rPr>
                <w:t>Item 5.</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9a8d1ab1f5454885a98aaf9e608722_139">
              <w:r>
                <w:rPr>
                  <w:rStyle w:val="InternetLink"/>
                  <w:rFonts w:ascii="Times New Roman;sans-serif" w:hAnsi="Times New Roman;sans-serif"/>
                  <w:b w:val="false"/>
                  <w:color w:val="0000FF"/>
                  <w:sz w:val="20"/>
                  <w:u w:val="single"/>
                </w:rPr>
                <w:t>Other Information</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d9a8d1ab1f5454885a98aaf9e608722_139">
              <w:r>
                <w:rPr>
                  <w:rStyle w:val="InternetLink"/>
                  <w:rFonts w:ascii="Times New Roman;sans-serif" w:hAnsi="Times New Roman;sans-serif"/>
                  <w:b w:val="false"/>
                  <w:strike w:val="false"/>
                  <w:dstrike w:val="false"/>
                  <w:color w:val="000000"/>
                  <w:sz w:val="20"/>
                  <w:u w:val="none"/>
                  <w:effect w:val="none"/>
                </w:rPr>
                <w:t>24</w:t>
              </w:r>
            </w:hyperlink>
          </w:p>
        </w:tc>
      </w:tr>
      <w:tr>
        <w:trPr/>
        <w:tc>
          <w:tcPr>
            <w:tcW w:w="1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9a8d1ab1f5454885a98aaf9e608722_142">
              <w:r>
                <w:rPr>
                  <w:rStyle w:val="InternetLink"/>
                  <w:rFonts w:ascii="Times New Roman;sans-serif" w:hAnsi="Times New Roman;sans-serif"/>
                  <w:b w:val="false"/>
                  <w:strike w:val="false"/>
                  <w:dstrike w:val="false"/>
                  <w:color w:val="000000"/>
                  <w:sz w:val="20"/>
                  <w:u w:val="none"/>
                  <w:effect w:val="none"/>
                </w:rPr>
                <w:t>Item 6.</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9a8d1ab1f5454885a98aaf9e608722_142">
              <w:r>
                <w:rPr>
                  <w:rStyle w:val="InternetLink"/>
                  <w:rFonts w:ascii="Times New Roman;sans-serif" w:hAnsi="Times New Roman;sans-serif"/>
                  <w:b w:val="false"/>
                  <w:color w:val="0000FF"/>
                  <w:sz w:val="20"/>
                  <w:u w:val="single"/>
                </w:rPr>
                <w:t>Exhibits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d9a8d1ab1f5454885a98aaf9e608722_142">
              <w:r>
                <w:rPr>
                  <w:rStyle w:val="InternetLink"/>
                  <w:rFonts w:ascii="Times New Roman;sans-serif" w:hAnsi="Times New Roman;sans-serif"/>
                  <w:b w:val="false"/>
                  <w:strike w:val="false"/>
                  <w:dstrike w:val="false"/>
                  <w:color w:val="000000"/>
                  <w:sz w:val="20"/>
                  <w:u w:val="none"/>
                  <w:effect w:val="none"/>
                </w:rPr>
                <w:t>25</w:t>
              </w:r>
            </w:hyperlink>
          </w:p>
        </w:tc>
      </w:tr>
      <w:tr>
        <w:trPr/>
        <w:tc>
          <w:tcPr>
            <w:tcW w:w="1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99"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9a8d1ab1f5454885a98aaf9e608722_145">
              <w:r>
                <w:rPr>
                  <w:rStyle w:val="InternetLink"/>
                  <w:rFonts w:ascii="Times New Roman;sans-serif" w:hAnsi="Times New Roman;sans-serif"/>
                  <w:b/>
                  <w:color w:val="0000FF"/>
                  <w:sz w:val="20"/>
                  <w:u w:val="single"/>
                </w:rPr>
                <w:t>SIGNATURES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d9a8d1ab1f5454885a98aaf9e608722_145">
              <w:r>
                <w:rPr>
                  <w:rStyle w:val="InternetLink"/>
                  <w:rFonts w:ascii="Times New Roman;sans-serif" w:hAnsi="Times New Roman;sans-serif"/>
                  <w:b w:val="false"/>
                  <w:strike w:val="false"/>
                  <w:dstrike w:val="false"/>
                  <w:color w:val="000000"/>
                  <w:sz w:val="20"/>
                  <w:u w:val="none"/>
                  <w:effect w:val="none"/>
                </w:rPr>
                <w:t>26</w:t>
              </w:r>
            </w:hyperlink>
          </w:p>
        </w:tc>
      </w:tr>
    </w:tbl>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Unless the context otherwise requires, for purposes of the Quarterly Report on Form 10-Q, the words “we,” “us,” “our,” the “Company,” “SPS,” and “SPS Commerce” refer to SPS Commerce, Inc.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838200"/>
                <wp:effectExtent l="0" t="0" r="0" b="0"/>
                <wp:wrapNone/>
                <wp:docPr id="3" name="Frame2"/>
                <a:graphic xmlns:a="http://schemas.openxmlformats.org/drawingml/2006/main">
                  <a:graphicData uri="http://schemas.microsoft.com/office/word/2010/wordprocessingShape">
                    <wps:wsp>
                      <wps:cNvSpPr txBox="1"/>
                      <wps:spPr>
                        <a:xfrm>
                          <a:off x="0" y="0"/>
                          <a:ext cx="6480175" cy="838200"/>
                        </a:xfrm>
                        <a:prstGeom prst="rect"/>
                      </wps:spPr>
                      <wps:txbx>
                        <w:txbxContent>
                          <w:tbl>
                            <w:tblPr>
                              <w:tblW w:w="6011" w:type="dxa"/>
                              <w:jc w:val="left"/>
                              <w:tblInd w:w="0" w:type="dxa"/>
                              <w:tblCellMar>
                                <w:top w:w="28" w:type="dxa"/>
                                <w:left w:w="28" w:type="dxa"/>
                                <w:bottom w:w="28" w:type="dxa"/>
                                <w:right w:w="28" w:type="dxa"/>
                              </w:tblCellMar>
                            </w:tblPr>
                            <w:tblGrid>
                              <w:gridCol w:w="891"/>
                              <w:gridCol w:w="783"/>
                              <w:gridCol w:w="786"/>
                              <w:gridCol w:w="109"/>
                              <w:gridCol w:w="109"/>
                              <w:gridCol w:w="109"/>
                              <w:gridCol w:w="944"/>
                              <w:gridCol w:w="944"/>
                              <w:gridCol w:w="1336"/>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3224"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color w:val="000000"/>
                                      <w:sz w:val="12"/>
                                    </w:rPr>
                                  </w:pPr>
                                  <w:r>
                                    <w:rPr>
                                      <w:rFonts w:ascii="Times New Roman;sans-serif" w:hAnsi="Times New Roman;sans-serif"/>
                                      <w:b/>
                                      <w:color w:val="000000"/>
                                      <w:sz w:val="12"/>
                                    </w:rPr>
                                    <w:t>Form 10-Q for the Quarterly Period ended March 31, 2023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pt;mso-wrap-distance-left:0pt;mso-wrap-distance-right:0pt;mso-wrap-distance-top:0pt;mso-wrap-distance-bottom:0pt;margin-top:0pt;mso-position-vertical:top;mso-position-vertical-relative:text;margin-left:0pt;mso-position-horizontal:left;mso-position-horizontal-relative:text">
                <v:textbox>
                  <w:txbxContent>
                    <w:tbl>
                      <w:tblPr>
                        <w:tblW w:w="6011" w:type="dxa"/>
                        <w:jc w:val="left"/>
                        <w:tblInd w:w="0" w:type="dxa"/>
                        <w:tblCellMar>
                          <w:top w:w="28" w:type="dxa"/>
                          <w:left w:w="28" w:type="dxa"/>
                          <w:bottom w:w="28" w:type="dxa"/>
                          <w:right w:w="28" w:type="dxa"/>
                        </w:tblCellMar>
                      </w:tblPr>
                      <w:tblGrid>
                        <w:gridCol w:w="891"/>
                        <w:gridCol w:w="783"/>
                        <w:gridCol w:w="786"/>
                        <w:gridCol w:w="109"/>
                        <w:gridCol w:w="109"/>
                        <w:gridCol w:w="109"/>
                        <w:gridCol w:w="944"/>
                        <w:gridCol w:w="944"/>
                        <w:gridCol w:w="1336"/>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3224"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color w:val="000000"/>
                                <w:sz w:val="12"/>
                              </w:rPr>
                            </w:pPr>
                            <w:r>
                              <w:rPr>
                                <w:rFonts w:ascii="Times New Roman;sans-serif" w:hAnsi="Times New Roman;sans-serif"/>
                                <w:b/>
                                <w:color w:val="000000"/>
                                <w:sz w:val="12"/>
                              </w:rPr>
                              <w:t>Form 10-Q for the Quarterly Period ended March 31, 2023</w:t>
                            </w:r>
                          </w:p>
                        </w:tc>
                      </w:tr>
                    </w:tbl>
                    <w:p>
                      <w:pPr>
                        <w:pStyle w:val="TextBody"/>
                        <w:spacing w:before="0" w:after="283"/>
                        <w:rPr/>
                      </w:pPr>
                      <w:r>
                        <w:rPr/>
                      </w:r>
                    </w:p>
                  </w:txbxContent>
                </v:textbox>
              </v:rect>
            </w:pict>
          </mc:Fallback>
        </mc:AlternateContent>
      </w:r>
    </w:p>
    <w:p>
      <w:pPr>
        <w:pStyle w:val="TextBody"/>
        <w:spacing w:lineRule="auto" w:line="288" w:before="240" w:after="283"/>
        <w:jc w:val="right"/>
        <w:rPr/>
      </w:pPr>
      <w:hyperlink w:anchor="i6d9a8d1ab1f5454885a98aaf9e608722_7">
        <w:r>
          <w:rPr>
            <w:rStyle w:val="InternetLink"/>
            <w:rFonts w:ascii="Times New Roman;sans-serif" w:hAnsi="Times New Roman;sans-serif"/>
            <w:b w:val="false"/>
            <w:color w:val="0000FF"/>
            <w:sz w:val="16"/>
            <w:u w:val="single"/>
          </w:rPr>
          <w:t>Table of Contents</w:t>
        </w:r>
      </w:hyperlink>
    </w:p>
    <w:p>
      <w:pPr>
        <w:pStyle w:val="TextBody"/>
        <w:spacing w:lineRule="auto" w:line="288" w:before="360" w:after="283"/>
        <w:jc w:val="center"/>
        <w:rPr>
          <w:rFonts w:ascii="Times New Roman;sans-serif" w:hAnsi="Times New Roman;sans-serif"/>
          <w:b/>
          <w:color w:val="00AAE5"/>
          <w:sz w:val="20"/>
        </w:rPr>
      </w:pPr>
      <w:r>
        <w:rPr>
          <w:rFonts w:ascii="Times New Roman;sans-serif" w:hAnsi="Times New Roman;sans-serif"/>
          <w:b/>
          <w:color w:val="00AAE5"/>
          <w:sz w:val="20"/>
        </w:rPr>
        <w:t>PART I. –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AAE5"/>
          <w:sz w:val="20"/>
        </w:rPr>
      </w:pPr>
      <w:r>
        <w:rPr>
          <w:rFonts w:ascii="Times New Roman;sans-serif" w:hAnsi="Times New Roman;sans-serif"/>
          <w:b/>
          <w:color w:val="00AAE5"/>
          <w:sz w:val="20"/>
        </w:rPr>
        <w:t>Item 1. Financial Statements</w:t>
      </w:r>
    </w:p>
    <w:p>
      <w:pPr>
        <w:pStyle w:val="TextBody"/>
        <w:spacing w:lineRule="auto" w:line="288" w:before="240" w:after="283"/>
        <w:jc w:val="center"/>
        <w:rPr>
          <w:rFonts w:ascii="Times New Roman;sans-serif" w:hAnsi="Times New Roman;sans-serif"/>
          <w:b/>
          <w:color w:val="00AAE5"/>
          <w:sz w:val="20"/>
        </w:rPr>
      </w:pPr>
      <w:r>
        <w:rPr>
          <w:rFonts w:ascii="Times New Roman;sans-serif" w:hAnsi="Times New Roman;sans-serif"/>
          <w:b/>
          <w:color w:val="00AAE5"/>
          <w:sz w:val="20"/>
        </w:rPr>
        <w:t>SPS COMMERCE, INC. AND SUBSIDIARIES</w:t>
      </w:r>
    </w:p>
    <w:p>
      <w:pPr>
        <w:pStyle w:val="TextBody"/>
        <w:spacing w:lineRule="auto" w:line="288" w:before="0" w:after="0"/>
        <w:jc w:val="center"/>
        <w:rPr>
          <w:rFonts w:ascii="Times New Roman;sans-serif" w:hAnsi="Times New Roman;sans-serif"/>
          <w:b/>
          <w:color w:val="00AAE5"/>
          <w:sz w:val="20"/>
        </w:rPr>
      </w:pPr>
      <w:r>
        <w:rPr>
          <w:rFonts w:ascii="Times New Roman;sans-serif" w:hAnsi="Times New Roman;sans-serif"/>
          <w:b/>
          <w:color w:val="00AAE5"/>
          <w:sz w:val="20"/>
        </w:rPr>
        <w:t>CONDENSED CONSOLIDATED BALANCE SHEETS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center"/>
        <w:tblInd w:w="0" w:type="dxa"/>
        <w:tblCellMar>
          <w:top w:w="28" w:type="dxa"/>
          <w:left w:w="28" w:type="dxa"/>
          <w:bottom w:w="28" w:type="dxa"/>
          <w:right w:w="28" w:type="dxa"/>
        </w:tblCellMar>
      </w:tblPr>
      <w:tblGrid>
        <w:gridCol w:w="2934"/>
        <w:gridCol w:w="2414"/>
        <w:gridCol w:w="2371"/>
        <w:gridCol w:w="196"/>
        <w:gridCol w:w="736"/>
        <w:gridCol w:w="109"/>
        <w:gridCol w:w="109"/>
        <w:gridCol w:w="109"/>
        <w:gridCol w:w="109"/>
        <w:gridCol w:w="201"/>
        <w:gridCol w:w="757"/>
        <w:gridCol w:w="160"/>
      </w:tblGrid>
      <w:tr>
        <w:trPr/>
        <w:tc>
          <w:tcPr>
            <w:tcW w:w="2934" w:type="dxa"/>
            <w:tcBorders/>
            <w:shd w:fill="auto" w:val="clear"/>
            <w:vAlign w:val="center"/>
          </w:tcPr>
          <w:p>
            <w:pPr>
              <w:pStyle w:val="TableContents"/>
              <w:spacing w:before="0" w:after="283"/>
              <w:rPr>
                <w:sz w:val="4"/>
                <w:szCs w:val="4"/>
              </w:rPr>
            </w:pPr>
            <w:r>
              <w:rPr>
                <w:sz w:val="4"/>
                <w:szCs w:val="4"/>
              </w:rPr>
            </w:r>
          </w:p>
        </w:tc>
        <w:tc>
          <w:tcPr>
            <w:tcW w:w="2414" w:type="dxa"/>
            <w:tcBorders/>
            <w:shd w:fill="auto" w:val="clear"/>
            <w:vAlign w:val="center"/>
          </w:tcPr>
          <w:p>
            <w:pPr>
              <w:pStyle w:val="TableContents"/>
              <w:spacing w:before="0" w:after="283"/>
              <w:rPr>
                <w:sz w:val="4"/>
                <w:szCs w:val="4"/>
              </w:rPr>
            </w:pPr>
            <w:r>
              <w:rPr>
                <w:sz w:val="4"/>
                <w:szCs w:val="4"/>
              </w:rPr>
            </w:r>
          </w:p>
        </w:tc>
        <w:tc>
          <w:tcPr>
            <w:tcW w:w="237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shares)</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(unaudited)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assets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182,304 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162,893 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Short-term investments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51,146 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51,412 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receivable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46,654 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42,501 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Allowance for credit losses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(3,066)</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receivable, net</w:t>
            </w:r>
          </w:p>
        </w:tc>
        <w:tc>
          <w:tcPr>
            <w:tcW w:w="932" w:type="dxa"/>
            <w:gridSpan w:val="2"/>
            <w:tcBorders>
              <w:top w:val="single" w:sz="6" w:space="0" w:color="000000"/>
            </w:tcBorders>
            <w:shd w:fill="CFF0FC"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43,437 </w:t>
            </w:r>
          </w:p>
        </w:tc>
        <w:tc>
          <w:tcPr>
            <w:tcW w:w="109" w:type="dxa"/>
            <w:tcBorders>
              <w:top w:val="single" w:sz="6"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top w:val="single" w:sz="6" w:space="0" w:color="000000"/>
            </w:tcBorders>
            <w:shd w:fill="CFF0FC"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39,435 </w:t>
            </w:r>
          </w:p>
        </w:tc>
        <w:tc>
          <w:tcPr>
            <w:tcW w:w="160" w:type="dxa"/>
            <w:tcBorders>
              <w:top w:val="single" w:sz="6"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costs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53,844 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52,755 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15,651 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16,319 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346,382 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322,814 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35,078 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35,458 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9,170 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Goodwill</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199,001 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197,284 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Intangible assets,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84,536 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88,352 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assets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costs, non-current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17,965 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17,424 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income tax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227 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assets, non-current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2,185 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696,927 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672,914 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LIABILITIES AND STOCKHOLDERS’ EQUITY</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liabilities</w:t>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payable</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11,256 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Accrued compensation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26,431 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30,235 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Accrued expenses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7,451 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revenue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62,907 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57,423 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4,277 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110,642 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liabilities</w:t>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revenue, non-current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4,771 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 liabilities, non-current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13,009 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income tax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7,419 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135,841 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Commitments and contingencies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Stockholders' equity</w:t>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7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Preferred stock, $0.001 par value; 5,000,000 shares authorized; 0 shares issued and outstanding</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Common stock, $0.001 par value; 110,000,000 shares authorized; 38,683,854 and 38,309,144 shares issued; and 36,532,756 and 36,158,046 shares outstanding, respectively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Treasury Stock, at cost; 2,151,098 shares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(128,892)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(128,892)</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Additional paid-in capital</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489,716 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476,117 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Retained earnings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208,510 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193,221 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Accumulated other comprehensive loss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(3,411)</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stockholders’ equity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565,890 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537,073 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696,927 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672,914 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See accompanying notes to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838200"/>
                <wp:effectExtent l="0" t="0" r="0" b="0"/>
                <wp:wrapNone/>
                <wp:docPr id="6" name="Frame3"/>
                <a:graphic xmlns:a="http://schemas.openxmlformats.org/drawingml/2006/main">
                  <a:graphicData uri="http://schemas.microsoft.com/office/word/2010/wordprocessingShape">
                    <wps:wsp>
                      <wps:cNvSpPr txBox="1"/>
                      <wps:spPr>
                        <a:xfrm>
                          <a:off x="0" y="0"/>
                          <a:ext cx="6480175" cy="838200"/>
                        </a:xfrm>
                        <a:prstGeom prst="rect"/>
                      </wps:spPr>
                      <wps:txbx>
                        <w:txbxContent>
                          <w:tbl>
                            <w:tblPr>
                              <w:tblW w:w="6011" w:type="dxa"/>
                              <w:jc w:val="left"/>
                              <w:tblInd w:w="0" w:type="dxa"/>
                              <w:tblCellMar>
                                <w:top w:w="28" w:type="dxa"/>
                                <w:left w:w="28" w:type="dxa"/>
                                <w:bottom w:w="28" w:type="dxa"/>
                                <w:right w:w="28" w:type="dxa"/>
                              </w:tblCellMar>
                            </w:tblPr>
                            <w:tblGrid>
                              <w:gridCol w:w="891"/>
                              <w:gridCol w:w="783"/>
                              <w:gridCol w:w="786"/>
                              <w:gridCol w:w="109"/>
                              <w:gridCol w:w="109"/>
                              <w:gridCol w:w="109"/>
                              <w:gridCol w:w="944"/>
                              <w:gridCol w:w="944"/>
                              <w:gridCol w:w="1336"/>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224"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color w:val="000000"/>
                                      <w:sz w:val="12"/>
                                    </w:rPr>
                                  </w:pPr>
                                  <w:r>
                                    <w:rPr>
                                      <w:rFonts w:ascii="Times New Roman;sans-serif" w:hAnsi="Times New Roman;sans-serif"/>
                                      <w:b/>
                                      <w:color w:val="000000"/>
                                      <w:sz w:val="12"/>
                                    </w:rPr>
                                    <w:t>Form 10-Q for the Quarterly Period ended March 31, 2023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pt;mso-wrap-distance-left:0pt;mso-wrap-distance-right:0pt;mso-wrap-distance-top:0pt;mso-wrap-distance-bottom:0pt;margin-top:0pt;mso-position-vertical:top;mso-position-vertical-relative:text;margin-left:0pt;mso-position-horizontal:left;mso-position-horizontal-relative:text">
                <v:textbox>
                  <w:txbxContent>
                    <w:tbl>
                      <w:tblPr>
                        <w:tblW w:w="6011" w:type="dxa"/>
                        <w:jc w:val="left"/>
                        <w:tblInd w:w="0" w:type="dxa"/>
                        <w:tblCellMar>
                          <w:top w:w="28" w:type="dxa"/>
                          <w:left w:w="28" w:type="dxa"/>
                          <w:bottom w:w="28" w:type="dxa"/>
                          <w:right w:w="28" w:type="dxa"/>
                        </w:tblCellMar>
                      </w:tblPr>
                      <w:tblGrid>
                        <w:gridCol w:w="891"/>
                        <w:gridCol w:w="783"/>
                        <w:gridCol w:w="786"/>
                        <w:gridCol w:w="109"/>
                        <w:gridCol w:w="109"/>
                        <w:gridCol w:w="109"/>
                        <w:gridCol w:w="944"/>
                        <w:gridCol w:w="944"/>
                        <w:gridCol w:w="1336"/>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224"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color w:val="000000"/>
                                <w:sz w:val="12"/>
                              </w:rPr>
                            </w:pPr>
                            <w:r>
                              <w:rPr>
                                <w:rFonts w:ascii="Times New Roman;sans-serif" w:hAnsi="Times New Roman;sans-serif"/>
                                <w:b/>
                                <w:color w:val="000000"/>
                                <w:sz w:val="12"/>
                              </w:rPr>
                              <w:t>Form 10-Q for the Quarterly Period ended March 31, 2023</w:t>
                            </w:r>
                          </w:p>
                        </w:tc>
                      </w:tr>
                    </w:tbl>
                    <w:p>
                      <w:pPr>
                        <w:pStyle w:val="TextBody"/>
                        <w:spacing w:before="0" w:after="283"/>
                        <w:rPr/>
                      </w:pPr>
                      <w:r>
                        <w:rPr/>
                      </w:r>
                    </w:p>
                  </w:txbxContent>
                </v:textbox>
              </v:rect>
            </w:pict>
          </mc:Fallback>
        </mc:AlternateContent>
      </w:r>
    </w:p>
    <w:p>
      <w:pPr>
        <w:pStyle w:val="TextBody"/>
        <w:spacing w:lineRule="auto" w:line="288" w:before="240" w:after="283"/>
        <w:jc w:val="right"/>
        <w:rPr/>
      </w:pPr>
      <w:hyperlink w:anchor="i6d9a8d1ab1f5454885a98aaf9e608722_7">
        <w:r>
          <w:rPr>
            <w:rStyle w:val="InternetLink"/>
            <w:rFonts w:ascii="Times New Roman;sans-serif" w:hAnsi="Times New Roman;sans-serif"/>
            <w:b w:val="false"/>
            <w:color w:val="0000FF"/>
            <w:sz w:val="16"/>
            <w:u w:val="single"/>
          </w:rPr>
          <w:t>Table of Contents</w:t>
        </w:r>
      </w:hyperlink>
    </w:p>
    <w:p>
      <w:pPr>
        <w:pStyle w:val="TextBody"/>
        <w:spacing w:lineRule="auto" w:line="288" w:before="240" w:after="283"/>
        <w:jc w:val="center"/>
        <w:rPr>
          <w:rFonts w:ascii="Times New Roman;sans-serif" w:hAnsi="Times New Roman;sans-serif"/>
          <w:b/>
          <w:color w:val="00AAE5"/>
          <w:sz w:val="20"/>
        </w:rPr>
      </w:pPr>
      <w:r>
        <w:rPr>
          <w:rFonts w:ascii="Times New Roman;sans-serif" w:hAnsi="Times New Roman;sans-serif"/>
          <w:b/>
          <w:color w:val="00AAE5"/>
          <w:sz w:val="20"/>
        </w:rPr>
        <w:t>SPS COMMERCE, INC. AND SUBSIDIARIES</w:t>
      </w:r>
    </w:p>
    <w:p>
      <w:pPr>
        <w:pStyle w:val="TextBody"/>
        <w:spacing w:lineRule="auto" w:line="288" w:before="0" w:after="0"/>
        <w:jc w:val="center"/>
        <w:rPr>
          <w:rFonts w:ascii="Times New Roman;sans-serif" w:hAnsi="Times New Roman;sans-serif"/>
          <w:b/>
          <w:color w:val="00AAE5"/>
          <w:sz w:val="20"/>
        </w:rPr>
      </w:pPr>
      <w:r>
        <w:rPr>
          <w:rFonts w:ascii="Times New Roman;sans-serif" w:hAnsi="Times New Roman;sans-serif"/>
          <w:b/>
          <w:color w:val="00AAE5"/>
          <w:sz w:val="20"/>
        </w:rPr>
        <w:t>CONDENSED CONSOLIDATED STATEMENTS OF COMPREHENSIVE INCOME</w:t>
      </w:r>
    </w:p>
    <w:tbl>
      <w:tblPr>
        <w:tblW w:w="10205" w:type="dxa"/>
        <w:jc w:val="center"/>
        <w:tblInd w:w="0" w:type="dxa"/>
        <w:tblCellMar>
          <w:top w:w="28" w:type="dxa"/>
          <w:left w:w="28" w:type="dxa"/>
          <w:bottom w:w="28" w:type="dxa"/>
          <w:right w:w="28" w:type="dxa"/>
        </w:tblCellMar>
      </w:tblPr>
      <w:tblGrid>
        <w:gridCol w:w="2631"/>
        <w:gridCol w:w="2231"/>
        <w:gridCol w:w="2241"/>
        <w:gridCol w:w="211"/>
        <w:gridCol w:w="826"/>
        <w:gridCol w:w="109"/>
        <w:gridCol w:w="109"/>
        <w:gridCol w:w="109"/>
        <w:gridCol w:w="109"/>
        <w:gridCol w:w="211"/>
        <w:gridCol w:w="826"/>
        <w:gridCol w:w="109"/>
        <w:gridCol w:w="109"/>
        <w:gridCol w:w="109"/>
        <w:gridCol w:w="109"/>
        <w:gridCol w:w="156"/>
      </w:tblGrid>
      <w:tr>
        <w:trPr/>
        <w:tc>
          <w:tcPr>
            <w:tcW w:w="2631" w:type="dxa"/>
            <w:tcBorders/>
            <w:shd w:fill="auto" w:val="clear"/>
            <w:vAlign w:val="center"/>
          </w:tcPr>
          <w:p>
            <w:pPr>
              <w:pStyle w:val="TableContents"/>
              <w:spacing w:before="0" w:after="283"/>
              <w:rPr>
                <w:sz w:val="4"/>
                <w:szCs w:val="4"/>
              </w:rPr>
            </w:pPr>
            <w:r>
              <w:rPr>
                <w:sz w:val="4"/>
                <w:szCs w:val="4"/>
              </w:rPr>
            </w:r>
          </w:p>
        </w:tc>
        <w:tc>
          <w:tcPr>
            <w:tcW w:w="2231" w:type="dxa"/>
            <w:tcBorders/>
            <w:shd w:fill="auto" w:val="clear"/>
            <w:vAlign w:val="center"/>
          </w:tcPr>
          <w:p>
            <w:pPr>
              <w:pStyle w:val="TableContents"/>
              <w:spacing w:before="0" w:after="283"/>
              <w:rPr>
                <w:sz w:val="4"/>
                <w:szCs w:val="4"/>
              </w:rPr>
            </w:pPr>
            <w:r>
              <w:rPr>
                <w:sz w:val="4"/>
                <w:szCs w:val="4"/>
              </w:rPr>
            </w:r>
          </w:p>
        </w:tc>
        <w:tc>
          <w:tcPr>
            <w:tcW w:w="22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gridSpan w:val="2"/>
            <w:tcBorders/>
            <w:shd w:fill="auto" w:val="clear"/>
          </w:tcPr>
          <w:p>
            <w:pPr>
              <w:pStyle w:val="TableContents"/>
              <w:spacing w:before="0" w:after="283"/>
              <w:rPr>
                <w:sz w:val="4"/>
                <w:szCs w:val="4"/>
              </w:rPr>
            </w:pPr>
            <w:r>
              <w:rPr>
                <w:sz w:val="4"/>
                <w:szCs w:val="4"/>
              </w:rPr>
            </w:r>
          </w:p>
        </w:tc>
      </w:tr>
      <w:tr>
        <w:trPr/>
        <w:tc>
          <w:tcPr>
            <w:tcW w:w="71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amounts) (unaudited)</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(expense)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investments, net of tax of $133 and ($1), respectively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(gain) loss on investments into earnings, net of tax of ($125) and $4, respectively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(expense)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used to compute net income per share</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See accompanying notes to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838200"/>
                <wp:effectExtent l="0" t="0" r="0" b="0"/>
                <wp:wrapNone/>
                <wp:docPr id="9" name="Frame4"/>
                <a:graphic xmlns:a="http://schemas.openxmlformats.org/drawingml/2006/main">
                  <a:graphicData uri="http://schemas.microsoft.com/office/word/2010/wordprocessingShape">
                    <wps:wsp>
                      <wps:cNvSpPr txBox="1"/>
                      <wps:spPr>
                        <a:xfrm>
                          <a:off x="0" y="0"/>
                          <a:ext cx="6480175" cy="838200"/>
                        </a:xfrm>
                        <a:prstGeom prst="rect"/>
                      </wps:spPr>
                      <wps:txbx>
                        <w:txbxContent>
                          <w:tbl>
                            <w:tblPr>
                              <w:tblW w:w="6011" w:type="dxa"/>
                              <w:jc w:val="left"/>
                              <w:tblInd w:w="0" w:type="dxa"/>
                              <w:tblCellMar>
                                <w:top w:w="28" w:type="dxa"/>
                                <w:left w:w="28" w:type="dxa"/>
                                <w:bottom w:w="28" w:type="dxa"/>
                                <w:right w:w="28" w:type="dxa"/>
                              </w:tblCellMar>
                            </w:tblPr>
                            <w:tblGrid>
                              <w:gridCol w:w="891"/>
                              <w:gridCol w:w="783"/>
                              <w:gridCol w:w="786"/>
                              <w:gridCol w:w="109"/>
                              <w:gridCol w:w="109"/>
                              <w:gridCol w:w="109"/>
                              <w:gridCol w:w="944"/>
                              <w:gridCol w:w="944"/>
                              <w:gridCol w:w="1336"/>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3224"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color w:val="000000"/>
                                      <w:sz w:val="12"/>
                                    </w:rPr>
                                  </w:pPr>
                                  <w:r>
                                    <w:rPr>
                                      <w:rFonts w:ascii="Times New Roman;sans-serif" w:hAnsi="Times New Roman;sans-serif"/>
                                      <w:b/>
                                      <w:color w:val="000000"/>
                                      <w:sz w:val="12"/>
                                    </w:rPr>
                                    <w:t>Form 10-Q for the Quarterly Period ended March 31, 2023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pt;mso-wrap-distance-left:0pt;mso-wrap-distance-right:0pt;mso-wrap-distance-top:0pt;mso-wrap-distance-bottom:0pt;margin-top:0pt;mso-position-vertical:top;mso-position-vertical-relative:text;margin-left:0pt;mso-position-horizontal:left;mso-position-horizontal-relative:text">
                <v:textbox>
                  <w:txbxContent>
                    <w:tbl>
                      <w:tblPr>
                        <w:tblW w:w="6011" w:type="dxa"/>
                        <w:jc w:val="left"/>
                        <w:tblInd w:w="0" w:type="dxa"/>
                        <w:tblCellMar>
                          <w:top w:w="28" w:type="dxa"/>
                          <w:left w:w="28" w:type="dxa"/>
                          <w:bottom w:w="28" w:type="dxa"/>
                          <w:right w:w="28" w:type="dxa"/>
                        </w:tblCellMar>
                      </w:tblPr>
                      <w:tblGrid>
                        <w:gridCol w:w="891"/>
                        <w:gridCol w:w="783"/>
                        <w:gridCol w:w="786"/>
                        <w:gridCol w:w="109"/>
                        <w:gridCol w:w="109"/>
                        <w:gridCol w:w="109"/>
                        <w:gridCol w:w="944"/>
                        <w:gridCol w:w="944"/>
                        <w:gridCol w:w="1336"/>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3224"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color w:val="000000"/>
                                <w:sz w:val="12"/>
                              </w:rPr>
                            </w:pPr>
                            <w:r>
                              <w:rPr>
                                <w:rFonts w:ascii="Times New Roman;sans-serif" w:hAnsi="Times New Roman;sans-serif"/>
                                <w:b/>
                                <w:color w:val="000000"/>
                                <w:sz w:val="12"/>
                              </w:rPr>
                              <w:t>Form 10-Q for the Quarterly Period ended March 31, 2023</w:t>
                            </w:r>
                          </w:p>
                        </w:tc>
                      </w:tr>
                    </w:tbl>
                    <w:p>
                      <w:pPr>
                        <w:pStyle w:val="TextBody"/>
                        <w:spacing w:before="0" w:after="283"/>
                        <w:rPr/>
                      </w:pPr>
                      <w:r>
                        <w:rPr/>
                      </w:r>
                    </w:p>
                  </w:txbxContent>
                </v:textbox>
              </v:rect>
            </w:pict>
          </mc:Fallback>
        </mc:AlternateContent>
      </w:r>
    </w:p>
    <w:p>
      <w:pPr>
        <w:pStyle w:val="TextBody"/>
        <w:spacing w:lineRule="auto" w:line="288" w:before="240" w:after="283"/>
        <w:jc w:val="right"/>
        <w:rPr/>
      </w:pPr>
      <w:hyperlink w:anchor="i6d9a8d1ab1f5454885a98aaf9e608722_7">
        <w:r>
          <w:rPr>
            <w:rStyle w:val="InternetLink"/>
            <w:rFonts w:ascii="Times New Roman;sans-serif" w:hAnsi="Times New Roman;sans-serif"/>
            <w:b w:val="false"/>
            <w:color w:val="0000FF"/>
            <w:sz w:val="16"/>
            <w:u w:val="single"/>
          </w:rPr>
          <w:t>Table of Contents</w:t>
        </w:r>
      </w:hyperlink>
    </w:p>
    <w:p>
      <w:pPr>
        <w:pStyle w:val="TextBody"/>
        <w:spacing w:lineRule="auto" w:line="288" w:before="360" w:after="283"/>
        <w:jc w:val="center"/>
        <w:rPr>
          <w:rFonts w:ascii="Times New Roman;sans-serif" w:hAnsi="Times New Roman;sans-serif"/>
          <w:b/>
          <w:color w:val="00AAE5"/>
          <w:sz w:val="20"/>
        </w:rPr>
      </w:pPr>
      <w:r>
        <w:rPr>
          <w:rFonts w:ascii="Times New Roman;sans-serif" w:hAnsi="Times New Roman;sans-serif"/>
          <w:b/>
          <w:color w:val="00AAE5"/>
          <w:sz w:val="20"/>
        </w:rPr>
        <w:t>SPS COMMERCE, INC. AND SUBSIDIARIES</w:t>
      </w:r>
    </w:p>
    <w:p>
      <w:pPr>
        <w:pStyle w:val="TextBody"/>
        <w:spacing w:lineRule="auto" w:line="288" w:before="0" w:after="0"/>
        <w:jc w:val="center"/>
        <w:rPr>
          <w:rFonts w:ascii="Times New Roman;sans-serif" w:hAnsi="Times New Roman;sans-serif"/>
          <w:b/>
          <w:color w:val="00AAE5"/>
          <w:sz w:val="20"/>
        </w:rPr>
      </w:pPr>
      <w:r>
        <w:rPr>
          <w:rFonts w:ascii="Times New Roman;sans-serif" w:hAnsi="Times New Roman;sans-serif"/>
          <w:b/>
          <w:color w:val="00AAE5"/>
          <w:sz w:val="20"/>
        </w:rPr>
        <w:t>CONDENSED CONSOLIDATED STATEMENTS OF STOCKHOLDERS’ EQUITY</w:t>
      </w:r>
    </w:p>
    <w:tbl>
      <w:tblPr>
        <w:tblW w:w="10505" w:type="dxa"/>
        <w:jc w:val="center"/>
        <w:tblInd w:w="0" w:type="dxa"/>
        <w:tblCellMar>
          <w:top w:w="28" w:type="dxa"/>
          <w:left w:w="28" w:type="dxa"/>
          <w:bottom w:w="28" w:type="dxa"/>
          <w:right w:w="28" w:type="dxa"/>
        </w:tblCellMar>
      </w:tblPr>
      <w:tblGrid>
        <w:gridCol w:w="562"/>
        <w:gridCol w:w="244"/>
        <w:gridCol w:w="245"/>
        <w:gridCol w:w="398"/>
        <w:gridCol w:w="398"/>
        <w:gridCol w:w="171"/>
        <w:gridCol w:w="109"/>
        <w:gridCol w:w="109"/>
        <w:gridCol w:w="109"/>
        <w:gridCol w:w="181"/>
        <w:gridCol w:w="286"/>
        <w:gridCol w:w="109"/>
        <w:gridCol w:w="109"/>
        <w:gridCol w:w="109"/>
        <w:gridCol w:w="109"/>
        <w:gridCol w:w="360"/>
        <w:gridCol w:w="361"/>
        <w:gridCol w:w="171"/>
        <w:gridCol w:w="109"/>
        <w:gridCol w:w="109"/>
        <w:gridCol w:w="109"/>
        <w:gridCol w:w="181"/>
        <w:gridCol w:w="631"/>
        <w:gridCol w:w="109"/>
        <w:gridCol w:w="109"/>
        <w:gridCol w:w="109"/>
        <w:gridCol w:w="109"/>
        <w:gridCol w:w="181"/>
        <w:gridCol w:w="616"/>
        <w:gridCol w:w="109"/>
        <w:gridCol w:w="109"/>
        <w:gridCol w:w="109"/>
        <w:gridCol w:w="109"/>
        <w:gridCol w:w="181"/>
        <w:gridCol w:w="616"/>
        <w:gridCol w:w="109"/>
        <w:gridCol w:w="109"/>
        <w:gridCol w:w="109"/>
        <w:gridCol w:w="109"/>
        <w:gridCol w:w="239"/>
        <w:gridCol w:w="636"/>
        <w:gridCol w:w="146"/>
        <w:gridCol w:w="109"/>
        <w:gridCol w:w="109"/>
        <w:gridCol w:w="109"/>
        <w:gridCol w:w="185"/>
        <w:gridCol w:w="632"/>
        <w:gridCol w:w="159"/>
      </w:tblGrid>
      <w:tr>
        <w:trPr/>
        <w:tc>
          <w:tcPr>
            <w:tcW w:w="56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Treasury Stock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w:t>
              <w:br/>
              <w:t xml:space="preserve">Earnings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r>
      <w:tr>
        <w:trPr/>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(in thousands, except shares) (unaudited)</w:t>
            </w:r>
          </w:p>
        </w:tc>
        <w:tc>
          <w:tcPr>
            <w:tcW w:w="9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Shares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Amount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Balances, December 31, 2021</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36,009,257 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1,789,353 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(85,677)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433,258 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(1,447)</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484,259 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79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8,496 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8,496 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issued pursuant to stock awards</w:t>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231,107 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504 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Employee stock purchase plan activity</w:t>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1,698 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Repurchases of common stock</w:t>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(121,544)</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121,544 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(15,226)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(15,226)</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12,603 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adjustments</w:t>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730 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730 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Unrealized loss on investments, net of tax</w:t>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Reclassification of loss on investments into earnings, net of tax</w:t>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Balances, March 31, 2022</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36,120,518 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1,910,897 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(100,903)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442,405 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6" w:type="dxa"/>
            <w:tcBorders>
              <w:top w:val="single" w:sz="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(709)</w:t>
            </w:r>
          </w:p>
        </w:tc>
        <w:tc>
          <w:tcPr>
            <w:tcW w:w="146" w:type="dxa"/>
            <w:tcBorders>
              <w:top w:val="single" w:sz="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 w:type="dxa"/>
            <w:tcBorders>
              <w:top w:val="single" w:sz="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2" w:type="dxa"/>
            <w:tcBorders>
              <w:top w:val="single" w:sz="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491,521 </w:t>
            </w:r>
          </w:p>
        </w:tc>
        <w:tc>
          <w:tcPr>
            <w:tcW w:w="159" w:type="dxa"/>
            <w:tcBorders>
              <w:top w:val="single" w:sz="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Balances, December 31, 2022</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36,158,046 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2,151,098 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(128,892)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476,117 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193,221 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(3,411)</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537,073 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79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11,175 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11,175 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issued pursuant to stock awards</w:t>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372,161 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2,184 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Employee stock purchase plan activity</w:t>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2,549 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auto" w:val="clear"/>
            <w:vAlign w:val="center"/>
          </w:tcPr>
          <w:p>
            <w:pPr>
              <w:pStyle w:val="TableContents"/>
              <w:spacing w:before="0" w:after="283"/>
              <w:rPr>
                <w:sz w:val="4"/>
                <w:szCs w:val="4"/>
              </w:rPr>
            </w:pPr>
            <w:r>
              <w:rPr>
                <w:sz w:val="4"/>
                <w:szCs w:val="4"/>
              </w:rPr>
            </w:r>
          </w:p>
        </w:tc>
        <w:tc>
          <w:tcPr>
            <w:tcW w:w="9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15,289 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15,289 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adjustments</w:t>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Unrealized gain on investments, net of tax</w:t>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399 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399 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Reclassification of gain on investments into earnings, net of tax</w:t>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(376)</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(376)</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Balances, March 31, 2023</w:t>
            </w:r>
          </w:p>
        </w:tc>
        <w:tc>
          <w:tcPr>
            <w:tcW w:w="7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36,532,756 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2,151,098 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(128,892)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489,716 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208,510 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(3,483)</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565,890 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40" w:after="283"/>
        <w:jc w:val="center"/>
        <w:rPr/>
      </w:pPr>
      <w:r>
        <w:rPr/>
      </w:r>
    </w:p>
    <w:p>
      <w:pPr>
        <w:pStyle w:val="TextBody"/>
        <w:spacing w:lineRule="auto" w:line="288" w:before="120" w:after="283"/>
        <w:jc w:val="center"/>
        <w:rPr/>
      </w:pPr>
      <w:r>
        <w:rPr>
          <w:rFonts w:ascii="Times New Roman;sans-serif" w:hAnsi="Times New Roman;sans-serif"/>
          <w:b w:val="false"/>
          <w:color w:val="000000"/>
          <w:sz w:val="16"/>
          <w:highlight w:val="white"/>
        </w:rPr>
        <w:t>See accompanying notes to these condensed consolidated financial statements.</w:t>
      </w:r>
      <w:r>
        <w:rPr>
          <w:rFonts w:ascii="Times New Roman;sans-serif" w:hAnsi="Times New Roman;sans-serif"/>
          <w:b w:val="false"/>
          <w:color w:val="000000"/>
          <w:sz w:val="16"/>
        </w:rPr>
        <w:t>.</w:t>
      </w:r>
      <w:r>
        <w:rPr>
          <w:color w:val="00000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838200"/>
                <wp:effectExtent l="0" t="0" r="0" b="0"/>
                <wp:wrapNone/>
                <wp:docPr id="12" name="Frame5"/>
                <a:graphic xmlns:a="http://schemas.openxmlformats.org/drawingml/2006/main">
                  <a:graphicData uri="http://schemas.microsoft.com/office/word/2010/wordprocessingShape">
                    <wps:wsp>
                      <wps:cNvSpPr txBox="1"/>
                      <wps:spPr>
                        <a:xfrm>
                          <a:off x="0" y="0"/>
                          <a:ext cx="6480175" cy="838200"/>
                        </a:xfrm>
                        <a:prstGeom prst="rect"/>
                      </wps:spPr>
                      <wps:txb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rFonts w:ascii="Times New Roman;sans-serif" w:hAnsi="Times New Roman;sans-serif"/>
                                      <w:b/>
                                      <w:color w:val="000000"/>
                                      <w:sz w:val="12"/>
                                    </w:rPr>
                                  </w:pPr>
                                  <w:r>
                                    <w:rPr>
                                      <w:rFonts w:ascii="Times New Roman;sans-serif" w:hAnsi="Times New Roman;sans-serif"/>
                                      <w:b/>
                                      <w:color w:val="000000"/>
                                      <w:sz w:val="12"/>
                                    </w:rPr>
                                    <w:t>Form 10-Q for the Quarterly Period ended March 31, 2023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pt;mso-wrap-distance-left:0pt;mso-wrap-distance-right:0pt;mso-wrap-distance-top:0pt;mso-wrap-distance-bottom:0pt;margin-top:0pt;mso-position-vertical:top;mso-position-vertical-relative:text;margin-left:0pt;mso-position-horizontal:left;mso-position-horizontal-relative:text">
                <v:textbo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6"/>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rFonts w:ascii="Times New Roman;sans-serif" w:hAnsi="Times New Roman;sans-serif"/>
                                <w:b/>
                                <w:color w:val="000000"/>
                                <w:sz w:val="12"/>
                              </w:rPr>
                            </w:pPr>
                            <w:r>
                              <w:rPr>
                                <w:rFonts w:ascii="Times New Roman;sans-serif" w:hAnsi="Times New Roman;sans-serif"/>
                                <w:b/>
                                <w:color w:val="000000"/>
                                <w:sz w:val="12"/>
                              </w:rPr>
                              <w:t>Form 10-Q for the Quarterly Period ended March 31, 2023</w:t>
                            </w:r>
                          </w:p>
                        </w:tc>
                      </w:tr>
                    </w:tbl>
                    <w:p>
                      <w:pPr>
                        <w:pStyle w:val="TextBody"/>
                        <w:spacing w:before="0" w:after="283"/>
                        <w:rPr/>
                      </w:pPr>
                      <w:r>
                        <w:rPr/>
                      </w:r>
                    </w:p>
                  </w:txbxContent>
                </v:textbox>
              </v:rect>
            </w:pict>
          </mc:Fallback>
        </mc:AlternateContent>
      </w:r>
    </w:p>
    <w:p>
      <w:pPr>
        <w:pStyle w:val="TextBody"/>
        <w:spacing w:lineRule="auto" w:line="288" w:before="240" w:after="283"/>
        <w:jc w:val="right"/>
        <w:rPr/>
      </w:pPr>
      <w:hyperlink w:anchor="i6d9a8d1ab1f5454885a98aaf9e608722_7">
        <w:r>
          <w:rPr>
            <w:rStyle w:val="InternetLink"/>
            <w:rFonts w:ascii="Times New Roman;sans-serif" w:hAnsi="Times New Roman;sans-serif"/>
            <w:b w:val="false"/>
            <w:color w:val="0000FF"/>
            <w:sz w:val="16"/>
            <w:u w:val="single"/>
          </w:rPr>
          <w:t>Table of Contents</w:t>
        </w:r>
      </w:hyperlink>
    </w:p>
    <w:p>
      <w:pPr>
        <w:pStyle w:val="TextBody"/>
        <w:spacing w:lineRule="auto" w:line="288" w:before="360" w:after="283"/>
        <w:jc w:val="center"/>
        <w:rPr>
          <w:rFonts w:ascii="Times New Roman;sans-serif" w:hAnsi="Times New Roman;sans-serif"/>
          <w:b/>
          <w:color w:val="00AAE5"/>
          <w:sz w:val="20"/>
        </w:rPr>
      </w:pPr>
      <w:r>
        <w:rPr>
          <w:rFonts w:ascii="Times New Roman;sans-serif" w:hAnsi="Times New Roman;sans-serif"/>
          <w:b/>
          <w:color w:val="00AAE5"/>
          <w:sz w:val="20"/>
        </w:rPr>
        <w:t>SPS COMMERCE, INC. AND SUBSIDIARIES</w:t>
      </w:r>
    </w:p>
    <w:p>
      <w:pPr>
        <w:pStyle w:val="TextBody"/>
        <w:spacing w:lineRule="auto" w:line="288" w:before="0" w:after="0"/>
        <w:jc w:val="center"/>
        <w:rPr>
          <w:rFonts w:ascii="Times New Roman;sans-serif" w:hAnsi="Times New Roman;sans-serif"/>
          <w:b/>
          <w:color w:val="00AAE5"/>
          <w:sz w:val="20"/>
        </w:rPr>
      </w:pPr>
      <w:r>
        <w:rPr>
          <w:rFonts w:ascii="Times New Roman;sans-serif" w:hAnsi="Times New Roman;sans-serif"/>
          <w:b/>
          <w:color w:val="00AAE5"/>
          <w:sz w:val="20"/>
        </w:rPr>
        <w:t>CONDENSED CONSOLIDATED STATEMENTS OF CASH FLOWS</w:t>
      </w:r>
    </w:p>
    <w:tbl>
      <w:tblPr>
        <w:tblW w:w="8723" w:type="dxa"/>
        <w:jc w:val="center"/>
        <w:tblInd w:w="0" w:type="dxa"/>
        <w:tblCellMar>
          <w:top w:w="28" w:type="dxa"/>
          <w:left w:w="28" w:type="dxa"/>
          <w:bottom w:w="28" w:type="dxa"/>
          <w:right w:w="28" w:type="dxa"/>
        </w:tblCellMar>
      </w:tblPr>
      <w:tblGrid>
        <w:gridCol w:w="2193"/>
        <w:gridCol w:w="1930"/>
        <w:gridCol w:w="1936"/>
        <w:gridCol w:w="211"/>
        <w:gridCol w:w="826"/>
        <w:gridCol w:w="109"/>
        <w:gridCol w:w="109"/>
        <w:gridCol w:w="109"/>
        <w:gridCol w:w="109"/>
        <w:gridCol w:w="211"/>
        <w:gridCol w:w="826"/>
        <w:gridCol w:w="154"/>
      </w:tblGrid>
      <w:tr>
        <w:trPr/>
        <w:tc>
          <w:tcPr>
            <w:tcW w:w="2193" w:type="dxa"/>
            <w:tcBorders/>
            <w:shd w:fill="auto" w:val="clear"/>
            <w:vAlign w:val="center"/>
          </w:tcPr>
          <w:p>
            <w:pPr>
              <w:pStyle w:val="TableContents"/>
              <w:spacing w:before="0" w:after="283"/>
              <w:rPr>
                <w:sz w:val="4"/>
                <w:szCs w:val="4"/>
              </w:rPr>
            </w:pPr>
            <w:r>
              <w:rPr>
                <w:sz w:val="4"/>
                <w:szCs w:val="4"/>
              </w:rPr>
            </w:r>
          </w:p>
        </w:tc>
        <w:tc>
          <w:tcPr>
            <w:tcW w:w="1930" w:type="dxa"/>
            <w:tcBorders/>
            <w:shd w:fill="auto" w:val="clear"/>
            <w:vAlign w:val="center"/>
          </w:tcPr>
          <w:p>
            <w:pPr>
              <w:pStyle w:val="TableContents"/>
              <w:spacing w:before="0" w:after="283"/>
              <w:rPr>
                <w:sz w:val="4"/>
                <w:szCs w:val="4"/>
              </w:rPr>
            </w:pPr>
            <w:r>
              <w:rPr>
                <w:sz w:val="4"/>
                <w:szCs w:val="4"/>
              </w:rPr>
            </w:r>
          </w:p>
        </w:tc>
        <w:tc>
          <w:tcPr>
            <w:tcW w:w="19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60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(unaudited)</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property and equipment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costs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investments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(54,977)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investments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exercise of options to purchase common stock</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employee stock purchase plan activity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changes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See accompanying notes to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838200"/>
                <wp:effectExtent l="0" t="0" r="0" b="0"/>
                <wp:wrapNone/>
                <wp:docPr id="15" name="Frame6"/>
                <a:graphic xmlns:a="http://schemas.openxmlformats.org/drawingml/2006/main">
                  <a:graphicData uri="http://schemas.microsoft.com/office/word/2010/wordprocessingShape">
                    <wps:wsp>
                      <wps:cNvSpPr txBox="1"/>
                      <wps:spPr>
                        <a:xfrm>
                          <a:off x="0" y="0"/>
                          <a:ext cx="6480175" cy="838200"/>
                        </a:xfrm>
                        <a:prstGeom prst="rect"/>
                      </wps:spPr>
                      <wps:txb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7"/>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highlight w:val="white"/>
                                    </w:rPr>
                                    <w:t>March 31, 2023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pt;mso-wrap-distance-left:0pt;mso-wrap-distance-right:0pt;mso-wrap-distance-top:0pt;mso-wrap-distance-bottom:0pt;margin-top:0pt;mso-position-vertical:top;mso-position-vertical-relative:text;margin-left:0pt;mso-position-horizontal:left;mso-position-horizontal-relative:text">
                <v:textbo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7"/>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highlight w:val="white"/>
                              </w:rPr>
                              <w:t>March 31, 2023</w:t>
                            </w:r>
                          </w:p>
                        </w:tc>
                      </w:tr>
                    </w:tbl>
                    <w:p>
                      <w:pPr>
                        <w:pStyle w:val="TextBody"/>
                        <w:spacing w:before="0" w:after="283"/>
                        <w:rPr/>
                      </w:pPr>
                      <w:r>
                        <w:rPr/>
                      </w:r>
                    </w:p>
                  </w:txbxContent>
                </v:textbox>
              </v:rect>
            </w:pict>
          </mc:Fallback>
        </mc:AlternateContent>
      </w:r>
    </w:p>
    <w:p>
      <w:pPr>
        <w:pStyle w:val="TextBody"/>
        <w:spacing w:lineRule="auto" w:line="288" w:before="240" w:after="283"/>
        <w:jc w:val="right"/>
        <w:rPr/>
      </w:pPr>
      <w:hyperlink w:anchor="i6d9a8d1ab1f5454885a98aaf9e608722_7">
        <w:r>
          <w:rPr>
            <w:rStyle w:val="InternetLink"/>
            <w:rFonts w:ascii="Times New Roman;sans-serif" w:hAnsi="Times New Roman;sans-serif"/>
            <w:b w:val="false"/>
            <w:color w:val="0000FF"/>
            <w:sz w:val="16"/>
            <w:u w:val="single"/>
          </w:rPr>
          <w:t>Table of Contents</w:t>
        </w:r>
      </w:hyperlink>
    </w:p>
    <w:p>
      <w:pPr>
        <w:pStyle w:val="TextBody"/>
        <w:spacing w:lineRule="auto" w:line="288" w:before="360" w:after="283"/>
        <w:jc w:val="center"/>
        <w:rPr>
          <w:rFonts w:ascii="Times New Roman;sans-serif" w:hAnsi="Times New Roman;sans-serif"/>
          <w:b/>
          <w:color w:val="00AAE5"/>
          <w:sz w:val="20"/>
        </w:rPr>
      </w:pPr>
      <w:r>
        <w:rPr>
          <w:rFonts w:ascii="Times New Roman;sans-serif" w:hAnsi="Times New Roman;sans-serif"/>
          <w:b/>
          <w:color w:val="00AAE5"/>
          <w:sz w:val="20"/>
        </w:rPr>
        <w:t>SPS COMMERCE, INC. AND SUBSIDIARIES</w:t>
      </w:r>
    </w:p>
    <w:p>
      <w:pPr>
        <w:pStyle w:val="TextBody"/>
        <w:spacing w:lineRule="auto" w:line="288" w:before="0" w:after="0"/>
        <w:jc w:val="center"/>
        <w:rPr>
          <w:rFonts w:ascii="Times New Roman;sans-serif" w:hAnsi="Times New Roman;sans-serif"/>
          <w:b/>
          <w:color w:val="00AAE5"/>
          <w:sz w:val="20"/>
        </w:rPr>
      </w:pPr>
      <w:r>
        <w:rPr>
          <w:rFonts w:ascii="Times New Roman;sans-serif" w:hAnsi="Times New Roman;sans-serif"/>
          <w:b/>
          <w:color w:val="00AAE5"/>
          <w:sz w:val="20"/>
        </w:rPr>
        <w:t xml:space="preserve">NOTES TO CONDENSED CONSOLIDATED FINANCIAL STATEMENTS </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AAE5"/>
          <w:sz w:val="20"/>
        </w:rPr>
      </w:pPr>
      <w:r>
        <w:rPr>
          <w:rFonts w:ascii="Times New Roman;sans-serif" w:hAnsi="Times New Roman;sans-serif"/>
          <w:b/>
          <w:color w:val="00AAE5"/>
          <w:sz w:val="20"/>
        </w:rPr>
        <w:t>NOTE A – General</w:t>
      </w:r>
    </w:p>
    <w:p>
      <w:pPr>
        <w:pStyle w:val="TextBody"/>
        <w:spacing w:lineRule="auto" w:line="288" w:before="240" w:after="283"/>
        <w:rPr>
          <w:rFonts w:ascii="Times New Roman;sans-serif" w:hAnsi="Times New Roman;sans-serif"/>
          <w:b/>
          <w:i/>
          <w:color w:val="1F282C"/>
          <w:sz w:val="20"/>
        </w:rPr>
      </w:pPr>
      <w:r>
        <w:rPr>
          <w:rFonts w:ascii="Times New Roman;sans-serif" w:hAnsi="Times New Roman;sans-serif"/>
          <w:b/>
          <w:i/>
          <w:color w:val="1F282C"/>
          <w:sz w:val="20"/>
        </w:rPr>
        <w:t>Business Description</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SPS Commerce is a leading provider of cloud-based supply chain management services across our global retail network. Our products make it easier for retailers, grocers, distributors, suppliers, and logistics firms to communicate and collaborate by simplifying how they manage and share item, inventory, order and sales data across omnichannel retail channels. We deliver our products using a full-service model, which includes industry-leading technology and a team of experts that optimize, update, and operate the technology on customers' behalf.</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products enable customers to increase supply chain performance, optimize inventory levels and sell-through, reduce operational costs, improve order visibility, and satisfy consumer demands for a seamless omnichannel experience.</w:t>
      </w:r>
    </w:p>
    <w:p>
      <w:pPr>
        <w:pStyle w:val="TextBody"/>
        <w:spacing w:lineRule="auto" w:line="288" w:before="240" w:after="283"/>
        <w:rPr>
          <w:rFonts w:ascii="Times New Roman;sans-serif" w:hAnsi="Times New Roman;sans-serif"/>
          <w:b/>
          <w:i/>
          <w:color w:val="1F282C"/>
          <w:sz w:val="20"/>
        </w:rPr>
      </w:pPr>
      <w:r>
        <w:rPr>
          <w:rFonts w:ascii="Times New Roman;sans-serif" w:hAnsi="Times New Roman;sans-serif"/>
          <w:b/>
          <w:i/>
          <w:color w:val="1F282C"/>
          <w:sz w:val="20"/>
        </w:rPr>
        <w:t>Basis of Presentation</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condensed consolidated financial statements have been prepared in conformity with accounting principles generally accepted in the United States of America (“GAAP”) and include the accounts of SPS Commerce, Inc. and its subsidiaries. All intercompany accounts and transactions have been eliminated in the condensed consolidated financial statements. </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This interim financial information has been prepared under the instructions to Form 10-Q and Rule 10-01 of Regulation S-X. Accordingly, these condensed consolidated financial statements do not include all of the information and notes required by GAAP. Therefore, these condensed consolidated financial statements should be read in conjunction with the consolidated financial statements and notes included in our Annual Report on Form 10-K for the year ended December 31, 2022, as filed with the Securities and Exchange Commission (“SEC”). We have included all normal recurring adjustments considered necessary to provide a fair presentation of our financial position, results of operations, stockholders’ equity, and cash flows for the interim periods presented. Operating results for these interim periods are not necessarily indicative of the results to be expected for the full year.</w:t>
      </w:r>
    </w:p>
    <w:p>
      <w:pPr>
        <w:pStyle w:val="TextBody"/>
        <w:spacing w:lineRule="auto" w:line="288" w:before="240" w:after="283"/>
        <w:rPr>
          <w:rFonts w:ascii="Times New Roman;sans-serif" w:hAnsi="Times New Roman;sans-serif"/>
          <w:b/>
          <w:i/>
          <w:color w:val="1F282C"/>
          <w:sz w:val="20"/>
        </w:rPr>
      </w:pPr>
      <w:r>
        <w:rPr>
          <w:rFonts w:ascii="Times New Roman;sans-serif" w:hAnsi="Times New Roman;sans-serif"/>
          <w:b/>
          <w:i/>
          <w:color w:val="1F282C"/>
          <w:sz w:val="20"/>
        </w:rPr>
        <w:t>Use of Estimates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Preparing financial statements in conformity with GAAP requires management to make estimates, judgments, and assumptions that affect the reported amounts of assets and liabilities, disclosure of contingent assets and liabilities at the date of the financial statements, and the reported amounts of revenues and expenses during the reporting periods. Actual results could differ from those estimates.</w:t>
      </w:r>
    </w:p>
    <w:p>
      <w:pPr>
        <w:pStyle w:val="TextBody"/>
        <w:spacing w:lineRule="auto" w:line="288" w:before="240" w:after="283"/>
        <w:rPr>
          <w:rFonts w:ascii="Times New Roman;sans-serif" w:hAnsi="Times New Roman;sans-serif"/>
          <w:b/>
          <w:i/>
          <w:color w:val="1F282C"/>
          <w:sz w:val="20"/>
          <w:highlight w:val="white"/>
        </w:rPr>
      </w:pPr>
      <w:r>
        <w:rPr>
          <w:rFonts w:ascii="Times New Roman;sans-serif" w:hAnsi="Times New Roman;sans-serif"/>
          <w:b/>
          <w:i/>
          <w:color w:val="1F282C"/>
          <w:sz w:val="20"/>
          <w:highlight w:val="white"/>
        </w:rPr>
        <w:t>Significant Accounting Policies</w:t>
      </w:r>
    </w:p>
    <w:p>
      <w:pPr>
        <w:pStyle w:val="TextBody"/>
        <w:spacing w:lineRule="auto" w:line="288" w:before="120" w:after="283"/>
        <w:ind w:left="0" w:right="0" w:firstLine="720"/>
        <w:rPr/>
      </w:pPr>
      <w:r>
        <w:rPr>
          <w:rFonts w:ascii="Times New Roman;sans-serif" w:hAnsi="Times New Roman;sans-serif"/>
          <w:b w:val="false"/>
          <w:color w:val="000000"/>
          <w:sz w:val="20"/>
          <w:highlight w:val="white"/>
        </w:rPr>
        <w:t xml:space="preserve">There were no material changes in our significant accounting policies during the three months ended March 31, 2023. See Note A to the consolidated financial statements included in our Annual Report on Form 10-K for the year ended </w:t>
      </w:r>
      <w:r>
        <w:rPr>
          <w:rFonts w:ascii="Times New Roman;sans-serif" w:hAnsi="Times New Roman;sans-serif"/>
          <w:b w:val="false"/>
          <w:color w:val="000000"/>
          <w:sz w:val="20"/>
        </w:rPr>
        <w:t>December 31, 2022</w:t>
      </w:r>
      <w:r>
        <w:rPr>
          <w:rFonts w:ascii="Times New Roman;sans-serif" w:hAnsi="Times New Roman;sans-serif"/>
          <w:b w:val="false"/>
          <w:color w:val="000000"/>
          <w:sz w:val="20"/>
          <w:highlight w:val="white"/>
        </w:rPr>
        <w:t>, as filed with the SEC, for additional information regarding our significant accounting policies.</w:t>
      </w:r>
    </w:p>
    <w:p>
      <w:pPr>
        <w:pStyle w:val="TextBody"/>
        <w:spacing w:lineRule="auto" w:line="288" w:before="240" w:after="283"/>
        <w:rPr>
          <w:rFonts w:ascii="Times New Roman;sans-serif" w:hAnsi="Times New Roman;sans-serif"/>
          <w:b/>
          <w:i/>
          <w:color w:val="1F282C"/>
          <w:sz w:val="20"/>
          <w:highlight w:val="white"/>
        </w:rPr>
      </w:pPr>
      <w:r>
        <w:rPr>
          <w:rFonts w:ascii="Times New Roman;sans-serif" w:hAnsi="Times New Roman;sans-serif"/>
          <w:b/>
          <w:i/>
          <w:color w:val="1F282C"/>
          <w:sz w:val="20"/>
          <w:highlight w:val="white"/>
        </w:rPr>
        <w:t>Accounting Pronouncements Recently Adopted</w:t>
      </w:r>
    </w:p>
    <w:tbl>
      <w:tblPr>
        <w:tblW w:w="10205" w:type="dxa"/>
        <w:jc w:val="left"/>
        <w:tblInd w:w="0" w:type="dxa"/>
        <w:tblCellMar>
          <w:top w:w="28" w:type="dxa"/>
          <w:left w:w="28" w:type="dxa"/>
          <w:bottom w:w="28" w:type="dxa"/>
          <w:right w:w="28" w:type="dxa"/>
        </w:tblCellMar>
      </w:tblPr>
      <w:tblGrid>
        <w:gridCol w:w="859"/>
        <w:gridCol w:w="755"/>
        <w:gridCol w:w="764"/>
        <w:gridCol w:w="296"/>
        <w:gridCol w:w="256"/>
        <w:gridCol w:w="257"/>
        <w:gridCol w:w="1083"/>
        <w:gridCol w:w="1083"/>
        <w:gridCol w:w="1094"/>
        <w:gridCol w:w="281"/>
        <w:gridCol w:w="281"/>
        <w:gridCol w:w="282"/>
        <w:gridCol w:w="1050"/>
        <w:gridCol w:w="769"/>
        <w:gridCol w:w="1095"/>
      </w:tblGrid>
      <w:tr>
        <w:trPr/>
        <w:tc>
          <w:tcPr>
            <w:tcW w:w="859"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r>
      <w:tr>
        <w:trPr/>
        <w:tc>
          <w:tcPr>
            <w:tcW w:w="23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Standard</w:t>
            </w:r>
          </w:p>
        </w:tc>
        <w:tc>
          <w:tcPr>
            <w:tcW w:w="8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 of Issuance</w:t>
            </w:r>
          </w:p>
        </w:tc>
        <w:tc>
          <w:tcPr>
            <w:tcW w:w="3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8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 of Adoption</w:t>
            </w:r>
          </w:p>
        </w:tc>
        <w:tc>
          <w:tcPr>
            <w:tcW w:w="29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on the Financial Statements</w:t>
            </w:r>
          </w:p>
        </w:tc>
      </w:tr>
      <w:tr>
        <w:trPr/>
        <w:tc>
          <w:tcPr>
            <w:tcW w:w="237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0"/>
              <w:jc w:val="center"/>
              <w:rPr/>
            </w:pPr>
            <w:r>
              <w:rPr>
                <w:rFonts w:ascii="Times New Roman;sans-serif" w:hAnsi="Times New Roman;sans-serif"/>
                <w:b/>
                <w:color w:val="000000"/>
                <w:sz w:val="20"/>
              </w:rPr>
              <w:t xml:space="preserve">ASU 2021-08, </w:t>
            </w:r>
            <w:r>
              <w:rPr>
                <w:rFonts w:ascii="Times New Roman;sans-serif" w:hAnsi="Times New Roman;sans-serif"/>
                <w:b w:val="false"/>
                <w:color w:val="000000"/>
                <w:sz w:val="20"/>
              </w:rPr>
              <w:t>Business Combinations (Topic 805) - Accounting for Contract Assets and Contract Liabilities from Contracts with Customers</w:t>
            </w:r>
          </w:p>
        </w:tc>
        <w:tc>
          <w:tcPr>
            <w:tcW w:w="8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2021</w:t>
            </w:r>
          </w:p>
        </w:tc>
        <w:tc>
          <w:tcPr>
            <w:tcW w:w="32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This amendment requires that an acquirer recognize and measure contract assets and contract liabilities acquired in a business combination in accordance with Topic 606, effective for all business combinations in the year of adoption and thereafter.</w:t>
            </w:r>
          </w:p>
        </w:tc>
        <w:tc>
          <w:tcPr>
            <w:tcW w:w="8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2023</w:t>
            </w:r>
          </w:p>
        </w:tc>
        <w:tc>
          <w:tcPr>
            <w:tcW w:w="29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adoption of this standard may have a material impact on the purchase accounting for future business combinations depending on the specific amount of contract assets and liabilities being acquired.</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838200"/>
                <wp:effectExtent l="0" t="0" r="0" b="0"/>
                <wp:wrapNone/>
                <wp:docPr id="18" name="Frame7"/>
                <a:graphic xmlns:a="http://schemas.openxmlformats.org/drawingml/2006/main">
                  <a:graphicData uri="http://schemas.microsoft.com/office/word/2010/wordprocessingShape">
                    <wps:wsp>
                      <wps:cNvSpPr txBox="1"/>
                      <wps:spPr>
                        <a:xfrm>
                          <a:off x="0" y="0"/>
                          <a:ext cx="6480175" cy="838200"/>
                        </a:xfrm>
                        <a:prstGeom prst="rect"/>
                      </wps:spPr>
                      <wps:txb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8"/>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highlight w:val="white"/>
                                    </w:rPr>
                                    <w:t>March 31, 2023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pt;mso-wrap-distance-left:0pt;mso-wrap-distance-right:0pt;mso-wrap-distance-top:0pt;mso-wrap-distance-bottom:0pt;margin-top:0pt;mso-position-vertical:top;mso-position-vertical-relative:text;margin-left:0pt;mso-position-horizontal:left;mso-position-horizontal-relative:text">
                <v:textbo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8"/>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highlight w:val="white"/>
                              </w:rPr>
                              <w:t>March 31, 2023</w:t>
                            </w:r>
                          </w:p>
                        </w:tc>
                      </w:tr>
                    </w:tbl>
                    <w:p>
                      <w:pPr>
                        <w:pStyle w:val="TextBody"/>
                        <w:spacing w:before="0" w:after="283"/>
                        <w:rPr/>
                      </w:pPr>
                      <w:r>
                        <w:rPr/>
                      </w:r>
                    </w:p>
                  </w:txbxContent>
                </v:textbox>
              </v:rect>
            </w:pict>
          </mc:Fallback>
        </mc:AlternateContent>
      </w:r>
    </w:p>
    <w:p>
      <w:pPr>
        <w:pStyle w:val="TextBody"/>
        <w:spacing w:lineRule="auto" w:line="288" w:before="240" w:after="283"/>
        <w:jc w:val="right"/>
        <w:rPr/>
      </w:pPr>
      <w:hyperlink w:anchor="i6d9a8d1ab1f5454885a98aaf9e608722_7">
        <w:r>
          <w:rPr>
            <w:rStyle w:val="InternetLink"/>
            <w:rFonts w:ascii="Times New Roman;sans-serif" w:hAnsi="Times New Roman;sans-serif"/>
            <w:b w:val="false"/>
            <w:color w:val="0000FF"/>
            <w:sz w:val="16"/>
            <w:u w:val="single"/>
          </w:rPr>
          <w:t>Table of Contents</w:t>
        </w:r>
      </w:hyperlink>
    </w:p>
    <w:p>
      <w:pPr>
        <w:pStyle w:val="TextBody"/>
        <w:spacing w:lineRule="auto" w:line="288" w:before="360" w:after="283"/>
        <w:rPr>
          <w:rFonts w:ascii="Times New Roman;sans-serif" w:hAnsi="Times New Roman;sans-serif"/>
          <w:b/>
          <w:color w:val="00AAE5"/>
          <w:sz w:val="20"/>
        </w:rPr>
      </w:pPr>
      <w:r>
        <w:rPr>
          <w:rFonts w:ascii="Times New Roman;sans-serif" w:hAnsi="Times New Roman;sans-serif"/>
          <w:b/>
          <w:color w:val="00AAE5"/>
          <w:sz w:val="20"/>
        </w:rPr>
        <w:t>NOTE B – Business Acquisitions</w:t>
      </w:r>
    </w:p>
    <w:p>
      <w:pPr>
        <w:pStyle w:val="TextBody"/>
        <w:spacing w:lineRule="auto" w:line="288" w:before="240" w:after="283"/>
        <w:rPr>
          <w:rFonts w:ascii="Times New Roman;sans-serif" w:hAnsi="Times New Roman;sans-serif"/>
          <w:b/>
          <w:color w:val="000000"/>
          <w:sz w:val="20"/>
          <w:u w:val="single"/>
        </w:rPr>
      </w:pPr>
      <w:r>
        <w:rPr>
          <w:rFonts w:ascii="Times New Roman;sans-serif" w:hAnsi="Times New Roman;sans-serif"/>
          <w:b/>
          <w:color w:val="000000"/>
          <w:sz w:val="20"/>
          <w:u w:val="single"/>
        </w:rPr>
        <w:t>GCommerce</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July 19, 2022, we acquired all of the outstanding equity ownership interests of GCommerce, Inc. ("GCommerce"), a leading EDI provider within the automotive aftermarket industry. Pursuant to the definitive agreement, the purchase price was $45.1 million, including post-closing adjustments. The purchase accounting for the acquisition has not been finalized as of March 31, 2023 due primarily to provisional tax components and corresponding impacts to other items, including intangible assets. We expect to finalize the allocation of the purchase price within the one-year measurement period following the acquisition. During the quarter ended March 31, 2023, provisional amounts were adjusted by $1.6 million, primarily relating to a $1.5 million decrease in the estimated value of deferred income tax assets, with the corresponding offset to goodwill. </w:t>
      </w:r>
    </w:p>
    <w:p>
      <w:pPr>
        <w:pStyle w:val="TextBody"/>
        <w:spacing w:lineRule="auto" w:line="288" w:before="240" w:after="283"/>
        <w:rPr>
          <w:rFonts w:ascii="Times New Roman;sans-serif" w:hAnsi="Times New Roman;sans-serif"/>
          <w:b/>
          <w:color w:val="000000"/>
          <w:sz w:val="20"/>
          <w:u w:val="single"/>
        </w:rPr>
      </w:pPr>
      <w:r>
        <w:rPr>
          <w:rFonts w:ascii="Times New Roman;sans-serif" w:hAnsi="Times New Roman;sans-serif"/>
          <w:b/>
          <w:color w:val="000000"/>
          <w:sz w:val="20"/>
          <w:u w:val="single"/>
        </w:rPr>
        <w:t>InterTrade</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Effective October 4, 2022, we acquired all of the outstanding equity ownership interests of Canadian based InterTrade Systems Inc. ("InterTrade"), a leading EDI provider within the apparel and general merchandising markets. Pursuant to the definitive agreement, the purchase price was $49.1 million, including estimated post-closing adjustments. The purchase accounting for the acquisition has not been finalized as of March 31, 2023 due to various items including valuation modeling completion; provisional amounts are primarily related to intangible assets. We expect to finalize the allocation of the purchase price within the one-year measurement period following the acquisition. During the quarter ended March 31, 2023, there were no material changes to the provisional amounts.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pPr>
      <w:r>
        <w:rPr>
          <w:rFonts w:ascii="Times New Roman;sans-serif" w:hAnsi="Times New Roman;sans-serif"/>
          <w:b/>
          <w:color w:val="00AAE5"/>
          <w:sz w:val="20"/>
        </w:rPr>
        <w:t>NOTE C – Revenue</w:t>
      </w:r>
      <w:r>
        <w:rPr>
          <w:color w:val="000000"/>
        </w:rPr>
        <w:t xml:space="preserve"> </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derive our revenues from the following revenue streams:</w:t>
      </w:r>
    </w:p>
    <w:tbl>
      <w:tblPr>
        <w:tblW w:w="4855" w:type="dxa"/>
        <w:jc w:val="center"/>
        <w:tblInd w:w="0" w:type="dxa"/>
        <w:tblCellMar>
          <w:top w:w="28" w:type="dxa"/>
          <w:left w:w="28" w:type="dxa"/>
          <w:bottom w:w="28" w:type="dxa"/>
          <w:right w:w="28" w:type="dxa"/>
        </w:tblCellMar>
      </w:tblPr>
      <w:tblGrid>
        <w:gridCol w:w="635"/>
        <w:gridCol w:w="559"/>
        <w:gridCol w:w="561"/>
        <w:gridCol w:w="211"/>
        <w:gridCol w:w="826"/>
        <w:gridCol w:w="109"/>
        <w:gridCol w:w="109"/>
        <w:gridCol w:w="109"/>
        <w:gridCol w:w="109"/>
        <w:gridCol w:w="211"/>
        <w:gridCol w:w="826"/>
        <w:gridCol w:w="109"/>
        <w:gridCol w:w="109"/>
        <w:gridCol w:w="109"/>
        <w:gridCol w:w="109"/>
        <w:gridCol w:w="154"/>
      </w:tblGrid>
      <w:tr>
        <w:trPr/>
        <w:tc>
          <w:tcPr>
            <w:tcW w:w="635"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Recurring 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Fulfillment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Analytics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Recurring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One-time revenues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Revenues are the amount that reflects the consideration we are contractually and legally entitled to, as well as the amount we expect to collect, in exchange for those services.</w:t>
      </w:r>
    </w:p>
    <w:p>
      <w:pPr>
        <w:pStyle w:val="TextBody"/>
        <w:spacing w:lineRule="auto" w:line="288" w:before="240" w:after="283"/>
        <w:rPr>
          <w:rFonts w:ascii="Times New Roman;sans-serif" w:hAnsi="Times New Roman;sans-serif"/>
          <w:b/>
          <w:i/>
          <w:color w:val="1F282C"/>
          <w:sz w:val="20"/>
        </w:rPr>
      </w:pPr>
      <w:r>
        <w:rPr>
          <w:rFonts w:ascii="Times New Roman;sans-serif" w:hAnsi="Times New Roman;sans-serif"/>
          <w:b/>
          <w:i/>
          <w:color w:val="1F282C"/>
          <w:sz w:val="20"/>
        </w:rPr>
        <w:t>Recurring Revenues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Recurring revenues consist of recurring subscriptions from customers that utilize our Fulfillment, Analytics, and Other supply chain management products. Revenue for these products is generally recognized on a ratable basis over the contract term beginning on the date that our service is made available to the customer. Our contracts with our recurring revenue customers are recurring in nature, generally ranging from monthly to annual, and generally allow the customer to cancel the contract for any reason with 30 to 90 days’ notice. Timing of billings varies by customer and by contract type and generally are either in advance or within 30 days of the service being performed.</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Given that the recurring revenue contracts are for one year or less, we have applied the optional exemption to not disclose information about the remaining performance obligations for recurring revenue contracts.</w:t>
      </w:r>
    </w:p>
    <w:p>
      <w:pPr>
        <w:pStyle w:val="TextBody"/>
        <w:spacing w:lineRule="auto" w:line="288" w:before="240" w:after="283"/>
        <w:rPr>
          <w:rFonts w:ascii="Times New Roman;sans-serif" w:hAnsi="Times New Roman;sans-serif"/>
          <w:b/>
          <w:i/>
          <w:color w:val="1F282C"/>
          <w:sz w:val="20"/>
        </w:rPr>
      </w:pPr>
      <w:r>
        <w:rPr>
          <w:rFonts w:ascii="Times New Roman;sans-serif" w:hAnsi="Times New Roman;sans-serif"/>
          <w:b/>
          <w:i/>
          <w:color w:val="1F282C"/>
          <w:sz w:val="20"/>
        </w:rPr>
        <w:t>One-time Revenues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One-time revenues consist of set-up fees and miscellaneous fees from customers.</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838200"/>
                <wp:effectExtent l="0" t="0" r="0" b="0"/>
                <wp:wrapNone/>
                <wp:docPr id="21" name="Frame8"/>
                <a:graphic xmlns:a="http://schemas.openxmlformats.org/drawingml/2006/main">
                  <a:graphicData uri="http://schemas.microsoft.com/office/word/2010/wordprocessingShape">
                    <wps:wsp>
                      <wps:cNvSpPr txBox="1"/>
                      <wps:spPr>
                        <a:xfrm>
                          <a:off x="0" y="0"/>
                          <a:ext cx="6480175" cy="838200"/>
                        </a:xfrm>
                        <a:prstGeom prst="rect"/>
                      </wps:spPr>
                      <wps:txb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9"/>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highlight w:val="white"/>
                                    </w:rPr>
                                    <w:t>March 31, 2023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pt;mso-wrap-distance-left:0pt;mso-wrap-distance-right:0pt;mso-wrap-distance-top:0pt;mso-wrap-distance-bottom:0pt;margin-top:0pt;mso-position-vertical:top;mso-position-vertical-relative:text;margin-left:0pt;mso-position-horizontal:left;mso-position-horizontal-relative:text">
                <v:textbo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2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8" descr=""/>
                                          <pic:cNvPicPr>
                                            <a:picLocks noChangeAspect="1" noChangeArrowheads="1"/>
                                          </pic:cNvPicPr>
                                        </pic:nvPicPr>
                                        <pic:blipFill>
                                          <a:blip r:embed="rId9"/>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highlight w:val="white"/>
                              </w:rPr>
                              <w:t>March 31, 2023</w:t>
                            </w:r>
                          </w:p>
                        </w:tc>
                      </w:tr>
                    </w:tbl>
                    <w:p>
                      <w:pPr>
                        <w:pStyle w:val="TextBody"/>
                        <w:spacing w:before="0" w:after="283"/>
                        <w:rPr/>
                      </w:pPr>
                      <w:r>
                        <w:rPr/>
                      </w:r>
                    </w:p>
                  </w:txbxContent>
                </v:textbox>
              </v:rect>
            </w:pict>
          </mc:Fallback>
        </mc:AlternateContent>
      </w:r>
    </w:p>
    <w:p>
      <w:pPr>
        <w:pStyle w:val="TextBody"/>
        <w:spacing w:lineRule="auto" w:line="288" w:before="240" w:after="283"/>
        <w:jc w:val="right"/>
        <w:rPr/>
      </w:pPr>
      <w:hyperlink w:anchor="i6d9a8d1ab1f5454885a98aaf9e608722_7">
        <w:r>
          <w:rPr>
            <w:rStyle w:val="InternetLink"/>
            <w:rFonts w:ascii="Times New Roman;sans-serif" w:hAnsi="Times New Roman;sans-serif"/>
            <w:b w:val="false"/>
            <w:color w:val="0000FF"/>
            <w:sz w:val="16"/>
            <w:u w:val="single"/>
          </w:rPr>
          <w:t>Table of Contents</w:t>
        </w:r>
      </w:hyperlink>
    </w:p>
    <w:p>
      <w:pPr>
        <w:pStyle w:val="TextBody"/>
        <w:spacing w:lineRule="auto" w:line="288" w:before="180" w:after="283"/>
        <w:rPr>
          <w:rFonts w:ascii="Times New Roman;sans-serif" w:hAnsi="Times New Roman;sans-serif"/>
          <w:b w:val="false"/>
          <w:i/>
          <w:color w:val="1F282C"/>
          <w:sz w:val="20"/>
        </w:rPr>
      </w:pPr>
      <w:r>
        <w:rPr>
          <w:rFonts w:ascii="Times New Roman;sans-serif" w:hAnsi="Times New Roman;sans-serif"/>
          <w:b w:val="false"/>
          <w:i/>
          <w:color w:val="1F282C"/>
          <w:sz w:val="20"/>
        </w:rPr>
        <w:t>Set-up revenues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Set-up fees are specific for each connection a customer has with a trading partner. These nonrefundable fees are necessary for our customers to utilize our services and do not provide any standalone value. Many of our customers have connections with numerous trading partners.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Set-up fees constitute a material renewal option right that provide customers a significant future incentive that would not be otherwise available to that customer unless they entered into the contract, as the set-up fees will not be incurred again upon contract renewal. As such, set-up fees and related costs are deferred and recognized ratably over two years which is the estimated period for which a material right is present for our customers.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presents the activity of the portion of the deferred revenue liability relating to set-up fees: </w:t>
      </w:r>
    </w:p>
    <w:tbl>
      <w:tblPr>
        <w:tblW w:w="5380" w:type="dxa"/>
        <w:jc w:val="center"/>
        <w:tblInd w:w="0" w:type="dxa"/>
        <w:tblCellMar>
          <w:top w:w="28" w:type="dxa"/>
          <w:left w:w="28" w:type="dxa"/>
          <w:bottom w:w="28" w:type="dxa"/>
          <w:right w:w="28" w:type="dxa"/>
        </w:tblCellMar>
      </w:tblPr>
      <w:tblGrid>
        <w:gridCol w:w="901"/>
        <w:gridCol w:w="793"/>
        <w:gridCol w:w="796"/>
        <w:gridCol w:w="211"/>
        <w:gridCol w:w="721"/>
        <w:gridCol w:w="109"/>
        <w:gridCol w:w="109"/>
        <w:gridCol w:w="109"/>
        <w:gridCol w:w="109"/>
        <w:gridCol w:w="211"/>
        <w:gridCol w:w="721"/>
        <w:gridCol w:w="109"/>
        <w:gridCol w:w="109"/>
        <w:gridCol w:w="109"/>
        <w:gridCol w:w="109"/>
        <w:gridCol w:w="154"/>
      </w:tblGrid>
      <w:tr>
        <w:trPr/>
        <w:tc>
          <w:tcPr>
            <w:tcW w:w="901"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Invoiced set-up fees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set-up fees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entire balance of deferred set-up fees will be recognized within two years. Those that will be recognized within the next year are classified as current, whereas the remainder are classified as non-current.</w:t>
      </w:r>
    </w:p>
    <w:p>
      <w:pPr>
        <w:pStyle w:val="TextBody"/>
        <w:spacing w:lineRule="auto" w:line="288"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Miscellaneous one-time revenues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Miscellaneous one-time fees consist of professional services and testing and certification. </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contract period for these one-time fees is for one year or less and recognized at the time service is provided. We have applied the optional exemption to not disclose information about the remaining performance obligations for miscellaneous one-time fee contracts since they have original durations of one year or less.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AAE5"/>
          <w:sz w:val="20"/>
        </w:rPr>
      </w:pPr>
      <w:r>
        <w:rPr>
          <w:rFonts w:ascii="Times New Roman;sans-serif" w:hAnsi="Times New Roman;sans-serif"/>
          <w:b/>
          <w:color w:val="00AAE5"/>
          <w:sz w:val="20"/>
        </w:rPr>
        <w:t>NOTE D – Deferred Costs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deferred costs activity was as follows:</w:t>
      </w:r>
    </w:p>
    <w:tbl>
      <w:tblPr>
        <w:tblW w:w="5380" w:type="dxa"/>
        <w:jc w:val="center"/>
        <w:tblInd w:w="0" w:type="dxa"/>
        <w:tblCellMar>
          <w:top w:w="28" w:type="dxa"/>
          <w:left w:w="28" w:type="dxa"/>
          <w:bottom w:w="28" w:type="dxa"/>
          <w:right w:w="28" w:type="dxa"/>
        </w:tblCellMar>
      </w:tblPr>
      <w:tblGrid>
        <w:gridCol w:w="901"/>
        <w:gridCol w:w="793"/>
        <w:gridCol w:w="796"/>
        <w:gridCol w:w="211"/>
        <w:gridCol w:w="721"/>
        <w:gridCol w:w="109"/>
        <w:gridCol w:w="109"/>
        <w:gridCol w:w="109"/>
        <w:gridCol w:w="109"/>
        <w:gridCol w:w="211"/>
        <w:gridCol w:w="721"/>
        <w:gridCol w:w="109"/>
        <w:gridCol w:w="109"/>
        <w:gridCol w:w="109"/>
        <w:gridCol w:w="109"/>
        <w:gridCol w:w="154"/>
      </w:tblGrid>
      <w:tr>
        <w:trPr/>
        <w:tc>
          <w:tcPr>
            <w:tcW w:w="901"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Incurred deferred costs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Amortized deferred costs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838200"/>
                <wp:effectExtent l="0" t="0" r="0" b="0"/>
                <wp:wrapNone/>
                <wp:docPr id="24" name="Frame9"/>
                <a:graphic xmlns:a="http://schemas.openxmlformats.org/drawingml/2006/main">
                  <a:graphicData uri="http://schemas.microsoft.com/office/word/2010/wordprocessingShape">
                    <wps:wsp>
                      <wps:cNvSpPr txBox="1"/>
                      <wps:spPr>
                        <a:xfrm>
                          <a:off x="0" y="0"/>
                          <a:ext cx="6480175" cy="838200"/>
                        </a:xfrm>
                        <a:prstGeom prst="rect"/>
                      </wps:spPr>
                      <wps:txb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0"/>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highlight w:val="white"/>
                                    </w:rPr>
                                    <w:t>March 31, 2023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pt;mso-wrap-distance-left:0pt;mso-wrap-distance-right:0pt;mso-wrap-distance-top:0pt;mso-wrap-distance-bottom:0pt;margin-top:0pt;mso-position-vertical:top;mso-position-vertical-relative:text;margin-left:0pt;mso-position-horizontal:left;mso-position-horizontal-relative:text">
                <v:textbo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0"/>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highlight w:val="white"/>
                              </w:rPr>
                              <w:t>March 31, 2023</w:t>
                            </w:r>
                          </w:p>
                        </w:tc>
                      </w:tr>
                    </w:tbl>
                    <w:p>
                      <w:pPr>
                        <w:pStyle w:val="TextBody"/>
                        <w:spacing w:before="0" w:after="283"/>
                        <w:rPr/>
                      </w:pPr>
                      <w:r>
                        <w:rPr/>
                      </w:r>
                    </w:p>
                  </w:txbxContent>
                </v:textbox>
              </v:rect>
            </w:pict>
          </mc:Fallback>
        </mc:AlternateContent>
      </w:r>
    </w:p>
    <w:p>
      <w:pPr>
        <w:pStyle w:val="TextBody"/>
        <w:spacing w:lineRule="auto" w:line="288" w:before="240" w:after="283"/>
        <w:jc w:val="right"/>
        <w:rPr/>
      </w:pPr>
      <w:hyperlink w:anchor="i6d9a8d1ab1f5454885a98aaf9e608722_7">
        <w:r>
          <w:rPr>
            <w:rStyle w:val="InternetLink"/>
            <w:rFonts w:ascii="Times New Roman;sans-serif" w:hAnsi="Times New Roman;sans-serif"/>
            <w:b w:val="false"/>
            <w:color w:val="0000FF"/>
            <w:sz w:val="16"/>
            <w:u w:val="single"/>
          </w:rPr>
          <w:t>Table of Contents</w:t>
        </w:r>
      </w:hyperlink>
    </w:p>
    <w:p>
      <w:pPr>
        <w:pStyle w:val="TextBody"/>
        <w:spacing w:lineRule="auto" w:line="288" w:before="360" w:after="283"/>
        <w:rPr>
          <w:rFonts w:ascii="Times New Roman;sans-serif" w:hAnsi="Times New Roman;sans-serif"/>
          <w:b/>
          <w:color w:val="00AAE5"/>
          <w:sz w:val="20"/>
        </w:rPr>
      </w:pPr>
      <w:r>
        <w:rPr>
          <w:rFonts w:ascii="Times New Roman;sans-serif" w:hAnsi="Times New Roman;sans-serif"/>
          <w:b/>
          <w:color w:val="00AAE5"/>
          <w:sz w:val="20"/>
        </w:rPr>
        <w:t>NOTE E – Fair Value Measurements</w:t>
      </w:r>
    </w:p>
    <w:p>
      <w:pPr>
        <w:pStyle w:val="TextBody"/>
        <w:spacing w:lineRule="auto" w:line="288" w:before="240" w:after="283"/>
        <w:rPr>
          <w:rFonts w:ascii="Times New Roman;sans-serif" w:hAnsi="Times New Roman;sans-serif"/>
          <w:b/>
          <w:i/>
          <w:color w:val="1F282C"/>
          <w:sz w:val="20"/>
        </w:rPr>
      </w:pPr>
      <w:r>
        <w:rPr>
          <w:rFonts w:ascii="Times New Roman;sans-serif" w:hAnsi="Times New Roman;sans-serif"/>
          <w:b/>
          <w:i/>
          <w:color w:val="1F282C"/>
          <w:sz w:val="20"/>
        </w:rPr>
        <w:t>Cash Equivalents and Investments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Cash equivalents and investments, as measured at fair value on a recurring basis, consisted of the following:</w:t>
      </w:r>
    </w:p>
    <w:tbl>
      <w:tblPr>
        <w:tblW w:w="10387" w:type="dxa"/>
        <w:jc w:val="left"/>
        <w:tblInd w:w="0" w:type="dxa"/>
        <w:tblCellMar>
          <w:top w:w="28" w:type="dxa"/>
          <w:left w:w="28" w:type="dxa"/>
          <w:bottom w:w="28" w:type="dxa"/>
          <w:right w:w="28" w:type="dxa"/>
        </w:tblCellMar>
      </w:tblPr>
      <w:tblGrid>
        <w:gridCol w:w="457"/>
        <w:gridCol w:w="363"/>
        <w:gridCol w:w="306"/>
        <w:gridCol w:w="109"/>
        <w:gridCol w:w="109"/>
        <w:gridCol w:w="109"/>
        <w:gridCol w:w="220"/>
        <w:gridCol w:w="175"/>
        <w:gridCol w:w="176"/>
        <w:gridCol w:w="109"/>
        <w:gridCol w:w="109"/>
        <w:gridCol w:w="109"/>
        <w:gridCol w:w="211"/>
        <w:gridCol w:w="826"/>
        <w:gridCol w:w="109"/>
        <w:gridCol w:w="109"/>
        <w:gridCol w:w="109"/>
        <w:gridCol w:w="109"/>
        <w:gridCol w:w="237"/>
        <w:gridCol w:w="525"/>
        <w:gridCol w:w="124"/>
        <w:gridCol w:w="109"/>
        <w:gridCol w:w="109"/>
        <w:gridCol w:w="109"/>
        <w:gridCol w:w="211"/>
        <w:gridCol w:w="826"/>
        <w:gridCol w:w="109"/>
        <w:gridCol w:w="109"/>
        <w:gridCol w:w="109"/>
        <w:gridCol w:w="109"/>
        <w:gridCol w:w="211"/>
        <w:gridCol w:w="826"/>
        <w:gridCol w:w="109"/>
        <w:gridCol w:w="109"/>
        <w:gridCol w:w="109"/>
        <w:gridCol w:w="109"/>
        <w:gridCol w:w="237"/>
        <w:gridCol w:w="525"/>
        <w:gridCol w:w="124"/>
        <w:gridCol w:w="109"/>
        <w:gridCol w:w="109"/>
        <w:gridCol w:w="109"/>
        <w:gridCol w:w="211"/>
        <w:gridCol w:w="826"/>
        <w:gridCol w:w="154"/>
      </w:tblGrid>
      <w:tr>
        <w:trPr/>
        <w:tc>
          <w:tcPr>
            <w:tcW w:w="457"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Level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 (Losses), net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 (Losses), net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112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AAE5"/>
          <w:sz w:val="20"/>
        </w:rPr>
      </w:pPr>
      <w:r>
        <w:rPr>
          <w:rFonts w:ascii="Times New Roman;sans-serif" w:hAnsi="Times New Roman;sans-serif"/>
          <w:b/>
          <w:color w:val="00AAE5"/>
          <w:sz w:val="20"/>
        </w:rPr>
        <w:t>NOTE F – Allowance for Credit Losses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allowance for credit losses activity, included in accounts receivable, net, was as follows:</w:t>
      </w:r>
    </w:p>
    <w:tbl>
      <w:tblPr>
        <w:tblW w:w="4734" w:type="dxa"/>
        <w:jc w:val="center"/>
        <w:tblInd w:w="0" w:type="dxa"/>
        <w:tblCellMar>
          <w:top w:w="28" w:type="dxa"/>
          <w:left w:w="28" w:type="dxa"/>
          <w:bottom w:w="28" w:type="dxa"/>
          <w:right w:w="28" w:type="dxa"/>
        </w:tblCellMar>
      </w:tblPr>
      <w:tblGrid>
        <w:gridCol w:w="901"/>
        <w:gridCol w:w="793"/>
        <w:gridCol w:w="796"/>
        <w:gridCol w:w="211"/>
        <w:gridCol w:w="616"/>
        <w:gridCol w:w="109"/>
        <w:gridCol w:w="109"/>
        <w:gridCol w:w="109"/>
        <w:gridCol w:w="109"/>
        <w:gridCol w:w="211"/>
        <w:gridCol w:w="616"/>
        <w:gridCol w:w="154"/>
      </w:tblGrid>
      <w:tr>
        <w:trPr/>
        <w:tc>
          <w:tcPr>
            <w:tcW w:w="901"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 net of recoveries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AAE5"/>
          <w:sz w:val="20"/>
        </w:rPr>
      </w:pPr>
      <w:r>
        <w:rPr>
          <w:rFonts w:ascii="Times New Roman;sans-serif" w:hAnsi="Times New Roman;sans-serif"/>
          <w:b/>
          <w:color w:val="00AAE5"/>
          <w:sz w:val="20"/>
        </w:rPr>
        <w:t>NOTE G – Property and Equipment, Net</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w:t>
      </w:r>
    </w:p>
    <w:tbl>
      <w:tblPr>
        <w:tblW w:w="7349" w:type="dxa"/>
        <w:jc w:val="left"/>
        <w:tblInd w:w="0" w:type="dxa"/>
        <w:tblCellMar>
          <w:top w:w="28" w:type="dxa"/>
          <w:left w:w="28" w:type="dxa"/>
          <w:bottom w:w="28" w:type="dxa"/>
          <w:right w:w="28" w:type="dxa"/>
        </w:tblCellMar>
      </w:tblPr>
      <w:tblGrid>
        <w:gridCol w:w="1486"/>
        <w:gridCol w:w="1310"/>
        <w:gridCol w:w="1313"/>
        <w:gridCol w:w="109"/>
        <w:gridCol w:w="109"/>
        <w:gridCol w:w="109"/>
        <w:gridCol w:w="211"/>
        <w:gridCol w:w="721"/>
        <w:gridCol w:w="109"/>
        <w:gridCol w:w="109"/>
        <w:gridCol w:w="109"/>
        <w:gridCol w:w="109"/>
        <w:gridCol w:w="300"/>
        <w:gridCol w:w="1026"/>
        <w:gridCol w:w="219"/>
      </w:tblGrid>
      <w:tr>
        <w:trPr/>
        <w:tc>
          <w:tcPr>
            <w:tcW w:w="1486" w:type="dxa"/>
            <w:tcBorders/>
            <w:shd w:fill="auto" w:val="clear"/>
            <w:vAlign w:val="center"/>
          </w:tcPr>
          <w:p>
            <w:pPr>
              <w:pStyle w:val="TableContents"/>
              <w:spacing w:before="0" w:after="283"/>
              <w:rPr>
                <w:sz w:val="4"/>
                <w:szCs w:val="4"/>
              </w:rPr>
            </w:pPr>
            <w:r>
              <w:rPr>
                <w:sz w:val="4"/>
                <w:szCs w:val="4"/>
              </w:rPr>
            </w:r>
          </w:p>
        </w:tc>
        <w:tc>
          <w:tcPr>
            <w:tcW w:w="1310" w:type="dxa"/>
            <w:tcBorders/>
            <w:shd w:fill="auto" w:val="clear"/>
            <w:vAlign w:val="center"/>
          </w:tcPr>
          <w:p>
            <w:pPr>
              <w:pStyle w:val="TableContents"/>
              <w:spacing w:before="0" w:after="283"/>
              <w:rPr>
                <w:sz w:val="4"/>
                <w:szCs w:val="4"/>
              </w:rPr>
            </w:pPr>
            <w:r>
              <w:rPr>
                <w:sz w:val="4"/>
                <w:szCs w:val="4"/>
              </w:rPr>
            </w:r>
          </w:p>
        </w:tc>
        <w:tc>
          <w:tcPr>
            <w:tcW w:w="13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Internally developed software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49,994 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30,310 </w:t>
            </w:r>
          </w:p>
        </w:tc>
        <w:tc>
          <w:tcPr>
            <w:tcW w:w="2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16,531 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 and furniture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10,981 </w:t>
            </w:r>
          </w:p>
        </w:tc>
        <w:tc>
          <w:tcPr>
            <w:tcW w:w="2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107,816 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(76,769)</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(72,358)</w:t>
            </w:r>
          </w:p>
        </w:tc>
        <w:tc>
          <w:tcPr>
            <w:tcW w:w="2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35,458 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838200"/>
                <wp:effectExtent l="0" t="0" r="0" b="0"/>
                <wp:wrapNone/>
                <wp:docPr id="27" name="Frame10"/>
                <a:graphic xmlns:a="http://schemas.openxmlformats.org/drawingml/2006/main">
                  <a:graphicData uri="http://schemas.microsoft.com/office/word/2010/wordprocessingShape">
                    <wps:wsp>
                      <wps:cNvSpPr txBox="1"/>
                      <wps:spPr>
                        <a:xfrm>
                          <a:off x="0" y="0"/>
                          <a:ext cx="6480175" cy="838200"/>
                        </a:xfrm>
                        <a:prstGeom prst="rect"/>
                      </wps:spPr>
                      <wps:txb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11"/>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highlight w:val="white"/>
                                    </w:rPr>
                                    <w:t>March 31, 2023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pt;mso-wrap-distance-left:0pt;mso-wrap-distance-right:0pt;mso-wrap-distance-top:0pt;mso-wrap-distance-bottom:0pt;margin-top:0pt;mso-position-vertical:top;mso-position-vertical-relative:text;margin-left:0pt;mso-position-horizontal:left;mso-position-horizontal-relative:text">
                <v:textbo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0" descr=""/>
                                          <pic:cNvPicPr>
                                            <a:picLocks noChangeAspect="1" noChangeArrowheads="1"/>
                                          </pic:cNvPicPr>
                                        </pic:nvPicPr>
                                        <pic:blipFill>
                                          <a:blip r:embed="rId11"/>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highlight w:val="white"/>
                              </w:rPr>
                              <w:t>March 31, 2023</w:t>
                            </w:r>
                          </w:p>
                        </w:tc>
                      </w:tr>
                    </w:tbl>
                    <w:p>
                      <w:pPr>
                        <w:pStyle w:val="TextBody"/>
                        <w:spacing w:before="0" w:after="283"/>
                        <w:rPr/>
                      </w:pPr>
                      <w:r>
                        <w:rPr/>
                      </w:r>
                    </w:p>
                  </w:txbxContent>
                </v:textbox>
              </v:rect>
            </w:pict>
          </mc:Fallback>
        </mc:AlternateContent>
      </w:r>
    </w:p>
    <w:p>
      <w:pPr>
        <w:pStyle w:val="TextBody"/>
        <w:spacing w:lineRule="auto" w:line="288" w:before="240" w:after="283"/>
        <w:jc w:val="right"/>
        <w:rPr/>
      </w:pPr>
      <w:hyperlink w:anchor="i6d9a8d1ab1f5454885a98aaf9e608722_7">
        <w:r>
          <w:rPr>
            <w:rStyle w:val="InternetLink"/>
            <w:rFonts w:ascii="Times New Roman;sans-serif" w:hAnsi="Times New Roman;sans-serif"/>
            <w:b w:val="false"/>
            <w:color w:val="0000FF"/>
            <w:sz w:val="16"/>
            <w:u w:val="single"/>
          </w:rPr>
          <w:t>Table of Contents</w:t>
        </w:r>
      </w:hyperlink>
    </w:p>
    <w:p>
      <w:pPr>
        <w:pStyle w:val="TextBody"/>
        <w:spacing w:lineRule="auto" w:line="288" w:before="360" w:after="283"/>
        <w:rPr>
          <w:rFonts w:ascii="Times New Roman;sans-serif" w:hAnsi="Times New Roman;sans-serif"/>
          <w:b/>
          <w:color w:val="00AAE5"/>
          <w:sz w:val="20"/>
        </w:rPr>
      </w:pPr>
      <w:r>
        <w:rPr>
          <w:rFonts w:ascii="Times New Roman;sans-serif" w:hAnsi="Times New Roman;sans-serif"/>
          <w:b/>
          <w:color w:val="00AAE5"/>
          <w:sz w:val="20"/>
        </w:rPr>
        <w:t>NOTE H – Goodwill and Intangible Assets, Net</w:t>
      </w:r>
    </w:p>
    <w:p>
      <w:pPr>
        <w:pStyle w:val="TextBody"/>
        <w:spacing w:lineRule="auto" w:line="288" w:before="240" w:after="283"/>
        <w:rPr>
          <w:rFonts w:ascii="Times New Roman;sans-serif" w:hAnsi="Times New Roman;sans-serif"/>
          <w:b/>
          <w:i/>
          <w:color w:val="1F282C"/>
          <w:sz w:val="20"/>
        </w:rPr>
      </w:pPr>
      <w:r>
        <w:rPr>
          <w:rFonts w:ascii="Times New Roman;sans-serif" w:hAnsi="Times New Roman;sans-serif"/>
          <w:b/>
          <w:i/>
          <w:color w:val="1F282C"/>
          <w:sz w:val="20"/>
        </w:rPr>
        <w:t>Goodwill</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activity in goodwill was as follows:</w:t>
      </w:r>
    </w:p>
    <w:tbl>
      <w:tblPr>
        <w:tblW w:w="7057" w:type="dxa"/>
        <w:jc w:val="left"/>
        <w:tblInd w:w="0" w:type="dxa"/>
        <w:tblCellMar>
          <w:top w:w="28" w:type="dxa"/>
          <w:left w:w="28" w:type="dxa"/>
          <w:bottom w:w="28" w:type="dxa"/>
          <w:right w:w="28" w:type="dxa"/>
        </w:tblCellMar>
      </w:tblPr>
      <w:tblGrid>
        <w:gridCol w:w="1878"/>
        <w:gridCol w:w="1653"/>
        <w:gridCol w:w="1659"/>
        <w:gridCol w:w="295"/>
        <w:gridCol w:w="1157"/>
        <w:gridCol w:w="152"/>
        <w:gridCol w:w="109"/>
        <w:gridCol w:w="154"/>
      </w:tblGrid>
      <w:tr>
        <w:trPr/>
        <w:tc>
          <w:tcPr>
            <w:tcW w:w="1878" w:type="dxa"/>
            <w:tcBorders/>
            <w:shd w:fill="auto" w:val="clear"/>
            <w:vAlign w:val="center"/>
          </w:tcPr>
          <w:p>
            <w:pPr>
              <w:pStyle w:val="TableContents"/>
              <w:spacing w:before="0" w:after="283"/>
              <w:rPr>
                <w:sz w:val="4"/>
                <w:szCs w:val="4"/>
              </w:rPr>
            </w:pPr>
            <w:r>
              <w:rPr>
                <w:sz w:val="4"/>
                <w:szCs w:val="4"/>
              </w:rPr>
            </w:r>
          </w:p>
        </w:tc>
        <w:tc>
          <w:tcPr>
            <w:tcW w:w="1653" w:type="dxa"/>
            <w:tcBorders/>
            <w:shd w:fill="auto" w:val="clear"/>
            <w:vAlign w:val="center"/>
          </w:tcPr>
          <w:p>
            <w:pPr>
              <w:pStyle w:val="TableContents"/>
              <w:spacing w:before="0" w:after="283"/>
              <w:rPr>
                <w:sz w:val="4"/>
                <w:szCs w:val="4"/>
              </w:rPr>
            </w:pPr>
            <w:r>
              <w:rPr>
                <w:sz w:val="4"/>
                <w:szCs w:val="4"/>
              </w:rPr>
            </w:r>
          </w:p>
        </w:tc>
        <w:tc>
          <w:tcPr>
            <w:tcW w:w="165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263" w:type="dxa"/>
            <w:gridSpan w:val="2"/>
            <w:tcBorders/>
            <w:shd w:fill="auto" w:val="clear"/>
          </w:tcPr>
          <w:p>
            <w:pPr>
              <w:pStyle w:val="TableContents"/>
              <w:spacing w:before="0" w:after="283"/>
              <w:rPr>
                <w:sz w:val="4"/>
                <w:szCs w:val="4"/>
              </w:rPr>
            </w:pPr>
            <w:r>
              <w:rPr>
                <w:sz w:val="4"/>
                <w:szCs w:val="4"/>
              </w:rPr>
            </w:r>
          </w:p>
        </w:tc>
      </w:tr>
      <w:tr>
        <w:trPr/>
        <w:tc>
          <w:tcPr>
            <w:tcW w:w="51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6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197,284 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4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vAlign w:val="center"/>
          </w:tcPr>
          <w:p>
            <w:pPr>
              <w:pStyle w:val="TableContents"/>
              <w:spacing w:before="0" w:after="283"/>
              <w:rPr>
                <w:sz w:val="4"/>
                <w:szCs w:val="4"/>
              </w:rPr>
            </w:pPr>
            <w:r>
              <w:rPr>
                <w:sz w:val="4"/>
                <w:szCs w:val="4"/>
              </w:rPr>
            </w:r>
          </w:p>
        </w:tc>
        <w:tc>
          <w:tcPr>
            <w:tcW w:w="16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Remeasurement from provisional purchase accounting amount</w:t>
            </w:r>
          </w:p>
        </w:tc>
        <w:tc>
          <w:tcPr>
            <w:tcW w:w="14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199,001 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20"/>
        <w:rPr>
          <w:rFonts w:ascii="Times New Roman;sans-serif" w:hAnsi="Times New Roman;sans-serif"/>
          <w:b/>
          <w:i/>
          <w:color w:val="1F282C"/>
          <w:sz w:val="20"/>
        </w:rPr>
      </w:pPr>
      <w:r>
        <w:rPr>
          <w:rFonts w:ascii="Times New Roman;sans-serif" w:hAnsi="Times New Roman;sans-serif"/>
          <w:b/>
          <w:i/>
          <w:color w:val="1F282C"/>
          <w:sz w:val="20"/>
        </w:rPr>
        <w:t>Intangible Assets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Intangible assets, net consisted of the following:</w:t>
      </w:r>
    </w:p>
    <w:tbl>
      <w:tblPr>
        <w:tblW w:w="10205" w:type="dxa"/>
        <w:jc w:val="center"/>
        <w:tblInd w:w="0" w:type="dxa"/>
        <w:tblCellMar>
          <w:top w:w="28" w:type="dxa"/>
          <w:left w:w="28" w:type="dxa"/>
          <w:bottom w:w="28" w:type="dxa"/>
          <w:right w:w="28" w:type="dxa"/>
        </w:tblCellMar>
      </w:tblPr>
      <w:tblGrid>
        <w:gridCol w:w="646"/>
        <w:gridCol w:w="569"/>
        <w:gridCol w:w="535"/>
        <w:gridCol w:w="211"/>
        <w:gridCol w:w="826"/>
        <w:gridCol w:w="109"/>
        <w:gridCol w:w="109"/>
        <w:gridCol w:w="109"/>
        <w:gridCol w:w="109"/>
        <w:gridCol w:w="211"/>
        <w:gridCol w:w="788"/>
        <w:gridCol w:w="109"/>
        <w:gridCol w:w="109"/>
        <w:gridCol w:w="109"/>
        <w:gridCol w:w="109"/>
        <w:gridCol w:w="293"/>
        <w:gridCol w:w="501"/>
        <w:gridCol w:w="152"/>
        <w:gridCol w:w="109"/>
        <w:gridCol w:w="109"/>
        <w:gridCol w:w="109"/>
        <w:gridCol w:w="211"/>
        <w:gridCol w:w="721"/>
        <w:gridCol w:w="109"/>
        <w:gridCol w:w="109"/>
        <w:gridCol w:w="109"/>
        <w:gridCol w:w="109"/>
        <w:gridCol w:w="848"/>
        <w:gridCol w:w="848"/>
        <w:gridCol w:w="1210"/>
      </w:tblGrid>
      <w:tr>
        <w:trPr/>
        <w:tc>
          <w:tcPr>
            <w:tcW w:w="646"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1210" w:type="dxa"/>
            <w:tcBorders/>
            <w:shd w:fill="auto" w:val="clear"/>
            <w:vAlign w:val="center"/>
          </w:tcPr>
          <w:p>
            <w:pPr>
              <w:pStyle w:val="TableContents"/>
              <w:spacing w:before="0" w:after="283"/>
              <w:rPr>
                <w:sz w:val="4"/>
                <w:szCs w:val="4"/>
              </w:rPr>
            </w:pPr>
            <w:r>
              <w:rPr>
                <w:sz w:val="4"/>
                <w:szCs w:val="4"/>
              </w:rPr>
            </w:r>
          </w:p>
        </w:tc>
      </w:tr>
      <w:tr>
        <w:trPr/>
        <w:tc>
          <w:tcPr>
            <w:tcW w:w="1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5"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1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 xml:space="preserve">Amortization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 xml:space="preserve">Currency </w:t>
              <w:br/>
              <w:t>Translation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Amortization Period</w:t>
            </w:r>
          </w:p>
        </w:tc>
      </w:tr>
      <w:tr>
        <w:trPr/>
        <w:tc>
          <w:tcPr>
            <w:tcW w:w="1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Subscriber relationships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 years</w:t>
            </w:r>
          </w:p>
        </w:tc>
      </w:tr>
      <w:tr>
        <w:trPr/>
        <w:tc>
          <w:tcPr>
            <w:tcW w:w="1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technology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 years</w:t>
            </w:r>
          </w:p>
        </w:tc>
      </w:tr>
      <w:tr>
        <w:trPr/>
        <w:tc>
          <w:tcPr>
            <w:tcW w:w="17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 years</w:t>
            </w:r>
          </w:p>
        </w:tc>
      </w:tr>
    </w:tbl>
    <w:tbl>
      <w:tblPr>
        <w:tblW w:w="10205" w:type="dxa"/>
        <w:jc w:val="center"/>
        <w:tblInd w:w="0" w:type="dxa"/>
        <w:tblCellMar>
          <w:top w:w="28" w:type="dxa"/>
          <w:left w:w="28" w:type="dxa"/>
          <w:bottom w:w="28" w:type="dxa"/>
          <w:right w:w="28" w:type="dxa"/>
        </w:tblCellMar>
      </w:tblPr>
      <w:tblGrid>
        <w:gridCol w:w="646"/>
        <w:gridCol w:w="569"/>
        <w:gridCol w:w="535"/>
        <w:gridCol w:w="211"/>
        <w:gridCol w:w="826"/>
        <w:gridCol w:w="109"/>
        <w:gridCol w:w="109"/>
        <w:gridCol w:w="109"/>
        <w:gridCol w:w="109"/>
        <w:gridCol w:w="211"/>
        <w:gridCol w:w="788"/>
        <w:gridCol w:w="109"/>
        <w:gridCol w:w="109"/>
        <w:gridCol w:w="109"/>
        <w:gridCol w:w="109"/>
        <w:gridCol w:w="249"/>
        <w:gridCol w:w="568"/>
        <w:gridCol w:w="129"/>
        <w:gridCol w:w="109"/>
        <w:gridCol w:w="109"/>
        <w:gridCol w:w="109"/>
        <w:gridCol w:w="211"/>
        <w:gridCol w:w="721"/>
        <w:gridCol w:w="109"/>
        <w:gridCol w:w="109"/>
        <w:gridCol w:w="109"/>
        <w:gridCol w:w="109"/>
        <w:gridCol w:w="848"/>
        <w:gridCol w:w="848"/>
        <w:gridCol w:w="1210"/>
      </w:tblGrid>
      <w:tr>
        <w:trPr/>
        <w:tc>
          <w:tcPr>
            <w:tcW w:w="646"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1210" w:type="dxa"/>
            <w:tcBorders/>
            <w:shd w:fill="auto" w:val="clear"/>
            <w:vAlign w:val="center"/>
          </w:tcPr>
          <w:p>
            <w:pPr>
              <w:pStyle w:val="TableContents"/>
              <w:spacing w:before="0" w:after="283"/>
              <w:rPr>
                <w:sz w:val="4"/>
                <w:szCs w:val="4"/>
              </w:rPr>
            </w:pPr>
            <w:r>
              <w:rPr>
                <w:sz w:val="4"/>
                <w:szCs w:val="4"/>
              </w:rPr>
            </w:r>
          </w:p>
        </w:tc>
      </w:tr>
      <w:tr>
        <w:trPr/>
        <w:tc>
          <w:tcPr>
            <w:tcW w:w="1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5"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 xml:space="preserve">Amortization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 xml:space="preserve">Currency </w:t>
              <w:br/>
              <w:t>Translation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Amortization Period</w:t>
            </w:r>
          </w:p>
        </w:tc>
      </w:tr>
      <w:tr>
        <w:trPr/>
        <w:tc>
          <w:tcPr>
            <w:tcW w:w="1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Subscriber relationships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 years</w:t>
            </w:r>
          </w:p>
        </w:tc>
      </w:tr>
      <w:tr>
        <w:trPr/>
        <w:tc>
          <w:tcPr>
            <w:tcW w:w="1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technology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 years</w:t>
            </w:r>
          </w:p>
        </w:tc>
      </w:tr>
      <w:tr>
        <w:trPr/>
        <w:tc>
          <w:tcPr>
            <w:tcW w:w="17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 years</w:t>
            </w:r>
          </w:p>
        </w:tc>
      </w:tr>
    </w:tbl>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estimated future annual amortization expense related to intangible assets is as follows:</w:t>
      </w:r>
    </w:p>
    <w:tbl>
      <w:tblPr>
        <w:tblW w:w="3246" w:type="dxa"/>
        <w:jc w:val="center"/>
        <w:tblInd w:w="0" w:type="dxa"/>
        <w:tblCellMar>
          <w:top w:w="28" w:type="dxa"/>
          <w:left w:w="28" w:type="dxa"/>
          <w:bottom w:w="28" w:type="dxa"/>
          <w:right w:w="28" w:type="dxa"/>
        </w:tblCellMar>
      </w:tblPr>
      <w:tblGrid>
        <w:gridCol w:w="782"/>
        <w:gridCol w:w="688"/>
        <w:gridCol w:w="690"/>
        <w:gridCol w:w="211"/>
        <w:gridCol w:w="721"/>
        <w:gridCol w:w="154"/>
      </w:tblGrid>
      <w:tr>
        <w:trPr/>
        <w:tc>
          <w:tcPr>
            <w:tcW w:w="782"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amortization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838200"/>
                <wp:effectExtent l="0" t="0" r="0" b="0"/>
                <wp:wrapNone/>
                <wp:docPr id="30" name="Frame11"/>
                <a:graphic xmlns:a="http://schemas.openxmlformats.org/drawingml/2006/main">
                  <a:graphicData uri="http://schemas.microsoft.com/office/word/2010/wordprocessingShape">
                    <wps:wsp>
                      <wps:cNvSpPr txBox="1"/>
                      <wps:spPr>
                        <a:xfrm>
                          <a:off x="0" y="0"/>
                          <a:ext cx="6480175" cy="838200"/>
                        </a:xfrm>
                        <a:prstGeom prst="rect"/>
                      </wps:spPr>
                      <wps:txb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3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1" descr=""/>
                                                <pic:cNvPicPr>
                                                  <a:picLocks noChangeAspect="1" noChangeArrowheads="1"/>
                                                </pic:cNvPicPr>
                                              </pic:nvPicPr>
                                              <pic:blipFill>
                                                <a:blip r:embed="rId12"/>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highlight w:val="white"/>
                                    </w:rPr>
                                    <w:t>March 31, 2023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pt;mso-wrap-distance-left:0pt;mso-wrap-distance-right:0pt;mso-wrap-distance-top:0pt;mso-wrap-distance-bottom:0pt;margin-top:0pt;mso-position-vertical:top;mso-position-vertical-relative:text;margin-left:0pt;mso-position-horizontal:left;mso-position-horizontal-relative:text">
                <v:textbo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3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1" descr=""/>
                                          <pic:cNvPicPr>
                                            <a:picLocks noChangeAspect="1" noChangeArrowheads="1"/>
                                          </pic:cNvPicPr>
                                        </pic:nvPicPr>
                                        <pic:blipFill>
                                          <a:blip r:embed="rId12"/>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highlight w:val="white"/>
                              </w:rPr>
                              <w:t>March 31, 2023</w:t>
                            </w:r>
                          </w:p>
                        </w:tc>
                      </w:tr>
                    </w:tbl>
                    <w:p>
                      <w:pPr>
                        <w:pStyle w:val="TextBody"/>
                        <w:spacing w:before="0" w:after="283"/>
                        <w:rPr/>
                      </w:pPr>
                      <w:r>
                        <w:rPr/>
                      </w:r>
                    </w:p>
                  </w:txbxContent>
                </v:textbox>
              </v:rect>
            </w:pict>
          </mc:Fallback>
        </mc:AlternateContent>
      </w:r>
    </w:p>
    <w:p>
      <w:pPr>
        <w:pStyle w:val="TextBody"/>
        <w:spacing w:lineRule="auto" w:line="288" w:before="240" w:after="283"/>
        <w:jc w:val="right"/>
        <w:rPr/>
      </w:pPr>
      <w:hyperlink w:anchor="i6d9a8d1ab1f5454885a98aaf9e608722_7">
        <w:r>
          <w:rPr>
            <w:rStyle w:val="InternetLink"/>
            <w:rFonts w:ascii="Times New Roman;sans-serif" w:hAnsi="Times New Roman;sans-serif"/>
            <w:b w:val="false"/>
            <w:color w:val="0000FF"/>
            <w:sz w:val="16"/>
            <w:u w:val="single"/>
          </w:rPr>
          <w:t>Table of Contents</w:t>
        </w:r>
      </w:hyperlink>
    </w:p>
    <w:p>
      <w:pPr>
        <w:pStyle w:val="TextBody"/>
        <w:spacing w:lineRule="auto" w:line="288" w:before="360" w:after="283"/>
        <w:rPr>
          <w:rFonts w:ascii="Times New Roman;sans-serif" w:hAnsi="Times New Roman;sans-serif"/>
          <w:b/>
          <w:color w:val="00AAE5"/>
          <w:sz w:val="20"/>
        </w:rPr>
      </w:pPr>
      <w:r>
        <w:rPr>
          <w:rFonts w:ascii="Times New Roman;sans-serif" w:hAnsi="Times New Roman;sans-serif"/>
          <w:b/>
          <w:color w:val="00AAE5"/>
          <w:sz w:val="20"/>
        </w:rPr>
        <w:t>NOTE I – Commitments and Contingencies</w:t>
      </w:r>
    </w:p>
    <w:p>
      <w:pPr>
        <w:pStyle w:val="TextBody"/>
        <w:spacing w:lineRule="auto" w:line="288" w:before="240" w:after="283"/>
        <w:rPr>
          <w:rFonts w:ascii="Times New Roman;sans-serif" w:hAnsi="Times New Roman;sans-serif"/>
          <w:b/>
          <w:i/>
          <w:color w:val="1F282C"/>
          <w:sz w:val="20"/>
        </w:rPr>
      </w:pPr>
      <w:r>
        <w:rPr>
          <w:rFonts w:ascii="Times New Roman;sans-serif" w:hAnsi="Times New Roman;sans-serif"/>
          <w:b/>
          <w:i/>
          <w:color w:val="1F282C"/>
          <w:sz w:val="20"/>
        </w:rPr>
        <w:t>Leases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w:t>
      </w:r>
    </w:p>
    <w:tbl>
      <w:tblPr>
        <w:tblW w:w="4435" w:type="dxa"/>
        <w:jc w:val="center"/>
        <w:tblInd w:w="0" w:type="dxa"/>
        <w:tblCellMar>
          <w:top w:w="28" w:type="dxa"/>
          <w:left w:w="28" w:type="dxa"/>
          <w:bottom w:w="28" w:type="dxa"/>
          <w:right w:w="28" w:type="dxa"/>
        </w:tblCellMar>
      </w:tblPr>
      <w:tblGrid>
        <w:gridCol w:w="635"/>
        <w:gridCol w:w="559"/>
        <w:gridCol w:w="561"/>
        <w:gridCol w:w="211"/>
        <w:gridCol w:w="616"/>
        <w:gridCol w:w="109"/>
        <w:gridCol w:w="109"/>
        <w:gridCol w:w="109"/>
        <w:gridCol w:w="109"/>
        <w:gridCol w:w="211"/>
        <w:gridCol w:w="616"/>
        <w:gridCol w:w="109"/>
        <w:gridCol w:w="109"/>
        <w:gridCol w:w="109"/>
        <w:gridCol w:w="109"/>
        <w:gridCol w:w="154"/>
      </w:tblGrid>
      <w:tr>
        <w:trPr/>
        <w:tc>
          <w:tcPr>
            <w:tcW w:w="635"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was as follows:</w:t>
      </w:r>
    </w:p>
    <w:tbl>
      <w:tblPr>
        <w:tblW w:w="8049" w:type="dxa"/>
        <w:jc w:val="center"/>
        <w:tblInd w:w="0" w:type="dxa"/>
        <w:tblCellMar>
          <w:top w:w="28" w:type="dxa"/>
          <w:left w:w="28" w:type="dxa"/>
          <w:bottom w:w="28" w:type="dxa"/>
          <w:right w:w="28" w:type="dxa"/>
        </w:tblCellMar>
      </w:tblPr>
      <w:tblGrid>
        <w:gridCol w:w="2095"/>
        <w:gridCol w:w="1845"/>
        <w:gridCol w:w="1865"/>
        <w:gridCol w:w="211"/>
        <w:gridCol w:w="616"/>
        <w:gridCol w:w="109"/>
        <w:gridCol w:w="109"/>
        <w:gridCol w:w="109"/>
        <w:gridCol w:w="109"/>
        <w:gridCol w:w="211"/>
        <w:gridCol w:w="616"/>
        <w:gridCol w:w="154"/>
      </w:tblGrid>
      <w:tr>
        <w:trPr/>
        <w:tc>
          <w:tcPr>
            <w:tcW w:w="2095" w:type="dxa"/>
            <w:tcBorders/>
            <w:shd w:fill="auto" w:val="clear"/>
            <w:vAlign w:val="center"/>
          </w:tcPr>
          <w:p>
            <w:pPr>
              <w:pStyle w:val="TableContents"/>
              <w:spacing w:before="0" w:after="283"/>
              <w:rPr>
                <w:sz w:val="4"/>
                <w:szCs w:val="4"/>
              </w:rPr>
            </w:pPr>
            <w:r>
              <w:rPr>
                <w:sz w:val="4"/>
                <w:szCs w:val="4"/>
              </w:rPr>
            </w:r>
          </w:p>
        </w:tc>
        <w:tc>
          <w:tcPr>
            <w:tcW w:w="1845" w:type="dxa"/>
            <w:tcBorders/>
            <w:shd w:fill="auto" w:val="clear"/>
            <w:vAlign w:val="center"/>
          </w:tcPr>
          <w:p>
            <w:pPr>
              <w:pStyle w:val="TableContents"/>
              <w:spacing w:before="0" w:after="283"/>
              <w:rPr>
                <w:sz w:val="4"/>
                <w:szCs w:val="4"/>
              </w:rPr>
            </w:pPr>
            <w:r>
              <w:rPr>
                <w:sz w:val="4"/>
                <w:szCs w:val="4"/>
              </w:rPr>
            </w:r>
          </w:p>
        </w:tc>
        <w:tc>
          <w:tcPr>
            <w:tcW w:w="186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5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8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58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operating leases was as follows:</w:t>
      </w:r>
    </w:p>
    <w:tbl>
      <w:tblPr>
        <w:tblW w:w="6084" w:type="dxa"/>
        <w:jc w:val="center"/>
        <w:tblInd w:w="0" w:type="dxa"/>
        <w:tblCellMar>
          <w:top w:w="28" w:type="dxa"/>
          <w:left w:w="28" w:type="dxa"/>
          <w:bottom w:w="28" w:type="dxa"/>
          <w:right w:w="28" w:type="dxa"/>
        </w:tblCellMar>
      </w:tblPr>
      <w:tblGrid>
        <w:gridCol w:w="1207"/>
        <w:gridCol w:w="1059"/>
        <w:gridCol w:w="1064"/>
        <w:gridCol w:w="203"/>
        <w:gridCol w:w="203"/>
        <w:gridCol w:w="476"/>
        <w:gridCol w:w="109"/>
        <w:gridCol w:w="109"/>
        <w:gridCol w:w="109"/>
        <w:gridCol w:w="314"/>
        <w:gridCol w:w="314"/>
        <w:gridCol w:w="917"/>
      </w:tblGrid>
      <w:tr>
        <w:trPr/>
        <w:tc>
          <w:tcPr>
            <w:tcW w:w="1207"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w:t>
            </w:r>
          </w:p>
        </w:tc>
        <w:tc>
          <w:tcPr>
            <w:tcW w:w="88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years</w:t>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4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9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At March 31, 2023, our future minimum payments under operating leases were as follows:</w:t>
      </w:r>
    </w:p>
    <w:tbl>
      <w:tblPr>
        <w:tblW w:w="3741" w:type="dxa"/>
        <w:jc w:val="center"/>
        <w:tblInd w:w="0" w:type="dxa"/>
        <w:tblCellMar>
          <w:top w:w="28" w:type="dxa"/>
          <w:left w:w="28" w:type="dxa"/>
          <w:bottom w:w="28" w:type="dxa"/>
          <w:right w:w="28" w:type="dxa"/>
        </w:tblCellMar>
      </w:tblPr>
      <w:tblGrid>
        <w:gridCol w:w="961"/>
        <w:gridCol w:w="846"/>
        <w:gridCol w:w="848"/>
        <w:gridCol w:w="211"/>
        <w:gridCol w:w="721"/>
        <w:gridCol w:w="154"/>
      </w:tblGrid>
      <w:tr>
        <w:trPr/>
        <w:tc>
          <w:tcPr>
            <w:tcW w:w="961"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gross payments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i/>
          <w:color w:val="1F282C"/>
          <w:sz w:val="20"/>
        </w:rPr>
      </w:pPr>
      <w:r>
        <w:rPr>
          <w:rFonts w:ascii="Times New Roman;sans-serif" w:hAnsi="Times New Roman;sans-serif"/>
          <w:b/>
          <w:i/>
          <w:color w:val="1F282C"/>
          <w:sz w:val="20"/>
        </w:rPr>
        <w:t>Purchase Commitments</w:t>
      </w:r>
    </w:p>
    <w:p>
      <w:pPr>
        <w:pStyle w:val="TextBody"/>
        <w:spacing w:lineRule="auto" w:line="26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entered into separate noncancelable agreements with computing infrastructure, customer relationship management, and performance and security data analytics vendors for services through 2025. At March 31, 2023, the total remaining purchase commitments were $4.3 million.</w:t>
      </w:r>
    </w:p>
    <w:p>
      <w:pPr>
        <w:pStyle w:val="TextBody"/>
        <w:spacing w:before="0" w:after="0"/>
        <w:ind w:left="0" w:right="0" w:firstLine="720"/>
        <w:rPr/>
      </w:pPr>
      <w:r>
        <w:rPr/>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360" w:after="283"/>
        <w:rPr/>
      </w:pPr>
      <w:r>
        <w:rPr/>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838200"/>
                <wp:effectExtent l="0" t="0" r="0" b="0"/>
                <wp:wrapNone/>
                <wp:docPr id="33" name="Frame12"/>
                <a:graphic xmlns:a="http://schemas.openxmlformats.org/drawingml/2006/main">
                  <a:graphicData uri="http://schemas.microsoft.com/office/word/2010/wordprocessingShape">
                    <wps:wsp>
                      <wps:cNvSpPr txBox="1"/>
                      <wps:spPr>
                        <a:xfrm>
                          <a:off x="0" y="0"/>
                          <a:ext cx="6480175" cy="838200"/>
                        </a:xfrm>
                        <a:prstGeom prst="rect"/>
                      </wps:spPr>
                      <wps:txb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13"/>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highlight w:val="white"/>
                                    </w:rPr>
                                    <w:t>March 31, 2023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pt;mso-wrap-distance-left:0pt;mso-wrap-distance-right:0pt;mso-wrap-distance-top:0pt;mso-wrap-distance-bottom:0pt;margin-top:0pt;mso-position-vertical:top;mso-position-vertical-relative:text;margin-left:0pt;mso-position-horizontal:left;mso-position-horizontal-relative:text">
                <v:textbo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3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2" descr=""/>
                                          <pic:cNvPicPr>
                                            <a:picLocks noChangeAspect="1" noChangeArrowheads="1"/>
                                          </pic:cNvPicPr>
                                        </pic:nvPicPr>
                                        <pic:blipFill>
                                          <a:blip r:embed="rId13"/>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highlight w:val="white"/>
                              </w:rPr>
                              <w:t>March 31, 2023</w:t>
                            </w:r>
                          </w:p>
                        </w:tc>
                      </w:tr>
                    </w:tbl>
                    <w:p>
                      <w:pPr>
                        <w:pStyle w:val="TextBody"/>
                        <w:spacing w:before="0" w:after="283"/>
                        <w:rPr/>
                      </w:pPr>
                      <w:r>
                        <w:rPr/>
                      </w:r>
                    </w:p>
                  </w:txbxContent>
                </v:textbox>
              </v:rect>
            </w:pict>
          </mc:Fallback>
        </mc:AlternateContent>
      </w:r>
    </w:p>
    <w:p>
      <w:pPr>
        <w:pStyle w:val="TextBody"/>
        <w:spacing w:lineRule="auto" w:line="288" w:before="240" w:after="283"/>
        <w:jc w:val="right"/>
        <w:rPr/>
      </w:pPr>
      <w:hyperlink w:anchor="i6d9a8d1ab1f5454885a98aaf9e608722_7">
        <w:r>
          <w:rPr>
            <w:rStyle w:val="InternetLink"/>
            <w:rFonts w:ascii="Times New Roman;sans-serif" w:hAnsi="Times New Roman;sans-serif"/>
            <w:b w:val="false"/>
            <w:color w:val="0000FF"/>
            <w:sz w:val="16"/>
            <w:u w:val="single"/>
          </w:rPr>
          <w:t>Table of Contents</w:t>
        </w:r>
      </w:hyperlink>
    </w:p>
    <w:p>
      <w:pPr>
        <w:pStyle w:val="TextBody"/>
        <w:spacing w:lineRule="auto" w:line="288" w:before="360" w:after="283"/>
        <w:rPr>
          <w:rFonts w:ascii="Times New Roman;sans-serif" w:hAnsi="Times New Roman;sans-serif"/>
          <w:b/>
          <w:color w:val="00AAE5"/>
          <w:sz w:val="20"/>
        </w:rPr>
      </w:pPr>
      <w:r>
        <w:rPr>
          <w:rFonts w:ascii="Times New Roman;sans-serif" w:hAnsi="Times New Roman;sans-serif"/>
          <w:b/>
          <w:color w:val="00AAE5"/>
          <w:sz w:val="20"/>
        </w:rPr>
        <w:t>NOTE J – Stockholders’ Equity</w:t>
      </w:r>
    </w:p>
    <w:p>
      <w:pPr>
        <w:pStyle w:val="TextBody"/>
        <w:spacing w:lineRule="auto" w:line="288" w:before="240" w:after="283"/>
        <w:rPr/>
      </w:pPr>
      <w:r>
        <w:rPr>
          <w:rFonts w:ascii="Times New Roman;sans-serif" w:hAnsi="Times New Roman;sans-serif"/>
          <w:b/>
          <w:i/>
          <w:color w:val="000000"/>
          <w:sz w:val="20"/>
        </w:rPr>
        <w:t>Share</w:t>
      </w:r>
      <w:r>
        <w:rPr>
          <w:color w:val="1F282C"/>
        </w:rPr>
        <w:t xml:space="preserve"> </w:t>
      </w:r>
      <w:r>
        <w:rPr>
          <w:rFonts w:ascii="Times New Roman;sans-serif" w:hAnsi="Times New Roman;sans-serif"/>
          <w:b/>
          <w:i/>
          <w:color w:val="1F282C"/>
          <w:sz w:val="20"/>
        </w:rPr>
        <w:t>Repurchase Programs</w:t>
      </w:r>
    </w:p>
    <w:p>
      <w:pPr>
        <w:pStyle w:val="TextBody"/>
        <w:spacing w:lineRule="auto" w:line="288" w:before="120" w:after="283"/>
        <w:ind w:left="0" w:right="0" w:firstLine="720"/>
        <w:rPr/>
      </w:pPr>
      <w:r>
        <w:rPr>
          <w:rFonts w:ascii="Times New Roman;sans-serif" w:hAnsi="Times New Roman;sans-serif"/>
          <w:b w:val="false"/>
          <w:color w:val="212529"/>
          <w:sz w:val="20"/>
        </w:rPr>
        <w:t xml:space="preserve">Our board of directors has authorized multiple non-concurrent programs to repurchase our common stock. Details of the programs and activity thereunder through </w:t>
      </w:r>
      <w:r>
        <w:rPr>
          <w:rFonts w:ascii="Times New Roman;sans-serif" w:hAnsi="Times New Roman;sans-serif"/>
          <w:b w:val="false"/>
          <w:color w:val="000000"/>
          <w:sz w:val="20"/>
        </w:rPr>
        <w:t>March 31, 2023 were as follows:</w:t>
      </w:r>
    </w:p>
    <w:tbl>
      <w:tblPr>
        <w:tblW w:w="10205" w:type="dxa"/>
        <w:jc w:val="left"/>
        <w:tblInd w:w="0" w:type="dxa"/>
        <w:tblCellMar>
          <w:top w:w="28" w:type="dxa"/>
          <w:left w:w="28" w:type="dxa"/>
          <w:bottom w:w="28" w:type="dxa"/>
          <w:right w:w="28" w:type="dxa"/>
        </w:tblCellMar>
      </w:tblPr>
      <w:tblGrid>
        <w:gridCol w:w="341"/>
        <w:gridCol w:w="300"/>
        <w:gridCol w:w="301"/>
        <w:gridCol w:w="401"/>
        <w:gridCol w:w="353"/>
        <w:gridCol w:w="304"/>
        <w:gridCol w:w="326"/>
        <w:gridCol w:w="326"/>
        <w:gridCol w:w="327"/>
        <w:gridCol w:w="109"/>
        <w:gridCol w:w="109"/>
        <w:gridCol w:w="109"/>
        <w:gridCol w:w="482"/>
        <w:gridCol w:w="482"/>
        <w:gridCol w:w="484"/>
        <w:gridCol w:w="109"/>
        <w:gridCol w:w="109"/>
        <w:gridCol w:w="109"/>
        <w:gridCol w:w="444"/>
        <w:gridCol w:w="420"/>
        <w:gridCol w:w="421"/>
        <w:gridCol w:w="109"/>
        <w:gridCol w:w="109"/>
        <w:gridCol w:w="109"/>
        <w:gridCol w:w="502"/>
        <w:gridCol w:w="502"/>
        <w:gridCol w:w="503"/>
        <w:gridCol w:w="109"/>
        <w:gridCol w:w="109"/>
        <w:gridCol w:w="109"/>
        <w:gridCol w:w="324"/>
        <w:gridCol w:w="1108"/>
        <w:gridCol w:w="246"/>
      </w:tblGrid>
      <w:tr>
        <w:trPr/>
        <w:tc>
          <w:tcPr>
            <w:tcW w:w="341"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r>
      <w:tr>
        <w:trPr/>
        <w:tc>
          <w:tcPr>
            <w:tcW w:w="9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 Date</w:t>
            </w:r>
          </w:p>
        </w:tc>
        <w:tc>
          <w:tcPr>
            <w:tcW w:w="9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Expiration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 Value Authorized for Repurchase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 Value Repurchased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Unused &amp; Expired Share Repurchase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 Value Available for Future Repurchase</w:t>
            </w:r>
          </w:p>
        </w:tc>
      </w:tr>
      <w:tr>
        <w:trPr/>
        <w:tc>
          <w:tcPr>
            <w:tcW w:w="942"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9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78" w:type="dxa"/>
            <w:gridSpan w:val="3"/>
            <w:tcBorders/>
            <w:shd w:fill="auto" w:val="clear"/>
            <w:vAlign w:val="center"/>
          </w:tcPr>
          <w:p>
            <w:pPr>
              <w:pStyle w:val="TableContents"/>
              <w:spacing w:before="0" w:after="283"/>
              <w:rPr>
                <w:sz w:val="4"/>
                <w:szCs w:val="4"/>
              </w:rPr>
            </w:pPr>
            <w:r>
              <w:rPr>
                <w:sz w:val="4"/>
                <w:szCs w:val="4"/>
              </w:rPr>
            </w:r>
          </w:p>
        </w:tc>
      </w:tr>
      <w:tr>
        <w:trPr/>
        <w:tc>
          <w:tcPr>
            <w:tcW w:w="94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 Program</w:t>
            </w:r>
          </w:p>
        </w:tc>
        <w:tc>
          <w:tcPr>
            <w:tcW w:w="105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2021</w:t>
            </w:r>
          </w:p>
        </w:tc>
        <w:tc>
          <w:tcPr>
            <w:tcW w:w="9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49,992 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94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 Program</w:t>
            </w:r>
          </w:p>
        </w:tc>
        <w:tc>
          <w:tcPr>
            <w:tcW w:w="105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2022</w:t>
            </w:r>
          </w:p>
        </w:tc>
        <w:tc>
          <w:tcPr>
            <w:tcW w:w="97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2,992 </w:t>
            </w:r>
          </w:p>
        </w:tc>
        <w:tc>
          <w:tcPr>
            <w:tcW w:w="4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47,008 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720"/>
        <w:rPr/>
      </w:pPr>
      <w:r>
        <w:rPr>
          <w:rFonts w:ascii="Times New Roman;sans-serif" w:hAnsi="Times New Roman;sans-serif"/>
          <w:b w:val="false"/>
          <w:color w:val="212529"/>
          <w:sz w:val="20"/>
          <w:highlight w:val="white"/>
        </w:rPr>
        <w:t xml:space="preserve">The </w:t>
      </w:r>
      <w:r>
        <w:rPr>
          <w:rFonts w:ascii="Times New Roman;sans-serif" w:hAnsi="Times New Roman;sans-serif"/>
          <w:b w:val="false"/>
          <w:color w:val="000000"/>
          <w:sz w:val="20"/>
        </w:rPr>
        <w:t>share</w:t>
      </w:r>
      <w:r>
        <w:rPr>
          <w:color w:val="212529"/>
          <w:highlight w:val="white"/>
        </w:rPr>
        <w:t xml:space="preserve"> </w:t>
      </w:r>
      <w:r>
        <w:rPr>
          <w:rFonts w:ascii="Times New Roman;sans-serif" w:hAnsi="Times New Roman;sans-serif"/>
          <w:b w:val="false"/>
          <w:color w:val="000000"/>
          <w:sz w:val="20"/>
        </w:rPr>
        <w:t>repurchase activity by period was as follows:</w:t>
      </w:r>
    </w:p>
    <w:tbl>
      <w:tblPr>
        <w:tblW w:w="6459" w:type="dxa"/>
        <w:jc w:val="left"/>
        <w:tblInd w:w="0" w:type="dxa"/>
        <w:tblCellMar>
          <w:top w:w="28" w:type="dxa"/>
          <w:left w:w="28" w:type="dxa"/>
          <w:bottom w:w="28" w:type="dxa"/>
          <w:right w:w="28" w:type="dxa"/>
        </w:tblCellMar>
      </w:tblPr>
      <w:tblGrid>
        <w:gridCol w:w="1407"/>
        <w:gridCol w:w="1236"/>
        <w:gridCol w:w="1241"/>
        <w:gridCol w:w="211"/>
        <w:gridCol w:w="406"/>
        <w:gridCol w:w="109"/>
        <w:gridCol w:w="109"/>
        <w:gridCol w:w="109"/>
        <w:gridCol w:w="109"/>
        <w:gridCol w:w="211"/>
        <w:gridCol w:w="721"/>
        <w:gridCol w:w="109"/>
        <w:gridCol w:w="109"/>
        <w:gridCol w:w="109"/>
        <w:gridCol w:w="109"/>
        <w:gridCol w:w="154"/>
      </w:tblGrid>
      <w:tr>
        <w:trPr/>
        <w:tc>
          <w:tcPr>
            <w:tcW w:w="1407"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8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shares and per share amounts)</w:t>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shares repurchased</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repurchased cost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price per repurchased share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AAE5"/>
          <w:sz w:val="20"/>
        </w:rPr>
      </w:pPr>
      <w:r>
        <w:rPr>
          <w:rFonts w:ascii="Times New Roman;sans-serif" w:hAnsi="Times New Roman;sans-serif"/>
          <w:b/>
          <w:color w:val="00AAE5"/>
          <w:sz w:val="20"/>
        </w:rPr>
        <w:t>NOTE K – Stock-Based Compensation</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equity compensation plans provide for the grant of incentive and nonqualified stock options, as well as other stock-based awards including performance share units (“PSUs”), restricted stock awards (“RSAs”), restricted stock units (“RSUs”), and deferred stock units (“DSUs”), to employees, non-employee directors and other consultants who provide services to us. We also provide an employee stock purchase plan (“ESPP”) and 401(k) match to eligible participants. </w:t>
      </w:r>
    </w:p>
    <w:p>
      <w:pPr>
        <w:pStyle w:val="TextBody"/>
        <w:spacing w:lineRule="auto" w:line="288" w:before="120" w:after="283"/>
        <w:ind w:left="0" w:right="0" w:firstLine="720"/>
        <w:rPr/>
      </w:pPr>
      <w:r>
        <w:rPr>
          <w:rFonts w:ascii="Times New Roman;sans-serif" w:hAnsi="Times New Roman;sans-serif"/>
          <w:b w:val="false"/>
          <w:color w:val="000000"/>
          <w:sz w:val="20"/>
        </w:rPr>
        <w:t xml:space="preserve">We recognize stock-based compensation expense based on grant date award fair value. This cost is recognized over the period for which the employee is required to provide service in exchange for the award or the award performance period, except for expenses relating to retirement-eligible employees that have not given their required notice, which is recognized on a pro-rata basis over the notice period prior to retirement. At </w:t>
      </w:r>
      <w:r>
        <w:rPr>
          <w:rFonts w:ascii="Times New Roman;sans-serif" w:hAnsi="Times New Roman;sans-serif"/>
          <w:b w:val="false"/>
          <w:color w:val="212529"/>
          <w:sz w:val="20"/>
        </w:rPr>
        <w:t>March 31, 2023</w:t>
      </w:r>
      <w:r>
        <w:rPr>
          <w:rFonts w:ascii="Times New Roman;sans-serif" w:hAnsi="Times New Roman;sans-serif"/>
          <w:b w:val="false"/>
          <w:color w:val="000000"/>
          <w:sz w:val="20"/>
        </w:rPr>
        <w:t>, there were 12.8 million shares available for grant under approved equity compensation plans.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was allocated in the condensed consolidated statements of comprehensive income as follows:</w:t>
      </w:r>
    </w:p>
    <w:tbl>
      <w:tblPr>
        <w:tblW w:w="5095" w:type="dxa"/>
        <w:jc w:val="center"/>
        <w:tblInd w:w="0" w:type="dxa"/>
        <w:tblCellMar>
          <w:top w:w="28" w:type="dxa"/>
          <w:left w:w="28" w:type="dxa"/>
          <w:bottom w:w="28" w:type="dxa"/>
          <w:right w:w="28" w:type="dxa"/>
        </w:tblCellMar>
      </w:tblPr>
      <w:tblGrid>
        <w:gridCol w:w="836"/>
        <w:gridCol w:w="735"/>
        <w:gridCol w:w="739"/>
        <w:gridCol w:w="211"/>
        <w:gridCol w:w="721"/>
        <w:gridCol w:w="109"/>
        <w:gridCol w:w="109"/>
        <w:gridCol w:w="109"/>
        <w:gridCol w:w="109"/>
        <w:gridCol w:w="211"/>
        <w:gridCol w:w="616"/>
        <w:gridCol w:w="109"/>
        <w:gridCol w:w="109"/>
        <w:gridCol w:w="109"/>
        <w:gridCol w:w="109"/>
        <w:gridCol w:w="154"/>
      </w:tblGrid>
      <w:tr>
        <w:trPr/>
        <w:tc>
          <w:tcPr>
            <w:tcW w:w="836"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838200"/>
                <wp:effectExtent l="0" t="0" r="0" b="0"/>
                <wp:wrapNone/>
                <wp:docPr id="36" name="Frame13"/>
                <a:graphic xmlns:a="http://schemas.openxmlformats.org/drawingml/2006/main">
                  <a:graphicData uri="http://schemas.microsoft.com/office/word/2010/wordprocessingShape">
                    <wps:wsp>
                      <wps:cNvSpPr txBox="1"/>
                      <wps:spPr>
                        <a:xfrm>
                          <a:off x="0" y="0"/>
                          <a:ext cx="6480175" cy="838200"/>
                        </a:xfrm>
                        <a:prstGeom prst="rect"/>
                      </wps:spPr>
                      <wps:txb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3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3" descr=""/>
                                                <pic:cNvPicPr>
                                                  <a:picLocks noChangeAspect="1" noChangeArrowheads="1"/>
                                                </pic:cNvPicPr>
                                              </pic:nvPicPr>
                                              <pic:blipFill>
                                                <a:blip r:embed="rId14"/>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highlight w:val="white"/>
                                    </w:rPr>
                                    <w:t>March 31, 2023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pt;mso-wrap-distance-left:0pt;mso-wrap-distance-right:0pt;mso-wrap-distance-top:0pt;mso-wrap-distance-bottom:0pt;margin-top:0pt;mso-position-vertical:top;mso-position-vertical-relative:text;margin-left:0pt;mso-position-horizontal:left;mso-position-horizontal-relative:text">
                <v:textbo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3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3" descr=""/>
                                          <pic:cNvPicPr>
                                            <a:picLocks noChangeAspect="1" noChangeArrowheads="1"/>
                                          </pic:cNvPicPr>
                                        </pic:nvPicPr>
                                        <pic:blipFill>
                                          <a:blip r:embed="rId14"/>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highlight w:val="white"/>
                              </w:rPr>
                              <w:t>March 31, 2023</w:t>
                            </w:r>
                          </w:p>
                        </w:tc>
                      </w:tr>
                    </w:tbl>
                    <w:p>
                      <w:pPr>
                        <w:pStyle w:val="TextBody"/>
                        <w:spacing w:before="0" w:after="283"/>
                        <w:rPr/>
                      </w:pPr>
                      <w:r>
                        <w:rPr/>
                      </w:r>
                    </w:p>
                  </w:txbxContent>
                </v:textbox>
              </v:rect>
            </w:pict>
          </mc:Fallback>
        </mc:AlternateContent>
      </w:r>
    </w:p>
    <w:p>
      <w:pPr>
        <w:pStyle w:val="TextBody"/>
        <w:spacing w:lineRule="auto" w:line="288" w:before="240" w:after="283"/>
        <w:jc w:val="right"/>
        <w:rPr/>
      </w:pPr>
      <w:hyperlink w:anchor="i6d9a8d1ab1f5454885a98aaf9e608722_7">
        <w:r>
          <w:rPr>
            <w:rStyle w:val="InternetLink"/>
            <w:rFonts w:ascii="Times New Roman;sans-serif" w:hAnsi="Times New Roman;sans-serif"/>
            <w:b w:val="false"/>
            <w:color w:val="0000FF"/>
            <w:sz w:val="16"/>
            <w:u w:val="single"/>
          </w:rPr>
          <w:t>Table of Contents</w:t>
        </w:r>
      </w:hyperlink>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by grant type or plan was as follows:</w:t>
      </w:r>
    </w:p>
    <w:tbl>
      <w:tblPr>
        <w:tblW w:w="4465" w:type="dxa"/>
        <w:jc w:val="left"/>
        <w:tblInd w:w="0" w:type="dxa"/>
        <w:tblCellMar>
          <w:top w:w="28" w:type="dxa"/>
          <w:left w:w="28" w:type="dxa"/>
          <w:bottom w:w="28" w:type="dxa"/>
          <w:right w:w="28" w:type="dxa"/>
        </w:tblCellMar>
      </w:tblPr>
      <w:tblGrid>
        <w:gridCol w:w="607"/>
        <w:gridCol w:w="536"/>
        <w:gridCol w:w="537"/>
        <w:gridCol w:w="211"/>
        <w:gridCol w:w="721"/>
        <w:gridCol w:w="109"/>
        <w:gridCol w:w="109"/>
        <w:gridCol w:w="109"/>
        <w:gridCol w:w="109"/>
        <w:gridCol w:w="211"/>
        <w:gridCol w:w="616"/>
        <w:gridCol w:w="109"/>
        <w:gridCol w:w="109"/>
        <w:gridCol w:w="109"/>
        <w:gridCol w:w="109"/>
        <w:gridCol w:w="154"/>
      </w:tblGrid>
      <w:tr>
        <w:trPr/>
        <w:tc>
          <w:tcPr>
            <w:tcW w:w="607"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211" w:type="dxa"/>
            <w:tcBorders>
              <w:top w:val="single" w:sz="6"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09" w:type="dxa"/>
            <w:tcBorders>
              <w:top w:val="single" w:sz="6"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6"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6"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09" w:type="dxa"/>
            <w:tcBorders>
              <w:top w:val="single" w:sz="6"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PSUs</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93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6,062 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4,638 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RSAs &amp; DSUs</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93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401(k) stock match</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11,780 </w:t>
            </w:r>
          </w:p>
        </w:tc>
        <w:tc>
          <w:tcPr>
            <w:tcW w:w="109"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9,015 </w:t>
            </w:r>
          </w:p>
        </w:tc>
        <w:tc>
          <w:tcPr>
            <w:tcW w:w="109"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2023, there was $63.8 million of unrecognized stock-based compensation expense under our equity compensation plans, which is expected to be recognized on a primarily straight-line basis over a weighted average period of 2.6 years.</w:t>
      </w:r>
    </w:p>
    <w:p>
      <w:pPr>
        <w:pStyle w:val="TextBody"/>
        <w:spacing w:lineRule="auto" w:line="288" w:before="240" w:after="283"/>
        <w:rPr>
          <w:rFonts w:ascii="Times New Roman;sans-serif" w:hAnsi="Times New Roman;sans-serif"/>
          <w:b/>
          <w:i/>
          <w:color w:val="1F282C"/>
          <w:sz w:val="20"/>
        </w:rPr>
      </w:pPr>
      <w:r>
        <w:rPr>
          <w:rFonts w:ascii="Times New Roman;sans-serif" w:hAnsi="Times New Roman;sans-serif"/>
          <w:b/>
          <w:i/>
          <w:color w:val="1F282C"/>
          <w:sz w:val="20"/>
        </w:rPr>
        <w:t>Stock Options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stock option activity was as follows:</w:t>
      </w:r>
    </w:p>
    <w:tbl>
      <w:tblPr>
        <w:tblW w:w="5816" w:type="dxa"/>
        <w:jc w:val="left"/>
        <w:tblInd w:w="0" w:type="dxa"/>
        <w:tblCellMar>
          <w:top w:w="28" w:type="dxa"/>
          <w:left w:w="28" w:type="dxa"/>
          <w:bottom w:w="28" w:type="dxa"/>
          <w:right w:w="28" w:type="dxa"/>
        </w:tblCellMar>
      </w:tblPr>
      <w:tblGrid>
        <w:gridCol w:w="1026"/>
        <w:gridCol w:w="903"/>
        <w:gridCol w:w="905"/>
        <w:gridCol w:w="413"/>
        <w:gridCol w:w="413"/>
        <w:gridCol w:w="326"/>
        <w:gridCol w:w="110"/>
        <w:gridCol w:w="110"/>
        <w:gridCol w:w="110"/>
        <w:gridCol w:w="322"/>
        <w:gridCol w:w="943"/>
        <w:gridCol w:w="235"/>
      </w:tblGrid>
      <w:tr>
        <w:trPr/>
        <w:tc>
          <w:tcPr>
            <w:tcW w:w="1026"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r>
      <w:tr>
        <w:trPr/>
        <w:tc>
          <w:tcPr>
            <w:tcW w:w="28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2023</w:t>
            </w:r>
          </w:p>
        </w:tc>
      </w:tr>
      <w:tr>
        <w:trPr/>
        <w:tc>
          <w:tcPr>
            <w:tcW w:w="28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Options (#) </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 xml:space="preserve">Exercise Price </w:t>
              <w:br/>
              <w:t>($/share)</w:t>
            </w:r>
          </w:p>
        </w:tc>
      </w:tr>
      <w:tr>
        <w:trPr/>
        <w:tc>
          <w:tcPr>
            <w:tcW w:w="2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beginning of period</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562,697 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56.24 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30,148 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150.76 </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(68,088)</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32.06 </w:t>
            </w:r>
          </w:p>
        </w:tc>
        <w:tc>
          <w:tcPr>
            <w:tcW w:w="2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123.49 </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end of period</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522,841 </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64.60 </w:t>
            </w:r>
          </w:p>
        </w:tc>
        <w:tc>
          <w:tcPr>
            <w:tcW w:w="2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Of the total outstanding options at March 31, 2023, 0.4 million were exercisable. The outstanding and exercisable options had a weighted average exercise price of $53.22 per share and a weighted average remaining contractual life of 3.0 years.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weighted average grant date fair value of options granted during the three months ended March 31, 2023 was $54.53 per share. This was estimated on the date of grant using the Black-Scholes option pricing model with the following weighted-average assumptions:</w:t>
      </w:r>
    </w:p>
    <w:tbl>
      <w:tblPr>
        <w:tblW w:w="2672" w:type="dxa"/>
        <w:jc w:val="center"/>
        <w:tblInd w:w="0" w:type="dxa"/>
        <w:tblCellMar>
          <w:top w:w="28" w:type="dxa"/>
          <w:left w:w="28" w:type="dxa"/>
          <w:bottom w:w="28" w:type="dxa"/>
          <w:right w:w="28" w:type="dxa"/>
        </w:tblCellMar>
      </w:tblPr>
      <w:tblGrid>
        <w:gridCol w:w="669"/>
        <w:gridCol w:w="587"/>
        <w:gridCol w:w="589"/>
        <w:gridCol w:w="255"/>
        <w:gridCol w:w="256"/>
        <w:gridCol w:w="316"/>
      </w:tblGrid>
      <w:tr>
        <w:trPr/>
        <w:tc>
          <w:tcPr>
            <w:tcW w:w="669"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 (in years)</w:t>
            </w:r>
          </w:p>
        </w:tc>
        <w:tc>
          <w:tcPr>
            <w:tcW w:w="8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r>
      <w:tr>
        <w:trPr/>
        <w:tc>
          <w:tcPr>
            <w:tcW w:w="184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51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31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51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1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1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rPr>
          <w:rFonts w:ascii="Times New Roman;sans-serif" w:hAnsi="Times New Roman;sans-serif"/>
          <w:b/>
          <w:i/>
          <w:color w:val="1F282C"/>
          <w:sz w:val="20"/>
        </w:rPr>
      </w:pPr>
      <w:r>
        <w:rPr>
          <w:rFonts w:ascii="Times New Roman;sans-serif" w:hAnsi="Times New Roman;sans-serif"/>
          <w:b/>
          <w:i/>
          <w:color w:val="1F282C"/>
          <w:sz w:val="20"/>
        </w:rPr>
        <w:t>Performance Share Units, Restricted Stock Units and Awards, and Deferred Stock Units</w:t>
      </w:r>
    </w:p>
    <w:p>
      <w:pPr>
        <w:pStyle w:val="TextBody"/>
        <w:spacing w:lineRule="auto" w:line="288" w:before="120" w:after="283"/>
        <w:ind w:left="0" w:right="0" w:firstLine="720"/>
        <w:rPr/>
      </w:pPr>
      <w:r>
        <w:rPr>
          <w:rFonts w:ascii="Times New Roman;sans-serif" w:hAnsi="Times New Roman;sans-serif"/>
          <w:b w:val="false"/>
          <w:color w:val="000000"/>
          <w:sz w:val="20"/>
          <w:highlight w:val="white"/>
        </w:rPr>
        <w:t xml:space="preserve">In each of the quarters ended March 31, 2023, 2022, 2021, and 2020 we granted PSU awards with a target performance level. </w:t>
      </w:r>
      <w:r>
        <w:rPr>
          <w:rFonts w:ascii="Times New Roman;sans-serif" w:hAnsi="Times New Roman;sans-serif"/>
          <w:b w:val="false"/>
          <w:color w:val="000000"/>
          <w:sz w:val="20"/>
        </w:rPr>
        <w:t xml:space="preserve">These awards are earned based upon our Company’s total shareholder return as compared to an indexed total shareholder return over the course of a fiscal based three-year performance period, starting in the year of grant. Earned awards vest in the quarter following the conclusion of the performance period. In the three months ended March 31, </w:t>
      </w:r>
      <w:r>
        <w:rPr>
          <w:rFonts w:ascii="Times New Roman;sans-serif" w:hAnsi="Times New Roman;sans-serif"/>
          <w:b w:val="false"/>
          <w:color w:val="000000"/>
          <w:sz w:val="20"/>
          <w:highlight w:val="white"/>
        </w:rPr>
        <w:t>2023</w:t>
      </w:r>
      <w:r>
        <w:rPr>
          <w:rFonts w:ascii="Times New Roman;sans-serif" w:hAnsi="Times New Roman;sans-serif"/>
          <w:b w:val="false"/>
          <w:color w:val="000000"/>
          <w:sz w:val="20"/>
        </w:rPr>
        <w:t>, PSU awards granted in 2019 vested at the maximum performance level and 0.1 million shares of common stock were issued.</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838200"/>
                <wp:effectExtent l="0" t="0" r="0" b="0"/>
                <wp:wrapNone/>
                <wp:docPr id="39" name="Frame14"/>
                <a:graphic xmlns:a="http://schemas.openxmlformats.org/drawingml/2006/main">
                  <a:graphicData uri="http://schemas.microsoft.com/office/word/2010/wordprocessingShape">
                    <wps:wsp>
                      <wps:cNvSpPr txBox="1"/>
                      <wps:spPr>
                        <a:xfrm>
                          <a:off x="0" y="0"/>
                          <a:ext cx="6480175" cy="838200"/>
                        </a:xfrm>
                        <a:prstGeom prst="rect"/>
                      </wps:spPr>
                      <wps:txb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4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4" descr=""/>
                                                <pic:cNvPicPr>
                                                  <a:picLocks noChangeAspect="1" noChangeArrowheads="1"/>
                                                </pic:cNvPicPr>
                                              </pic:nvPicPr>
                                              <pic:blipFill>
                                                <a:blip r:embed="rId15"/>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highlight w:val="white"/>
                                    </w:rPr>
                                    <w:t>March 31, 2023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pt;mso-wrap-distance-left:0pt;mso-wrap-distance-right:0pt;mso-wrap-distance-top:0pt;mso-wrap-distance-bottom:0pt;margin-top:0pt;mso-position-vertical:top;mso-position-vertical-relative:text;margin-left:0pt;mso-position-horizontal:left;mso-position-horizontal-relative:text">
                <v:textbo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4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4" descr=""/>
                                          <pic:cNvPicPr>
                                            <a:picLocks noChangeAspect="1" noChangeArrowheads="1"/>
                                          </pic:cNvPicPr>
                                        </pic:nvPicPr>
                                        <pic:blipFill>
                                          <a:blip r:embed="rId15"/>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highlight w:val="white"/>
                              </w:rPr>
                              <w:t>March 31, 2023</w:t>
                            </w:r>
                          </w:p>
                        </w:tc>
                      </w:tr>
                    </w:tbl>
                    <w:p>
                      <w:pPr>
                        <w:pStyle w:val="TextBody"/>
                        <w:spacing w:before="0" w:after="283"/>
                        <w:rPr/>
                      </w:pPr>
                      <w:r>
                        <w:rPr/>
                      </w:r>
                    </w:p>
                  </w:txbxContent>
                </v:textbox>
              </v:rect>
            </w:pict>
          </mc:Fallback>
        </mc:AlternateContent>
      </w:r>
    </w:p>
    <w:p>
      <w:pPr>
        <w:pStyle w:val="TextBody"/>
        <w:spacing w:lineRule="auto" w:line="288" w:before="240" w:after="283"/>
        <w:jc w:val="right"/>
        <w:rPr/>
      </w:pPr>
      <w:hyperlink w:anchor="i6d9a8d1ab1f5454885a98aaf9e608722_7">
        <w:r>
          <w:rPr>
            <w:rStyle w:val="InternetLink"/>
            <w:rFonts w:ascii="Times New Roman;sans-serif" w:hAnsi="Times New Roman;sans-serif"/>
            <w:b w:val="false"/>
            <w:color w:val="0000FF"/>
            <w:sz w:val="16"/>
            <w:u w:val="single"/>
          </w:rPr>
          <w:t>Table of Contents</w:t>
        </w:r>
      </w:hyperlink>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Activity for our PSUs, RSUs, RSAs, and DSUs in aggregate was as follows:</w:t>
      </w:r>
    </w:p>
    <w:tbl>
      <w:tblPr>
        <w:tblW w:w="6165" w:type="dxa"/>
        <w:jc w:val="center"/>
        <w:tblInd w:w="0" w:type="dxa"/>
        <w:tblCellMar>
          <w:top w:w="28" w:type="dxa"/>
          <w:left w:w="28" w:type="dxa"/>
          <w:bottom w:w="28" w:type="dxa"/>
          <w:right w:w="28" w:type="dxa"/>
        </w:tblCellMar>
      </w:tblPr>
      <w:tblGrid>
        <w:gridCol w:w="1026"/>
        <w:gridCol w:w="903"/>
        <w:gridCol w:w="905"/>
        <w:gridCol w:w="449"/>
        <w:gridCol w:w="451"/>
        <w:gridCol w:w="109"/>
        <w:gridCol w:w="109"/>
        <w:gridCol w:w="109"/>
        <w:gridCol w:w="109"/>
        <w:gridCol w:w="387"/>
        <w:gridCol w:w="1325"/>
        <w:gridCol w:w="283"/>
      </w:tblGrid>
      <w:tr>
        <w:trPr/>
        <w:tc>
          <w:tcPr>
            <w:tcW w:w="1026"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r>
      <w:tr>
        <w:trPr/>
        <w:tc>
          <w:tcPr>
            <w:tcW w:w="28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2023</w:t>
            </w:r>
          </w:p>
        </w:tc>
      </w:tr>
      <w:tr>
        <w:trPr/>
        <w:tc>
          <w:tcPr>
            <w:tcW w:w="28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w:t>
              <w:br/>
              <w:t xml:space="preserve">Date Fair Value </w:t>
              <w:br/>
              <w:t>($/share)</w:t>
            </w:r>
          </w:p>
        </w:tc>
      </w:tr>
      <w:tr>
        <w:trPr/>
        <w:tc>
          <w:tcPr>
            <w:tcW w:w="2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beginning of period</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103.93 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163.06 </w:t>
            </w:r>
          </w:p>
        </w:tc>
        <w:tc>
          <w:tcPr>
            <w:tcW w:w="2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common stock issued</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74.70 </w:t>
            </w:r>
          </w:p>
        </w:tc>
        <w:tc>
          <w:tcPr>
            <w:tcW w:w="2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112.93 </w:t>
            </w:r>
          </w:p>
        </w:tc>
        <w:tc>
          <w:tcPr>
            <w:tcW w:w="2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end of period</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707,872 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141.92 </w:t>
            </w:r>
          </w:p>
        </w:tc>
        <w:tc>
          <w:tcPr>
            <w:tcW w:w="2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number of PSUs, RSUs, RSAs, and DSUs outstanding at March 31, 2023 included less than 0.1 million units that have vested, but the shares of common stock have not yet been issued, pursuant to the terms of the underlying agreements.</w:t>
      </w:r>
    </w:p>
    <w:p>
      <w:pPr>
        <w:pStyle w:val="TextBody"/>
        <w:spacing w:lineRule="auto" w:line="288" w:before="240" w:after="283"/>
        <w:rPr>
          <w:rFonts w:ascii="Times New Roman;sans-serif" w:hAnsi="Times New Roman;sans-serif"/>
          <w:b/>
          <w:i/>
          <w:color w:val="1F282C"/>
          <w:sz w:val="20"/>
        </w:rPr>
      </w:pPr>
      <w:r>
        <w:rPr>
          <w:rFonts w:ascii="Times New Roman;sans-serif" w:hAnsi="Times New Roman;sans-serif"/>
          <w:b/>
          <w:i/>
          <w:color w:val="1F282C"/>
          <w:sz w:val="20"/>
        </w:rPr>
        <w:t>Employee Stock Purchase Plan</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ESPP activity was as follows:</w:t>
      </w:r>
    </w:p>
    <w:p>
      <w:pPr>
        <w:pStyle w:val="TextBody"/>
        <w:spacing w:before="120" w:after="283"/>
        <w:ind w:left="0" w:right="0" w:firstLine="720"/>
        <w:rPr/>
      </w:pPr>
      <w:r>
        <w:rPr/>
      </w:r>
    </w:p>
    <w:tbl>
      <w:tblPr>
        <w:tblW w:w="4914" w:type="dxa"/>
        <w:jc w:val="left"/>
        <w:tblInd w:w="0" w:type="dxa"/>
        <w:tblCellMar>
          <w:top w:w="28" w:type="dxa"/>
          <w:left w:w="28" w:type="dxa"/>
          <w:bottom w:w="28" w:type="dxa"/>
          <w:right w:w="28" w:type="dxa"/>
        </w:tblCellMar>
      </w:tblPr>
      <w:tblGrid>
        <w:gridCol w:w="918"/>
        <w:gridCol w:w="807"/>
        <w:gridCol w:w="809"/>
        <w:gridCol w:w="211"/>
        <w:gridCol w:w="466"/>
        <w:gridCol w:w="109"/>
        <w:gridCol w:w="109"/>
        <w:gridCol w:w="109"/>
        <w:gridCol w:w="109"/>
        <w:gridCol w:w="211"/>
        <w:gridCol w:w="466"/>
        <w:gridCol w:w="109"/>
        <w:gridCol w:w="109"/>
        <w:gridCol w:w="109"/>
        <w:gridCol w:w="109"/>
        <w:gridCol w:w="154"/>
      </w:tblGrid>
      <w:tr>
        <w:trPr/>
        <w:tc>
          <w:tcPr>
            <w:tcW w:w="918"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shares)</w:t>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for shares purchased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purchased</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total of 1.7 million shares of common stock are reserved for issuance under the ESPP as of March 31, 2023.</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fair value was estimated based on the market price of our common stock at the beginning of the offering period using the following assumptions:</w:t>
      </w:r>
    </w:p>
    <w:tbl>
      <w:tblPr>
        <w:tblW w:w="2672" w:type="dxa"/>
        <w:jc w:val="center"/>
        <w:tblInd w:w="0" w:type="dxa"/>
        <w:tblCellMar>
          <w:top w:w="28" w:type="dxa"/>
          <w:left w:w="28" w:type="dxa"/>
          <w:bottom w:w="28" w:type="dxa"/>
          <w:right w:w="28" w:type="dxa"/>
        </w:tblCellMar>
      </w:tblPr>
      <w:tblGrid>
        <w:gridCol w:w="669"/>
        <w:gridCol w:w="587"/>
        <w:gridCol w:w="589"/>
        <w:gridCol w:w="255"/>
        <w:gridCol w:w="256"/>
        <w:gridCol w:w="316"/>
      </w:tblGrid>
      <w:tr>
        <w:trPr/>
        <w:tc>
          <w:tcPr>
            <w:tcW w:w="669"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 (in years)</w:t>
            </w:r>
          </w:p>
        </w:tc>
        <w:tc>
          <w:tcPr>
            <w:tcW w:w="8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r>
      <w:tr>
        <w:trPr/>
        <w:tc>
          <w:tcPr>
            <w:tcW w:w="1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AAE5"/>
          <w:sz w:val="20"/>
        </w:rPr>
      </w:pPr>
      <w:r>
        <w:rPr>
          <w:rFonts w:ascii="Times New Roman;sans-serif" w:hAnsi="Times New Roman;sans-serif"/>
          <w:b/>
          <w:color w:val="00AAE5"/>
          <w:sz w:val="20"/>
        </w:rPr>
        <w:t>NOTE L – Income Taxes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record our interim provision for income taxes by applying our estimated annual effective tax rate to our year-to-date pre-tax income and adjust the provision for discrete tax items recorded in the period. Our provisions for income taxes includes current federal, state, and foreign income tax expense, as well as deferred tax expense.</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Differences between our effective tax rate and statutory tax rates are primarily due to the impact of permanently non-deductible expenses partially offset by the federal research and development credits and tax benefits associated with foreign-derived intangible income. Additionally, excess tax benefits generated upon settlement or exercise of stock awards are recognized as a reduction to income tax expense as a discrete tax item in the quarter that the event occurs, creating potentially significant fluctuation in tax expense by quarter and by year.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38200"/>
                <wp:effectExtent l="0" t="0" r="0" b="0"/>
                <wp:wrapNone/>
                <wp:docPr id="42" name="Frame15"/>
                <a:graphic xmlns:a="http://schemas.openxmlformats.org/drawingml/2006/main">
                  <a:graphicData uri="http://schemas.microsoft.com/office/word/2010/wordprocessingShape">
                    <wps:wsp>
                      <wps:cNvSpPr txBox="1"/>
                      <wps:spPr>
                        <a:xfrm>
                          <a:off x="0" y="0"/>
                          <a:ext cx="6480175" cy="838200"/>
                        </a:xfrm>
                        <a:prstGeom prst="rect"/>
                      </wps:spPr>
                      <wps:txb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4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5" descr=""/>
                                                <pic:cNvPicPr>
                                                  <a:picLocks noChangeAspect="1" noChangeArrowheads="1"/>
                                                </pic:cNvPicPr>
                                              </pic:nvPicPr>
                                              <pic:blipFill>
                                                <a:blip r:embed="rId16"/>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highlight w:val="white"/>
                                    </w:rPr>
                                    <w:t>March 31, 2023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pt;mso-wrap-distance-left:0pt;mso-wrap-distance-right:0pt;mso-wrap-distance-top:0pt;mso-wrap-distance-bottom:0pt;margin-top:0pt;mso-position-vertical:top;mso-position-vertical-relative:text;margin-left:0pt;mso-position-horizontal:left;mso-position-horizontal-relative:text">
                <v:textbo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4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5" descr=""/>
                                          <pic:cNvPicPr>
                                            <a:picLocks noChangeAspect="1" noChangeArrowheads="1"/>
                                          </pic:cNvPicPr>
                                        </pic:nvPicPr>
                                        <pic:blipFill>
                                          <a:blip r:embed="rId16"/>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highlight w:val="white"/>
                              </w:rPr>
                              <w:t>March 31, 2023</w:t>
                            </w:r>
                          </w:p>
                        </w:tc>
                      </w:tr>
                    </w:tbl>
                    <w:p>
                      <w:pPr>
                        <w:pStyle w:val="TextBody"/>
                        <w:spacing w:before="0" w:after="283"/>
                        <w:rPr/>
                      </w:pPr>
                      <w:r>
                        <w:rPr/>
                      </w:r>
                    </w:p>
                  </w:txbxContent>
                </v:textbox>
              </v:rect>
            </w:pict>
          </mc:Fallback>
        </mc:AlternateContent>
      </w:r>
    </w:p>
    <w:p>
      <w:pPr>
        <w:pStyle w:val="TextBody"/>
        <w:spacing w:lineRule="auto" w:line="288" w:before="240" w:after="283"/>
        <w:jc w:val="right"/>
        <w:rPr/>
      </w:pPr>
      <w:hyperlink w:anchor="i6d9a8d1ab1f5454885a98aaf9e608722_7">
        <w:r>
          <w:rPr>
            <w:rStyle w:val="InternetLink"/>
            <w:rFonts w:ascii="Times New Roman;sans-serif" w:hAnsi="Times New Roman;sans-serif"/>
            <w:b w:val="false"/>
            <w:color w:val="0000FF"/>
            <w:sz w:val="16"/>
            <w:u w:val="single"/>
          </w:rPr>
          <w:t>Table of Contents</w:t>
        </w:r>
      </w:hyperlink>
    </w:p>
    <w:p>
      <w:pPr>
        <w:pStyle w:val="TextBody"/>
        <w:spacing w:lineRule="auto" w:line="288" w:before="60" w:after="283"/>
        <w:rPr>
          <w:rFonts w:ascii="Times New Roman;sans-serif" w:hAnsi="Times New Roman;sans-serif"/>
          <w:b/>
          <w:color w:val="00AAE5"/>
          <w:sz w:val="20"/>
        </w:rPr>
      </w:pPr>
      <w:r>
        <w:rPr>
          <w:rFonts w:ascii="Times New Roman;sans-serif" w:hAnsi="Times New Roman;sans-serif"/>
          <w:b/>
          <w:color w:val="00AAE5"/>
          <w:sz w:val="20"/>
        </w:rPr>
        <w:t>NOTE M – Other Income and Expense</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net included the following: </w:t>
      </w:r>
    </w:p>
    <w:tbl>
      <w:tblPr>
        <w:tblW w:w="8005" w:type="dxa"/>
        <w:jc w:val="center"/>
        <w:tblInd w:w="0" w:type="dxa"/>
        <w:tblCellMar>
          <w:top w:w="28" w:type="dxa"/>
          <w:left w:w="28" w:type="dxa"/>
          <w:bottom w:w="28" w:type="dxa"/>
          <w:right w:w="28" w:type="dxa"/>
        </w:tblCellMar>
      </w:tblPr>
      <w:tblGrid>
        <w:gridCol w:w="1981"/>
        <w:gridCol w:w="1744"/>
        <w:gridCol w:w="1750"/>
        <w:gridCol w:w="211"/>
        <w:gridCol w:w="616"/>
        <w:gridCol w:w="109"/>
        <w:gridCol w:w="109"/>
        <w:gridCol w:w="109"/>
        <w:gridCol w:w="109"/>
        <w:gridCol w:w="211"/>
        <w:gridCol w:w="466"/>
        <w:gridCol w:w="109"/>
        <w:gridCol w:w="109"/>
        <w:gridCol w:w="109"/>
        <w:gridCol w:w="109"/>
        <w:gridCol w:w="154"/>
      </w:tblGrid>
      <w:tr>
        <w:trPr/>
        <w:tc>
          <w:tcPr>
            <w:tcW w:w="1981" w:type="dxa"/>
            <w:tcBorders/>
            <w:shd w:fill="auto" w:val="clear"/>
            <w:vAlign w:val="center"/>
          </w:tcPr>
          <w:p>
            <w:pPr>
              <w:pStyle w:val="TableContents"/>
              <w:spacing w:before="0" w:after="283"/>
              <w:rPr>
                <w:sz w:val="4"/>
                <w:szCs w:val="4"/>
              </w:rPr>
            </w:pPr>
            <w:r>
              <w:rPr>
                <w:sz w:val="4"/>
                <w:szCs w:val="4"/>
              </w:rPr>
            </w:r>
          </w:p>
        </w:tc>
        <w:tc>
          <w:tcPr>
            <w:tcW w:w="1744" w:type="dxa"/>
            <w:tcBorders/>
            <w:shd w:fill="auto" w:val="clear"/>
            <w:vAlign w:val="center"/>
          </w:tcPr>
          <w:p>
            <w:pPr>
              <w:pStyle w:val="TableContents"/>
              <w:spacing w:before="0" w:after="283"/>
              <w:rPr>
                <w:sz w:val="4"/>
                <w:szCs w:val="4"/>
              </w:rPr>
            </w:pPr>
            <w:r>
              <w:rPr>
                <w:sz w:val="4"/>
                <w:szCs w:val="4"/>
              </w:rPr>
            </w:r>
          </w:p>
        </w:tc>
        <w:tc>
          <w:tcPr>
            <w:tcW w:w="175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4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from foreign currency on cash and investments held</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60" w:after="283"/>
        <w:rPr>
          <w:rFonts w:ascii="Times New Roman;sans-serif" w:hAnsi="Times New Roman;sans-serif"/>
          <w:b/>
          <w:color w:val="00AAE5"/>
          <w:sz w:val="20"/>
        </w:rPr>
      </w:pPr>
      <w:r>
        <w:rPr>
          <w:rFonts w:ascii="Times New Roman;sans-serif" w:hAnsi="Times New Roman;sans-serif"/>
          <w:b/>
          <w:color w:val="00AAE5"/>
          <w:sz w:val="20"/>
        </w:rPr>
        <w:t>NOTE N – Net Income Per Share</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components and computation of basic and diluted net income per share were as follows:</w:t>
      </w:r>
    </w:p>
    <w:tbl>
      <w:tblPr>
        <w:tblW w:w="7464" w:type="dxa"/>
        <w:jc w:val="center"/>
        <w:tblInd w:w="0" w:type="dxa"/>
        <w:tblCellMar>
          <w:top w:w="28" w:type="dxa"/>
          <w:left w:w="28" w:type="dxa"/>
          <w:bottom w:w="28" w:type="dxa"/>
          <w:right w:w="28" w:type="dxa"/>
        </w:tblCellMar>
      </w:tblPr>
      <w:tblGrid>
        <w:gridCol w:w="1658"/>
        <w:gridCol w:w="1456"/>
        <w:gridCol w:w="1460"/>
        <w:gridCol w:w="211"/>
        <w:gridCol w:w="721"/>
        <w:gridCol w:w="109"/>
        <w:gridCol w:w="109"/>
        <w:gridCol w:w="109"/>
        <w:gridCol w:w="109"/>
        <w:gridCol w:w="211"/>
        <w:gridCol w:w="721"/>
        <w:gridCol w:w="109"/>
        <w:gridCol w:w="109"/>
        <w:gridCol w:w="109"/>
        <w:gridCol w:w="109"/>
        <w:gridCol w:w="154"/>
      </w:tblGrid>
      <w:tr>
        <w:trPr/>
        <w:tc>
          <w:tcPr>
            <w:tcW w:w="1658" w:type="dxa"/>
            <w:tcBorders/>
            <w:shd w:fill="auto" w:val="clear"/>
            <w:vAlign w:val="center"/>
          </w:tcPr>
          <w:p>
            <w:pPr>
              <w:pStyle w:val="TableContents"/>
              <w:spacing w:before="0" w:after="283"/>
              <w:rPr>
                <w:sz w:val="4"/>
                <w:szCs w:val="4"/>
              </w:rPr>
            </w:pPr>
            <w:r>
              <w:rPr>
                <w:sz w:val="4"/>
                <w:szCs w:val="4"/>
              </w:rPr>
            </w:r>
          </w:p>
        </w:tc>
        <w:tc>
          <w:tcPr>
            <w:tcW w:w="1456"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5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amounts)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basic</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PSUs, RSUs, RSAs, and DSUs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diluted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share</w:t>
            </w:r>
          </w:p>
        </w:tc>
        <w:tc>
          <w:tcPr>
            <w:tcW w:w="1041"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number of outstanding potential common shares that were excluded from the calculation of diluted net income per share as they were anti-dilutive was as follows:</w:t>
      </w:r>
    </w:p>
    <w:tbl>
      <w:tblPr>
        <w:tblW w:w="4027" w:type="dxa"/>
        <w:jc w:val="center"/>
        <w:tblInd w:w="0" w:type="dxa"/>
        <w:tblCellMar>
          <w:top w:w="28" w:type="dxa"/>
          <w:left w:w="28" w:type="dxa"/>
          <w:bottom w:w="28" w:type="dxa"/>
          <w:right w:w="28" w:type="dxa"/>
        </w:tblCellMar>
      </w:tblPr>
      <w:tblGrid>
        <w:gridCol w:w="622"/>
        <w:gridCol w:w="548"/>
        <w:gridCol w:w="554"/>
        <w:gridCol w:w="233"/>
        <w:gridCol w:w="233"/>
        <w:gridCol w:w="178"/>
        <w:gridCol w:w="178"/>
        <w:gridCol w:w="178"/>
        <w:gridCol w:w="178"/>
        <w:gridCol w:w="233"/>
        <w:gridCol w:w="233"/>
        <w:gridCol w:w="178"/>
        <w:gridCol w:w="109"/>
        <w:gridCol w:w="109"/>
        <w:gridCol w:w="109"/>
        <w:gridCol w:w="154"/>
      </w:tblGrid>
      <w:tr>
        <w:trPr/>
        <w:tc>
          <w:tcPr>
            <w:tcW w:w="622"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6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shares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60" w:after="283"/>
        <w:rPr>
          <w:rFonts w:ascii="Times New Roman;sans-serif" w:hAnsi="Times New Roman;sans-serif"/>
          <w:b/>
          <w:color w:val="00AAE5"/>
          <w:sz w:val="20"/>
        </w:rPr>
      </w:pPr>
      <w:r>
        <w:rPr>
          <w:rFonts w:ascii="Times New Roman;sans-serif" w:hAnsi="Times New Roman;sans-serif"/>
          <w:b/>
          <w:color w:val="00AAE5"/>
          <w:sz w:val="20"/>
        </w:rPr>
        <w:t>NOTE O – Geographic Information</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Domestic revenue, which we define as revenue that was attributable to customers based within the U.S., was as follows:</w:t>
      </w:r>
    </w:p>
    <w:tbl>
      <w:tblPr>
        <w:tblW w:w="3845" w:type="dxa"/>
        <w:jc w:val="left"/>
        <w:tblInd w:w="0" w:type="dxa"/>
        <w:tblCellMar>
          <w:top w:w="28" w:type="dxa"/>
          <w:left w:w="28" w:type="dxa"/>
          <w:bottom w:w="28" w:type="dxa"/>
          <w:right w:w="28" w:type="dxa"/>
        </w:tblCellMar>
      </w:tblPr>
      <w:tblGrid>
        <w:gridCol w:w="570"/>
        <w:gridCol w:w="501"/>
        <w:gridCol w:w="503"/>
        <w:gridCol w:w="180"/>
        <w:gridCol w:w="181"/>
        <w:gridCol w:w="333"/>
        <w:gridCol w:w="134"/>
        <w:gridCol w:w="134"/>
        <w:gridCol w:w="134"/>
        <w:gridCol w:w="180"/>
        <w:gridCol w:w="181"/>
        <w:gridCol w:w="333"/>
        <w:gridCol w:w="109"/>
        <w:gridCol w:w="109"/>
        <w:gridCol w:w="109"/>
        <w:gridCol w:w="154"/>
      </w:tblGrid>
      <w:tr>
        <w:trPr/>
        <w:tc>
          <w:tcPr>
            <w:tcW w:w="570"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 revenue</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No single jurisdiction outside of the U.S. had revenues in excess of 10%. </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located at subsidiary and office locations outside of the U.S. was as follows:</w:t>
      </w:r>
    </w:p>
    <w:tbl>
      <w:tblPr>
        <w:tblW w:w="5891" w:type="dxa"/>
        <w:jc w:val="left"/>
        <w:tblInd w:w="0" w:type="dxa"/>
        <w:tblCellMar>
          <w:top w:w="28" w:type="dxa"/>
          <w:left w:w="28" w:type="dxa"/>
          <w:bottom w:w="28" w:type="dxa"/>
          <w:right w:w="28" w:type="dxa"/>
        </w:tblCellMar>
      </w:tblPr>
      <w:tblGrid>
        <w:gridCol w:w="1146"/>
        <w:gridCol w:w="1008"/>
        <w:gridCol w:w="1011"/>
        <w:gridCol w:w="189"/>
        <w:gridCol w:w="189"/>
        <w:gridCol w:w="476"/>
        <w:gridCol w:w="109"/>
        <w:gridCol w:w="109"/>
        <w:gridCol w:w="109"/>
        <w:gridCol w:w="314"/>
        <w:gridCol w:w="314"/>
        <w:gridCol w:w="917"/>
      </w:tblGrid>
      <w:tr>
        <w:trPr/>
        <w:tc>
          <w:tcPr>
            <w:tcW w:w="1146"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property and equipment</w:t>
            </w:r>
          </w:p>
        </w:tc>
        <w:tc>
          <w:tcPr>
            <w:tcW w:w="3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838200"/>
                <wp:effectExtent l="0" t="0" r="0" b="0"/>
                <wp:wrapNone/>
                <wp:docPr id="45" name="Frame16"/>
                <a:graphic xmlns:a="http://schemas.openxmlformats.org/drawingml/2006/main">
                  <a:graphicData uri="http://schemas.microsoft.com/office/word/2010/wordprocessingShape">
                    <wps:wsp>
                      <wps:cNvSpPr txBox="1"/>
                      <wps:spPr>
                        <a:xfrm>
                          <a:off x="0" y="0"/>
                          <a:ext cx="6480175" cy="838200"/>
                        </a:xfrm>
                        <a:prstGeom prst="rect"/>
                      </wps:spPr>
                      <wps:txb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4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6" descr=""/>
                                                <pic:cNvPicPr>
                                                  <a:picLocks noChangeAspect="1" noChangeArrowheads="1"/>
                                                </pic:cNvPicPr>
                                              </pic:nvPicPr>
                                              <pic:blipFill>
                                                <a:blip r:embed="rId17"/>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highlight w:val="white"/>
                                    </w:rPr>
                                    <w:t>March 31, 2023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pt;mso-wrap-distance-left:0pt;mso-wrap-distance-right:0pt;mso-wrap-distance-top:0pt;mso-wrap-distance-bottom:0pt;margin-top:0pt;mso-position-vertical:top;mso-position-vertical-relative:text;margin-left:0pt;mso-position-horizontal:left;mso-position-horizontal-relative:text">
                <v:textbo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4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6" descr=""/>
                                          <pic:cNvPicPr>
                                            <a:picLocks noChangeAspect="1" noChangeArrowheads="1"/>
                                          </pic:cNvPicPr>
                                        </pic:nvPicPr>
                                        <pic:blipFill>
                                          <a:blip r:embed="rId17"/>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highlight w:val="white"/>
                              </w:rPr>
                              <w:t>March 31, 2023</w:t>
                            </w:r>
                          </w:p>
                        </w:tc>
                      </w:tr>
                    </w:tbl>
                    <w:p>
                      <w:pPr>
                        <w:pStyle w:val="TextBody"/>
                        <w:spacing w:before="0" w:after="283"/>
                        <w:rPr/>
                      </w:pPr>
                      <w:r>
                        <w:rPr/>
                      </w:r>
                    </w:p>
                  </w:txbxContent>
                </v:textbox>
              </v:rect>
            </w:pict>
          </mc:Fallback>
        </mc:AlternateContent>
      </w:r>
    </w:p>
    <w:p>
      <w:pPr>
        <w:pStyle w:val="TextBody"/>
        <w:spacing w:lineRule="auto" w:line="288" w:before="240" w:after="283"/>
        <w:jc w:val="right"/>
        <w:rPr/>
      </w:pPr>
      <w:hyperlink w:anchor="i6d9a8d1ab1f5454885a98aaf9e608722_7">
        <w:r>
          <w:rPr>
            <w:rStyle w:val="InternetLink"/>
            <w:rFonts w:ascii="Times New Roman;sans-serif" w:hAnsi="Times New Roman;sans-serif"/>
            <w:b w:val="false"/>
            <w:color w:val="0000FF"/>
            <w:sz w:val="16"/>
            <w:u w:val="single"/>
          </w:rPr>
          <w:t>Table of Contents</w:t>
        </w:r>
      </w:hyperlink>
    </w:p>
    <w:p>
      <w:pPr>
        <w:pStyle w:val="TextBody"/>
        <w:spacing w:lineRule="auto" w:line="288" w:before="180" w:after="283"/>
        <w:ind w:left="0" w:right="0" w:hanging="1440"/>
        <w:rPr>
          <w:rFonts w:ascii="Times New Roman;sans-serif" w:hAnsi="Times New Roman;sans-serif"/>
          <w:b/>
          <w:color w:val="00AAE5"/>
          <w:sz w:val="20"/>
        </w:rPr>
      </w:pPr>
      <w:r>
        <w:rPr>
          <w:rFonts w:ascii="Times New Roman;sans-serif" w:hAnsi="Times New Roman;sans-serif"/>
          <w:b/>
          <w:color w:val="00AAE5"/>
          <w:sz w:val="20"/>
        </w:rPr>
        <w:t>Item 2.    Management’s Discussion and Analysis of Financial Condition and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ind w:left="0" w:right="0" w:firstLine="720"/>
        <w:rPr/>
      </w:pPr>
      <w:r>
        <w:rPr>
          <w:rFonts w:ascii="Times New Roman;sans-serif" w:hAnsi="Times New Roman;sans-serif"/>
          <w:b w:val="false"/>
          <w:i/>
          <w:color w:val="000000"/>
          <w:sz w:val="20"/>
        </w:rPr>
        <w:t>This Quarterly Report on Form 10-Q contains forward-looking statements</w:t>
      </w:r>
      <w:r>
        <w:rPr>
          <w:color w:val="000000"/>
        </w:rPr>
        <w:t xml:space="preserve"> </w:t>
      </w:r>
      <w:r>
        <w:rPr>
          <w:rFonts w:ascii="Times New Roman;sans-serif" w:hAnsi="Times New Roman;sans-serif"/>
          <w:b w:val="false"/>
          <w:i/>
          <w:color w:val="000000"/>
          <w:sz w:val="20"/>
        </w:rPr>
        <w:t>within the meaning of the U.S. Private Securities Litigation Reform Act of 1995. Forward looking statements regarding us, our business prospects and our results of operations are subject to certain risks and uncertainties posed by many factors and events that could cause our actual business, prospects and results of operations to differ materially from those that may be anticipated by such forward-looking statements. Readers are cautioned not to place undue reliance on these forward-looking statements, which speak only as of the date of this report. In some cases, you can identify forward-looking statements by the following words: “anticipate,” “assume,” “believe,” “continue,” “could,” “estimate,” “expect,” “intend,” “may,” “ongoing,” “plan,” “potential,” “predict,” “project,” “should,” “will,” “would,” or the negative of these terms or other comparable terminology, although not all forward-looking statements contain these words. Similarly, statements that describe our future plans, objectives or goals are also forward-looking. Forward-looking statements may also be made from time to time in oral presentations, including telephone conferences and/or webcasts open to the public. Shareholders, potential investors, and others are cautioned that all forward-looking statements involve risks and uncertainties that could cause results in future periods to differ materially from those anticipated by some of the statements made in this report, including the risks and uncertainties described under the heading “Risk Factors” appearing in our Annual Report on Form 10-K for the year ended December 31, 2022, as may be updated in our subsequent Quarterly Reports on Form 10-Q from time to time.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SEC that advise interested parties of the risks and factors that may affect our business.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AAE5"/>
          <w:sz w:val="20"/>
        </w:rPr>
      </w:pPr>
      <w:r>
        <w:rPr>
          <w:rFonts w:ascii="Times New Roman;sans-serif" w:hAnsi="Times New Roman;sans-serif"/>
          <w:b/>
          <w:color w:val="00AAE5"/>
          <w:sz w:val="20"/>
        </w:rPr>
        <w:t>Overview</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SPS Commerce is a leading provider of cloud-based supply chain management services across our global retail network. Our products make it easier for retailers, grocers, distributors, suppliers, and logistics firms to communicate and collaborate by simplifying how they manage and share item, inventory, order and sales data across omnichannel retail channels. We deliver our products using a full-service model, which includes industry-leading technology and a team of experts that optimize, update, and operate the technology on customers' behalf.</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products enable customers to increase supply chain performance, optimize inventory levels and sell-through, reduce operational costs, improve order visibility, and satisfy consumer demands for a seamless omnichannel experience.</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products and applications. We also intend to selectively pursue acquisitions that will add customers, allow us to expand into new regions, or allow us to offer new functionalities.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AAE5"/>
          <w:sz w:val="20"/>
        </w:rPr>
      </w:pPr>
      <w:r>
        <w:rPr>
          <w:rFonts w:ascii="Times New Roman;sans-serif" w:hAnsi="Times New Roman;sans-serif"/>
          <w:b/>
          <w:color w:val="00AAE5"/>
          <w:sz w:val="20"/>
        </w:rPr>
        <w:t>Key Financial Terms, Metrics and Non-GAAP Measures</w:t>
      </w:r>
    </w:p>
    <w:p>
      <w:pPr>
        <w:pStyle w:val="TextBody"/>
        <w:spacing w:lineRule="auto" w:line="288" w:before="120" w:after="283"/>
        <w:ind w:left="0" w:right="0" w:firstLine="720"/>
        <w:rPr/>
      </w:pPr>
      <w:r>
        <w:rPr>
          <w:rFonts w:ascii="Times New Roman;sans-serif" w:hAnsi="Times New Roman;sans-serif"/>
          <w:b w:val="false"/>
          <w:color w:val="000000"/>
          <w:sz w:val="20"/>
        </w:rPr>
        <w:t>We have several key financial terms, metrics, and non-GAAP measures as discussed in our Annual Report on Form 10-K for the year ended December 31, 2022, as filed with the SEC, under the heading “</w:t>
      </w:r>
      <w:r>
        <w:rPr>
          <w:rFonts w:ascii="Times New Roman;sans-serif" w:hAnsi="Times New Roman;sans-serif"/>
          <w:b w:val="false"/>
          <w:i/>
          <w:color w:val="000000"/>
          <w:sz w:val="20"/>
        </w:rPr>
        <w:t>Management’s Discussion and Analysis of Financial Condition and Results of Operations.</w:t>
      </w:r>
      <w:r>
        <w:rPr>
          <w:color w:val="000000"/>
        </w:rPr>
        <w:t>”</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To supplement our consolidated financial statements, we provide investors with Adjusted EBITDA, Adjusted EBITDA Margin, and non-GAAP income per share, all of which are non-GAAP financial measures. We believe that these non-GAAP financial measures provide useful information to our management, Board of Directors, and investors regarding certain financial and business trends relating to our financial condition and results of operations.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management uses these non-GAAP financial measures to compare our performance to that of prior periods for trend analyses and planning purposes. Adjusted EBITDA is also used for purposes of determining executive and senior management incentive compensation. We believe these non-GAAP financial measures are useful to an investor as they are widely used in evaluating operating performance. Adjusted EBITDA and Adjusted EBITDA Margin are used to measure operating performance without regard to items such as depreciation and amortization, which can vary depending upon accounting methods and the book value of assets, and to present a meaningful measure of corporate performance exclusive of capital structure and the method by which assets were acquired.</w:t>
      </w:r>
    </w:p>
    <w:p>
      <w:pPr>
        <w:pStyle w:val="TextBody"/>
        <w:spacing w:lineRule="auto" w:line="288" w:before="120" w:after="283"/>
        <w:ind w:left="0" w:right="0" w:firstLine="720"/>
        <w:rPr/>
      </w:pPr>
      <w:r>
        <w:rPr>
          <w:rFonts w:ascii="Times New Roman;sans-serif" w:hAnsi="Times New Roman;sans-serif"/>
          <w:b w:val="false"/>
          <w:color w:val="000000"/>
          <w:sz w:val="20"/>
        </w:rPr>
        <w:t>These non-GAAP financial measures should not be considered a substitute for, or superior to, financial measures calculated in accordance with GAAP. These non-GAAP financial measures exclude significant expenses and income that are required by GAAP to be recorded in our consolidated financial statements and are subject to inherent limitations. Investors should review the reconciliations of non-GAAP financial measures to the comparable GAAP financial measures that are included in this “</w:t>
      </w:r>
      <w:r>
        <w:rPr>
          <w:rFonts w:ascii="Times New Roman;sans-serif" w:hAnsi="Times New Roman;sans-serif"/>
          <w:b w:val="false"/>
          <w:i/>
          <w:color w:val="000000"/>
          <w:sz w:val="20"/>
        </w:rPr>
        <w:t>Management’s Discussion and Analysis of Financial Condition and Results of Operations.</w:t>
      </w:r>
      <w:r>
        <w:rPr>
          <w:color w:val="00000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838200"/>
                <wp:effectExtent l="0" t="0" r="0" b="0"/>
                <wp:wrapNone/>
                <wp:docPr id="48" name="Frame17"/>
                <a:graphic xmlns:a="http://schemas.openxmlformats.org/drawingml/2006/main">
                  <a:graphicData uri="http://schemas.microsoft.com/office/word/2010/wordprocessingShape">
                    <wps:wsp>
                      <wps:cNvSpPr txBox="1"/>
                      <wps:spPr>
                        <a:xfrm>
                          <a:off x="0" y="0"/>
                          <a:ext cx="6480175" cy="838200"/>
                        </a:xfrm>
                        <a:prstGeom prst="rect"/>
                      </wps:spPr>
                      <wps:txb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4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7" descr=""/>
                                                <pic:cNvPicPr>
                                                  <a:picLocks noChangeAspect="1" noChangeArrowheads="1"/>
                                                </pic:cNvPicPr>
                                              </pic:nvPicPr>
                                              <pic:blipFill>
                                                <a:blip r:embed="rId18"/>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highlight w:val="white"/>
                                    </w:rPr>
                                    <w:t>March 31, 2023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pt;mso-wrap-distance-left:0pt;mso-wrap-distance-right:0pt;mso-wrap-distance-top:0pt;mso-wrap-distance-bottom:0pt;margin-top:0pt;mso-position-vertical:top;mso-position-vertical-relative:text;margin-left:0pt;mso-position-horizontal:left;mso-position-horizontal-relative:text">
                <v:textbo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5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7" descr=""/>
                                          <pic:cNvPicPr>
                                            <a:picLocks noChangeAspect="1" noChangeArrowheads="1"/>
                                          </pic:cNvPicPr>
                                        </pic:nvPicPr>
                                        <pic:blipFill>
                                          <a:blip r:embed="rId18"/>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highlight w:val="white"/>
                              </w:rPr>
                              <w:t>March 31, 2023</w:t>
                            </w:r>
                          </w:p>
                        </w:tc>
                      </w:tr>
                    </w:tbl>
                    <w:p>
                      <w:pPr>
                        <w:pStyle w:val="TextBody"/>
                        <w:spacing w:before="0" w:after="283"/>
                        <w:rPr/>
                      </w:pPr>
                      <w:r>
                        <w:rPr/>
                      </w:r>
                    </w:p>
                  </w:txbxContent>
                </v:textbox>
              </v:rect>
            </w:pict>
          </mc:Fallback>
        </mc:AlternateContent>
      </w:r>
    </w:p>
    <w:p>
      <w:pPr>
        <w:pStyle w:val="TextBody"/>
        <w:spacing w:lineRule="auto" w:line="288" w:before="240" w:after="283"/>
        <w:jc w:val="right"/>
        <w:rPr/>
      </w:pPr>
      <w:hyperlink w:anchor="i6d9a8d1ab1f5454885a98aaf9e608722_7">
        <w:r>
          <w:rPr>
            <w:rStyle w:val="InternetLink"/>
            <w:rFonts w:ascii="Times New Roman;sans-serif" w:hAnsi="Times New Roman;sans-serif"/>
            <w:b w:val="false"/>
            <w:color w:val="0000FF"/>
            <w:sz w:val="16"/>
            <w:u w:val="single"/>
          </w:rPr>
          <w:t>Table of Contents</w:t>
        </w:r>
      </w:hyperlink>
    </w:p>
    <w:p>
      <w:pPr>
        <w:pStyle w:val="TextBody"/>
        <w:spacing w:lineRule="auto" w:line="288" w:before="360" w:after="283"/>
        <w:rPr>
          <w:rFonts w:ascii="Times New Roman;sans-serif" w:hAnsi="Times New Roman;sans-serif"/>
          <w:b/>
          <w:color w:val="00AAE5"/>
          <w:sz w:val="20"/>
        </w:rPr>
      </w:pPr>
      <w:r>
        <w:rPr>
          <w:rFonts w:ascii="Times New Roman;sans-serif" w:hAnsi="Times New Roman;sans-serif"/>
          <w:b/>
          <w:color w:val="00AAE5"/>
          <w:sz w:val="20"/>
        </w:rPr>
        <w:t>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i/>
          <w:color w:val="1F282C"/>
          <w:sz w:val="20"/>
        </w:rPr>
      </w:pPr>
      <w:r>
        <w:rPr>
          <w:rFonts w:ascii="Times New Roman;sans-serif" w:hAnsi="Times New Roman;sans-serif"/>
          <w:b/>
          <w:i/>
          <w:color w:val="1F282C"/>
          <w:sz w:val="20"/>
        </w:rPr>
        <w:t>Three Months Ended March 31, 2023 Compared to Three Months Ended March 31, 2022</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results of operations for the periods indicated:</w:t>
      </w:r>
    </w:p>
    <w:tbl>
      <w:tblPr>
        <w:tblW w:w="10205" w:type="dxa"/>
        <w:jc w:val="left"/>
        <w:tblInd w:w="0" w:type="dxa"/>
        <w:tblCellMar>
          <w:top w:w="28" w:type="dxa"/>
          <w:left w:w="28" w:type="dxa"/>
          <w:bottom w:w="28" w:type="dxa"/>
          <w:right w:w="28" w:type="dxa"/>
        </w:tblCellMar>
      </w:tblPr>
      <w:tblGrid>
        <w:gridCol w:w="872"/>
        <w:gridCol w:w="578"/>
        <w:gridCol w:w="572"/>
        <w:gridCol w:w="211"/>
        <w:gridCol w:w="826"/>
        <w:gridCol w:w="109"/>
        <w:gridCol w:w="109"/>
        <w:gridCol w:w="109"/>
        <w:gridCol w:w="109"/>
        <w:gridCol w:w="308"/>
        <w:gridCol w:w="308"/>
        <w:gridCol w:w="524"/>
        <w:gridCol w:w="109"/>
        <w:gridCol w:w="109"/>
        <w:gridCol w:w="109"/>
        <w:gridCol w:w="211"/>
        <w:gridCol w:w="826"/>
        <w:gridCol w:w="109"/>
        <w:gridCol w:w="109"/>
        <w:gridCol w:w="109"/>
        <w:gridCol w:w="109"/>
        <w:gridCol w:w="308"/>
        <w:gridCol w:w="308"/>
        <w:gridCol w:w="524"/>
        <w:gridCol w:w="109"/>
        <w:gridCol w:w="109"/>
        <w:gridCol w:w="109"/>
        <w:gridCol w:w="211"/>
        <w:gridCol w:w="721"/>
        <w:gridCol w:w="109"/>
        <w:gridCol w:w="109"/>
        <w:gridCol w:w="109"/>
        <w:gridCol w:w="109"/>
        <w:gridCol w:w="307"/>
        <w:gridCol w:w="309"/>
        <w:gridCol w:w="319"/>
      </w:tblGrid>
      <w:tr>
        <w:trPr/>
        <w:tc>
          <w:tcPr>
            <w:tcW w:w="872"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r>
      <w:tr>
        <w:trPr/>
        <w:tc>
          <w:tcPr>
            <w:tcW w:w="20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3"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1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0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of revenue</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of revenue</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0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3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5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5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5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5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5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5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5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5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5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5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5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5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5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5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5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5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5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5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5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3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(1) Amounts in column may not foot due to rounding</w:t>
            </w:r>
          </w:p>
        </w:tc>
      </w:tr>
    </w:tbl>
    <w:p>
      <w:pPr>
        <w:pStyle w:val="TextBody"/>
        <w:spacing w:lineRule="auto" w:line="288" w:before="240" w:after="283"/>
        <w:ind w:left="0" w:right="0" w:firstLine="720"/>
        <w:rPr/>
      </w:pPr>
      <w:r>
        <w:rPr>
          <w:rFonts w:ascii="Times New Roman;sans-serif" w:hAnsi="Times New Roman;sans-serif"/>
          <w:b/>
          <w:i/>
          <w:color w:val="1F282C"/>
          <w:sz w:val="20"/>
        </w:rPr>
        <w:t>Revenues</w:t>
      </w:r>
      <w:r>
        <w:rPr>
          <w:color w:val="000000"/>
        </w:rPr>
        <w:t xml:space="preserve"> </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Revenues increased for the 89th consecutive quarter. The increase in revenue resulted from two primary factors: the increase in recurring revenue customers, which is driven primarily by continued business growth and by business acquisitions, and the increase in average recurring revenues per recurring revenue customer, which we also refer to as wallet share.</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The number of recurring revenue customers increased 13% to 42,750 at </w:t>
      </w:r>
      <w:r>
        <w:rPr>
          <w:rFonts w:ascii="Times New Roman;sans-serif" w:hAnsi="Times New Roman;sans-serif"/>
          <w:b w:val="false"/>
          <w:color w:val="1F282C"/>
          <w:sz w:val="20"/>
        </w:rPr>
        <w:t>March 31, 2023</w:t>
      </w:r>
      <w:r>
        <w:rPr>
          <w:color w:val="000000"/>
        </w:rPr>
        <w:t xml:space="preserve"> </w:t>
      </w:r>
      <w:r>
        <w:rPr>
          <w:rFonts w:ascii="Times New Roman;sans-serif" w:hAnsi="Times New Roman;sans-serif"/>
          <w:b w:val="false"/>
          <w:color w:val="000000"/>
          <w:sz w:val="20"/>
        </w:rPr>
        <w:t xml:space="preserve">from 37,900 at </w:t>
      </w:r>
      <w:r>
        <w:rPr>
          <w:rFonts w:ascii="Times New Roman;sans-serif" w:hAnsi="Times New Roman;sans-serif"/>
          <w:b w:val="false"/>
          <w:color w:val="1F282C"/>
          <w:sz w:val="20"/>
        </w:rPr>
        <w:t>March 31, 2022 primarily due to sales and marketing efforts to acquire new customers and due to recent acquisitions.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Wallet share increased 7% to $11,050 for the three months ended </w:t>
      </w:r>
      <w:r>
        <w:rPr>
          <w:rFonts w:ascii="Times New Roman;sans-serif" w:hAnsi="Times New Roman;sans-serif"/>
          <w:b w:val="false"/>
          <w:color w:val="1F282C"/>
          <w:sz w:val="20"/>
        </w:rPr>
        <w:t>March 31, 2023</w:t>
      </w:r>
      <w:r>
        <w:rPr>
          <w:color w:val="000000"/>
        </w:rPr>
        <w:t xml:space="preserve"> </w:t>
      </w:r>
      <w:r>
        <w:rPr>
          <w:rFonts w:ascii="Times New Roman;sans-serif" w:hAnsi="Times New Roman;sans-serif"/>
          <w:b w:val="false"/>
          <w:color w:val="000000"/>
          <w:sz w:val="20"/>
        </w:rPr>
        <w:t>from $10,350 for the same period in 2022. This was primarily attributable to increased usage of our products by our recurring revenue customers.</w:t>
      </w:r>
    </w:p>
    <w:p>
      <w:pPr>
        <w:pStyle w:val="TextBody"/>
        <w:spacing w:lineRule="auto" w:line="288" w:before="120" w:after="283"/>
        <w:ind w:left="0" w:right="0" w:firstLine="720"/>
        <w:rPr/>
      </w:pPr>
      <w:r>
        <w:rPr>
          <w:rFonts w:ascii="Times New Roman;sans-serif" w:hAnsi="Times New Roman;sans-serif"/>
          <w:b w:val="false"/>
          <w:color w:val="000000"/>
          <w:sz w:val="20"/>
        </w:rPr>
        <w:t xml:space="preserve">Recurring revenues increased 20% to $117.3 million for the three months ended </w:t>
      </w:r>
      <w:r>
        <w:rPr>
          <w:rFonts w:ascii="Times New Roman;sans-serif" w:hAnsi="Times New Roman;sans-serif"/>
          <w:b w:val="false"/>
          <w:color w:val="1F282C"/>
          <w:sz w:val="20"/>
        </w:rPr>
        <w:t xml:space="preserve">March 31, 2023 compared to the three months ended March 31, 2022. Recurring revenues </w:t>
      </w:r>
      <w:r>
        <w:rPr>
          <w:rFonts w:ascii="Times New Roman;sans-serif" w:hAnsi="Times New Roman;sans-serif"/>
          <w:b w:val="false"/>
          <w:color w:val="000000"/>
          <w:sz w:val="20"/>
        </w:rPr>
        <w:t xml:space="preserve">accounted for 93% of our total revenues for the three months ended </w:t>
      </w:r>
      <w:r>
        <w:rPr>
          <w:rFonts w:ascii="Times New Roman;sans-serif" w:hAnsi="Times New Roman;sans-serif"/>
          <w:b w:val="false"/>
          <w:color w:val="1F282C"/>
          <w:sz w:val="20"/>
        </w:rPr>
        <w:t xml:space="preserve">March 31, 2023 </w:t>
      </w:r>
      <w:r>
        <w:rPr>
          <w:rFonts w:ascii="Times New Roman;sans-serif" w:hAnsi="Times New Roman;sans-serif"/>
          <w:b w:val="false"/>
          <w:color w:val="000000"/>
          <w:sz w:val="20"/>
        </w:rPr>
        <w:t>and 2022. We anticipate that the number of recurring revenue customers and wallet share will continue to increase as we execute our growth strategy focused on further penetration of our market.</w:t>
      </w:r>
    </w:p>
    <w:p>
      <w:pPr>
        <w:pStyle w:val="TextBody"/>
        <w:spacing w:lineRule="auto" w:line="288" w:before="240" w:after="283"/>
        <w:ind w:left="0" w:right="0" w:firstLine="720"/>
        <w:rPr/>
      </w:pPr>
      <w:r>
        <w:rPr>
          <w:rFonts w:ascii="Times New Roman;sans-serif" w:hAnsi="Times New Roman;sans-serif"/>
          <w:b/>
          <w:i/>
          <w:color w:val="1F282C"/>
          <w:sz w:val="20"/>
        </w:rPr>
        <w:t>Cost of Revenues -</w:t>
      </w:r>
      <w:r>
        <w:rPr>
          <w:color w:val="1F282C"/>
        </w:rPr>
        <w:t xml:space="preserve"> </w:t>
      </w:r>
      <w:r>
        <w:rPr>
          <w:rFonts w:ascii="Times New Roman;sans-serif" w:hAnsi="Times New Roman;sans-serif"/>
          <w:b w:val="false"/>
          <w:color w:val="000000"/>
          <w:sz w:val="20"/>
        </w:rPr>
        <w:t>The increase in cost of revenues was primarily due to increased headcount, which resulted in an increase of $5.8 million in personnel-related costs, and an increase of $0.7 million in software subscriptions.</w:t>
      </w:r>
    </w:p>
    <w:p>
      <w:pPr>
        <w:pStyle w:val="TextBody"/>
        <w:spacing w:lineRule="auto" w:line="288" w:before="240" w:after="283"/>
        <w:ind w:left="0" w:right="0" w:firstLine="720"/>
        <w:rPr/>
      </w:pPr>
      <w:r>
        <w:rPr>
          <w:rFonts w:ascii="Times New Roman;sans-serif" w:hAnsi="Times New Roman;sans-serif"/>
          <w:b/>
          <w:i/>
          <w:color w:val="1F282C"/>
          <w:sz w:val="20"/>
        </w:rPr>
        <w:t>Sales and Marketing Expenses -</w:t>
      </w:r>
      <w:r>
        <w:rPr>
          <w:color w:val="1F282C"/>
        </w:rPr>
        <w:t xml:space="preserve"> </w:t>
      </w:r>
      <w:r>
        <w:rPr>
          <w:rFonts w:ascii="Times New Roman;sans-serif" w:hAnsi="Times New Roman;sans-serif"/>
          <w:b w:val="false"/>
          <w:color w:val="000000"/>
          <w:sz w:val="20"/>
        </w:rPr>
        <w:t>The increase in sales and marketing expense was primarily due to increased headcount, which resulted in an increase of $3.4 million in personnel-related costs.</w:t>
      </w:r>
    </w:p>
    <w:p>
      <w:pPr>
        <w:pStyle w:val="TextBody"/>
        <w:spacing w:lineRule="auto" w:line="288" w:before="240" w:after="283"/>
        <w:ind w:left="0" w:right="0" w:firstLine="720"/>
        <w:rPr/>
      </w:pPr>
      <w:r>
        <w:rPr>
          <w:rFonts w:ascii="Times New Roman;sans-serif" w:hAnsi="Times New Roman;sans-serif"/>
          <w:b/>
          <w:i/>
          <w:color w:val="1F282C"/>
          <w:sz w:val="20"/>
        </w:rPr>
        <w:t>Research and Development Expenses -</w:t>
      </w:r>
      <w:r>
        <w:rPr>
          <w:color w:val="000000"/>
        </w:rPr>
        <w:t xml:space="preserve"> </w:t>
      </w:r>
      <w:r>
        <w:rPr>
          <w:rFonts w:ascii="Times New Roman;sans-serif" w:hAnsi="Times New Roman;sans-serif"/>
          <w:b w:val="false"/>
          <w:color w:val="000000"/>
          <w:sz w:val="20"/>
        </w:rPr>
        <w:t>No significant changes.</w:t>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838200"/>
                <wp:effectExtent l="0" t="0" r="0" b="0"/>
                <wp:wrapNone/>
                <wp:docPr id="51" name="Frame18"/>
                <a:graphic xmlns:a="http://schemas.openxmlformats.org/drawingml/2006/main">
                  <a:graphicData uri="http://schemas.microsoft.com/office/word/2010/wordprocessingShape">
                    <wps:wsp>
                      <wps:cNvSpPr txBox="1"/>
                      <wps:spPr>
                        <a:xfrm>
                          <a:off x="0" y="0"/>
                          <a:ext cx="6480175" cy="838200"/>
                        </a:xfrm>
                        <a:prstGeom prst="rect"/>
                      </wps:spPr>
                      <wps:txb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5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8" descr=""/>
                                                <pic:cNvPicPr>
                                                  <a:picLocks noChangeAspect="1" noChangeArrowheads="1"/>
                                                </pic:cNvPicPr>
                                              </pic:nvPicPr>
                                              <pic:blipFill>
                                                <a:blip r:embed="rId19"/>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highlight w:val="white"/>
                                    </w:rPr>
                                    <w:t>March 31, 2023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pt;mso-wrap-distance-left:0pt;mso-wrap-distance-right:0pt;mso-wrap-distance-top:0pt;mso-wrap-distance-bottom:0pt;margin-top:0pt;mso-position-vertical:top;mso-position-vertical-relative:text;margin-left:0pt;mso-position-horizontal:left;mso-position-horizontal-relative:text">
                <v:textbo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5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8" descr=""/>
                                          <pic:cNvPicPr>
                                            <a:picLocks noChangeAspect="1" noChangeArrowheads="1"/>
                                          </pic:cNvPicPr>
                                        </pic:nvPicPr>
                                        <pic:blipFill>
                                          <a:blip r:embed="rId19"/>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highlight w:val="white"/>
                              </w:rPr>
                              <w:t>March 31, 2023</w:t>
                            </w:r>
                          </w:p>
                        </w:tc>
                      </w:tr>
                    </w:tbl>
                    <w:p>
                      <w:pPr>
                        <w:pStyle w:val="TextBody"/>
                        <w:spacing w:before="0" w:after="283"/>
                        <w:rPr/>
                      </w:pPr>
                      <w:r>
                        <w:rPr/>
                      </w:r>
                    </w:p>
                  </w:txbxContent>
                </v:textbox>
              </v:rect>
            </w:pict>
          </mc:Fallback>
        </mc:AlternateContent>
      </w:r>
    </w:p>
    <w:p>
      <w:pPr>
        <w:pStyle w:val="TextBody"/>
        <w:spacing w:lineRule="auto" w:line="288" w:before="240" w:after="283"/>
        <w:jc w:val="right"/>
        <w:rPr/>
      </w:pPr>
      <w:hyperlink w:anchor="i6d9a8d1ab1f5454885a98aaf9e608722_7">
        <w:r>
          <w:rPr>
            <w:rStyle w:val="InternetLink"/>
            <w:rFonts w:ascii="Times New Roman;sans-serif" w:hAnsi="Times New Roman;sans-serif"/>
            <w:b w:val="false"/>
            <w:color w:val="0000FF"/>
            <w:sz w:val="16"/>
            <w:u w:val="single"/>
          </w:rPr>
          <w:t>Table of Contents</w:t>
        </w:r>
      </w:hyperlink>
    </w:p>
    <w:p>
      <w:pPr>
        <w:pStyle w:val="TextBody"/>
        <w:spacing w:lineRule="auto" w:line="288" w:before="240" w:after="283"/>
        <w:ind w:left="0" w:right="0" w:firstLine="720"/>
        <w:rPr/>
      </w:pPr>
      <w:r>
        <w:rPr>
          <w:rFonts w:ascii="Times New Roman;sans-serif" w:hAnsi="Times New Roman;sans-serif"/>
          <w:b/>
          <w:i/>
          <w:color w:val="1F282C"/>
          <w:sz w:val="20"/>
        </w:rPr>
        <w:t xml:space="preserve">General and Administrative Expenses </w:t>
      </w:r>
      <w:r>
        <w:rPr>
          <w:rFonts w:ascii="Times New Roman;sans-serif" w:hAnsi="Times New Roman;sans-serif"/>
          <w:b w:val="false"/>
          <w:color w:val="1F282C"/>
          <w:sz w:val="20"/>
        </w:rPr>
        <w:t xml:space="preserve">- </w:t>
      </w:r>
      <w:r>
        <w:rPr>
          <w:rFonts w:ascii="Times New Roman;sans-serif" w:hAnsi="Times New Roman;sans-serif"/>
          <w:b w:val="false"/>
          <w:color w:val="000000"/>
          <w:sz w:val="20"/>
        </w:rPr>
        <w:t xml:space="preserve">The increase in general and administrative expense was primarily due to increased headcount, which resulted in an increase of $1.5 million in personnel-related costs. Additionally, there were also increases in stock-based compensation of $1.7 million and $1.0 million in charitable contributions. </w:t>
      </w:r>
    </w:p>
    <w:p>
      <w:pPr>
        <w:pStyle w:val="TextBody"/>
        <w:spacing w:lineRule="auto" w:line="288" w:before="240" w:after="283"/>
        <w:ind w:left="0" w:right="0" w:firstLine="720"/>
        <w:rPr/>
      </w:pPr>
      <w:r>
        <w:rPr>
          <w:rFonts w:ascii="Times New Roman;sans-serif" w:hAnsi="Times New Roman;sans-serif"/>
          <w:b/>
          <w:i/>
          <w:color w:val="1F282C"/>
          <w:sz w:val="20"/>
        </w:rPr>
        <w:t>Amortization of Intangible Assets -</w:t>
      </w:r>
      <w:r>
        <w:rPr>
          <w:color w:val="1F282C"/>
        </w:rPr>
        <w:t xml:space="preserve"> </w:t>
      </w:r>
      <w:r>
        <w:rPr>
          <w:rFonts w:ascii="Times New Roman;sans-serif" w:hAnsi="Times New Roman;sans-serif"/>
          <w:b w:val="false"/>
          <w:color w:val="000000"/>
          <w:sz w:val="20"/>
        </w:rPr>
        <w:t>The increase in amortization of intangible assets was driven by acquired intangible assets related to recent business combinations.</w:t>
      </w:r>
    </w:p>
    <w:p>
      <w:pPr>
        <w:pStyle w:val="TextBody"/>
        <w:spacing w:lineRule="auto" w:line="288" w:before="240" w:after="283"/>
        <w:ind w:left="0" w:right="0" w:firstLine="720"/>
        <w:rPr/>
      </w:pPr>
      <w:r>
        <w:rPr>
          <w:rFonts w:ascii="Times New Roman;sans-serif" w:hAnsi="Times New Roman;sans-serif"/>
          <w:b/>
          <w:i/>
          <w:color w:val="1F282C"/>
          <w:sz w:val="20"/>
        </w:rPr>
        <w:t>Other Expense, Net -</w:t>
      </w:r>
      <w:r>
        <w:rPr>
          <w:color w:val="1F282C"/>
        </w:rPr>
        <w:t xml:space="preserve"> </w:t>
      </w:r>
      <w:r>
        <w:rPr>
          <w:rFonts w:ascii="Times New Roman;sans-serif" w:hAnsi="Times New Roman;sans-serif"/>
          <w:b w:val="false"/>
          <w:color w:val="000000"/>
          <w:sz w:val="20"/>
        </w:rPr>
        <w:t>No significant changes.</w:t>
      </w:r>
    </w:p>
    <w:p>
      <w:pPr>
        <w:pStyle w:val="TextBody"/>
        <w:spacing w:lineRule="auto" w:line="288" w:before="240" w:after="283"/>
        <w:ind w:left="0" w:right="0" w:firstLine="720"/>
        <w:rPr/>
      </w:pPr>
      <w:r>
        <w:rPr>
          <w:rFonts w:ascii="Times New Roman;sans-serif" w:hAnsi="Times New Roman;sans-serif"/>
          <w:b/>
          <w:i/>
          <w:color w:val="1F282C"/>
          <w:sz w:val="20"/>
        </w:rPr>
        <w:t>Income Tax Expense -</w:t>
      </w:r>
      <w:r>
        <w:rPr>
          <w:color w:val="1F282C"/>
        </w:rPr>
        <w:t xml:space="preserve"> </w:t>
      </w:r>
      <w:r>
        <w:rPr>
          <w:rFonts w:ascii="Times New Roman;sans-serif" w:hAnsi="Times New Roman;sans-serif"/>
          <w:b w:val="false"/>
          <w:color w:val="000000"/>
          <w:sz w:val="20"/>
        </w:rPr>
        <w:t>The decrease in income tax expense was primarily driven by the increase in the excess tax deductions from current period equity award settlements, partially offset by an increase in pre-tax income. Excess tax benefits generated upon the settlement or exercise of stock awards are recognized as a reduction to income tax expense and, as a result, we expect that our annual effective income tax rate will fluctuate.</w:t>
      </w:r>
    </w:p>
    <w:p>
      <w:pPr>
        <w:pStyle w:val="TextBody"/>
        <w:spacing w:lineRule="auto" w:line="288" w:before="240" w:after="283"/>
        <w:ind w:left="0" w:right="0" w:firstLine="720"/>
        <w:rPr/>
      </w:pPr>
      <w:r>
        <w:rPr>
          <w:rFonts w:ascii="Times New Roman;sans-serif" w:hAnsi="Times New Roman;sans-serif"/>
          <w:b/>
          <w:i/>
          <w:color w:val="1F282C"/>
          <w:sz w:val="20"/>
        </w:rPr>
        <w:t xml:space="preserve">Adjusted EBITDA - </w:t>
      </w:r>
      <w:r>
        <w:rPr>
          <w:rFonts w:ascii="Times New Roman;sans-serif" w:hAnsi="Times New Roman;sans-serif"/>
          <w:b w:val="false"/>
          <w:color w:val="000000"/>
          <w:sz w:val="20"/>
        </w:rPr>
        <w:t>Adjusted EBITDA consists of net income adjusted for income tax expense, depreciation and amortization expense, stock-based compensation expense, realized gain or loss from foreign currency on cash and investments held, investment income or loss, and other adjustments as necessary for a fair presentation.</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net income to Adjusted EBITDA:</w:t>
      </w:r>
    </w:p>
    <w:tbl>
      <w:tblPr>
        <w:tblW w:w="7928" w:type="dxa"/>
        <w:jc w:val="left"/>
        <w:tblInd w:w="0" w:type="dxa"/>
        <w:tblCellMar>
          <w:top w:w="28" w:type="dxa"/>
          <w:left w:w="28" w:type="dxa"/>
          <w:bottom w:w="28" w:type="dxa"/>
          <w:right w:w="28" w:type="dxa"/>
        </w:tblCellMar>
      </w:tblPr>
      <w:tblGrid>
        <w:gridCol w:w="1980"/>
        <w:gridCol w:w="1745"/>
        <w:gridCol w:w="1749"/>
        <w:gridCol w:w="211"/>
        <w:gridCol w:w="721"/>
        <w:gridCol w:w="109"/>
        <w:gridCol w:w="109"/>
        <w:gridCol w:w="109"/>
        <w:gridCol w:w="109"/>
        <w:gridCol w:w="211"/>
        <w:gridCol w:w="721"/>
        <w:gridCol w:w="154"/>
      </w:tblGrid>
      <w:tr>
        <w:trPr/>
        <w:tc>
          <w:tcPr>
            <w:tcW w:w="1980" w:type="dxa"/>
            <w:tcBorders/>
            <w:shd w:fill="auto" w:val="clear"/>
            <w:vAlign w:val="center"/>
          </w:tcPr>
          <w:p>
            <w:pPr>
              <w:pStyle w:val="TableContents"/>
              <w:spacing w:before="0" w:after="283"/>
              <w:rPr>
                <w:sz w:val="4"/>
                <w:szCs w:val="4"/>
              </w:rPr>
            </w:pPr>
            <w:r>
              <w:rPr>
                <w:sz w:val="4"/>
                <w:szCs w:val="4"/>
              </w:rPr>
            </w:r>
          </w:p>
        </w:tc>
        <w:tc>
          <w:tcPr>
            <w:tcW w:w="1745" w:type="dxa"/>
            <w:tcBorders/>
            <w:shd w:fill="auto" w:val="clear"/>
            <w:vAlign w:val="center"/>
          </w:tcPr>
          <w:p>
            <w:pPr>
              <w:pStyle w:val="TableContents"/>
              <w:spacing w:before="0" w:after="283"/>
              <w:rPr>
                <w:sz w:val="4"/>
                <w:szCs w:val="4"/>
              </w:rPr>
            </w:pPr>
            <w:r>
              <w:rPr>
                <w:sz w:val="4"/>
                <w:szCs w:val="4"/>
              </w:rPr>
            </w:r>
          </w:p>
        </w:tc>
        <w:tc>
          <w:tcPr>
            <w:tcW w:w="174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5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property and equipment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from foreign currency on cash and investments held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20"/>
        <w:rPr/>
      </w:pPr>
      <w:r>
        <w:rPr>
          <w:rFonts w:ascii="Times New Roman;sans-serif" w:hAnsi="Times New Roman;sans-serif"/>
          <w:b/>
          <w:i/>
          <w:color w:val="1F282C"/>
          <w:sz w:val="20"/>
        </w:rPr>
        <w:t>Adjusted EBITDA Margin -</w:t>
      </w:r>
      <w:r>
        <w:rPr>
          <w:color w:val="000000"/>
        </w:rPr>
        <w:t xml:space="preserve"> </w:t>
      </w:r>
      <w:r>
        <w:rPr>
          <w:rFonts w:ascii="Times New Roman;sans-serif" w:hAnsi="Times New Roman;sans-serif"/>
          <w:b w:val="false"/>
          <w:color w:val="000000"/>
          <w:sz w:val="20"/>
        </w:rPr>
        <w:t>Adjusted EBITDA Margin</w:t>
      </w:r>
      <w:r>
        <w:rPr>
          <w:color w:val="1F282C"/>
        </w:rPr>
        <w:t xml:space="preserve"> </w:t>
      </w:r>
      <w:r>
        <w:rPr>
          <w:rFonts w:ascii="Times New Roman;sans-serif" w:hAnsi="Times New Roman;sans-serif"/>
          <w:b w:val="false"/>
          <w:color w:val="000000"/>
          <w:sz w:val="20"/>
        </w:rPr>
        <w:t xml:space="preserve">consists of Adjusted EBITDA divided by revenue. Margin, the comparable GAAP measure of financial performance, consists of net income divided by revenue. </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comparison of Margin to Adjusted EBITDA Margin:</w:t>
      </w:r>
    </w:p>
    <w:tbl>
      <w:tblPr>
        <w:tblW w:w="6930" w:type="dxa"/>
        <w:jc w:val="left"/>
        <w:tblInd w:w="0" w:type="dxa"/>
        <w:tblCellMar>
          <w:top w:w="28" w:type="dxa"/>
          <w:left w:w="28" w:type="dxa"/>
          <w:bottom w:w="28" w:type="dxa"/>
          <w:right w:w="28" w:type="dxa"/>
        </w:tblCellMar>
      </w:tblPr>
      <w:tblGrid>
        <w:gridCol w:w="1641"/>
        <w:gridCol w:w="1442"/>
        <w:gridCol w:w="1447"/>
        <w:gridCol w:w="224"/>
        <w:gridCol w:w="224"/>
        <w:gridCol w:w="557"/>
        <w:gridCol w:w="115"/>
        <w:gridCol w:w="115"/>
        <w:gridCol w:w="115"/>
        <w:gridCol w:w="224"/>
        <w:gridCol w:w="211"/>
        <w:gridCol w:w="615"/>
      </w:tblGrid>
      <w:tr>
        <w:trPr/>
        <w:tc>
          <w:tcPr>
            <w:tcW w:w="1641" w:type="dxa"/>
            <w:tcBorders/>
            <w:shd w:fill="auto" w:val="clear"/>
            <w:vAlign w:val="center"/>
          </w:tcPr>
          <w:p>
            <w:pPr>
              <w:pStyle w:val="TableContents"/>
              <w:spacing w:before="0" w:after="283"/>
              <w:rPr>
                <w:sz w:val="4"/>
                <w:szCs w:val="4"/>
              </w:rPr>
            </w:pPr>
            <w:r>
              <w:rPr>
                <w:sz w:val="4"/>
                <w:szCs w:val="4"/>
              </w:rPr>
            </w:r>
          </w:p>
        </w:tc>
        <w:tc>
          <w:tcPr>
            <w:tcW w:w="1442" w:type="dxa"/>
            <w:tcBorders/>
            <w:shd w:fill="auto" w:val="clear"/>
            <w:vAlign w:val="center"/>
          </w:tcPr>
          <w:p>
            <w:pPr>
              <w:pStyle w:val="TableContents"/>
              <w:spacing w:before="0" w:after="283"/>
              <w:rPr>
                <w:sz w:val="4"/>
                <w:szCs w:val="4"/>
              </w:rPr>
            </w:pPr>
            <w:r>
              <w:rPr>
                <w:sz w:val="4"/>
                <w:szCs w:val="4"/>
              </w:rPr>
            </w:r>
          </w:p>
        </w:tc>
        <w:tc>
          <w:tcPr>
            <w:tcW w:w="1447"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r>
      <w:tr>
        <w:trPr/>
        <w:tc>
          <w:tcPr>
            <w:tcW w:w="4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45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Margin and Adjusted EBITDA Margin)</w:t>
            </w:r>
          </w:p>
        </w:tc>
        <w:tc>
          <w:tcPr>
            <w:tcW w:w="10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125,868</w:t>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105,193</w:t>
            </w:r>
          </w:p>
        </w:tc>
      </w:tr>
      <w:tr>
        <w:trPr/>
        <w:tc>
          <w:tcPr>
            <w:tcW w:w="45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0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15,289</w:t>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12,603</w:t>
            </w:r>
          </w:p>
        </w:tc>
      </w:tr>
      <w:tr>
        <w:trPr/>
        <w:tc>
          <w:tcPr>
            <w:tcW w:w="45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Margin</w:t>
            </w:r>
          </w:p>
        </w:tc>
        <w:tc>
          <w:tcPr>
            <w:tcW w:w="4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100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36,999</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31,766</w:t>
            </w:r>
          </w:p>
        </w:tc>
      </w:tr>
      <w:tr>
        <w:trPr/>
        <w:tc>
          <w:tcPr>
            <w:tcW w:w="4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Margin</w:t>
            </w:r>
          </w:p>
        </w:tc>
        <w:tc>
          <w:tcPr>
            <w:tcW w:w="4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6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240" w:after="283"/>
        <w:ind w:left="0" w:right="0" w:firstLine="720"/>
        <w:rPr/>
      </w:pPr>
      <w:r>
        <w:rPr/>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838200"/>
                <wp:effectExtent l="0" t="0" r="0" b="0"/>
                <wp:wrapNone/>
                <wp:docPr id="54" name="Frame19"/>
                <a:graphic xmlns:a="http://schemas.openxmlformats.org/drawingml/2006/main">
                  <a:graphicData uri="http://schemas.microsoft.com/office/word/2010/wordprocessingShape">
                    <wps:wsp>
                      <wps:cNvSpPr txBox="1"/>
                      <wps:spPr>
                        <a:xfrm>
                          <a:off x="0" y="0"/>
                          <a:ext cx="6480175" cy="838200"/>
                        </a:xfrm>
                        <a:prstGeom prst="rect"/>
                      </wps:spPr>
                      <wps:txb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5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9" descr=""/>
                                                <pic:cNvPicPr>
                                                  <a:picLocks noChangeAspect="1" noChangeArrowheads="1"/>
                                                </pic:cNvPicPr>
                                              </pic:nvPicPr>
                                              <pic:blipFill>
                                                <a:blip r:embed="rId20"/>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highlight w:val="white"/>
                                    </w:rPr>
                                    <w:t>March 31, 2023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pt;mso-wrap-distance-left:0pt;mso-wrap-distance-right:0pt;mso-wrap-distance-top:0pt;mso-wrap-distance-bottom:0pt;margin-top:0pt;mso-position-vertical:top;mso-position-vertical-relative:text;margin-left:0pt;mso-position-horizontal:left;mso-position-horizontal-relative:text">
                <v:textbo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5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9" descr=""/>
                                          <pic:cNvPicPr>
                                            <a:picLocks noChangeAspect="1" noChangeArrowheads="1"/>
                                          </pic:cNvPicPr>
                                        </pic:nvPicPr>
                                        <pic:blipFill>
                                          <a:blip r:embed="rId20"/>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highlight w:val="white"/>
                              </w:rPr>
                              <w:t>March 31, 2023</w:t>
                            </w:r>
                          </w:p>
                        </w:tc>
                      </w:tr>
                    </w:tbl>
                    <w:p>
                      <w:pPr>
                        <w:pStyle w:val="TextBody"/>
                        <w:spacing w:before="0" w:after="283"/>
                        <w:rPr/>
                      </w:pPr>
                      <w:r>
                        <w:rPr/>
                      </w:r>
                    </w:p>
                  </w:txbxContent>
                </v:textbox>
              </v:rect>
            </w:pict>
          </mc:Fallback>
        </mc:AlternateContent>
      </w:r>
    </w:p>
    <w:p>
      <w:pPr>
        <w:pStyle w:val="TextBody"/>
        <w:spacing w:lineRule="auto" w:line="288" w:before="240" w:after="283"/>
        <w:jc w:val="right"/>
        <w:rPr/>
      </w:pPr>
      <w:hyperlink w:anchor="i6d9a8d1ab1f5454885a98aaf9e608722_7">
        <w:r>
          <w:rPr>
            <w:rStyle w:val="InternetLink"/>
            <w:rFonts w:ascii="Times New Roman;sans-serif" w:hAnsi="Times New Roman;sans-serif"/>
            <w:b w:val="false"/>
            <w:color w:val="0000FF"/>
            <w:sz w:val="16"/>
            <w:u w:val="single"/>
          </w:rPr>
          <w:t>Table of Contents</w:t>
        </w:r>
      </w:hyperlink>
    </w:p>
    <w:p>
      <w:pPr>
        <w:pStyle w:val="TextBody"/>
        <w:spacing w:lineRule="auto" w:line="288" w:before="240" w:after="283"/>
        <w:ind w:left="0" w:right="0" w:firstLine="720"/>
        <w:rPr/>
      </w:pPr>
      <w:r>
        <w:rPr>
          <w:rFonts w:ascii="Times New Roman;sans-serif" w:hAnsi="Times New Roman;sans-serif"/>
          <w:b/>
          <w:i/>
          <w:color w:val="1F282C"/>
          <w:sz w:val="20"/>
        </w:rPr>
        <w:t xml:space="preserve">Non-GAAP Income per Share - </w:t>
      </w:r>
      <w:r>
        <w:rPr>
          <w:rFonts w:ascii="Times New Roman;sans-serif" w:hAnsi="Times New Roman;sans-serif"/>
          <w:b w:val="false"/>
          <w:color w:val="000000"/>
          <w:sz w:val="20"/>
        </w:rPr>
        <w:t xml:space="preserve">Non-GAAP income per share consists of net income adjusted for stock-based compensation expense, amortization expense related to intangible assets, realized gain or loss from foreign currency on cash and investments held, other adjustments as necessary for a fair presentation, and the corresponding tax impacts of the adjustments to net income, divided by the weighted average number of shares of common and diluted stock outstanding during each period. </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To quantify the tax effects, we recalculated income tax expense excluding the direct book and tax effects of the specific items constituting the non-GAAP adjustments. The difference between this recalculated income tax expense and GAAP income tax expense is presented as the income tax effect of the non-GAAP adjustments.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net income to non-GAAP income per share:</w:t>
      </w:r>
    </w:p>
    <w:tbl>
      <w:tblPr>
        <w:tblW w:w="7928" w:type="dxa"/>
        <w:jc w:val="left"/>
        <w:tblInd w:w="0" w:type="dxa"/>
        <w:tblCellMar>
          <w:top w:w="28" w:type="dxa"/>
          <w:left w:w="28" w:type="dxa"/>
          <w:bottom w:w="28" w:type="dxa"/>
          <w:right w:w="28" w:type="dxa"/>
        </w:tblCellMar>
      </w:tblPr>
      <w:tblGrid>
        <w:gridCol w:w="1983"/>
        <w:gridCol w:w="1743"/>
        <w:gridCol w:w="1748"/>
        <w:gridCol w:w="211"/>
        <w:gridCol w:w="721"/>
        <w:gridCol w:w="109"/>
        <w:gridCol w:w="109"/>
        <w:gridCol w:w="109"/>
        <w:gridCol w:w="109"/>
        <w:gridCol w:w="211"/>
        <w:gridCol w:w="721"/>
        <w:gridCol w:w="154"/>
      </w:tblGrid>
      <w:tr>
        <w:trPr/>
        <w:tc>
          <w:tcPr>
            <w:tcW w:w="1983" w:type="dxa"/>
            <w:tcBorders/>
            <w:shd w:fill="auto" w:val="clear"/>
            <w:vAlign w:val="center"/>
          </w:tcPr>
          <w:p>
            <w:pPr>
              <w:pStyle w:val="TableContents"/>
              <w:spacing w:before="0" w:after="283"/>
              <w:rPr>
                <w:sz w:val="4"/>
                <w:szCs w:val="4"/>
              </w:rPr>
            </w:pPr>
            <w:r>
              <w:rPr>
                <w:sz w:val="4"/>
                <w:szCs w:val="4"/>
              </w:rPr>
            </w:r>
          </w:p>
        </w:tc>
        <w:tc>
          <w:tcPr>
            <w:tcW w:w="1743" w:type="dxa"/>
            <w:tcBorders/>
            <w:shd w:fill="auto" w:val="clear"/>
            <w:vAlign w:val="center"/>
          </w:tcPr>
          <w:p>
            <w:pPr>
              <w:pStyle w:val="TableContents"/>
              <w:spacing w:before="0" w:after="283"/>
              <w:rPr>
                <w:sz w:val="4"/>
                <w:szCs w:val="4"/>
              </w:rPr>
            </w:pPr>
            <w:r>
              <w:rPr>
                <w:sz w:val="4"/>
                <w:szCs w:val="4"/>
              </w:rPr>
            </w:r>
          </w:p>
        </w:tc>
        <w:tc>
          <w:tcPr>
            <w:tcW w:w="174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5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amounts)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from foreign currency on cash and investments held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effects of adjustments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to compute non-GAAP income per share</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income per share</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240" w:after="283"/>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838200"/>
                <wp:effectExtent l="0" t="0" r="0" b="0"/>
                <wp:wrapNone/>
                <wp:docPr id="57" name="Frame20"/>
                <a:graphic xmlns:a="http://schemas.openxmlformats.org/drawingml/2006/main">
                  <a:graphicData uri="http://schemas.microsoft.com/office/word/2010/wordprocessingShape">
                    <wps:wsp>
                      <wps:cNvSpPr txBox="1"/>
                      <wps:spPr>
                        <a:xfrm>
                          <a:off x="0" y="0"/>
                          <a:ext cx="6480175" cy="838200"/>
                        </a:xfrm>
                        <a:prstGeom prst="rect"/>
                      </wps:spPr>
                      <wps:txb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5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0" descr=""/>
                                                <pic:cNvPicPr>
                                                  <a:picLocks noChangeAspect="1" noChangeArrowheads="1"/>
                                                </pic:cNvPicPr>
                                              </pic:nvPicPr>
                                              <pic:blipFill>
                                                <a:blip r:embed="rId21"/>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highlight w:val="white"/>
                                    </w:rPr>
                                    <w:t>March 31, 2023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pt;mso-wrap-distance-left:0pt;mso-wrap-distance-right:0pt;mso-wrap-distance-top:0pt;mso-wrap-distance-bottom:0pt;margin-top:0pt;mso-position-vertical:top;mso-position-vertical-relative:text;margin-left:0pt;mso-position-horizontal:left;mso-position-horizontal-relative:text">
                <v:textbo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5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0" descr=""/>
                                          <pic:cNvPicPr>
                                            <a:picLocks noChangeAspect="1" noChangeArrowheads="1"/>
                                          </pic:cNvPicPr>
                                        </pic:nvPicPr>
                                        <pic:blipFill>
                                          <a:blip r:embed="rId21"/>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highlight w:val="white"/>
                              </w:rPr>
                              <w:t>March 31, 2023</w:t>
                            </w:r>
                          </w:p>
                        </w:tc>
                      </w:tr>
                    </w:tbl>
                    <w:p>
                      <w:pPr>
                        <w:pStyle w:val="TextBody"/>
                        <w:spacing w:before="0" w:after="283"/>
                        <w:rPr/>
                      </w:pPr>
                      <w:r>
                        <w:rPr/>
                      </w:r>
                    </w:p>
                  </w:txbxContent>
                </v:textbox>
              </v:rect>
            </w:pict>
          </mc:Fallback>
        </mc:AlternateContent>
      </w:r>
    </w:p>
    <w:p>
      <w:pPr>
        <w:pStyle w:val="TextBody"/>
        <w:spacing w:lineRule="auto" w:line="288" w:before="240" w:after="283"/>
        <w:jc w:val="right"/>
        <w:rPr/>
      </w:pPr>
      <w:hyperlink w:anchor="i6d9a8d1ab1f5454885a98aaf9e608722_7">
        <w:r>
          <w:rPr>
            <w:rStyle w:val="InternetLink"/>
            <w:rFonts w:ascii="Times New Roman;sans-serif" w:hAnsi="Times New Roman;sans-serif"/>
            <w:b w:val="false"/>
            <w:color w:val="0000FF"/>
            <w:sz w:val="16"/>
            <w:u w:val="single"/>
          </w:rPr>
          <w:t>Table of Contents</w:t>
        </w:r>
      </w:hyperlink>
    </w:p>
    <w:p>
      <w:pPr>
        <w:pStyle w:val="TextBody"/>
        <w:spacing w:lineRule="auto" w:line="288" w:before="360" w:after="283"/>
        <w:rPr>
          <w:rFonts w:ascii="Times New Roman;sans-serif" w:hAnsi="Times New Roman;sans-serif"/>
          <w:b/>
          <w:color w:val="00AAE5"/>
          <w:sz w:val="20"/>
        </w:rPr>
      </w:pPr>
      <w:r>
        <w:rPr>
          <w:rFonts w:ascii="Times New Roman;sans-serif" w:hAnsi="Times New Roman;sans-serif"/>
          <w:b/>
          <w:color w:val="00AAE5"/>
          <w:sz w:val="20"/>
        </w:rPr>
        <w:t xml:space="preserve">Critical Accounting Policies and Estimates </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This discussion of our financial condition and results of operations is based upon our condensed consolidated financial statements, which are prepared in accordance with GAAP and with the instructions to Form 10-Q and Rule 10-01 of Regulation S-X. The preparation of these consolidated financial statements requires us to make estimates, judgments, and assumptions that affect the reported amounts of assets, liabilities, revenues, expenses, and related disclosures. On an ongoing basis, we evaluate our estimates, judgments,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critical accounting policy or estimate is one that is both material to the presentation of our financial statements and requires us to make difficult, subjective, or complex judgments relating to uncertain matters that could have a material effect on our financial condition and results of operations. Accordingly, we believe that our policies for revenue recognition, internally developed software, and business combinations are the most critical to fully understand and evaluate our financial condition and results of operations.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there were no changes in our critical accounting policies or estimates. For additional information regarding our critical accounting policies and estimates, see the discussion under "Critical Accounting Policies and Estimates" in "Management's Discussion and Analysis of Financial Condition and Results of Operations" included in our Annual Report on Form 10-K for the year ended December 31, 2022, as filed with the SEC.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AAE5"/>
          <w:sz w:val="20"/>
        </w:rPr>
      </w:pPr>
      <w:r>
        <w:rPr>
          <w:rFonts w:ascii="Times New Roman;sans-serif" w:hAnsi="Times New Roman;sans-serif"/>
          <w:b/>
          <w:color w:val="00AAE5"/>
          <w:sz w:val="20"/>
        </w:rPr>
        <w:t xml:space="preserve">Liquidity and Capital Resources </w:t>
      </w:r>
    </w:p>
    <w:p>
      <w:pPr>
        <w:pStyle w:val="TextBody"/>
        <w:spacing w:lineRule="auto" w:line="288" w:before="120" w:after="283"/>
        <w:ind w:left="0" w:right="0" w:firstLine="720"/>
        <w:rPr/>
      </w:pPr>
      <w:r>
        <w:rPr>
          <w:rFonts w:ascii="Times New Roman;sans-serif" w:hAnsi="Times New Roman;sans-serif"/>
          <w:b w:val="false"/>
          <w:color w:val="000000"/>
          <w:sz w:val="20"/>
        </w:rPr>
        <w:t xml:space="preserve">As of </w:t>
      </w:r>
      <w:r>
        <w:rPr>
          <w:rFonts w:ascii="Times New Roman;sans-serif" w:hAnsi="Times New Roman;sans-serif"/>
          <w:b w:val="false"/>
          <w:color w:val="1F282C"/>
          <w:sz w:val="20"/>
          <w:highlight w:val="white"/>
        </w:rPr>
        <w:t>March 31, 2023</w:t>
      </w:r>
      <w:r>
        <w:rPr>
          <w:rFonts w:ascii="Times New Roman;sans-serif" w:hAnsi="Times New Roman;sans-serif"/>
          <w:b w:val="false"/>
          <w:color w:val="000000"/>
          <w:sz w:val="20"/>
        </w:rPr>
        <w:t>, our principal sources of liquidity were cash and cash equivalents and short-term investments totaling $233.5 million and net accounts receivable of $43.4 million. Our investments are selected in accordance with our investment policy, with a goal of maintaining liquidity and capital preservation. Our cash equivalents and short-term investments are held in highly liquid money market funds, certificates of deposits, and commercial paper.</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summary of activity within the condensed consolidated statements of cash flows was as follows:</w:t>
      </w:r>
    </w:p>
    <w:tbl>
      <w:tblPr>
        <w:tblW w:w="6564" w:type="dxa"/>
        <w:jc w:val="left"/>
        <w:tblInd w:w="0" w:type="dxa"/>
        <w:tblCellMar>
          <w:top w:w="28" w:type="dxa"/>
          <w:left w:w="28" w:type="dxa"/>
          <w:bottom w:w="28" w:type="dxa"/>
          <w:right w:w="28" w:type="dxa"/>
        </w:tblCellMar>
      </w:tblPr>
      <w:tblGrid>
        <w:gridCol w:w="1525"/>
        <w:gridCol w:w="1343"/>
        <w:gridCol w:w="1347"/>
        <w:gridCol w:w="211"/>
        <w:gridCol w:w="721"/>
        <w:gridCol w:w="109"/>
        <w:gridCol w:w="109"/>
        <w:gridCol w:w="109"/>
        <w:gridCol w:w="109"/>
        <w:gridCol w:w="211"/>
        <w:gridCol w:w="616"/>
        <w:gridCol w:w="154"/>
      </w:tblGrid>
      <w:tr>
        <w:trPr/>
        <w:tc>
          <w:tcPr>
            <w:tcW w:w="1525"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c>
          <w:tcPr>
            <w:tcW w:w="134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42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pPr>
      <w:r>
        <w:rPr>
          <w:rFonts w:ascii="Times New Roman;sans-serif" w:hAnsi="Times New Roman;sans-serif"/>
          <w:b/>
          <w:i/>
          <w:color w:val="1F282C"/>
          <w:sz w:val="20"/>
        </w:rPr>
        <w:t>Net Cash Flows from Operating Activities</w:t>
      </w:r>
      <w:r>
        <w:rPr>
          <w:color w:val="1F282C"/>
        </w:rPr>
        <w:t xml:space="preserve"> </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increase in cash provided by operating activities was primarily driven by changes in the amount and timing of settlement of operating assets and liabilities, in addition to increased net income.</w:t>
      </w:r>
    </w:p>
    <w:p>
      <w:pPr>
        <w:pStyle w:val="TextBody"/>
        <w:spacing w:lineRule="auto" w:line="288" w:before="240" w:after="283"/>
        <w:rPr/>
      </w:pPr>
      <w:r>
        <w:rPr>
          <w:rFonts w:ascii="Times New Roman;sans-serif" w:hAnsi="Times New Roman;sans-serif"/>
          <w:b/>
          <w:i/>
          <w:color w:val="1F282C"/>
          <w:sz w:val="20"/>
        </w:rPr>
        <w:t>Net Cash Flows from Investing Activities</w:t>
      </w:r>
      <w:r>
        <w:rPr>
          <w:color w:val="1F282C"/>
        </w:rPr>
        <w:t xml:space="preserve"> </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change in cash provided by (used in) investing activities was primarily due to the net investment activity.</w:t>
      </w:r>
    </w:p>
    <w:p>
      <w:pPr>
        <w:pStyle w:val="TextBody"/>
        <w:spacing w:lineRule="auto" w:line="288" w:before="240" w:after="283"/>
        <w:rPr/>
      </w:pPr>
      <w:r>
        <w:rPr>
          <w:rFonts w:ascii="Times New Roman;sans-serif" w:hAnsi="Times New Roman;sans-serif"/>
          <w:b/>
          <w:i/>
          <w:color w:val="1F282C"/>
          <w:sz w:val="20"/>
        </w:rPr>
        <w:t>Net Cash Flows from Financing Activities</w:t>
      </w:r>
      <w:r>
        <w:rPr>
          <w:color w:val="1F282C"/>
        </w:rPr>
        <w:t xml:space="preserve"> </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 in cash provided by (used in) financing activities was primarily due to the decrease in cash used for share repurchases.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838200"/>
                <wp:effectExtent l="0" t="0" r="0" b="0"/>
                <wp:wrapNone/>
                <wp:docPr id="60" name="Frame21"/>
                <a:graphic xmlns:a="http://schemas.openxmlformats.org/drawingml/2006/main">
                  <a:graphicData uri="http://schemas.microsoft.com/office/word/2010/wordprocessingShape">
                    <wps:wsp>
                      <wps:cNvSpPr txBox="1"/>
                      <wps:spPr>
                        <a:xfrm>
                          <a:off x="0" y="0"/>
                          <a:ext cx="6480175" cy="838200"/>
                        </a:xfrm>
                        <a:prstGeom prst="rect"/>
                      </wps:spPr>
                      <wps:txb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6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1" descr=""/>
                                                <pic:cNvPicPr>
                                                  <a:picLocks noChangeAspect="1" noChangeArrowheads="1"/>
                                                </pic:cNvPicPr>
                                              </pic:nvPicPr>
                                              <pic:blipFill>
                                                <a:blip r:embed="rId22"/>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highlight w:val="white"/>
                                    </w:rPr>
                                    <w:t>March 31, 2023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pt;mso-wrap-distance-left:0pt;mso-wrap-distance-right:0pt;mso-wrap-distance-top:0pt;mso-wrap-distance-bottom:0pt;margin-top:0pt;mso-position-vertical:top;mso-position-vertical-relative:text;margin-left:0pt;mso-position-horizontal:left;mso-position-horizontal-relative:text">
                <v:textbo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6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1" descr=""/>
                                          <pic:cNvPicPr>
                                            <a:picLocks noChangeAspect="1" noChangeArrowheads="1"/>
                                          </pic:cNvPicPr>
                                        </pic:nvPicPr>
                                        <pic:blipFill>
                                          <a:blip r:embed="rId22"/>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highlight w:val="white"/>
                              </w:rPr>
                              <w:t>March 31, 2023</w:t>
                            </w:r>
                          </w:p>
                        </w:tc>
                      </w:tr>
                    </w:tbl>
                    <w:p>
                      <w:pPr>
                        <w:pStyle w:val="TextBody"/>
                        <w:spacing w:before="0" w:after="283"/>
                        <w:rPr/>
                      </w:pPr>
                      <w:r>
                        <w:rPr/>
                      </w:r>
                    </w:p>
                  </w:txbxContent>
                </v:textbox>
              </v:rect>
            </w:pict>
          </mc:Fallback>
        </mc:AlternateContent>
      </w:r>
    </w:p>
    <w:p>
      <w:pPr>
        <w:pStyle w:val="TextBody"/>
        <w:spacing w:lineRule="auto" w:line="288" w:before="240" w:after="283"/>
        <w:jc w:val="right"/>
        <w:rPr/>
      </w:pPr>
      <w:hyperlink w:anchor="i6d9a8d1ab1f5454885a98aaf9e608722_7">
        <w:r>
          <w:rPr>
            <w:rStyle w:val="InternetLink"/>
            <w:rFonts w:ascii="Times New Roman;sans-serif" w:hAnsi="Times New Roman;sans-serif"/>
            <w:b w:val="false"/>
            <w:color w:val="0000FF"/>
            <w:sz w:val="16"/>
            <w:u w:val="single"/>
          </w:rPr>
          <w:t>Table of Contents</w:t>
        </w:r>
      </w:hyperlink>
    </w:p>
    <w:p>
      <w:pPr>
        <w:pStyle w:val="TextBody"/>
        <w:spacing w:lineRule="auto" w:line="288" w:before="240" w:after="283"/>
        <w:rPr>
          <w:rFonts w:ascii="Times New Roman;sans-serif" w:hAnsi="Times New Roman;sans-serif"/>
          <w:b/>
          <w:i/>
          <w:color w:val="1F282C"/>
          <w:sz w:val="20"/>
        </w:rPr>
      </w:pPr>
      <w:r>
        <w:rPr>
          <w:rFonts w:ascii="Times New Roman;sans-serif" w:hAnsi="Times New Roman;sans-serif"/>
          <w:b/>
          <w:i/>
          <w:color w:val="1F282C"/>
          <w:sz w:val="20"/>
        </w:rPr>
        <w:t>Contractual and Commercial Commitment Summary</w:t>
      </w:r>
    </w:p>
    <w:p>
      <w:pPr>
        <w:pStyle w:val="TextBody"/>
        <w:spacing w:lineRule="auto" w:line="288" w:before="120" w:after="283"/>
        <w:ind w:left="0" w:right="0" w:firstLine="720"/>
        <w:rPr/>
      </w:pPr>
      <w:r>
        <w:rPr>
          <w:rFonts w:ascii="Times New Roman;sans-serif" w:hAnsi="Times New Roman;sans-serif"/>
          <w:b w:val="false"/>
          <w:color w:val="000000"/>
          <w:sz w:val="20"/>
        </w:rPr>
        <w:t>Our contractual obligations and commercial commitments as o</w:t>
      </w:r>
      <w:r>
        <w:rPr>
          <w:rFonts w:ascii="Times New Roman;sans-serif" w:hAnsi="Times New Roman;sans-serif"/>
          <w:b w:val="false"/>
          <w:color w:val="000000"/>
          <w:sz w:val="20"/>
          <w:highlight w:val="white"/>
        </w:rPr>
        <w:t xml:space="preserve">f </w:t>
      </w:r>
      <w:r>
        <w:rPr>
          <w:rFonts w:ascii="Times New Roman;sans-serif" w:hAnsi="Times New Roman;sans-serif"/>
          <w:b w:val="false"/>
          <w:color w:val="1F282C"/>
          <w:sz w:val="20"/>
          <w:highlight w:val="white"/>
        </w:rPr>
        <w:t xml:space="preserve">March 31, 2023 </w:t>
      </w:r>
      <w:r>
        <w:rPr>
          <w:rFonts w:ascii="Times New Roman;sans-serif" w:hAnsi="Times New Roman;sans-serif"/>
          <w:b w:val="false"/>
          <w:color w:val="000000"/>
          <w:sz w:val="20"/>
        </w:rPr>
        <w:t>are summarized below:</w:t>
      </w:r>
    </w:p>
    <w:tbl>
      <w:tblPr>
        <w:tblW w:w="9802" w:type="dxa"/>
        <w:jc w:val="left"/>
        <w:tblInd w:w="0" w:type="dxa"/>
        <w:tblCellMar>
          <w:top w:w="28" w:type="dxa"/>
          <w:left w:w="28" w:type="dxa"/>
          <w:bottom w:w="28" w:type="dxa"/>
          <w:right w:w="28" w:type="dxa"/>
        </w:tblCellMar>
      </w:tblPr>
      <w:tblGrid>
        <w:gridCol w:w="1666"/>
        <w:gridCol w:w="1467"/>
        <w:gridCol w:w="1471"/>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109"/>
        <w:gridCol w:w="109"/>
        <w:gridCol w:w="211"/>
        <w:gridCol w:w="721"/>
        <w:gridCol w:w="154"/>
      </w:tblGrid>
      <w:tr>
        <w:trPr/>
        <w:tc>
          <w:tcPr>
            <w:tcW w:w="1666" w:type="dxa"/>
            <w:tcBorders/>
            <w:shd w:fill="auto" w:val="clear"/>
            <w:vAlign w:val="center"/>
          </w:tcPr>
          <w:p>
            <w:pPr>
              <w:pStyle w:val="TableContents"/>
              <w:spacing w:before="0" w:after="283"/>
              <w:rPr>
                <w:sz w:val="4"/>
                <w:szCs w:val="4"/>
              </w:rPr>
            </w:pPr>
            <w:r>
              <w:rPr>
                <w:sz w:val="4"/>
                <w:szCs w:val="4"/>
              </w:rPr>
            </w:r>
          </w:p>
        </w:tc>
        <w:tc>
          <w:tcPr>
            <w:tcW w:w="1467"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3" w:type="dxa"/>
            <w:gridSpan w:val="1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 Due by Period</w:t>
            </w:r>
          </w:p>
        </w:tc>
        <w:tc>
          <w:tcPr>
            <w:tcW w:w="1195" w:type="dxa"/>
            <w:gridSpan w:val="4"/>
            <w:tcBorders/>
            <w:shd w:fill="auto" w:val="clear"/>
          </w:tcPr>
          <w:p>
            <w:pPr>
              <w:pStyle w:val="TableContents"/>
              <w:spacing w:before="0" w:after="283"/>
              <w:rPr>
                <w:sz w:val="4"/>
                <w:szCs w:val="4"/>
              </w:rPr>
            </w:pPr>
            <w:r>
              <w:rPr>
                <w:sz w:val="4"/>
                <w:szCs w:val="4"/>
              </w:rPr>
            </w:r>
          </w:p>
        </w:tc>
      </w:tr>
      <w:tr>
        <w:trPr/>
        <w:tc>
          <w:tcPr>
            <w:tcW w:w="46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w:t>
              <w:br/>
              <w:t>1 Year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3-5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 including imputed interest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commitments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i/>
          <w:color w:val="1F282C"/>
          <w:sz w:val="20"/>
        </w:rPr>
      </w:pPr>
      <w:r>
        <w:rPr>
          <w:rFonts w:ascii="Times New Roman;sans-serif" w:hAnsi="Times New Roman;sans-serif"/>
          <w:b/>
          <w:i/>
          <w:color w:val="1F282C"/>
          <w:sz w:val="20"/>
        </w:rPr>
        <w:t>Future Capital Requirements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future capital requirements may vary significantly from those now planned and will depend on many factors, including:</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costs to develop and implement new products and applications, if any;</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sales and marketing resources needed to further penetrate our market and gain acceptance of new products and applications that we may develop;</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expansion of our operations in the U.S. and internationally;</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response of competitors to our products and applications; 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use of capital for acquisitions.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Historically, we have experienced increases in our expenditures consistent with the growth in our operations and personnel, and we anticipate that our expenditures will continue to increase as we expand our business.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believe our cash, cash equivalents, investments, and cash flows from our operations will be sufficient to meet our working capital and capital expenditure requirements for at least the next twelve months.</w:t>
      </w:r>
    </w:p>
    <w:p>
      <w:pPr>
        <w:pStyle w:val="TextBody"/>
        <w:spacing w:lineRule="auto" w:line="288" w:before="240" w:after="283"/>
        <w:rPr>
          <w:rFonts w:ascii="Times New Roman;sans-serif" w:hAnsi="Times New Roman;sans-serif"/>
          <w:b/>
          <w:i/>
          <w:color w:val="1F282C"/>
          <w:sz w:val="20"/>
        </w:rPr>
      </w:pPr>
      <w:r>
        <w:rPr>
          <w:rFonts w:ascii="Times New Roman;sans-serif" w:hAnsi="Times New Roman;sans-serif"/>
          <w:b/>
          <w:i/>
          <w:color w:val="1F282C"/>
          <w:sz w:val="20"/>
        </w:rPr>
        <w:t>Off-Balance Sheet Arrangements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do not have any off-balance sheet arrangements, investments in special purpose entities or undisclosed borrowings or debt. Additionally, we are not a party to any derivative contracts or synthetic leases.</w:t>
      </w:r>
    </w:p>
    <w:p>
      <w:pPr>
        <w:pStyle w:val="TextBody"/>
        <w:spacing w:lineRule="auto" w:line="288" w:before="240" w:after="283"/>
        <w:rPr>
          <w:rFonts w:ascii="Times New Roman;sans-serif" w:hAnsi="Times New Roman;sans-serif"/>
          <w:b/>
          <w:i/>
          <w:color w:val="1F282C"/>
          <w:sz w:val="20"/>
        </w:rPr>
      </w:pPr>
      <w:r>
        <w:rPr>
          <w:rFonts w:ascii="Times New Roman;sans-serif" w:hAnsi="Times New Roman;sans-serif"/>
          <w:b/>
          <w:i/>
          <w:color w:val="1F282C"/>
          <w:sz w:val="20"/>
        </w:rPr>
        <w:t>Foreign Currency Exchange and Inflation Rate Changes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information regarding the effect of foreign currency exchange rate changes, refer to the section entitled “Foreign Currency Exchange Risk,” included in Part I, Item 3, “Quantitative and Qualitative Disclosures About Market Risk” of this Quarterly Report on Form 10-Q.</w:t>
      </w:r>
    </w:p>
    <w:p>
      <w:pPr>
        <w:pStyle w:val="TextBody"/>
        <w:spacing w:lineRule="auto" w:line="288" w:before="120" w:after="283"/>
        <w:ind w:left="0" w:right="0" w:firstLine="720"/>
        <w:rPr/>
      </w:pPr>
      <w:r>
        <w:rPr>
          <w:rFonts w:ascii="Times New Roman;sans-serif" w:hAnsi="Times New Roman;sans-serif"/>
          <w:b w:val="false"/>
          <w:color w:val="000000"/>
          <w:sz w:val="20"/>
        </w:rPr>
        <w:t xml:space="preserve">Inflation and changing prices did not have a material effect on our business during the three months ended </w:t>
      </w:r>
      <w:r>
        <w:rPr>
          <w:rFonts w:ascii="Times New Roman;sans-serif" w:hAnsi="Times New Roman;sans-serif"/>
          <w:b w:val="false"/>
          <w:color w:val="1F282C"/>
          <w:sz w:val="20"/>
          <w:highlight w:val="white"/>
        </w:rPr>
        <w:t xml:space="preserve">March 31, 2023 </w:t>
      </w:r>
      <w:r>
        <w:rPr>
          <w:rFonts w:ascii="Times New Roman;sans-serif" w:hAnsi="Times New Roman;sans-serif"/>
          <w:b w:val="false"/>
          <w:color w:val="000000"/>
          <w:sz w:val="20"/>
        </w:rPr>
        <w:t>and we do not expect that inflation or changing prices will materially affect our business in the foreseeable future.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1440"/>
        <w:rPr>
          <w:rFonts w:ascii="Times New Roman;sans-serif" w:hAnsi="Times New Roman;sans-serif"/>
          <w:b/>
          <w:color w:val="00AAE5"/>
          <w:sz w:val="20"/>
        </w:rPr>
      </w:pPr>
      <w:r>
        <w:rPr>
          <w:rFonts w:ascii="Times New Roman;sans-serif" w:hAnsi="Times New Roman;sans-serif"/>
          <w:b/>
          <w:color w:val="00AAE5"/>
          <w:sz w:val="20"/>
        </w:rPr>
        <w:t>Item 3.    Quantitative and Qualitative Disclosures About Market Risk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i/>
          <w:color w:val="1F282C"/>
          <w:sz w:val="20"/>
        </w:rPr>
      </w:pPr>
      <w:r>
        <w:rPr>
          <w:rFonts w:ascii="Times New Roman;sans-serif" w:hAnsi="Times New Roman;sans-serif"/>
          <w:b/>
          <w:i/>
          <w:color w:val="1F282C"/>
          <w:sz w:val="20"/>
        </w:rPr>
        <w:t>Interest Rate Sensitivity Risk</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principal objectives of our investment activities are to preserve principal, provide liquidity, and maximize income consistent with minimizing risk of material loss. We are exposed to market risk related to changes in interest rates. However, based on the nature and current level of our cash, cash equivalents, and investments, we believe there is no material risk exposure. We do not enter into investments for trading or speculative purposes.</w:t>
      </w:r>
    </w:p>
    <w:p>
      <w:pPr>
        <w:pStyle w:val="TextBody"/>
        <w:spacing w:lineRule="auto" w:line="288" w:before="120" w:after="283"/>
        <w:ind w:left="0" w:right="0" w:firstLine="720"/>
        <w:rPr/>
      </w:pPr>
      <w:r>
        <w:rPr>
          <w:rFonts w:ascii="Times New Roman;sans-serif" w:hAnsi="Times New Roman;sans-serif"/>
          <w:b w:val="false"/>
          <w:color w:val="000000"/>
          <w:sz w:val="20"/>
        </w:rPr>
        <w:t xml:space="preserve">We did not have any variable interest rate outstanding debt as of </w:t>
      </w:r>
      <w:r>
        <w:rPr>
          <w:rFonts w:ascii="Times New Roman;sans-serif" w:hAnsi="Times New Roman;sans-serif"/>
          <w:b w:val="false"/>
          <w:color w:val="1F282C"/>
          <w:sz w:val="20"/>
          <w:highlight w:val="white"/>
        </w:rPr>
        <w:t>March 31, 2023</w:t>
      </w:r>
      <w:r>
        <w:rPr>
          <w:rFonts w:ascii="Times New Roman;sans-serif" w:hAnsi="Times New Roman;sans-serif"/>
          <w:b w:val="false"/>
          <w:color w:val="000000"/>
          <w:sz w:val="20"/>
        </w:rPr>
        <w:t>. Therefore, we do not have any material risk to interest rate fluctuations.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838200"/>
                <wp:effectExtent l="0" t="0" r="0" b="0"/>
                <wp:wrapNone/>
                <wp:docPr id="63" name="Frame22"/>
                <a:graphic xmlns:a="http://schemas.openxmlformats.org/drawingml/2006/main">
                  <a:graphicData uri="http://schemas.microsoft.com/office/word/2010/wordprocessingShape">
                    <wps:wsp>
                      <wps:cNvSpPr txBox="1"/>
                      <wps:spPr>
                        <a:xfrm>
                          <a:off x="0" y="0"/>
                          <a:ext cx="6480175" cy="838200"/>
                        </a:xfrm>
                        <a:prstGeom prst="rect"/>
                      </wps:spPr>
                      <wps:txb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6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2" descr=""/>
                                                <pic:cNvPicPr>
                                                  <a:picLocks noChangeAspect="1" noChangeArrowheads="1"/>
                                                </pic:cNvPicPr>
                                              </pic:nvPicPr>
                                              <pic:blipFill>
                                                <a:blip r:embed="rId23"/>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highlight w:val="white"/>
                                    </w:rPr>
                                    <w:t>March 31, 2023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pt;mso-wrap-distance-left:0pt;mso-wrap-distance-right:0pt;mso-wrap-distance-top:0pt;mso-wrap-distance-bottom:0pt;margin-top:0pt;mso-position-vertical:top;mso-position-vertical-relative:text;margin-left:0pt;mso-position-horizontal:left;mso-position-horizontal-relative:text">
                <v:textbo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6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2" descr=""/>
                                          <pic:cNvPicPr>
                                            <a:picLocks noChangeAspect="1" noChangeArrowheads="1"/>
                                          </pic:cNvPicPr>
                                        </pic:nvPicPr>
                                        <pic:blipFill>
                                          <a:blip r:embed="rId23"/>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highlight w:val="white"/>
                              </w:rPr>
                              <w:t>March 31, 2023</w:t>
                            </w:r>
                          </w:p>
                        </w:tc>
                      </w:tr>
                    </w:tbl>
                    <w:p>
                      <w:pPr>
                        <w:pStyle w:val="TextBody"/>
                        <w:spacing w:before="0" w:after="283"/>
                        <w:rPr/>
                      </w:pPr>
                      <w:r>
                        <w:rPr/>
                      </w:r>
                    </w:p>
                  </w:txbxContent>
                </v:textbox>
              </v:rect>
            </w:pict>
          </mc:Fallback>
        </mc:AlternateContent>
      </w:r>
    </w:p>
    <w:p>
      <w:pPr>
        <w:pStyle w:val="TextBody"/>
        <w:spacing w:lineRule="auto" w:line="288" w:before="240" w:after="283"/>
        <w:jc w:val="right"/>
        <w:rPr/>
      </w:pPr>
      <w:hyperlink w:anchor="i6d9a8d1ab1f5454885a98aaf9e608722_7">
        <w:r>
          <w:rPr>
            <w:rStyle w:val="InternetLink"/>
            <w:rFonts w:ascii="Times New Roman;sans-serif" w:hAnsi="Times New Roman;sans-serif"/>
            <w:b w:val="false"/>
            <w:color w:val="0000FF"/>
            <w:sz w:val="16"/>
            <w:u w:val="single"/>
          </w:rPr>
          <w:t>Table of Contents</w:t>
        </w:r>
      </w:hyperlink>
    </w:p>
    <w:p>
      <w:pPr>
        <w:pStyle w:val="TextBody"/>
        <w:spacing w:lineRule="auto" w:line="288" w:before="240" w:after="283"/>
        <w:rPr>
          <w:rFonts w:ascii="Times New Roman;sans-serif" w:hAnsi="Times New Roman;sans-serif"/>
          <w:b/>
          <w:i/>
          <w:color w:val="1F282C"/>
          <w:sz w:val="20"/>
        </w:rPr>
      </w:pPr>
      <w:r>
        <w:rPr>
          <w:rFonts w:ascii="Times New Roman;sans-serif" w:hAnsi="Times New Roman;sans-serif"/>
          <w:b/>
          <w:i/>
          <w:color w:val="1F282C"/>
          <w:sz w:val="20"/>
        </w:rPr>
        <w:t>Foreign Currency Exchange Risk</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Due to international operations, we have revenue, expenses, assets, and liabilities that are denominated in currencies other than the U.S. dollar, primarily the Australian and Canadian dollars. Our consolidated balance sheet, results of operations, and cash flows are, therefore, subject to fluctuations due to changes in foreign currency exchange rates and may be adversely affected in the future due to changes in foreign exchange rates. </w:t>
      </w:r>
    </w:p>
    <w:p>
      <w:pPr>
        <w:pStyle w:val="TextBody"/>
        <w:spacing w:lineRule="auto" w:line="288" w:before="120" w:after="283"/>
        <w:ind w:left="0" w:right="0" w:firstLine="720"/>
        <w:rPr/>
      </w:pPr>
      <w:r>
        <w:rPr>
          <w:rFonts w:ascii="Times New Roman;sans-serif" w:hAnsi="Times New Roman;sans-serif"/>
          <w:b w:val="false"/>
          <w:color w:val="000000"/>
          <w:sz w:val="20"/>
        </w:rPr>
        <w:t xml:space="preserve">Our sales are primarily denominated in U.S. dollars. Our expenses are generally denominated in the local currencies in which our operations are located. As of </w:t>
      </w:r>
      <w:r>
        <w:rPr>
          <w:rFonts w:ascii="Times New Roman;sans-serif" w:hAnsi="Times New Roman;sans-serif"/>
          <w:b w:val="false"/>
          <w:color w:val="1F282C"/>
          <w:sz w:val="20"/>
          <w:highlight w:val="white"/>
        </w:rPr>
        <w:t>March 31, 2023</w:t>
      </w:r>
      <w:r>
        <w:rPr>
          <w:rFonts w:ascii="Times New Roman;sans-serif" w:hAnsi="Times New Roman;sans-serif"/>
          <w:b w:val="false"/>
          <w:color w:val="000000"/>
          <w:sz w:val="20"/>
        </w:rPr>
        <w:t xml:space="preserve">, we maintained 10% of our total cash and cash equivalents and investments in foreign currencies. </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a hypothetical 10% change in foreign currency exchange rates or an inability to access foreign funds would not materially affect our ability to meet our operational needs, result in a material foreign currency loss or have a material impact on our consolidated financials. </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not used any forward contracts or currency borrowings to hedge our exposure to foreign currency exchange risk, although we may do so in the future.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1440"/>
        <w:rPr>
          <w:rFonts w:ascii="Times New Roman;sans-serif" w:hAnsi="Times New Roman;sans-serif"/>
          <w:b/>
          <w:color w:val="00AAE5"/>
          <w:sz w:val="20"/>
        </w:rPr>
      </w:pPr>
      <w:r>
        <w:rPr>
          <w:rFonts w:ascii="Times New Roman;sans-serif" w:hAnsi="Times New Roman;sans-serif"/>
          <w:b/>
          <w:color w:val="00AAE5"/>
          <w:sz w:val="20"/>
        </w:rPr>
        <w:t>Item 4.    Controls and Procedures</w:t>
      </w:r>
    </w:p>
    <w:p>
      <w:pPr>
        <w:pStyle w:val="TextBody"/>
        <w:spacing w:lineRule="auto" w:line="288" w:before="240" w:after="283"/>
        <w:rPr>
          <w:rFonts w:ascii="Times New Roman;sans-serif" w:hAnsi="Times New Roman;sans-serif"/>
          <w:b/>
          <w:i/>
          <w:color w:val="1F282C"/>
          <w:sz w:val="20"/>
        </w:rPr>
      </w:pPr>
      <w:r>
        <w:rPr>
          <w:rFonts w:ascii="Times New Roman;sans-serif" w:hAnsi="Times New Roman;sans-serif"/>
          <w:b/>
          <w:i/>
          <w:color w:val="1F282C"/>
          <w:sz w:val="20"/>
        </w:rPr>
        <w:t>Evaluation of Disclosure Controls and Procedures</w:t>
      </w:r>
    </w:p>
    <w:p>
      <w:pPr>
        <w:pStyle w:val="TextBody"/>
        <w:spacing w:lineRule="auto" w:line="288" w:before="120" w:after="283"/>
        <w:ind w:left="0" w:right="0" w:firstLine="720"/>
        <w:rPr/>
      </w:pPr>
      <w:r>
        <w:rPr>
          <w:rFonts w:ascii="Times New Roman;sans-serif" w:hAnsi="Times New Roman;sans-serif"/>
          <w:b w:val="false"/>
          <w:color w:val="000000"/>
          <w:sz w:val="20"/>
        </w:rPr>
        <w:t xml:space="preserve">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w:t>
      </w:r>
      <w:r>
        <w:rPr>
          <w:rFonts w:ascii="Times New Roman;sans-serif" w:hAnsi="Times New Roman;sans-serif"/>
          <w:b w:val="false"/>
          <w:color w:val="1F282C"/>
          <w:sz w:val="20"/>
          <w:highlight w:val="white"/>
        </w:rPr>
        <w:t>March 31, 2023</w:t>
      </w:r>
      <w:r>
        <w:rPr>
          <w:rFonts w:ascii="Times New Roman;sans-serif" w:hAnsi="Times New Roman;sans-serif"/>
          <w:b w:val="false"/>
          <w:color w:val="000000"/>
          <w:sz w:val="20"/>
        </w:rPr>
        <w:t>.</w:t>
      </w:r>
    </w:p>
    <w:p>
      <w:pPr>
        <w:pStyle w:val="TextBody"/>
        <w:spacing w:lineRule="auto" w:line="288" w:before="240" w:after="283"/>
        <w:rPr>
          <w:rFonts w:ascii="Times New Roman;sans-serif" w:hAnsi="Times New Roman;sans-serif"/>
          <w:b/>
          <w:i/>
          <w:color w:val="1F282C"/>
          <w:sz w:val="20"/>
        </w:rPr>
      </w:pPr>
      <w:r>
        <w:rPr>
          <w:rFonts w:ascii="Times New Roman;sans-serif" w:hAnsi="Times New Roman;sans-serif"/>
          <w:b/>
          <w:i/>
          <w:color w:val="1F282C"/>
          <w:sz w:val="20"/>
        </w:rPr>
        <w:t>Changes in Internal Control over Financial Reporting</w:t>
      </w:r>
    </w:p>
    <w:p>
      <w:pPr>
        <w:pStyle w:val="TextBody"/>
        <w:spacing w:lineRule="auto" w:line="288" w:before="120" w:after="283"/>
        <w:ind w:left="0" w:right="0" w:firstLine="720"/>
        <w:rPr/>
      </w:pPr>
      <w:r>
        <w:rPr>
          <w:rFonts w:ascii="Times New Roman;sans-serif" w:hAnsi="Times New Roman;sans-serif"/>
          <w:b w:val="false"/>
          <w:color w:val="000000"/>
          <w:sz w:val="20"/>
        </w:rPr>
        <w:t xml:space="preserve">There were no changes in our internal control over financial reporting during the quarter ended </w:t>
      </w:r>
      <w:r>
        <w:rPr>
          <w:rFonts w:ascii="Times New Roman;sans-serif" w:hAnsi="Times New Roman;sans-serif"/>
          <w:b w:val="false"/>
          <w:color w:val="1F282C"/>
          <w:sz w:val="20"/>
          <w:highlight w:val="white"/>
        </w:rPr>
        <w:t>March 31, 2023</w:t>
      </w:r>
      <w:r>
        <w:rPr>
          <w:color w:val="000000"/>
        </w:rPr>
        <w:t xml:space="preserve"> </w:t>
      </w:r>
      <w:r>
        <w:rPr>
          <w:rFonts w:ascii="Times New Roman;sans-serif" w:hAnsi="Times New Roman;sans-serif"/>
          <w:b w:val="false"/>
          <w:color w:val="000000"/>
          <w:sz w:val="20"/>
        </w:rPr>
        <w:t>that have materially affected, or are reasonably likely to materially affect, our internal control over financial reporting.</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2022, we acquired the GCommerce business and in October 2022, we acquired the InterTrade business. Pursuant to the SEC’s general guidance that the assessment of a recently acquired business' internal control over financial reporting may be omitted in the year of acquisition, the scope of our most recent assessment did not include GCommerce or InterTrade. We are currently in the process of incorporating internal controls specific to GCommerce and InterTrade that we believe are appropriate and necessary to consolidate and report upon our financial results. </w:t>
      </w:r>
    </w:p>
    <w:p>
      <w:pPr>
        <w:pStyle w:val="TextBody"/>
        <w:spacing w:lineRule="auto" w:line="288" w:before="120" w:after="283"/>
        <w:ind w:left="0" w:right="0" w:firstLine="720"/>
        <w:rPr/>
      </w:pPr>
      <w:r>
        <w:rPr>
          <w:rFonts w:ascii="Times New Roman;sans-serif" w:hAnsi="Times New Roman;sans-serif"/>
          <w:b w:val="false"/>
          <w:color w:val="000000"/>
          <w:sz w:val="20"/>
        </w:rPr>
        <w:t xml:space="preserve">As of </w:t>
      </w:r>
      <w:r>
        <w:rPr>
          <w:rFonts w:ascii="Times New Roman;sans-serif" w:hAnsi="Times New Roman;sans-serif"/>
          <w:b w:val="false"/>
          <w:color w:val="1F282C"/>
          <w:sz w:val="20"/>
          <w:highlight w:val="white"/>
        </w:rPr>
        <w:t>March 31, 2023</w:t>
      </w:r>
      <w:r>
        <w:rPr>
          <w:rFonts w:ascii="Times New Roman;sans-serif" w:hAnsi="Times New Roman;sans-serif"/>
          <w:b w:val="false"/>
          <w:color w:val="000000"/>
          <w:sz w:val="20"/>
        </w:rPr>
        <w:t xml:space="preserve">, excluding net intangible assets and goodwill, GCommerce and InterTrade combined represented 3.4% of our consolidated assets. For the </w:t>
      </w:r>
      <w:r>
        <w:rPr>
          <w:rFonts w:ascii="Times New Roman;sans-serif" w:hAnsi="Times New Roman;sans-serif"/>
          <w:b w:val="false"/>
          <w:color w:val="000000"/>
          <w:sz w:val="20"/>
          <w:highlight w:val="white"/>
        </w:rPr>
        <w:t>three</w:t>
      </w:r>
      <w:r>
        <w:rPr>
          <w:color w:val="000000"/>
        </w:rPr>
        <w:t xml:space="preserve"> </w:t>
      </w:r>
      <w:r>
        <w:rPr>
          <w:rFonts w:ascii="Times New Roman;sans-serif" w:hAnsi="Times New Roman;sans-serif"/>
          <w:b w:val="false"/>
          <w:color w:val="000000"/>
          <w:sz w:val="20"/>
        </w:rPr>
        <w:t xml:space="preserve">months ended </w:t>
      </w:r>
      <w:r>
        <w:rPr>
          <w:rFonts w:ascii="Times New Roman;sans-serif" w:hAnsi="Times New Roman;sans-serif"/>
          <w:b w:val="false"/>
          <w:color w:val="1F282C"/>
          <w:sz w:val="20"/>
          <w:highlight w:val="white"/>
        </w:rPr>
        <w:t>March 31, 2023</w:t>
      </w:r>
      <w:r>
        <w:rPr>
          <w:rFonts w:ascii="Times New Roman;sans-serif" w:hAnsi="Times New Roman;sans-serif"/>
          <w:b w:val="false"/>
          <w:color w:val="000000"/>
          <w:sz w:val="20"/>
        </w:rPr>
        <w:t>, GCommerce and InterTrade combined represented 3.6% of our consolidated revenues.</w:t>
      </w:r>
    </w:p>
    <w:p>
      <w:pPr>
        <w:pStyle w:val="TextBody"/>
        <w:spacing w:before="120" w:after="283"/>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838200"/>
                <wp:effectExtent l="0" t="0" r="0" b="0"/>
                <wp:wrapNone/>
                <wp:docPr id="66" name="Frame23"/>
                <a:graphic xmlns:a="http://schemas.openxmlformats.org/drawingml/2006/main">
                  <a:graphicData uri="http://schemas.microsoft.com/office/word/2010/wordprocessingShape">
                    <wps:wsp>
                      <wps:cNvSpPr txBox="1"/>
                      <wps:spPr>
                        <a:xfrm>
                          <a:off x="0" y="0"/>
                          <a:ext cx="6480175" cy="838200"/>
                        </a:xfrm>
                        <a:prstGeom prst="rect"/>
                      </wps:spPr>
                      <wps:txb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6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3" descr=""/>
                                                <pic:cNvPicPr>
                                                  <a:picLocks noChangeAspect="1" noChangeArrowheads="1"/>
                                                </pic:cNvPicPr>
                                              </pic:nvPicPr>
                                              <pic:blipFill>
                                                <a:blip r:embed="rId24"/>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highlight w:val="white"/>
                                    </w:rPr>
                                    <w:t>March 31, 2023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pt;mso-wrap-distance-left:0pt;mso-wrap-distance-right:0pt;mso-wrap-distance-top:0pt;mso-wrap-distance-bottom:0pt;margin-top:0pt;mso-position-vertical:top;mso-position-vertical-relative:text;margin-left:0pt;mso-position-horizontal:left;mso-position-horizontal-relative:text">
                <v:textbo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6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3" descr=""/>
                                          <pic:cNvPicPr>
                                            <a:picLocks noChangeAspect="1" noChangeArrowheads="1"/>
                                          </pic:cNvPicPr>
                                        </pic:nvPicPr>
                                        <pic:blipFill>
                                          <a:blip r:embed="rId24"/>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highlight w:val="white"/>
                              </w:rPr>
                              <w:t>March 31, 2023</w:t>
                            </w:r>
                          </w:p>
                        </w:tc>
                      </w:tr>
                    </w:tbl>
                    <w:p>
                      <w:pPr>
                        <w:pStyle w:val="TextBody"/>
                        <w:spacing w:before="0" w:after="283"/>
                        <w:rPr/>
                      </w:pPr>
                      <w:r>
                        <w:rPr/>
                      </w:r>
                    </w:p>
                  </w:txbxContent>
                </v:textbox>
              </v:rect>
            </w:pict>
          </mc:Fallback>
        </mc:AlternateContent>
      </w:r>
    </w:p>
    <w:p>
      <w:pPr>
        <w:pStyle w:val="TextBody"/>
        <w:spacing w:lineRule="auto" w:line="288" w:before="240" w:after="283"/>
        <w:jc w:val="right"/>
        <w:rPr/>
      </w:pPr>
      <w:hyperlink w:anchor="i6d9a8d1ab1f5454885a98aaf9e608722_7">
        <w:r>
          <w:rPr>
            <w:rStyle w:val="InternetLink"/>
            <w:rFonts w:ascii="Times New Roman;sans-serif" w:hAnsi="Times New Roman;sans-serif"/>
            <w:b w:val="false"/>
            <w:color w:val="0000FF"/>
            <w:sz w:val="16"/>
            <w:u w:val="single"/>
          </w:rPr>
          <w:t>Table of Contents</w:t>
        </w:r>
      </w:hyperlink>
    </w:p>
    <w:p>
      <w:pPr>
        <w:pStyle w:val="TextBody"/>
        <w:spacing w:lineRule="auto" w:line="288" w:before="360" w:after="283"/>
        <w:jc w:val="center"/>
        <w:rPr>
          <w:rFonts w:ascii="Times New Roman;sans-serif" w:hAnsi="Times New Roman;sans-serif"/>
          <w:b/>
          <w:color w:val="00AAE5"/>
          <w:sz w:val="20"/>
        </w:rPr>
      </w:pPr>
      <w:r>
        <w:rPr>
          <w:rFonts w:ascii="Times New Roman;sans-serif" w:hAnsi="Times New Roman;sans-serif"/>
          <w:b/>
          <w:color w:val="00AAE5"/>
          <w:sz w:val="20"/>
        </w:rPr>
        <w:t>PART II. –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1440"/>
        <w:rPr>
          <w:rFonts w:ascii="Times New Roman;sans-serif" w:hAnsi="Times New Roman;sans-serif"/>
          <w:b/>
          <w:color w:val="00AAE5"/>
          <w:sz w:val="20"/>
        </w:rPr>
      </w:pPr>
      <w:r>
        <w:rPr>
          <w:rFonts w:ascii="Times New Roman;sans-serif" w:hAnsi="Times New Roman;sans-serif"/>
          <w:b/>
          <w:color w:val="00AAE5"/>
          <w:sz w:val="20"/>
        </w:rPr>
        <w:t>Item 1.    Legal Proceedings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not currently subject to any material legal proceedings. From time to time, we may be named as a defendant in legal actions or otherwise be subject to claims arising from our normal business activities. Any such actions, even those that lack merit, could result in the expenditure of significant financial and managerial resources. We believe that we have obtained adequate insurance coverage or rights to indemnification in connection with potential legal proceedings that may arise.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1440"/>
        <w:rPr>
          <w:rFonts w:ascii="Times New Roman;sans-serif" w:hAnsi="Times New Roman;sans-serif"/>
          <w:b/>
          <w:color w:val="00AAE5"/>
          <w:sz w:val="20"/>
        </w:rPr>
      </w:pPr>
      <w:r>
        <w:rPr>
          <w:rFonts w:ascii="Times New Roman;sans-serif" w:hAnsi="Times New Roman;sans-serif"/>
          <w:b/>
          <w:color w:val="00AAE5"/>
          <w:sz w:val="20"/>
        </w:rPr>
        <w:t>Item 1A.    Risk Factors</w:t>
      </w:r>
    </w:p>
    <w:p>
      <w:pPr>
        <w:pStyle w:val="TextBody"/>
        <w:spacing w:lineRule="auto" w:line="288" w:before="120" w:after="283"/>
        <w:ind w:left="0" w:right="0" w:firstLine="720"/>
        <w:rPr/>
      </w:pPr>
      <w:r>
        <w:rPr>
          <w:rFonts w:ascii="Times New Roman;sans-serif" w:hAnsi="Times New Roman;sans-serif"/>
          <w:b w:val="false"/>
          <w:color w:val="000000"/>
          <w:sz w:val="20"/>
        </w:rPr>
        <w:t xml:space="preserve">There have been no material changes in our risk factors from those disclosed under the heading </w:t>
      </w:r>
      <w:r>
        <w:rPr>
          <w:color w:val="000000"/>
        </w:rPr>
        <w:t>“</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our Annual Report on Form 10-K for the year ended December 31, 2022, as filed with the SEC.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1440"/>
        <w:rPr>
          <w:rFonts w:ascii="Times New Roman;sans-serif" w:hAnsi="Times New Roman;sans-serif"/>
          <w:b/>
          <w:color w:val="00AAE5"/>
          <w:sz w:val="20"/>
        </w:rPr>
      </w:pPr>
      <w:r>
        <w:rPr>
          <w:rFonts w:ascii="Times New Roman;sans-serif" w:hAnsi="Times New Roman;sans-serif"/>
          <w:b/>
          <w:color w:val="00AAE5"/>
          <w:sz w:val="20"/>
        </w:rPr>
        <w:t>Item 2.    Unregistered Sales of Equity Securities and Use of Proceeds</w:t>
      </w:r>
    </w:p>
    <w:p>
      <w:pPr>
        <w:pStyle w:val="TextBody"/>
        <w:spacing w:lineRule="auto" w:line="288" w:before="120" w:after="283"/>
        <w:ind w:left="0" w:right="0" w:firstLine="556"/>
        <w:rPr/>
      </w:pPr>
      <w:r>
        <w:rPr>
          <w:rFonts w:ascii="Times New Roman;sans-serif" w:hAnsi="Times New Roman;sans-serif"/>
          <w:b/>
          <w:color w:val="1F282C"/>
          <w:sz w:val="20"/>
        </w:rPr>
        <w:t xml:space="preserve">(c) </w:t>
      </w:r>
      <w:r>
        <w:rPr>
          <w:rFonts w:ascii="Times New Roman;sans-serif" w:hAnsi="Times New Roman;sans-serif"/>
          <w:b/>
          <w:color w:val="000000"/>
          <w:sz w:val="20"/>
        </w:rPr>
        <w:t>Share</w:t>
      </w:r>
      <w:r>
        <w:rPr>
          <w:color w:val="1F282C"/>
        </w:rPr>
        <w:t xml:space="preserve"> </w:t>
      </w:r>
      <w:r>
        <w:rPr>
          <w:rFonts w:ascii="Times New Roman;sans-serif" w:hAnsi="Times New Roman;sans-serif"/>
          <w:b/>
          <w:color w:val="1F282C"/>
          <w:sz w:val="20"/>
        </w:rPr>
        <w:t>Repurchases</w:t>
      </w:r>
    </w:p>
    <w:p>
      <w:pPr>
        <w:pStyle w:val="TextBody"/>
        <w:spacing w:lineRule="auto" w:line="288" w:before="120" w:after="283"/>
        <w:ind w:left="0" w:right="0" w:firstLine="720"/>
        <w:rPr/>
      </w:pPr>
      <w:r>
        <w:rPr>
          <w:rFonts w:ascii="Times New Roman;sans-serif" w:hAnsi="Times New Roman;sans-serif"/>
          <w:b w:val="false"/>
          <w:color w:val="212529"/>
          <w:sz w:val="20"/>
        </w:rPr>
        <w:t xml:space="preserve">On July 26, 2022 (announced July 27, 2022), our board of directors authorized a program </w:t>
      </w:r>
      <w:r>
        <w:rPr>
          <w:rFonts w:ascii="Times New Roman;sans-serif" w:hAnsi="Times New Roman;sans-serif"/>
          <w:b w:val="false"/>
          <w:color w:val="000000"/>
          <w:sz w:val="20"/>
        </w:rPr>
        <w:t xml:space="preserve">to repurchase up to $50.0 million of our common stock. Under the program, purchases may be made from time to time in the open market or in privately negotiated purchases, or both. The new share repurchase program became effective August 26, 2022 and expires on July 26, 2024. </w:t>
      </w:r>
    </w:p>
    <w:p>
      <w:pPr>
        <w:pStyle w:val="TextBody"/>
        <w:spacing w:lineRule="auto" w:line="288" w:before="120" w:after="283"/>
        <w:ind w:left="0" w:right="0" w:firstLine="720"/>
        <w:rPr/>
      </w:pPr>
      <w:r>
        <w:rPr>
          <w:rFonts w:ascii="Times New Roman;sans-serif" w:hAnsi="Times New Roman;sans-serif"/>
          <w:b w:val="false"/>
          <w:color w:val="000000"/>
          <w:sz w:val="20"/>
        </w:rPr>
        <w:t xml:space="preserve">We did not make any repurchases under the program during the quarter ended March 31, 2023. </w:t>
      </w:r>
      <w:r>
        <w:rPr>
          <w:rFonts w:ascii="Times New Roman;sans-serif" w:hAnsi="Times New Roman;sans-serif"/>
          <w:b w:val="false"/>
          <w:color w:val="000000"/>
          <w:sz w:val="20"/>
          <w:highlight w:val="white"/>
        </w:rPr>
        <w:t xml:space="preserve">For more information regarding our </w:t>
      </w:r>
      <w:r>
        <w:rPr>
          <w:rFonts w:ascii="Times New Roman;sans-serif" w:hAnsi="Times New Roman;sans-serif"/>
          <w:b w:val="false"/>
          <w:color w:val="000000"/>
          <w:sz w:val="20"/>
        </w:rPr>
        <w:t>share</w:t>
      </w:r>
      <w:r>
        <w:rPr>
          <w:color w:val="000000"/>
          <w:highlight w:val="white"/>
        </w:rPr>
        <w:t xml:space="preserve"> </w:t>
      </w:r>
      <w:r>
        <w:rPr>
          <w:rFonts w:ascii="Times New Roman;sans-serif" w:hAnsi="Times New Roman;sans-serif"/>
          <w:b w:val="false"/>
          <w:color w:val="000000"/>
          <w:sz w:val="20"/>
          <w:highlight w:val="white"/>
        </w:rPr>
        <w:t xml:space="preserve">repurchase programs, refer to Note </w:t>
      </w:r>
      <w:r>
        <w:rPr>
          <w:rFonts w:ascii="Times New Roman;sans-serif" w:hAnsi="Times New Roman;sans-serif"/>
          <w:b w:val="false"/>
          <w:color w:val="000000"/>
          <w:sz w:val="20"/>
        </w:rPr>
        <w:t>J</w:t>
      </w:r>
      <w:r>
        <w:rPr>
          <w:color w:val="000000"/>
          <w:highlight w:val="white"/>
        </w:rPr>
        <w:t xml:space="preserve"> </w:t>
      </w:r>
      <w:r>
        <w:rPr>
          <w:rFonts w:ascii="Times New Roman;sans-serif" w:hAnsi="Times New Roman;sans-serif"/>
          <w:b w:val="false"/>
          <w:color w:val="000000"/>
          <w:sz w:val="20"/>
          <w:highlight w:val="white"/>
        </w:rPr>
        <w:t>to our condensed consolidated financial statements, included in Part I of this Quarterly Report on Form 10-Q.</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1440"/>
        <w:rPr>
          <w:rFonts w:ascii="Times New Roman;sans-serif" w:hAnsi="Times New Roman;sans-serif"/>
          <w:b/>
          <w:color w:val="00AAE5"/>
          <w:sz w:val="20"/>
        </w:rPr>
      </w:pPr>
      <w:r>
        <w:rPr>
          <w:rFonts w:ascii="Times New Roman;sans-serif" w:hAnsi="Times New Roman;sans-serif"/>
          <w:b/>
          <w:color w:val="00AAE5"/>
          <w:sz w:val="20"/>
        </w:rPr>
        <w:t>Item 3.    Defaults Upon Senior Securities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1440"/>
        <w:rPr>
          <w:rFonts w:ascii="Times New Roman;sans-serif" w:hAnsi="Times New Roman;sans-serif"/>
          <w:b/>
          <w:color w:val="00AAE5"/>
          <w:sz w:val="20"/>
        </w:rPr>
      </w:pPr>
      <w:r>
        <w:rPr>
          <w:rFonts w:ascii="Times New Roman;sans-serif" w:hAnsi="Times New Roman;sans-serif"/>
          <w:b/>
          <w:color w:val="00AAE5"/>
          <w:sz w:val="20"/>
        </w:rPr>
        <w:t>Item 4.    Mine Safety Disclosures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1440"/>
        <w:rPr>
          <w:rFonts w:ascii="Times New Roman;sans-serif" w:hAnsi="Times New Roman;sans-serif"/>
          <w:b/>
          <w:color w:val="00AAE5"/>
          <w:sz w:val="20"/>
        </w:rPr>
      </w:pPr>
      <w:r>
        <w:rPr>
          <w:rFonts w:ascii="Times New Roman;sans-serif" w:hAnsi="Times New Roman;sans-serif"/>
          <w:b/>
          <w:color w:val="00AAE5"/>
          <w:sz w:val="20"/>
        </w:rPr>
        <w:t>Item 5.    Other Information</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838200"/>
                <wp:effectExtent l="0" t="0" r="0" b="0"/>
                <wp:wrapNone/>
                <wp:docPr id="69" name="Frame24"/>
                <a:graphic xmlns:a="http://schemas.openxmlformats.org/drawingml/2006/main">
                  <a:graphicData uri="http://schemas.microsoft.com/office/word/2010/wordprocessingShape">
                    <wps:wsp>
                      <wps:cNvSpPr txBox="1"/>
                      <wps:spPr>
                        <a:xfrm>
                          <a:off x="0" y="0"/>
                          <a:ext cx="6480175" cy="838200"/>
                        </a:xfrm>
                        <a:prstGeom prst="rect"/>
                      </wps:spPr>
                      <wps:txb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7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4" descr=""/>
                                                <pic:cNvPicPr>
                                                  <a:picLocks noChangeAspect="1" noChangeArrowheads="1"/>
                                                </pic:cNvPicPr>
                                              </pic:nvPicPr>
                                              <pic:blipFill>
                                                <a:blip r:embed="rId25"/>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highlight w:val="white"/>
                                    </w:rPr>
                                    <w:t>March 31, 2023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pt;mso-wrap-distance-left:0pt;mso-wrap-distance-right:0pt;mso-wrap-distance-top:0pt;mso-wrap-distance-bottom:0pt;margin-top:0pt;mso-position-vertical:top;mso-position-vertical-relative:text;margin-left:0pt;mso-position-horizontal:left;mso-position-horizontal-relative:text">
                <v:textbo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7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4" descr=""/>
                                          <pic:cNvPicPr>
                                            <a:picLocks noChangeAspect="1" noChangeArrowheads="1"/>
                                          </pic:cNvPicPr>
                                        </pic:nvPicPr>
                                        <pic:blipFill>
                                          <a:blip r:embed="rId25"/>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highlight w:val="white"/>
                              </w:rPr>
                              <w:t>March 31, 2023</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6d9a8d1ab1f5454885a98aaf9e60872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color w:val="00AAE5"/>
          <w:sz w:val="20"/>
        </w:rPr>
      </w:pPr>
      <w:r>
        <w:rPr>
          <w:rFonts w:ascii="Times New Roman;sans-serif" w:hAnsi="Times New Roman;sans-serif"/>
          <w:b/>
          <w:color w:val="00AAE5"/>
          <w:sz w:val="20"/>
        </w:rPr>
        <w:t xml:space="preserve">Item 6.    Exhibits </w:t>
      </w:r>
    </w:p>
    <w:tbl>
      <w:tblPr>
        <w:tblW w:w="10205" w:type="dxa"/>
        <w:jc w:val="left"/>
        <w:tblInd w:w="0" w:type="dxa"/>
        <w:tblCellMar>
          <w:top w:w="28" w:type="dxa"/>
          <w:left w:w="28" w:type="dxa"/>
          <w:bottom w:w="28" w:type="dxa"/>
          <w:right w:w="28" w:type="dxa"/>
        </w:tblCellMar>
      </w:tblPr>
      <w:tblGrid>
        <w:gridCol w:w="255"/>
        <w:gridCol w:w="225"/>
        <w:gridCol w:w="226"/>
        <w:gridCol w:w="109"/>
        <w:gridCol w:w="109"/>
        <w:gridCol w:w="109"/>
        <w:gridCol w:w="2753"/>
        <w:gridCol w:w="2644"/>
        <w:gridCol w:w="3775"/>
      </w:tblGrid>
      <w:tr>
        <w:trPr/>
        <w:tc>
          <w:tcPr>
            <w:tcW w:w="2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3" w:type="dxa"/>
            <w:tcBorders/>
            <w:shd w:fill="auto" w:val="clear"/>
            <w:vAlign w:val="center"/>
          </w:tcPr>
          <w:p>
            <w:pPr>
              <w:pStyle w:val="TableContents"/>
              <w:spacing w:before="0" w:after="283"/>
              <w:rPr>
                <w:sz w:val="4"/>
                <w:szCs w:val="4"/>
              </w:rPr>
            </w:pPr>
            <w:r>
              <w:rPr>
                <w:sz w:val="4"/>
                <w:szCs w:val="4"/>
              </w:rPr>
            </w:r>
          </w:p>
        </w:tc>
        <w:tc>
          <w:tcPr>
            <w:tcW w:w="2644" w:type="dxa"/>
            <w:tcBorders/>
            <w:shd w:fill="auto" w:val="clear"/>
            <w:vAlign w:val="center"/>
          </w:tcPr>
          <w:p>
            <w:pPr>
              <w:pStyle w:val="TableContents"/>
              <w:spacing w:before="0" w:after="283"/>
              <w:rPr>
                <w:sz w:val="4"/>
                <w:szCs w:val="4"/>
              </w:rPr>
            </w:pPr>
            <w:r>
              <w:rPr>
                <w:sz w:val="4"/>
                <w:szCs w:val="4"/>
              </w:rPr>
            </w:r>
          </w:p>
        </w:tc>
        <w:tc>
          <w:tcPr>
            <w:tcW w:w="3775" w:type="dxa"/>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06"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6" w:before="0" w:after="0"/>
              <w:jc w:val="left"/>
              <w:rPr/>
            </w:pPr>
            <w:hyperlink r:id="rId26">
              <w:r>
                <w:rPr>
                  <w:rStyle w:val="InternetLink"/>
                  <w:rFonts w:ascii="Times New Roman;sans-serif" w:hAnsi="Times New Roman;sans-serif"/>
                  <w:b w:val="false"/>
                  <w:color w:val="0000EE"/>
                  <w:sz w:val="20"/>
                  <w:u w:val="single"/>
                </w:rPr>
                <w:t>Ninth Amended and Restated Certificate of Incorporation (incorporated by reference to Exhibit 3.2 to our Current Report on Form 8-K filed with the SEC on May 21, 2020).</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27">
              <w:r>
                <w:rPr>
                  <w:rStyle w:val="InternetLink"/>
                </w:rPr>
                <w:t>Amended and Restated Bylaws (incorporated by reference to Exhibit 3.</w:t>
              </w:r>
            </w:hyperlink>
            <w:hyperlink r:id="rId28">
              <w:r>
                <w:rPr>
                  <w:rStyle w:val="InternetLink"/>
                </w:rPr>
                <w:t>2</w:t>
              </w:r>
            </w:hyperlink>
            <w:hyperlink r:id="rId29">
              <w:r>
                <w:rPr>
                  <w:rStyle w:val="InternetLink"/>
                </w:rPr>
                <w:t xml:space="preserve"> to our </w:t>
              </w:r>
            </w:hyperlink>
            <w:hyperlink r:id="rId30">
              <w:r>
                <w:rPr>
                  <w:rStyle w:val="InternetLink"/>
                </w:rPr>
                <w:t xml:space="preserve">Form </w:t>
              </w:r>
            </w:hyperlink>
            <w:hyperlink r:id="rId31">
              <w:r>
                <w:rPr>
                  <w:rStyle w:val="InternetLink"/>
                </w:rPr>
                <w:t>10</w:t>
              </w:r>
            </w:hyperlink>
            <w:hyperlink r:id="rId32">
              <w:r>
                <w:rPr>
                  <w:rStyle w:val="InternetLink"/>
                </w:rPr>
                <w:t xml:space="preserve">-K filed with the SEC on </w:t>
              </w:r>
            </w:hyperlink>
            <w:hyperlink r:id="rId33">
              <w:r>
                <w:rPr>
                  <w:rStyle w:val="InternetLink"/>
                </w:rPr>
                <w:t>Feb</w:t>
              </w:r>
            </w:hyperlink>
            <w:hyperlink r:id="rId34">
              <w:r>
                <w:rPr>
                  <w:rStyle w:val="InternetLink"/>
                </w:rPr>
                <w:t xml:space="preserve">ruary </w:t>
              </w:r>
            </w:hyperlink>
            <w:hyperlink r:id="rId35">
              <w:r>
                <w:rPr>
                  <w:rStyle w:val="InternetLink"/>
                </w:rPr>
                <w:t>21</w:t>
              </w:r>
            </w:hyperlink>
            <w:hyperlink r:id="rId36">
              <w:r>
                <w:rPr>
                  <w:rStyle w:val="InternetLink"/>
                </w:rPr>
                <w:t>, 20</w:t>
              </w:r>
            </w:hyperlink>
            <w:hyperlink r:id="rId37">
              <w:r>
                <w:rPr>
                  <w:rStyle w:val="InternetLink"/>
                </w:rPr>
                <w:t>23</w:t>
              </w:r>
            </w:hyperlink>
            <w:hyperlink r:id="rId38">
              <w:r>
                <w:rPr>
                  <w:rStyle w:val="InternetLink"/>
                </w:rPr>
                <w:t>).</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39">
              <w:r>
                <w:rPr>
                  <w:rStyle w:val="InternetLink"/>
                  <w:rFonts w:ascii="Times New Roman;sans-serif" w:hAnsi="Times New Roman;sans-serif"/>
                  <w:b w:val="false"/>
                  <w:color w:val="000000"/>
                  <w:sz w:val="20"/>
                  <w:u w:val="single"/>
                </w:rPr>
                <w:t>Amendment to Amended and Restated Executive Severance and Change in Control Agreement, dated as of March 1, 2023, by and between Archie C. Black and SPS Commerce, Inc. (incorporated by reference to Exhibit 10.1 to our Current Report on Form 8-K filed with the SEC on March 2, 2023).</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40">
              <w:r>
                <w:rPr>
                  <w:rStyle w:val="InternetLink"/>
                  <w:rFonts w:ascii="Times New Roman;sans-serif" w:hAnsi="Times New Roman;sans-serif"/>
                  <w:b w:val="false"/>
                  <w:color w:val="000000"/>
                  <w:sz w:val="20"/>
                  <w:u w:val="single"/>
                </w:rPr>
                <w:t>Form of Amendment to Amended and Restated Executive Severance and Change in Control Agreement (incorporated by reference to Exhibit 10.3 to our Current Report on Form 8-K filed with the SEC on March 2, 2023).</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q1_2023exhibitex311ceo.htm">
              <w:r>
                <w:rPr>
                  <w:rStyle w:val="InternetLink"/>
                  <w:rFonts w:ascii="Times New Roman;sans-serif" w:hAnsi="Times New Roman;sans-serif"/>
                  <w:b w:val="false"/>
                  <w:color w:val="0000EE"/>
                  <w:sz w:val="20"/>
                  <w:u w:val="single"/>
                </w:rPr>
                <w:t>Certification of Principal Executive Officer pursuant to Rules 13a-14(a) under the Securities Exchange Act of 1934, as amended (filed herewith).</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q1_2023exhibitex312cfo.htm">
              <w:r>
                <w:rPr>
                  <w:rStyle w:val="InternetLink"/>
                  <w:rFonts w:ascii="Times New Roman;sans-serif" w:hAnsi="Times New Roman;sans-serif"/>
                  <w:b w:val="false"/>
                  <w:color w:val="0000EE"/>
                  <w:sz w:val="20"/>
                  <w:u w:val="single"/>
                </w:rPr>
                <w:t>Certification of Principal Financial Officer pursuant to Rules 13a-14(a) under the Securities Exchange Act of 1934, as amended (filed herewith).</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q1_2023exhibitex321ceocfo.htm">
              <w:r>
                <w:rPr>
                  <w:rStyle w:val="InternetLink"/>
                  <w:rFonts w:ascii="Times New Roman;sans-serif" w:hAnsi="Times New Roman;sans-serif"/>
                  <w:b w:val="false"/>
                  <w:color w:val="0000EE"/>
                  <w:sz w:val="20"/>
                  <w:u w:val="single"/>
                </w:rPr>
                <w:t>Certification of Chief Executive Officer and Chief Financial Officer pursuant to 18 U.S.C. Sec. 1350, as adopted pursuant to Section 906 of the Sarbanes-Oxley Act of 2002 (filed herewith).</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20"/>
              </w:rPr>
              <w:t>Interactive Data Files Pursuant to Rule 405 of Regulation S-T (filed herewith).</w:t>
            </w:r>
            <w:r>
              <w:rPr>
                <w:color w:val="000000"/>
              </w:rPr>
              <w:t xml:space="preserve"> </w:t>
            </w:r>
            <w:r>
              <w:rPr>
                <w:rFonts w:ascii="Times New Roman;sans-serif" w:hAnsi="Times New Roman;sans-serif"/>
                <w:b w:val="false"/>
                <w:color w:val="000000"/>
                <w:sz w:val="20"/>
              </w:rPr>
              <w:t>The XBRL instance document does not appear in the Interactive Data File because its tags are embedded within the Inline XBRL document.</w:t>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cover page from the Quarterly Report on Form 10-Q for the quarter ended March 31, 2023, formatted in Inline XBRL.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838200"/>
                <wp:effectExtent l="0" t="0" r="0" b="0"/>
                <wp:wrapNone/>
                <wp:docPr id="72" name="Frame25"/>
                <a:graphic xmlns:a="http://schemas.openxmlformats.org/drawingml/2006/main">
                  <a:graphicData uri="http://schemas.microsoft.com/office/word/2010/wordprocessingShape">
                    <wps:wsp>
                      <wps:cNvSpPr txBox="1"/>
                      <wps:spPr>
                        <a:xfrm>
                          <a:off x="0" y="0"/>
                          <a:ext cx="6480175" cy="838200"/>
                        </a:xfrm>
                        <a:prstGeom prst="rect"/>
                      </wps:spPr>
                      <wps:txb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7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5" descr=""/>
                                                <pic:cNvPicPr>
                                                  <a:picLocks noChangeAspect="1" noChangeArrowheads="1"/>
                                                </pic:cNvPicPr>
                                              </pic:nvPicPr>
                                              <pic:blipFill>
                                                <a:blip r:embed="rId41"/>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highlight w:val="white"/>
                                    </w:rPr>
                                    <w:t>March 31, 2023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pt;mso-wrap-distance-left:0pt;mso-wrap-distance-right:0pt;mso-wrap-distance-top:0pt;mso-wrap-distance-bottom:0pt;margin-top:0pt;mso-position-vertical:top;mso-position-vertical-relative:text;margin-left:0pt;mso-position-horizontal:left;mso-position-horizontal-relative:text">
                <v:textbo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7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5" descr=""/>
                                          <pic:cNvPicPr>
                                            <a:picLocks noChangeAspect="1" noChangeArrowheads="1"/>
                                          </pic:cNvPicPr>
                                        </pic:nvPicPr>
                                        <pic:blipFill>
                                          <a:blip r:embed="rId41"/>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highlight w:val="white"/>
                              </w:rPr>
                              <w:t>March 31, 2023</w:t>
                            </w:r>
                          </w:p>
                        </w:tc>
                      </w:tr>
                    </w:tbl>
                    <w:p>
                      <w:pPr>
                        <w:pStyle w:val="TextBody"/>
                        <w:spacing w:before="0" w:after="283"/>
                        <w:rPr/>
                      </w:pPr>
                      <w:r>
                        <w:rPr/>
                      </w:r>
                    </w:p>
                  </w:txbxContent>
                </v:textbox>
              </v:rect>
            </w:pict>
          </mc:Fallback>
        </mc:AlternateContent>
      </w:r>
    </w:p>
    <w:p>
      <w:pPr>
        <w:pStyle w:val="TextBody"/>
        <w:spacing w:lineRule="auto" w:line="288" w:before="240" w:after="283"/>
        <w:jc w:val="right"/>
        <w:rPr/>
      </w:pPr>
      <w:hyperlink w:anchor="i6d9a8d1ab1f5454885a98aaf9e608722_7">
        <w:r>
          <w:rPr>
            <w:rStyle w:val="InternetLink"/>
            <w:rFonts w:ascii="Times New Roman;sans-serif" w:hAnsi="Times New Roman;sans-serif"/>
            <w:b w:val="false"/>
            <w:color w:val="0000FF"/>
            <w:sz w:val="16"/>
            <w:u w:val="single"/>
          </w:rPr>
          <w:t>Table of Contents</w:t>
        </w:r>
      </w:hyperlink>
    </w:p>
    <w:p>
      <w:pPr>
        <w:pStyle w:val="TextBody"/>
        <w:spacing w:lineRule="auto" w:line="288" w:before="360" w:after="283"/>
        <w:jc w:val="center"/>
        <w:rPr>
          <w:rFonts w:ascii="Times New Roman;sans-serif" w:hAnsi="Times New Roman;sans-serif"/>
          <w:b/>
          <w:color w:val="00AAE5"/>
          <w:sz w:val="20"/>
        </w:rPr>
      </w:pPr>
      <w:r>
        <w:rPr>
          <w:rFonts w:ascii="Times New Roman;sans-serif" w:hAnsi="Times New Roman;sans-serif"/>
          <w:b/>
          <w:color w:val="00AAE5"/>
          <w:sz w:val="20"/>
        </w:rPr>
        <w:t>SIGNATURES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389" w:type="dxa"/>
        <w:jc w:val="left"/>
        <w:tblInd w:w="0" w:type="dxa"/>
        <w:tblCellMar>
          <w:top w:w="28" w:type="dxa"/>
          <w:left w:w="28" w:type="dxa"/>
          <w:bottom w:w="28" w:type="dxa"/>
          <w:right w:w="28" w:type="dxa"/>
        </w:tblCellMar>
      </w:tblPr>
      <w:tblGrid>
        <w:gridCol w:w="683"/>
        <w:gridCol w:w="600"/>
        <w:gridCol w:w="606"/>
        <w:gridCol w:w="1315"/>
        <w:gridCol w:w="1315"/>
        <w:gridCol w:w="1870"/>
      </w:tblGrid>
      <w:tr>
        <w:trPr/>
        <w:tc>
          <w:tcPr>
            <w:tcW w:w="683"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1315" w:type="dxa"/>
            <w:tcBorders/>
            <w:shd w:fill="auto" w:val="clear"/>
            <w:vAlign w:val="center"/>
          </w:tcPr>
          <w:p>
            <w:pPr>
              <w:pStyle w:val="TableContents"/>
              <w:spacing w:before="0" w:after="283"/>
              <w:rPr>
                <w:sz w:val="4"/>
                <w:szCs w:val="4"/>
              </w:rPr>
            </w:pPr>
            <w:r>
              <w:rPr>
                <w:sz w:val="4"/>
                <w:szCs w:val="4"/>
              </w:rPr>
            </w:r>
          </w:p>
        </w:tc>
        <w:tc>
          <w:tcPr>
            <w:tcW w:w="1315" w:type="dxa"/>
            <w:tcBorders/>
            <w:shd w:fill="auto" w:val="clear"/>
            <w:vAlign w:val="center"/>
          </w:tcPr>
          <w:p>
            <w:pPr>
              <w:pStyle w:val="TableContents"/>
              <w:spacing w:before="0" w:after="283"/>
              <w:rPr>
                <w:sz w:val="4"/>
                <w:szCs w:val="4"/>
              </w:rPr>
            </w:pPr>
            <w:r>
              <w:rPr>
                <w:sz w:val="4"/>
                <w:szCs w:val="4"/>
              </w:rPr>
            </w:r>
          </w:p>
        </w:tc>
        <w:tc>
          <w:tcPr>
            <w:tcW w:w="1870"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April 26, 2023</w:t>
            </w:r>
          </w:p>
        </w:tc>
        <w:tc>
          <w:tcPr>
            <w:tcW w:w="45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SPS COMMERCE, INC.</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KIMBERLY NELSON</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0"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Kimberly Nelson</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838200"/>
                <wp:effectExtent l="0" t="0" r="0" b="0"/>
                <wp:wrapNone/>
                <wp:docPr id="75" name="Frame26"/>
                <a:graphic xmlns:a="http://schemas.openxmlformats.org/drawingml/2006/main">
                  <a:graphicData uri="http://schemas.microsoft.com/office/word/2010/wordprocessingShape">
                    <wps:wsp>
                      <wps:cNvSpPr txBox="1"/>
                      <wps:spPr>
                        <a:xfrm>
                          <a:off x="0" y="0"/>
                          <a:ext cx="6480175" cy="838200"/>
                        </a:xfrm>
                        <a:prstGeom prst="rect"/>
                      </wps:spPr>
                      <wps:txb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7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6" descr=""/>
                                                <pic:cNvPicPr>
                                                  <a:picLocks noChangeAspect="1" noChangeArrowheads="1"/>
                                                </pic:cNvPicPr>
                                              </pic:nvPicPr>
                                              <pic:blipFill>
                                                <a:blip r:embed="rId42"/>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highlight w:val="white"/>
                                    </w:rPr>
                                    <w:t>March 31, 2023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pt;mso-wrap-distance-left:0pt;mso-wrap-distance-right:0pt;mso-wrap-distance-top:0pt;mso-wrap-distance-bottom:0pt;margin-top:0pt;mso-position-vertical:top;mso-position-vertical-relative:text;margin-left:0pt;mso-position-horizontal:left;mso-position-horizontal-relative:text">
                <v:textbox>
                  <w:txbxContent>
                    <w:tbl>
                      <w:tblPr>
                        <w:tblW w:w="6012" w:type="dxa"/>
                        <w:jc w:val="left"/>
                        <w:tblInd w:w="0" w:type="dxa"/>
                        <w:tblCellMar>
                          <w:top w:w="28" w:type="dxa"/>
                          <w:left w:w="28" w:type="dxa"/>
                          <w:bottom w:w="28" w:type="dxa"/>
                          <w:right w:w="28" w:type="dxa"/>
                        </w:tblCellMar>
                      </w:tblPr>
                      <w:tblGrid>
                        <w:gridCol w:w="891"/>
                        <w:gridCol w:w="783"/>
                        <w:gridCol w:w="786"/>
                        <w:gridCol w:w="109"/>
                        <w:gridCol w:w="109"/>
                        <w:gridCol w:w="109"/>
                        <w:gridCol w:w="943"/>
                        <w:gridCol w:w="943"/>
                        <w:gridCol w:w="1339"/>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drawing>
                                <wp:inline distT="0" distB="63500" distL="0" distR="0">
                                  <wp:extent cx="361950" cy="333375"/>
                                  <wp:effectExtent l="0" t="0" r="0" b="0"/>
                                  <wp:docPr id="7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6" descr=""/>
                                          <pic:cNvPicPr>
                                            <a:picLocks noChangeAspect="1" noChangeArrowheads="1"/>
                                          </pic:cNvPicPr>
                                        </pic:nvPicPr>
                                        <pic:blipFill>
                                          <a:blip r:embed="rId42"/>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highlight w:val="white"/>
                              </w:rPr>
                              <w:t>SPS COMMERCE, INC.</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3225"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highlight w:val="white"/>
                              </w:rPr>
                              <w:t>March 31, 2023</w:t>
                            </w:r>
                          </w:p>
                        </w:tc>
                      </w:tr>
                    </w:tbl>
                    <w:p>
                      <w:pPr>
                        <w:pStyle w:val="TextBody"/>
                        <w:spacing w:before="0" w:after="283"/>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SECTION 302 OF THE SARBANES-OXLEY ACT</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Archie Black, certify that:</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SPS Commerce, Inc.;</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4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4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2772" w:type="dxa"/>
        <w:jc w:val="left"/>
        <w:tblInd w:w="0" w:type="dxa"/>
        <w:tblCellMar>
          <w:top w:w="28" w:type="dxa"/>
          <w:left w:w="28" w:type="dxa"/>
          <w:bottom w:w="28" w:type="dxa"/>
          <w:right w:w="28" w:type="dxa"/>
        </w:tblCellMar>
      </w:tblPr>
      <w:tblGrid>
        <w:gridCol w:w="870"/>
        <w:gridCol w:w="762"/>
        <w:gridCol w:w="768"/>
        <w:gridCol w:w="109"/>
        <w:gridCol w:w="109"/>
        <w:gridCol w:w="154"/>
      </w:tblGrid>
      <w:tr>
        <w:trPr/>
        <w:tc>
          <w:tcPr>
            <w:tcW w:w="870"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ARCHIE BLACK</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Archie Black</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p>
            <w:pPr>
              <w:pStyle w:val="TableContents"/>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April 26, 2023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78" name="Frame2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SECTION 302 OF THE SARBANES-OXLEY ACT</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Kimberly Nelson, certify that:</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SPS Commerce, Inc.;</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4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4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841" w:type="dxa"/>
        <w:jc w:val="left"/>
        <w:tblInd w:w="0" w:type="dxa"/>
        <w:tblCellMar>
          <w:top w:w="28" w:type="dxa"/>
          <w:left w:w="28" w:type="dxa"/>
          <w:bottom w:w="28" w:type="dxa"/>
          <w:right w:w="28" w:type="dxa"/>
        </w:tblCellMar>
      </w:tblPr>
      <w:tblGrid>
        <w:gridCol w:w="1615"/>
        <w:gridCol w:w="1422"/>
        <w:gridCol w:w="1432"/>
        <w:gridCol w:w="109"/>
        <w:gridCol w:w="109"/>
        <w:gridCol w:w="154"/>
      </w:tblGrid>
      <w:tr>
        <w:trPr/>
        <w:tc>
          <w:tcPr>
            <w:tcW w:w="1615" w:type="dxa"/>
            <w:tcBorders/>
            <w:shd w:fill="auto" w:val="clear"/>
            <w:vAlign w:val="center"/>
          </w:tcPr>
          <w:p>
            <w:pPr>
              <w:pStyle w:val="TableContents"/>
              <w:spacing w:before="0" w:after="283"/>
              <w:rPr>
                <w:sz w:val="4"/>
                <w:szCs w:val="4"/>
              </w:rPr>
            </w:pPr>
            <w:r>
              <w:rPr>
                <w:sz w:val="4"/>
                <w:szCs w:val="4"/>
              </w:rPr>
            </w:r>
          </w:p>
        </w:tc>
        <w:tc>
          <w:tcPr>
            <w:tcW w:w="1422" w:type="dxa"/>
            <w:tcBorders/>
            <w:shd w:fill="auto" w:val="clear"/>
            <w:vAlign w:val="center"/>
          </w:tcPr>
          <w:p>
            <w:pPr>
              <w:pStyle w:val="TableContents"/>
              <w:spacing w:before="0" w:after="283"/>
              <w:rPr>
                <w:sz w:val="4"/>
                <w:szCs w:val="4"/>
              </w:rPr>
            </w:pPr>
            <w:r>
              <w:rPr>
                <w:sz w:val="4"/>
                <w:szCs w:val="4"/>
              </w:rPr>
            </w:r>
          </w:p>
        </w:tc>
        <w:tc>
          <w:tcPr>
            <w:tcW w:w="14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KIMBERLY NELSON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Kimberly Nelson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p>
            <w:pPr>
              <w:pStyle w:val="TableContents"/>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April 26, 2023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79" name="Frame2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SPS Commerce, Inc. (the “Company”) for the period ended March 31, 2023,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2772" w:type="dxa"/>
        <w:jc w:val="left"/>
        <w:tblInd w:w="0" w:type="dxa"/>
        <w:tblCellMar>
          <w:top w:w="28" w:type="dxa"/>
          <w:left w:w="28" w:type="dxa"/>
          <w:bottom w:w="28" w:type="dxa"/>
          <w:right w:w="28" w:type="dxa"/>
        </w:tblCellMar>
      </w:tblPr>
      <w:tblGrid>
        <w:gridCol w:w="870"/>
        <w:gridCol w:w="762"/>
        <w:gridCol w:w="768"/>
        <w:gridCol w:w="109"/>
        <w:gridCol w:w="109"/>
        <w:gridCol w:w="154"/>
      </w:tblGrid>
      <w:tr>
        <w:trPr/>
        <w:tc>
          <w:tcPr>
            <w:tcW w:w="870"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ARCHIE BLACK</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Archie Black</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br/>
              <w:t>(principal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4841" w:type="dxa"/>
        <w:jc w:val="left"/>
        <w:tblInd w:w="0" w:type="dxa"/>
        <w:tblCellMar>
          <w:top w:w="28" w:type="dxa"/>
          <w:left w:w="28" w:type="dxa"/>
          <w:bottom w:w="28" w:type="dxa"/>
          <w:right w:w="28" w:type="dxa"/>
        </w:tblCellMar>
      </w:tblPr>
      <w:tblGrid>
        <w:gridCol w:w="1615"/>
        <w:gridCol w:w="1422"/>
        <w:gridCol w:w="1432"/>
        <w:gridCol w:w="109"/>
        <w:gridCol w:w="109"/>
        <w:gridCol w:w="154"/>
      </w:tblGrid>
      <w:tr>
        <w:trPr/>
        <w:tc>
          <w:tcPr>
            <w:tcW w:w="1615" w:type="dxa"/>
            <w:tcBorders/>
            <w:shd w:fill="auto" w:val="clear"/>
            <w:vAlign w:val="center"/>
          </w:tcPr>
          <w:p>
            <w:pPr>
              <w:pStyle w:val="TableContents"/>
              <w:spacing w:before="0" w:after="283"/>
              <w:rPr>
                <w:sz w:val="4"/>
                <w:szCs w:val="4"/>
              </w:rPr>
            </w:pPr>
            <w:r>
              <w:rPr>
                <w:sz w:val="4"/>
                <w:szCs w:val="4"/>
              </w:rPr>
            </w:r>
          </w:p>
        </w:tc>
        <w:tc>
          <w:tcPr>
            <w:tcW w:w="1422" w:type="dxa"/>
            <w:tcBorders/>
            <w:shd w:fill="auto" w:val="clear"/>
            <w:vAlign w:val="center"/>
          </w:tcPr>
          <w:p>
            <w:pPr>
              <w:pStyle w:val="TableContents"/>
              <w:spacing w:before="0" w:after="283"/>
              <w:rPr>
                <w:sz w:val="4"/>
                <w:szCs w:val="4"/>
              </w:rPr>
            </w:pPr>
            <w:r>
              <w:rPr>
                <w:sz w:val="4"/>
                <w:szCs w:val="4"/>
              </w:rPr>
            </w:r>
          </w:p>
        </w:tc>
        <w:tc>
          <w:tcPr>
            <w:tcW w:w="14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KIMBERLY NELSON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69"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Kimberly Nelson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p>
            <w:pPr>
              <w:pStyle w:val="TableContents"/>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26, 2023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br w:type="page"/>
      </w: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80" name="Frame2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hyperlink" Target="http://www.sec.gov/Archives/edgar/data/1092699/000119312520148645/d833455dex32.htm" TargetMode="External"/><Relationship Id="rId27" Type="http://schemas.openxmlformats.org/officeDocument/2006/relationships/hyperlink" Target="https://www.sec.gov/Archives/edgar/data/1092699/000109269923000006/a2022_10kxex32-bylawsclean.htm" TargetMode="External"/><Relationship Id="rId28" Type="http://schemas.openxmlformats.org/officeDocument/2006/relationships/hyperlink" Target="https://www.sec.gov/Archives/edgar/data/1092699/000109269923000006/a2022_10kxex32-bylawsclean.htm" TargetMode="External"/><Relationship Id="rId29" Type="http://schemas.openxmlformats.org/officeDocument/2006/relationships/hyperlink" Target="https://www.sec.gov/Archives/edgar/data/1092699/000109269923000006/a2022_10kxex32-bylawsclean.htm" TargetMode="External"/><Relationship Id="rId30" Type="http://schemas.openxmlformats.org/officeDocument/2006/relationships/hyperlink" Target="https://www.sec.gov/Archives/edgar/data/1092699/000109269923000006/a2022_10kxex32-bylawsclean.htm" TargetMode="External"/><Relationship Id="rId31" Type="http://schemas.openxmlformats.org/officeDocument/2006/relationships/hyperlink" Target="https://www.sec.gov/Archives/edgar/data/1092699/000109269923000006/a2022_10kxex32-bylawsclean.htm" TargetMode="External"/><Relationship Id="rId32" Type="http://schemas.openxmlformats.org/officeDocument/2006/relationships/hyperlink" Target="https://www.sec.gov/Archives/edgar/data/1092699/000109269923000006/a2022_10kxex32-bylawsclean.htm" TargetMode="External"/><Relationship Id="rId33" Type="http://schemas.openxmlformats.org/officeDocument/2006/relationships/hyperlink" Target="https://www.sec.gov/Archives/edgar/data/1092699/000109269923000006/a2022_10kxex32-bylawsclean.htm" TargetMode="External"/><Relationship Id="rId34" Type="http://schemas.openxmlformats.org/officeDocument/2006/relationships/hyperlink" Target="https://www.sec.gov/Archives/edgar/data/1092699/000109269923000006/a2022_10kxex32-bylawsclean.htm" TargetMode="External"/><Relationship Id="rId35" Type="http://schemas.openxmlformats.org/officeDocument/2006/relationships/hyperlink" Target="https://www.sec.gov/Archives/edgar/data/1092699/000109269923000006/a2022_10kxex32-bylawsclean.htm" TargetMode="External"/><Relationship Id="rId36" Type="http://schemas.openxmlformats.org/officeDocument/2006/relationships/hyperlink" Target="https://www.sec.gov/Archives/edgar/data/1092699/000109269923000006/a2022_10kxex32-bylawsclean.htm" TargetMode="External"/><Relationship Id="rId37" Type="http://schemas.openxmlformats.org/officeDocument/2006/relationships/hyperlink" Target="https://www.sec.gov/Archives/edgar/data/1092699/000109269923000006/a2022_10kxex32-bylawsclean.htm" TargetMode="External"/><Relationship Id="rId38" Type="http://schemas.openxmlformats.org/officeDocument/2006/relationships/hyperlink" Target="https://www.sec.gov/Archives/edgar/data/1092699/000109269923000006/a2022_10kxex32-bylawsclean.htm" TargetMode="External"/><Relationship Id="rId39" Type="http://schemas.openxmlformats.org/officeDocument/2006/relationships/hyperlink" Target="https://www.sec.gov/Archives/edgar/data/1092699/000109269923000011/a101-ablackamendmenttoseve.htm" TargetMode="External"/><Relationship Id="rId40" Type="http://schemas.openxmlformats.org/officeDocument/2006/relationships/hyperlink" Target="https://www.sec.gov/Archives/edgar/data/1092699/000109269923000011/a103-formexecutiveamendmen.htm" TargetMode="External"/><Relationship Id="rId41" Type="http://schemas.openxmlformats.org/officeDocument/2006/relationships/image" Target="media/image25.jpeg"/><Relationship Id="rId42" Type="http://schemas.openxmlformats.org/officeDocument/2006/relationships/image" Target="media/image26.jpeg"/><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10133</Words>
  <CharactersWithSpaces>65950</CharactersWithSpaces>
  <Paragraphs>1847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