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0" w:lineRule="exact"/>
        <w:rPr>
          <w:sz w:val="20"/>
          <w:szCs w:val="20"/>
          <w:color w:val="auto"/>
        </w:rPr>
      </w:pP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4380" w:type="dxa"/>
            <w:vAlign w:val="bottom"/>
          </w:tcPr>
          <w:p>
            <w:pPr>
              <w:ind w:left="800"/>
              <w:spacing w:after="0"/>
              <w:rPr>
                <w:sz w:val="20"/>
                <w:szCs w:val="20"/>
                <w:color w:val="auto"/>
              </w:rPr>
            </w:pPr>
            <w:r>
              <w:rPr>
                <w:rFonts w:ascii="Arial" w:cs="Arial" w:eastAsia="Arial" w:hAnsi="Arial"/>
                <w:sz w:val="18"/>
                <w:szCs w:val="18"/>
                <w:b w:val="1"/>
                <w:bCs w:val="1"/>
                <w:color w:val="auto"/>
              </w:rPr>
              <w:t>Delaware</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41-2015127</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Incorporation or Organization)</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(Address of Principal Executive Offices, Including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0"/>
          <w:szCs w:val="20"/>
          <w:color w:val="auto"/>
        </w:rPr>
      </w:pPr>
    </w:p>
    <w:p>
      <w:pPr>
        <w:sectPr>
          <w:pgSz w:w="11900" w:h="16838" w:orient="portrait"/>
          <w:cols w:equalWidth="0" w:num="5">
            <w:col w:w="1880" w:space="700"/>
            <w:col w:w="2140" w:space="720"/>
            <w:col w:w="2900" w:space="720"/>
            <w:col w:w="2060" w:space="100"/>
            <w:col w:w="200"/>
          </w:cols>
          <w:pgMar w:left="240" w:top="122" w:right="239" w:bottom="1440" w:gutter="0" w:footer="0" w:header="0"/>
          <w:type w:val="continuous"/>
        </w:sectPr>
      </w:pPr>
    </w:p>
    <w:p>
      <w:pPr>
        <w:ind w:left="46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122" w:right="239" w:bottom="1440" w:gutter="0" w:footer="0" w:header="0"/>
          <w:type w:val="continuous"/>
        </w:sectPr>
      </w:pPr>
    </w:p>
    <w:p>
      <w:pPr>
        <w:spacing w:after="0" w:line="114" w:lineRule="exact"/>
        <w:rPr>
          <w:sz w:val="20"/>
          <w:szCs w:val="20"/>
          <w:color w:val="auto"/>
        </w:rPr>
      </w:pPr>
    </w:p>
    <w:p>
      <w:pPr>
        <w:ind w:right="23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11,646,571 shares</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8"/>
              </w:rPr>
              <w:t>Class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Outstanding at October 29, 2010</w:t>
            </w:r>
          </w:p>
        </w:tc>
      </w:tr>
      <w:tr>
        <w:trPr>
          <w:trHeight w:val="222"/>
        </w:trPr>
        <w:tc>
          <w:tcPr>
            <w:tcW w:w="5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60" w:type="dxa"/>
            <w:vAlign w:val="bottom"/>
            <w:gridSpan w:val="8"/>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2"/>
            <w:vMerge w:val="continue"/>
          </w:tcPr>
          <w:p>
            <w:pPr>
              <w:spacing w:after="0"/>
              <w:rPr>
                <w:sz w:val="14"/>
                <w:szCs w:val="14"/>
                <w:color w:val="auto"/>
              </w:rPr>
            </w:pPr>
          </w:p>
        </w:tc>
        <w:tc>
          <w:tcPr>
            <w:tcW w:w="7960" w:type="dxa"/>
            <w:vAlign w:val="bottom"/>
            <w:gridSpan w:val="8"/>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900" w:type="dxa"/>
            <w:vAlign w:val="bottom"/>
            <w:gridSpan w:val="4"/>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September 30, 2010 (unaudited) and December 31, 2009</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Operations for the three and nine months ended September 30, 2010 and 2009 (unaudited)</w:t>
              </w:r>
            </w:hyperlink>
          </w:p>
        </w:tc>
        <w:tc>
          <w:tcPr>
            <w:tcW w:w="1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Statements of Cash Flows for the nine months ended September 30, 2010 and 2009 (unaudited)</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2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19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60" w:type="dxa"/>
            <w:vAlign w:val="bottom"/>
            <w:tcBorders>
              <w:left w:val="single" w:sz="8" w:color="0000EE"/>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826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w:t>
              </w:r>
            </w:hyperlink>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1A.</w:t>
              </w:r>
            </w:hyperlink>
          </w:p>
        </w:tc>
        <w:tc>
          <w:tcPr>
            <w:tcW w:w="96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5.</w:t>
              </w:r>
            </w:hyperlink>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6.</w:t>
              </w:r>
            </w:hyperlink>
          </w:p>
        </w:tc>
        <w:tc>
          <w:tcPr>
            <w:tcW w:w="880" w:type="dxa"/>
            <w:vAlign w:val="bottom"/>
            <w:gridSpan w:val="3"/>
          </w:tcPr>
          <w:p>
            <w:pPr>
              <w:spacing w:after="0"/>
              <w:rPr>
                <w:sz w:val="24"/>
                <w:szCs w:val="24"/>
                <w:color w:val="auto"/>
              </w:rPr>
            </w:pPr>
          </w:p>
        </w:tc>
        <w:tc>
          <w:tcPr>
            <w:tcW w:w="96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gridSpan w:val="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the final prospectus for our initial public offering dated April 22, 2010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1"/>
              <w:spacing w:after="0" w:line="142" w:lineRule="exact"/>
              <w:rPr>
                <w:sz w:val="20"/>
                <w:szCs w:val="20"/>
                <w:color w:val="auto"/>
              </w:rPr>
            </w:pPr>
            <w:r>
              <w:rPr>
                <w:rFonts w:ascii="Arial" w:cs="Arial" w:eastAsia="Arial" w:hAnsi="Arial"/>
                <w:sz w:val="14"/>
                <w:szCs w:val="14"/>
                <w:color w:val="auto"/>
                <w:w w:val="93"/>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(see Note 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$217 and $226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4,766</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50,202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16,263</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2,602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Deferred costs,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900" w:type="dxa"/>
            <w:vAlign w:val="bottom"/>
            <w:shd w:val="clear" w:color="auto" w:fill="CCEEFF"/>
          </w:tcPr>
          <w:p>
            <w:pPr>
              <w:ind w:left="1980"/>
              <w:spacing w:after="0" w:line="198" w:lineRule="exact"/>
              <w:rPr>
                <w:sz w:val="20"/>
                <w:szCs w:val="20"/>
                <w:color w:val="auto"/>
              </w:rPr>
            </w:pPr>
            <w:r>
              <w:rPr>
                <w:rFonts w:ascii="Arial" w:cs="Arial" w:eastAsia="Arial" w:hAnsi="Arial"/>
                <w:sz w:val="18"/>
                <w:szCs w:val="18"/>
                <w:b w:val="1"/>
                <w:bCs w:val="1"/>
                <w:color w:val="auto"/>
              </w:rPr>
              <w:t>LIABILITIES, REDEEMABLE CONVERTIBLE PREFERRED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STOCK AND STOCKHOLDERS’ EQUITY (DEFICIT)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3,719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3,005</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Current portion of 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4,624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r>
      <w:tr>
        <w:trPr>
          <w:trHeight w:val="230"/>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14,507</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200"/>
              <w:spacing w:after="0" w:line="201" w:lineRule="exact"/>
              <w:rPr>
                <w:sz w:val="20"/>
                <w:szCs w:val="20"/>
                <w:color w:val="auto"/>
              </w:rPr>
            </w:pPr>
            <w:r>
              <w:rPr>
                <w:rFonts w:ascii="Arial" w:cs="Arial" w:eastAsia="Arial" w:hAnsi="Arial"/>
                <w:sz w:val="18"/>
                <w:szCs w:val="18"/>
                <w:color w:val="auto"/>
                <w:w w:val="99"/>
              </w:rPr>
              <w:t>Series A redeemable convertible preferred stock, $0.001 par value, 0 and 1,182,217 shares authorized; 0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9"/>
              </w:rPr>
              <w:t>1,154,151 shares issued and outstanding; aggregate liquidation preference of $0 and $10,000,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37,676</w:t>
            </w: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Series B redeemable convertible preferred stock, $0.001 par value, 0 and 6,274,329 shares authorized; 0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5,688,116 shares issued and outstanding; aggregate liquidation preference of $0 and $21,112,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20,658</w:t>
            </w:r>
          </w:p>
        </w:tc>
      </w:tr>
      <w:tr>
        <w:trPr>
          <w:trHeight w:val="202"/>
        </w:trPr>
        <w:tc>
          <w:tcPr>
            <w:tcW w:w="20" w:type="dxa"/>
            <w:vAlign w:val="bottom"/>
          </w:tcPr>
          <w:p>
            <w:pPr>
              <w:spacing w:after="0"/>
              <w:rPr>
                <w:sz w:val="17"/>
                <w:szCs w:val="17"/>
                <w:color w:val="auto"/>
              </w:rPr>
            </w:pPr>
          </w:p>
        </w:tc>
        <w:tc>
          <w:tcPr>
            <w:tcW w:w="8900" w:type="dxa"/>
            <w:vAlign w:val="bottom"/>
          </w:tcPr>
          <w:p>
            <w:pPr>
              <w:ind w:left="200"/>
              <w:spacing w:after="0" w:line="201" w:lineRule="exact"/>
              <w:rPr>
                <w:sz w:val="20"/>
                <w:szCs w:val="20"/>
                <w:color w:val="auto"/>
              </w:rPr>
            </w:pPr>
            <w:r>
              <w:rPr>
                <w:rFonts w:ascii="Arial" w:cs="Arial" w:eastAsia="Arial" w:hAnsi="Arial"/>
                <w:sz w:val="18"/>
                <w:szCs w:val="18"/>
                <w:color w:val="auto"/>
                <w:w w:val="99"/>
              </w:rPr>
              <w:t>Series C redeemable convertible preferred stock, $0.001 par value, 0 and 1,602,000 shares authorized; 0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1,251,559 shares issued and outstanding; aggregate liquidation preference of $0 and $7,500,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65,778</w:t>
            </w: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5,000,000 and 0 shares authorized; 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0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$0.001 par value; 55,000,000 and 13,442,303 shares authorized; 11,627,743 and 327,113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issued and outstanding,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5,186</w:t>
            </w: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(63,208)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(65,652)</w:t>
            </w:r>
          </w:p>
        </w:tc>
      </w:tr>
      <w:tr>
        <w:trPr>
          <w:trHeight w:val="27"/>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(60,466)</w:t>
            </w: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56,227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20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53"/>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33"/>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(unaudited)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11,491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32,678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9,293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23,385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19,023</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11,768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3,218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20,791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0.36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w w:val="98"/>
              </w:rPr>
              <w:t>Weighted average common shares used to compute net income per share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12,413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11,275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2,443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carrying value of preferred stock warrants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costs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Accrued compensation and benefits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30"/>
        </w:trPr>
        <w:tc>
          <w:tcPr>
            <w:tcW w:w="20" w:type="dxa"/>
            <w:vAlign w:val="bottom"/>
          </w:tcPr>
          <w:p>
            <w:pPr>
              <w:spacing w:after="0"/>
              <w:rPr>
                <w:sz w:val="20"/>
                <w:szCs w:val="20"/>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flows used in investing activities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12,025</w:t>
            </w: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(12,025)</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equipment loans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Payments on term loan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Net proceeds from initial public offering</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32,902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Net cash flows provided by (used in) financing activities</w:t>
            </w:r>
          </w:p>
        </w:tc>
        <w:tc>
          <w:tcPr>
            <w:tcW w:w="2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30,340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33,182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3,715</w:t>
            </w: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39,113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47"/>
        <w:spacing w:after="0" w:line="271"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for interim financial information and with the instructions to Form 10-Q and Rule 10-01 of Regulation S-X. Accordingly, these condensed financial statements do not include all of the information and footnotes required by accounting principles generally accepted in the United States of America.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2009 balance sheet data was derived from our audited financial statements at that date. For further information, refer to the financial statements and accompanying notes for the year ended December 31, 2009 included in the final prospectus for our initial public offering dated April 22, 2010 as filed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20" w:firstLine="450"/>
        <w:spacing w:after="0" w:line="312" w:lineRule="auto"/>
        <w:rPr>
          <w:sz w:val="20"/>
          <w:szCs w:val="20"/>
          <w:color w:val="auto"/>
        </w:rPr>
      </w:pPr>
      <w:r>
        <w:rPr>
          <w:rFonts w:ascii="Arial" w:cs="Arial" w:eastAsia="Arial" w:hAnsi="Arial"/>
          <w:sz w:val="16"/>
          <w:szCs w:val="16"/>
          <w:color w:val="auto"/>
        </w:rPr>
        <w:t>Preparing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During the nine months ended September 30, 2010, there were no significant changes in our significant accounting policies. See Note A to our financial statements included in the final prospectus for our initial public offering dated April 22, 2010 as filed with the Securities and Exchange Commission for additional information regarding our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20" w:firstLine="450"/>
        <w:spacing w:after="0" w:line="291" w:lineRule="auto"/>
        <w:rPr>
          <w:sz w:val="20"/>
          <w:szCs w:val="20"/>
          <w:color w:val="auto"/>
        </w:rPr>
      </w:pPr>
      <w:r>
        <w:rPr>
          <w:rFonts w:ascii="Arial" w:cs="Arial" w:eastAsia="Arial" w:hAnsi="Arial"/>
          <w:sz w:val="16"/>
          <w:szCs w:val="16"/>
          <w:color w:val="auto"/>
        </w:rPr>
        <w:t xml:space="preserve">In May 2009, the Financial Accounting Standards Board (“FASB”) issued Accounting Standards Codification (“ASC”) 855,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ASC 855 incorporates guidance into accounting literature that was previously addressed only in auditing standards. The statement refers to subsequent events that provide additional evidence about conditions that existed at the balance-sheet date as “recognized subsequent events.” Subsequent events that provide evidence about conditions that arose after the balance-sheet date but prior to the issuance of the financial statements are referred to as “non-recognized subsequent events.” The disclosure requirements of ASC 855 were effective for interim and annual periods ending after June 15, 2009. In February 2010, Accounting Standards Update (“ASU”) 2010-09, Subsequent Events (Topic 855), </w:t>
      </w:r>
      <w:r>
        <w:rPr>
          <w:rFonts w:ascii="Arial" w:cs="Arial" w:eastAsia="Arial" w:hAnsi="Arial"/>
          <w:sz w:val="16"/>
          <w:szCs w:val="16"/>
          <w:i w:val="1"/>
          <w:iCs w:val="1"/>
          <w:color w:val="auto"/>
        </w:rPr>
        <w:t>Amendments to Certain Recognition and Disclosure Requirements,</w:t>
      </w:r>
      <w:r>
        <w:rPr>
          <w:rFonts w:ascii="Arial" w:cs="Arial" w:eastAsia="Arial" w:hAnsi="Arial"/>
          <w:sz w:val="16"/>
          <w:szCs w:val="16"/>
          <w:color w:val="auto"/>
        </w:rPr>
        <w:t xml:space="preserve"> was issued to clarify disclosure requirements and align with SEC subsequent event disclosure guidelines. We have adopted this new standard.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0"/>
        <w:spacing w:after="0" w:line="259" w:lineRule="auto"/>
        <w:rPr>
          <w:sz w:val="20"/>
          <w:szCs w:val="20"/>
          <w:color w:val="auto"/>
        </w:rPr>
      </w:pPr>
      <w:r>
        <w:rPr>
          <w:rFonts w:ascii="Arial" w:cs="Arial" w:eastAsia="Arial" w:hAnsi="Arial"/>
          <w:sz w:val="18"/>
          <w:szCs w:val="18"/>
          <w:color w:val="auto"/>
        </w:rPr>
        <w:t>In June 2009, the FASB issued guidance that establishes the FASB Accounting Standards Codification as the source of authoritative accounting principles recognized by the FASB to be applied by nongovernmental entities in the preparation of financial statements in conformity with U.S. generally accepted accounting principles (“GAAP”). Use of the new codification was effective for interim and annual periods ending after September 15, 2009. We have used the new codification in reference to GAAP in this report.</w:t>
      </w:r>
    </w:p>
    <w:p>
      <w:pPr>
        <w:spacing w:after="0" w:line="7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In October 2009, the FASB issued ASU No. 2009-13, Revenue Recognition (ASC Topic 605), </w:t>
      </w:r>
      <w:r>
        <w:rPr>
          <w:rFonts w:ascii="Arial" w:cs="Arial" w:eastAsia="Arial" w:hAnsi="Arial"/>
          <w:sz w:val="18"/>
          <w:szCs w:val="18"/>
          <w:i w:val="1"/>
          <w:iCs w:val="1"/>
          <w:color w:val="auto"/>
        </w:rPr>
        <w:t>Multiple-Deliverable Revenue Arrangements,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fair value requirements of ASC subtopic 605-25,</w:t>
      </w:r>
      <w:r>
        <w:rPr>
          <w:rFonts w:ascii="Arial" w:cs="Arial" w:eastAsia="Arial" w:hAnsi="Arial"/>
          <w:sz w:val="18"/>
          <w:szCs w:val="18"/>
          <w:i w:val="1"/>
          <w:iCs w:val="1"/>
          <w:color w:val="auto"/>
        </w:rPr>
        <w:t xml:space="preserve"> Revenue Recognition-Multiple Element Arrangements, </w:t>
      </w:r>
      <w:r>
        <w:rPr>
          <w:rFonts w:ascii="Arial" w:cs="Arial" w:eastAsia="Arial" w:hAnsi="Arial"/>
          <w:sz w:val="18"/>
          <w:szCs w:val="18"/>
          <w:color w:val="auto"/>
        </w:rPr>
        <w:t>by allowing the use of the “best estimate of selling price” in addition to Vendor Objective Evidence (now referred to as third-party evidence or 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85"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In October 2009, the FASB issued ASU No. 2009-14, Software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8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ASU No. 2009-13 and ASU No. 2009-14 both require expanded qualitative and quantitative disclosures and are effective for fiscal years beginning on or after June 15, 2010. However, companies may elect to adopt the updated requirements as early as interim periods ended September 30, 2009. These updates may be applied either prospectively from the beginning of the fiscal year for new or materially modified arrangements or retrospectively. We are currently evaluating the impact of adopting these updates.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Statement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September 30, 2010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December 31, 2009</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20" w:type="dxa"/>
            <w:vAlign w:val="bottom"/>
            <w:gridSpan w:val="3"/>
          </w:tcPr>
          <w:p>
            <w:pPr>
              <w:ind w:left="80"/>
              <w:spacing w:after="0" w:line="123" w:lineRule="exact"/>
              <w:rPr>
                <w:sz w:val="20"/>
                <w:szCs w:val="20"/>
                <w:color w:val="auto"/>
              </w:rPr>
            </w:pPr>
            <w:r>
              <w:rPr>
                <w:rFonts w:ascii="Arial" w:cs="Arial" w:eastAsia="Arial" w:hAnsi="Arial"/>
                <w:sz w:val="14"/>
                <w:szCs w:val="14"/>
                <w:color w:val="auto"/>
              </w:rPr>
              <w:t>Carrying</w:t>
            </w:r>
          </w:p>
        </w:tc>
        <w:tc>
          <w:tcPr>
            <w:tcW w:w="440" w:type="dxa"/>
            <w:vAlign w:val="bottom"/>
          </w:tcPr>
          <w:p>
            <w:pPr>
              <w:spacing w:after="0"/>
              <w:rPr>
                <w:sz w:val="10"/>
                <w:szCs w:val="10"/>
                <w:color w:val="auto"/>
              </w:rPr>
            </w:pPr>
          </w:p>
        </w:tc>
        <w:tc>
          <w:tcPr>
            <w:tcW w:w="11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3"/>
          </w:tcPr>
          <w:p>
            <w:pPr>
              <w:jc w:val="right"/>
              <w:ind w:right="340"/>
              <w:spacing w:after="0" w:line="123" w:lineRule="exact"/>
              <w:rPr>
                <w:sz w:val="20"/>
                <w:szCs w:val="20"/>
                <w:color w:val="auto"/>
              </w:rPr>
            </w:pPr>
            <w:r>
              <w:rPr>
                <w:rFonts w:ascii="Arial" w:cs="Arial" w:eastAsia="Arial" w:hAnsi="Arial"/>
                <w:sz w:val="14"/>
                <w:szCs w:val="14"/>
                <w:color w:val="auto"/>
              </w:rPr>
              <w:t>Carrying</w:t>
            </w:r>
          </w:p>
        </w:tc>
        <w:tc>
          <w:tcPr>
            <w:tcW w:w="42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rPr>
              <w:t>Amount</w:t>
            </w:r>
          </w:p>
        </w:tc>
        <w:tc>
          <w:tcPr>
            <w:tcW w:w="4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Amount</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447"/>
        <w:spacing w:after="0" w:line="277" w:lineRule="auto"/>
        <w:rPr>
          <w:sz w:val="20"/>
          <w:szCs w:val="20"/>
          <w:color w:val="auto"/>
        </w:rPr>
      </w:pPr>
      <w:r>
        <w:rPr>
          <w:rFonts w:ascii="Arial" w:cs="Arial" w:eastAsia="Arial" w:hAnsi="Arial"/>
          <w:sz w:val="18"/>
          <w:szCs w:val="18"/>
          <w:color w:val="auto"/>
        </w:rPr>
        <w:t>There was no amortization expense for intangible assets for the three and nine months ended September 30, 2010. Amortization expense was $0 and $155,000 for the three and nine months ended September 30,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900" w:type="dxa"/>
            <w:vAlign w:val="bottom"/>
            <w:gridSpan w:val="4"/>
          </w:tcPr>
          <w:p>
            <w:pPr>
              <w:ind w:left="474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for initial public offering</w:t>
            </w:r>
          </w:p>
        </w:tc>
        <w:tc>
          <w:tcPr>
            <w:tcW w:w="4920" w:type="dxa"/>
            <w:vAlign w:val="bottom"/>
            <w:gridSpan w:val="2"/>
            <w:shd w:val="clear" w:color="auto" w:fill="CCEEFF"/>
          </w:tcPr>
          <w:p>
            <w:pPr>
              <w:ind w:left="4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accounts payable</w:t>
            </w:r>
          </w:p>
        </w:tc>
        <w:tc>
          <w:tcPr>
            <w:tcW w:w="4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4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740" w:type="dxa"/>
            <w:vAlign w:val="bottom"/>
            <w:vMerge w:val="restart"/>
          </w:tcPr>
          <w:p>
            <w:pPr>
              <w:jc w:val="right"/>
              <w:ind w:right="3174"/>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820" w:type="dxa"/>
            <w:vAlign w:val="bottom"/>
            <w:gridSpan w:val="4"/>
          </w:tcPr>
          <w:p>
            <w:pPr>
              <w:ind w:left="266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Costs accrued for initial public offering</w:t>
            </w:r>
          </w:p>
        </w:tc>
        <w:tc>
          <w:tcPr>
            <w:tcW w:w="284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2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of Financial Instruments</w:t>
      </w:r>
    </w:p>
    <w:p>
      <w:pPr>
        <w:spacing w:after="0" w:line="121"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The carrying amounts of our financial instruments, which include cash and cash equivalents, accounts receivable, accounts payable and other accrued expenses, approximate their fair values due to their short maturities. Based on borrowing rates currently available to us for debt with similar terms, the carrying value of our capital lease obligations approximates fair value.</w:t>
      </w:r>
    </w:p>
    <w:p>
      <w:pPr>
        <w:spacing w:after="0" w:line="73" w:lineRule="exact"/>
        <w:rPr>
          <w:sz w:val="20"/>
          <w:szCs w:val="20"/>
          <w:color w:val="auto"/>
        </w:rPr>
      </w:pPr>
    </w:p>
    <w:p>
      <w:pPr>
        <w:ind w:right="80" w:firstLine="440"/>
        <w:spacing w:after="0" w:line="264"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for an asset or paid to transfer a liability (an exit price) in the principal or most advantageous market for the asset or liability in an orderly transaction between market participants on the measurement date. ASC 820 also describes three levels of inputs that may be used to measure fair value:</w:t>
      </w:r>
    </w:p>
    <w:p>
      <w:pPr>
        <w:spacing w:after="0" w:line="7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and liabilities.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900" w:right="760" w:hanging="446"/>
        <w:spacing w:after="0" w:line="277"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assets and liabilities measured at fair value on a recurring basis as of September 30, 2010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Total</w:t>
            </w:r>
          </w:p>
        </w:tc>
        <w:tc>
          <w:tcPr>
            <w:tcW w:w="520" w:type="dxa"/>
            <w:vAlign w:val="bottom"/>
          </w:tcPr>
          <w:p>
            <w:pPr>
              <w:spacing w:after="0"/>
              <w:rPr>
                <w:sz w:val="14"/>
                <w:szCs w:val="14"/>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1</w:t>
            </w:r>
          </w:p>
        </w:tc>
        <w:tc>
          <w:tcPr>
            <w:tcW w:w="520" w:type="dxa"/>
            <w:vAlign w:val="bottom"/>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2</w:t>
            </w:r>
          </w:p>
        </w:tc>
        <w:tc>
          <w:tcPr>
            <w:tcW w:w="520" w:type="dxa"/>
            <w:vAlign w:val="bottom"/>
          </w:tcPr>
          <w:p>
            <w:pPr>
              <w:spacing w:after="0"/>
              <w:rPr>
                <w:sz w:val="14"/>
                <w:szCs w:val="1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3</w:t>
            </w:r>
          </w:p>
        </w:tc>
      </w:tr>
      <w:tr>
        <w:trPr>
          <w:trHeight w:val="426"/>
        </w:trPr>
        <w:tc>
          <w:tcPr>
            <w:tcW w:w="5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219"/>
              <w:spacing w:after="0"/>
              <w:rPr>
                <w:sz w:val="20"/>
                <w:szCs w:val="20"/>
                <w:color w:val="auto"/>
              </w:rPr>
            </w:pPr>
            <w:r>
              <w:rPr>
                <w:rFonts w:ascii="Arial" w:cs="Arial" w:eastAsia="Arial" w:hAnsi="Arial"/>
                <w:sz w:val="18"/>
                <w:szCs w:val="18"/>
                <w:color w:val="auto"/>
              </w:rPr>
              <w:t>$39,113</w:t>
            </w:r>
          </w:p>
        </w:tc>
        <w:tc>
          <w:tcPr>
            <w:tcW w:w="1640" w:type="dxa"/>
            <w:vAlign w:val="bottom"/>
            <w:gridSpan w:val="2"/>
          </w:tcPr>
          <w:p>
            <w:pPr>
              <w:jc w:val="right"/>
              <w:ind w:right="248"/>
              <w:spacing w:after="0"/>
              <w:rPr>
                <w:sz w:val="20"/>
                <w:szCs w:val="20"/>
                <w:color w:val="auto"/>
              </w:rPr>
            </w:pPr>
            <w:r>
              <w:rPr>
                <w:rFonts w:ascii="Arial" w:cs="Arial" w:eastAsia="Arial" w:hAnsi="Arial"/>
                <w:sz w:val="18"/>
                <w:szCs w:val="18"/>
                <w:color w:val="auto"/>
              </w:rPr>
              <w:t>$39,113</w:t>
            </w:r>
          </w:p>
        </w:tc>
        <w:tc>
          <w:tcPr>
            <w:tcW w:w="5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 —</w:t>
            </w:r>
          </w:p>
        </w:tc>
        <w:tc>
          <w:tcPr>
            <w:tcW w:w="5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 —</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assets and liabilities measured at fair value on a recurring basis as of December 31, 2009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Total</w:t>
            </w:r>
          </w:p>
        </w:tc>
        <w:tc>
          <w:tcPr>
            <w:tcW w:w="5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Level 1</w:t>
            </w:r>
          </w:p>
        </w:tc>
        <w:tc>
          <w:tcPr>
            <w:tcW w:w="520" w:type="dxa"/>
            <w:vAlign w:val="bottom"/>
          </w:tcPr>
          <w:p>
            <w:pPr>
              <w:spacing w:after="0"/>
              <w:rPr>
                <w:sz w:val="14"/>
                <w:szCs w:val="1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Level 2</w:t>
            </w:r>
          </w:p>
        </w:tc>
        <w:tc>
          <w:tcPr>
            <w:tcW w:w="520" w:type="dxa"/>
            <w:vAlign w:val="bottom"/>
          </w:tcPr>
          <w:p>
            <w:pPr>
              <w:spacing w:after="0"/>
              <w:rPr>
                <w:sz w:val="14"/>
                <w:szCs w:val="14"/>
                <w:color w:val="auto"/>
              </w:rPr>
            </w:pPr>
          </w:p>
        </w:tc>
        <w:tc>
          <w:tcPr>
            <w:tcW w:w="9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Level 3</w:t>
            </w:r>
          </w:p>
        </w:tc>
      </w:tr>
      <w:tr>
        <w:trPr>
          <w:trHeight w:val="411"/>
        </w:trPr>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w w:val="84"/>
              </w:rPr>
              <w:t>5,931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5,931</w:t>
            </w:r>
          </w:p>
        </w:tc>
        <w:tc>
          <w:tcPr>
            <w:tcW w:w="5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569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w w:val="86"/>
              </w:rPr>
              <w:t>569</w:t>
            </w:r>
          </w:p>
        </w:tc>
      </w:tr>
    </w:tbl>
    <w:p>
      <w:pPr>
        <w:spacing w:after="0" w:line="94" w:lineRule="exact"/>
        <w:rPr>
          <w:sz w:val="20"/>
          <w:szCs w:val="20"/>
          <w:color w:val="auto"/>
        </w:rPr>
      </w:pPr>
    </w:p>
    <w:p>
      <w:pPr>
        <w:ind w:right="20" w:firstLine="447"/>
        <w:spacing w:after="0" w:line="312" w:lineRule="auto"/>
        <w:rPr>
          <w:sz w:val="20"/>
          <w:szCs w:val="20"/>
          <w:color w:val="auto"/>
        </w:rPr>
      </w:pPr>
      <w:r>
        <w:rPr>
          <w:rFonts w:ascii="Arial" w:cs="Arial" w:eastAsia="Arial" w:hAnsi="Arial"/>
          <w:sz w:val="16"/>
          <w:szCs w:val="16"/>
          <w:color w:val="auto"/>
        </w:rPr>
        <w:t>We previously had warrants outstanding to purchase 68,201 shares of our Series B redeemable convertible preferred stock. The fair value of these warrants was $569,000 at December 31, 2009. With the completion of our initial public offering in April 2010, these warrants were converted into warrants to purchase common stock and the related liability was transferred to additional paid-in capital in our balance sheets. See Note E for additional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47"/>
        <w:spacing w:after="0" w:line="277" w:lineRule="auto"/>
        <w:rPr>
          <w:sz w:val="20"/>
          <w:szCs w:val="20"/>
          <w:color w:val="auto"/>
        </w:rPr>
      </w:pPr>
      <w:r>
        <w:rPr>
          <w:rFonts w:ascii="Arial" w:cs="Arial" w:eastAsia="Arial" w:hAnsi="Arial"/>
          <w:sz w:val="18"/>
          <w:szCs w:val="18"/>
          <w:color w:val="auto"/>
        </w:rPr>
        <w:t>The table below presents a reconciliation of our preferred stock warrants, which were measured at fair value on a recurring basis using significant unobservable inputs (Level 3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Total losses recognized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Converted into warrants to purchase common stock and liability transferred to additional paid-in capital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September 30, 2010</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Debt</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maintained a credit facility with BlueCrest Venture Finance Master Fund Limited which provided us a series of equipment and term loans as well as a revolving line of credit. We terminated this credit facility, effective March 31, 2010, such that no new borrowings will be made and all related outstanding indebtedness was repaid during the quarter ended June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Redeemable Convertible Preferred Stock and Stockholders’ Equity (Deficit)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On April 13, 2010, we effected a 0.267 for 1 reverse stock split in the form of a combination of our outstanding stock. All share and per share amounts in the accompanying financial statements and notes have been retroactively adjusted for all periods presented to give effect to the reverse stock split.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80" w:lineRule="exact"/>
        <w:rPr>
          <w:sz w:val="20"/>
          <w:szCs w:val="20"/>
          <w:color w:val="auto"/>
        </w:rPr>
      </w:pPr>
    </w:p>
    <w:p>
      <w:pPr>
        <w:ind w:right="200" w:firstLine="215"/>
        <w:spacing w:after="0" w:line="302" w:lineRule="auto"/>
        <w:rPr>
          <w:sz w:val="20"/>
          <w:szCs w:val="20"/>
          <w:color w:val="auto"/>
        </w:rPr>
      </w:pPr>
      <w:r>
        <w:rPr>
          <w:rFonts w:ascii="Arial" w:cs="Arial" w:eastAsia="Arial" w:hAnsi="Arial"/>
          <w:sz w:val="16"/>
          <w:szCs w:val="16"/>
          <w:color w:val="auto"/>
        </w:rPr>
        <w:t>At the close of the initial public offering, our outstanding shares of redeemable convertible preferred stock were automatically converted into 8,093,826 shares of common stock and warrants to purchase 68,201 shares of redeemable convertible preferred stock were converted into warrants to purchase 68,201 shares of common stock. Accordingly, the related warrant liability of approximately $596,000 was transferred to additional paid-in capital in our balance sheet. These common stock warrants have an exercise price of $3.67 per share and expiration dates ranging from May 2011 to February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Warrants</w:t>
      </w:r>
    </w:p>
    <w:p>
      <w:pPr>
        <w:spacing w:after="0" w:line="11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discussed above, we previously had warrants outstanding to purchase 68,201 shares of our Series B redeemable convertible preferred stock. These warrants had an exercise price of $3.67 per share and expiration dates ranging from May 2011 to February 2016. We classified these outstanding warrants as a liability in our balance sheets. These warrants were subject to revaluation at each balance sheet date and any change in fair market value was recognized as a component of other income (expense) in our statements of operations.</w:t>
      </w:r>
    </w:p>
    <w:p>
      <w:pPr>
        <w:spacing w:after="0" w:line="79" w:lineRule="exact"/>
        <w:rPr>
          <w:sz w:val="20"/>
          <w:szCs w:val="20"/>
          <w:color w:val="auto"/>
        </w:rPr>
      </w:pPr>
    </w:p>
    <w:p>
      <w:pPr>
        <w:jc w:val="both"/>
        <w:ind w:right="240" w:firstLine="225"/>
        <w:spacing w:after="0" w:line="312" w:lineRule="auto"/>
        <w:rPr>
          <w:sz w:val="20"/>
          <w:szCs w:val="20"/>
          <w:color w:val="auto"/>
        </w:rPr>
      </w:pPr>
      <w:r>
        <w:rPr>
          <w:rFonts w:ascii="Arial" w:cs="Arial" w:eastAsia="Arial" w:hAnsi="Arial"/>
          <w:sz w:val="16"/>
          <w:szCs w:val="16"/>
          <w:color w:val="auto"/>
        </w:rPr>
        <w:t>Prior to the conversion of the preferred stock warrants into common stock warrants, we recorded other expense of $0 and $27,000 for the three and nine months ended September 30, 2010, respectively, for changes in the fair market value of these warrants. We recorded other expense of $26,000 for the three months ended September 30, 2009 and other income of $95,000 for the nine months ended September 30, 2009 related to these warrants.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At September 30, 2010, there were approximately 366,000 shares available for grant under approved equity compensation plans.</w:t>
      </w:r>
    </w:p>
    <w:p>
      <w:pPr>
        <w:spacing w:after="0" w:line="79" w:lineRule="exact"/>
        <w:rPr>
          <w:sz w:val="20"/>
          <w:szCs w:val="20"/>
          <w:color w:val="auto"/>
        </w:rPr>
      </w:pPr>
    </w:p>
    <w:p>
      <w:pPr>
        <w:ind w:right="160" w:firstLine="447"/>
        <w:spacing w:after="0" w:line="342" w:lineRule="auto"/>
        <w:rPr>
          <w:sz w:val="20"/>
          <w:szCs w:val="20"/>
          <w:color w:val="auto"/>
        </w:rPr>
      </w:pPr>
      <w:r>
        <w:rPr>
          <w:rFonts w:ascii="Arial" w:cs="Arial" w:eastAsia="Arial" w:hAnsi="Arial"/>
          <w:sz w:val="16"/>
          <w:szCs w:val="16"/>
          <w:color w:val="auto"/>
        </w:rPr>
        <w:t>We recorded stock-based compensation expense of $232,000 and $79,000 for the three months ended September 30, 2010 and 2009, respectively, and $458,000 and $177,000 for the nine months ended September 30, 2010 and 2009, respectively. This expense was allocated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Options</w:t>
            </w: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1,248,205</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$ 1.65</w:t>
            </w: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469,455</w:t>
            </w:r>
          </w:p>
        </w:tc>
        <w:tc>
          <w:tcPr>
            <w:tcW w:w="300" w:type="dxa"/>
            <w:vAlign w:val="bottom"/>
          </w:tcPr>
          <w:p>
            <w:pPr>
              <w:spacing w:after="0"/>
              <w:rPr>
                <w:sz w:val="18"/>
                <w:szCs w:val="18"/>
                <w:color w:val="auto"/>
              </w:rPr>
            </w:pP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11.84</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(99,451)</w:t>
            </w: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0.95</w:t>
            </w: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(19,223)</w:t>
            </w: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25.78</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1,598,986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4.40</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options granted during 2010 was estimated on the date of grant using the Black-Scholes method with the following assumptions: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Expected dividends</w:t>
            </w:r>
          </w:p>
        </w:tc>
        <w:tc>
          <w:tcPr>
            <w:tcW w:w="49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900" w:type="dxa"/>
            <w:vAlign w:val="bottom"/>
          </w:tcPr>
          <w:p>
            <w:pPr>
              <w:jc w:val="right"/>
              <w:ind w:right="90"/>
              <w:spacing w:after="0"/>
              <w:rPr>
                <w:sz w:val="20"/>
                <w:szCs w:val="20"/>
                <w:color w:val="auto"/>
              </w:rPr>
            </w:pPr>
            <w:r>
              <w:rPr>
                <w:rFonts w:ascii="Arial" w:cs="Arial" w:eastAsia="Arial" w:hAnsi="Arial"/>
                <w:sz w:val="18"/>
                <w:szCs w:val="18"/>
                <w:color w:val="auto"/>
              </w:rPr>
              <w:t>2.32% - 3.14%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jc w:val="both"/>
        <w:ind w:right="60" w:firstLine="447"/>
        <w:spacing w:after="0" w:line="257" w:lineRule="auto"/>
        <w:rPr>
          <w:sz w:val="20"/>
          <w:szCs w:val="20"/>
          <w:color w:val="auto"/>
        </w:rPr>
      </w:pPr>
      <w:r>
        <w:rPr>
          <w:rFonts w:ascii="Arial" w:cs="Arial" w:eastAsia="Arial" w:hAnsi="Arial"/>
          <w:sz w:val="18"/>
          <w:szCs w:val="18"/>
          <w:color w:val="auto"/>
        </w:rPr>
        <w:t>We recorded a benefit for income taxes of $7,000 for the three months ended September 30, 2010 compared to a provision for income taxes of $49,000 for the three months ended September 30, 2009. We recorded a provision for income taxes of $96,000 and $60,000 for the nine months ended September 30, 2010 and 2009, respectively. We record our interim provision for income taxes based on our estimated annual effective tax rate for the year. Our provision for income taxes includes estimated federal alternative minimum taxes, state income and franchise taxes, as well as deferred tax expense resulting from the book and tax basis difference in goodwill from a prior asset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As of December 31, 2009, we had net operating loss carryforwards of $53.5 million for U.S. federal tax purposes and $32.4 million for state tax purposes. These loss carryforwards expire between 2010 and 2029.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November 3, 2009. During this time period it was determined that we had five separate ownership changes under Section 382. We believe that $17.6 million of the $53.5 million Federal losses will expire unused due to Section 382 limitations. The maximum annual limitation under Section 382 is approximately $990,000. This limitation could be further restricted if ownership changes occur in future years.</w:t>
      </w:r>
    </w:p>
    <w:p>
      <w:pPr>
        <w:spacing w:after="0" w:line="81" w:lineRule="exact"/>
        <w:rPr>
          <w:sz w:val="20"/>
          <w:szCs w:val="20"/>
          <w:color w:val="auto"/>
        </w:rPr>
      </w:pPr>
    </w:p>
    <w:p>
      <w:pPr>
        <w:ind w:right="240" w:firstLine="450"/>
        <w:spacing w:after="0" w:line="259"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79" w:lineRule="exact"/>
        <w:rPr>
          <w:sz w:val="20"/>
          <w:szCs w:val="20"/>
          <w:color w:val="auto"/>
        </w:rPr>
      </w:pPr>
    </w:p>
    <w:p>
      <w:pPr>
        <w:ind w:right="320" w:firstLine="447"/>
        <w:spacing w:after="0" w:line="342" w:lineRule="auto"/>
        <w:rPr>
          <w:sz w:val="20"/>
          <w:szCs w:val="20"/>
          <w:color w:val="auto"/>
        </w:rPr>
      </w:pPr>
      <w:r>
        <w:rPr>
          <w:rFonts w:ascii="Arial" w:cs="Arial" w:eastAsia="Arial" w:hAnsi="Arial"/>
          <w:sz w:val="16"/>
          <w:szCs w:val="16"/>
          <w:color w:val="auto"/>
        </w:rPr>
        <w:t>We are subject to income taxes in the U.S. federal jurisdiction and various state jurisdictions. As of September 30, 2010, we are no longer subject to U.S. federal tax examinations for tax years before 2007. We are subject to state tax audits until the applicable statutes of limitations expire.</w:t>
      </w:r>
    </w:p>
    <w:p>
      <w:pPr>
        <w:spacing w:after="0" w:line="16" w:lineRule="exact"/>
        <w:rPr>
          <w:sz w:val="20"/>
          <w:szCs w:val="20"/>
          <w:color w:val="auto"/>
        </w:rPr>
      </w:pPr>
    </w:p>
    <w:p>
      <w:pPr>
        <w:ind w:right="400" w:firstLine="440"/>
        <w:spacing w:after="0" w:line="264" w:lineRule="auto"/>
        <w:rPr>
          <w:sz w:val="20"/>
          <w:szCs w:val="20"/>
          <w:color w:val="auto"/>
        </w:rPr>
      </w:pPr>
      <w:r>
        <w:rPr>
          <w:rFonts w:ascii="Arial" w:cs="Arial" w:eastAsia="Arial" w:hAnsi="Arial"/>
          <w:sz w:val="18"/>
          <w:szCs w:val="18"/>
          <w:color w:val="auto"/>
        </w:rPr>
        <w:t>As of September 30, 2010,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per Share</w:t>
      </w:r>
    </w:p>
    <w:p>
      <w:pPr>
        <w:spacing w:after="0" w:line="121" w:lineRule="exact"/>
        <w:rPr>
          <w:sz w:val="20"/>
          <w:szCs w:val="20"/>
          <w:color w:val="auto"/>
        </w:rPr>
      </w:pPr>
    </w:p>
    <w:p>
      <w:pPr>
        <w:jc w:val="both"/>
        <w:ind w:right="440" w:firstLine="450"/>
        <w:spacing w:after="0" w:line="286" w:lineRule="auto"/>
        <w:rPr>
          <w:sz w:val="20"/>
          <w:szCs w:val="20"/>
          <w:color w:val="auto"/>
        </w:rPr>
      </w:pPr>
      <w:r>
        <w:rPr>
          <w:rFonts w:ascii="Arial" w:cs="Arial" w:eastAsia="Arial" w:hAnsi="Arial"/>
          <w:sz w:val="17"/>
          <w:szCs w:val="17"/>
          <w:color w:val="auto"/>
        </w:rPr>
        <w:t>Net income per share has been computed using the weighted average number of shares of common stock outstanding during each period. Diluted amounts per share include the impact of outstanding potential common shares, such as options and warrants and redeemable convertible preferred stock. Potential common shares that are anti-dilutive are excluded from the calculation of diluted net income per common share.</w:t>
      </w:r>
    </w:p>
    <w:p>
      <w:pPr>
        <w:spacing w:after="0" w:line="57" w:lineRule="exact"/>
        <w:rPr>
          <w:sz w:val="20"/>
          <w:szCs w:val="20"/>
          <w:color w:val="auto"/>
        </w:rPr>
      </w:pPr>
    </w:p>
    <w:p>
      <w:pPr>
        <w:ind w:right="740" w:firstLine="447"/>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(dollars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886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basic</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11,620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Options and warrants to purchase common and preferred stock</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Redeemable convertible preferred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3,456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 diluted</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11,275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6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47"/>
        <w:spacing w:after="0" w:line="277" w:lineRule="auto"/>
        <w:rPr>
          <w:sz w:val="20"/>
          <w:szCs w:val="20"/>
          <w:color w:val="auto"/>
        </w:rPr>
      </w:pPr>
      <w:r>
        <w:rPr>
          <w:rFonts w:ascii="Arial" w:cs="Arial" w:eastAsia="Arial" w:hAnsi="Arial"/>
          <w:sz w:val="18"/>
          <w:szCs w:val="18"/>
          <w:color w:val="auto"/>
        </w:rPr>
        <w:t>The following outstanding options, warrants and redeemable convertible preferred stock were excluded from the computation of diluted net income per share for the periods indicated because they were anti-dilutive (in thousands):</w:t>
      </w:r>
    </w:p>
    <w:p>
      <w:pPr>
        <w:spacing w:after="0" w:line="166" w:lineRule="exact"/>
        <w:rPr>
          <w:sz w:val="20"/>
          <w:szCs w:val="20"/>
          <w:color w:val="auto"/>
        </w:rPr>
      </w:pPr>
    </w:p>
    <w:p>
      <w:pPr>
        <w:jc w:val="center"/>
        <w:ind w:left="8960"/>
        <w:spacing w:after="0"/>
        <w:rPr>
          <w:sz w:val="20"/>
          <w:szCs w:val="20"/>
          <w:color w:val="auto"/>
        </w:rPr>
      </w:pPr>
      <w:r>
        <w:rPr>
          <w:rFonts w:ascii="Arial" w:cs="Arial" w:eastAsia="Arial" w:hAnsi="Arial"/>
          <w:sz w:val="14"/>
          <w:szCs w:val="14"/>
          <w:color w:val="auto"/>
        </w:rPr>
        <w:t>Three and Nine Months Ended</w:t>
      </w:r>
    </w:p>
    <w:p>
      <w:pPr>
        <w:jc w:val="center"/>
        <w:ind w:left="896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89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2010</w:t>
            </w:r>
          </w:p>
        </w:tc>
        <w:tc>
          <w:tcPr>
            <w:tcW w:w="5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color w:val="auto"/>
              </w:rPr>
              <w:t>2009</w:t>
            </w:r>
          </w:p>
        </w:tc>
      </w:tr>
      <w:tr>
        <w:trPr>
          <w:trHeight w:val="411"/>
        </w:trPr>
        <w:tc>
          <w:tcPr>
            <w:tcW w:w="8960" w:type="dxa"/>
            <w:vAlign w:val="bottom"/>
          </w:tcPr>
          <w:p>
            <w:pPr>
              <w:spacing w:after="0"/>
              <w:rPr>
                <w:sz w:val="20"/>
                <w:szCs w:val="20"/>
                <w:color w:val="auto"/>
              </w:rPr>
            </w:pPr>
            <w:r>
              <w:rPr>
                <w:rFonts w:ascii="Arial" w:cs="Arial" w:eastAsia="Arial" w:hAnsi="Arial"/>
                <w:sz w:val="18"/>
                <w:szCs w:val="18"/>
                <w:color w:val="auto"/>
              </w:rPr>
              <w:t>Options and warrants to purchase common and preferred stock</w:t>
            </w:r>
          </w:p>
        </w:tc>
        <w:tc>
          <w:tcPr>
            <w:tcW w:w="940" w:type="dxa"/>
            <w:vAlign w:val="bottom"/>
          </w:tcPr>
          <w:p>
            <w:pPr>
              <w:jc w:val="right"/>
              <w:ind w:right="256"/>
              <w:spacing w:after="0"/>
              <w:rPr>
                <w:sz w:val="20"/>
                <w:szCs w:val="20"/>
                <w:color w:val="auto"/>
              </w:rPr>
            </w:pPr>
            <w:r>
              <w:rPr>
                <w:rFonts w:ascii="Arial" w:cs="Arial" w:eastAsia="Arial" w:hAnsi="Arial"/>
                <w:sz w:val="18"/>
                <w:szCs w:val="18"/>
                <w:color w:val="auto"/>
              </w:rPr>
              <w:t>417</w:t>
            </w:r>
          </w:p>
        </w:tc>
        <w:tc>
          <w:tcPr>
            <w:tcW w:w="1520" w:type="dxa"/>
            <w:vAlign w:val="bottom"/>
            <w:gridSpan w:val="2"/>
          </w:tcPr>
          <w:p>
            <w:pPr>
              <w:jc w:val="right"/>
              <w:ind w:right="259"/>
              <w:spacing w:after="0"/>
              <w:rPr>
                <w:sz w:val="20"/>
                <w:szCs w:val="20"/>
                <w:color w:val="auto"/>
              </w:rPr>
            </w:pPr>
            <w:r>
              <w:rPr>
                <w:rFonts w:ascii="Arial" w:cs="Arial" w:eastAsia="Arial" w:hAnsi="Arial"/>
                <w:sz w:val="18"/>
                <w:szCs w:val="18"/>
                <w:color w:val="auto"/>
              </w:rPr>
              <w:t>465</w:t>
            </w: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94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40" w:type="dxa"/>
            <w:vAlign w:val="bottom"/>
          </w:tcPr>
          <w:p>
            <w:pPr>
              <w:jc w:val="right"/>
              <w:ind w:right="259"/>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360" w:firstLine="447"/>
        <w:spacing w:after="0" w:line="259"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79" w:lineRule="exact"/>
        <w:rPr>
          <w:sz w:val="20"/>
          <w:szCs w:val="20"/>
          <w:color w:val="auto"/>
        </w:rPr>
      </w:pPr>
    </w:p>
    <w:p>
      <w:pPr>
        <w:jc w:val="both"/>
        <w:ind w:right="60" w:firstLine="447"/>
        <w:spacing w:after="0" w:line="312"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220" w:firstLine="450"/>
        <w:spacing w:after="0" w:line="257"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80" w:firstLine="447"/>
        <w:spacing w:after="0" w:line="259" w:lineRule="auto"/>
        <w:rPr>
          <w:sz w:val="20"/>
          <w:szCs w:val="20"/>
          <w:color w:val="auto"/>
        </w:rPr>
      </w:pPr>
      <w:r>
        <w:rPr>
          <w:rFonts w:ascii="Arial" w:cs="Arial" w:eastAsia="Arial" w:hAnsi="Arial"/>
          <w:sz w:val="18"/>
          <w:szCs w:val="18"/>
          <w:color w:val="auto"/>
        </w:rPr>
        <w:t>We have several key financial terms and metrics, including annualized average recurring revenues per recurring revenue customer. During the nine months ended September 30, 2010, there were no changes in the definitions of our key financial terms and metrics, which are discussed in more detail under the heading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included in the final prospectus for our initial public offering dated April 22, 2010 as filed with the Securities and Exchange Commission.</w:t>
      </w:r>
    </w:p>
    <w:p>
      <w:pPr>
        <w:spacing w:after="0" w:line="79"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net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64" w:lineRule="exact"/>
        <w:rPr>
          <w:sz w:val="20"/>
          <w:szCs w:val="20"/>
          <w:color w:val="auto"/>
        </w:rPr>
      </w:pPr>
    </w:p>
    <w:p>
      <w:pPr>
        <w:ind w:right="60" w:firstLine="447"/>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447"/>
        <w:spacing w:after="0" w:line="297"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50" w:lineRule="exact"/>
        <w:rPr>
          <w:sz w:val="20"/>
          <w:szCs w:val="20"/>
          <w:color w:val="auto"/>
        </w:rPr>
      </w:pPr>
    </w:p>
    <w:p>
      <w:pPr>
        <w:ind w:right="40" w:firstLine="447"/>
        <w:spacing w:after="0" w:line="302"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4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valuation of goodwill.</w:t>
      </w:r>
    </w:p>
    <w:p>
      <w:pPr>
        <w:spacing w:after="0" w:line="117"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During the nine months ended September 30, 2010, there were no significant changes in our critical accounting policies or estimates. See Note A to our financial statements included elsewhere in this Quarterly Report on Form 10-Q and in the final prospectus for our initial public offering dated April 22, 2010 as filed with the Securities and Exchange Commission for additional information regarding our critical accounting policies, as well as a description of our other significant accounting policies.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our results of operations for the periods indicated (dollars in thousands):</w:t>
      </w:r>
    </w:p>
    <w:p>
      <w:pPr>
        <w:spacing w:after="0" w:line="220" w:lineRule="exact"/>
        <w:rPr>
          <w:sz w:val="20"/>
          <w:szCs w:val="20"/>
          <w:color w:val="auto"/>
        </w:rPr>
      </w:pPr>
    </w:p>
    <w:p>
      <w:pPr>
        <w:jc w:val="center"/>
        <w:ind w:left="740"/>
        <w:spacing w:after="0"/>
        <w:rPr>
          <w:sz w:val="20"/>
          <w:szCs w:val="20"/>
          <w:color w:val="auto"/>
        </w:rPr>
      </w:pPr>
      <w:r>
        <w:rPr>
          <w:rFonts w:ascii="Arial" w:cs="Arial" w:eastAsia="Arial" w:hAnsi="Arial"/>
          <w:sz w:val="14"/>
          <w:szCs w:val="14"/>
          <w:color w:val="auto"/>
        </w:rPr>
        <w:t>Three Months Ended</w:t>
      </w:r>
    </w:p>
    <w:p>
      <w:pPr>
        <w:jc w:val="center"/>
        <w:ind w:left="74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813"/>
              <w:spacing w:after="0" w:line="142" w:lineRule="exact"/>
              <w:rPr>
                <w:sz w:val="20"/>
                <w:szCs w:val="20"/>
                <w:color w:val="auto"/>
              </w:rPr>
            </w:pPr>
            <w:r>
              <w:rPr>
                <w:rFonts w:ascii="Arial" w:cs="Arial" w:eastAsia="Arial" w:hAnsi="Arial"/>
                <w:sz w:val="14"/>
                <w:szCs w:val="14"/>
                <w:color w:val="auto"/>
              </w:rPr>
              <w:t>2010</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8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right"/>
              <w:ind w:right="940"/>
              <w:spacing w:after="0" w:line="142" w:lineRule="exact"/>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11,491</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9,634</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8,280</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6,625</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4,139</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1,123</w:t>
            </w: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1,505</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64.5</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4"/>
                <w:szCs w:val="2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5"/>
          </w:tcPr>
          <w:p>
            <w:pPr>
              <w:jc w:val="right"/>
              <w:ind w:right="600"/>
              <w:spacing w:after="0"/>
              <w:rPr>
                <w:sz w:val="20"/>
                <w:szCs w:val="20"/>
                <w:color w:val="auto"/>
              </w:rPr>
            </w:pPr>
            <w:r>
              <w:rPr>
                <w:rFonts w:ascii="Arial" w:cs="Arial" w:eastAsia="Arial" w:hAnsi="Arial"/>
                <w:sz w:val="14"/>
                <w:szCs w:val="14"/>
                <w:color w:val="auto"/>
              </w:rPr>
              <w:t>Nine Months Ended</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2"/>
            <w:vMerge w:val="restart"/>
          </w:tcPr>
          <w:p>
            <w:pPr>
              <w:jc w:val="right"/>
              <w:ind w:right="940"/>
              <w:spacing w:after="0"/>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813"/>
              <w:spacing w:after="0" w:line="142" w:lineRule="exact"/>
              <w:rPr>
                <w:sz w:val="20"/>
                <w:szCs w:val="20"/>
                <w:color w:val="auto"/>
              </w:rPr>
            </w:pPr>
            <w:r>
              <w:rPr>
                <w:rFonts w:ascii="Arial" w:cs="Arial" w:eastAsia="Arial" w:hAnsi="Arial"/>
                <w:sz w:val="14"/>
                <w:szCs w:val="14"/>
                <w:color w:val="auto"/>
              </w:rPr>
              <w:t>2010</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8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32,678</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27,765</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23,385</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19,023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11,768</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10,005</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3,226</w:t>
            </w: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5,805</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4,671</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20,791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17,902</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1,121</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7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24"/>
                <w:szCs w:val="2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11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is not meaningful.</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2010 compared to Three and Nine Months Ended September 30, 2009</w:t>
      </w:r>
    </w:p>
    <w:p>
      <w:pPr>
        <w:spacing w:after="0" w:line="117"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the three months ended September 30, 2010 increased $1.9 million, or 19%, to $11.5 million from $9.6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2009. Revenues for the nine months ended September 30, 2010 increased $4.9 million, or 18%, to $32.7 million from $27.8 million for the same period in 2009. Our fiscal quarter ended September 30, 2010 represented our 39th consecutive quarter of increased revenues. The increase in revenues for both periods resulted from an 11% increase in recurring revenue customers to 12,117 at September 30, 2010 from 10,939 at September 30, 2009, as well as an 11% increase in annualized average recurring revenues per recurring revenue customer to $3,226 for the three months ended September 30, 2010 from $2,900 for the same period in 2009. The increase in annualized average recurring revenues per recurring revenue customer was primarily attributable to increased fees resulting from increased usage of our solutions by our recurring revenue customers. Recurring revenues from recurring revenue customers accounted for 84% and 83% of our total revenues for the three and nine months ended September 30, 2010, compared to 81% and 80% for the same periods in 2009. We anticipate that the number of recurring revenue customers and the recurring revenues per recurring revenue customer will continue to increase as we increase the number of solutions we offer, such as the Trading Partner Intelligence solution we introduced in 2009, and increase the penetration of those solutions across our customer base.</w:t>
      </w:r>
    </w:p>
    <w:p>
      <w:pPr>
        <w:spacing w:after="0" w:line="75"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September 30, 2010 increased $202,000, or 7%, to $3.2 million from $3.0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2009. Cost of revenues for the nine months ended September 30, 2010 increased $551,000, or 6%, to $9.3 million from $8.7 million for the same period in 2009. The increase in costs was primarily attributable to higher costs of personnel, network services and depreciation. As a percentage of revenues, cost of revenues was 28% for the three months ended September 30, 2010, compared to 31% for the same period in 2009, and 28% for the nine months ended September 30, 2010, compared to 32% for the same period in 2009. Increased revenues allowed us to leverage our personnel and infrastructure costs and decrease our cost of revenues as a percentage of total revenues. Going forward, we anticipate that cost of revenues will increase in absolute dollars as we continue to build our business.</w:t>
      </w:r>
    </w:p>
    <w:p>
      <w:pPr>
        <w:spacing w:after="0" w:line="81" w:lineRule="exact"/>
        <w:rPr>
          <w:sz w:val="20"/>
          <w:szCs w:val="20"/>
          <w:color w:val="auto"/>
        </w:rPr>
      </w:pPr>
    </w:p>
    <w:p>
      <w:pPr>
        <w:ind w:right="760" w:firstLine="450"/>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2010 increased $606,000, or 17%, to</w:t>
      </w:r>
      <w:r>
        <w:rPr>
          <w:rFonts w:ascii="Arial" w:cs="Arial" w:eastAsia="Arial" w:hAnsi="Arial"/>
          <w:sz w:val="16"/>
          <w:szCs w:val="16"/>
          <w:i w:val="1"/>
          <w:iCs w:val="1"/>
          <w:color w:val="auto"/>
        </w:rPr>
        <w:t xml:space="preserve"> </w:t>
      </w:r>
      <w:r>
        <w:rPr>
          <w:rFonts w:ascii="Arial" w:cs="Arial" w:eastAsia="Arial" w:hAnsi="Arial"/>
          <w:sz w:val="16"/>
          <w:szCs w:val="16"/>
          <w:color w:val="auto"/>
        </w:rPr>
        <w:t>$4.1 million from $3.5 million for the same period in 2009. Sales and marketing expenses for the nine months ended September 30, 2010 increased</w:t>
      </w:r>
    </w:p>
    <w:p>
      <w:pPr>
        <w:ind w:right="60"/>
        <w:spacing w:after="0" w:line="253" w:lineRule="auto"/>
        <w:rPr>
          <w:sz w:val="20"/>
          <w:szCs w:val="20"/>
          <w:color w:val="auto"/>
        </w:rPr>
      </w:pPr>
      <w:r>
        <w:rPr>
          <w:rFonts w:ascii="Arial" w:cs="Arial" w:eastAsia="Arial" w:hAnsi="Arial"/>
          <w:sz w:val="18"/>
          <w:szCs w:val="18"/>
          <w:color w:val="auto"/>
        </w:rPr>
        <w:t>$1.8 million, or 18%, to $11.8 million from $10.0 million for the same period in 2009. The increase in sales and marketing expenses for both periods was due to higher commissions earned by sales personnel from new business, as well as increased personnel costs. As a percentage of revenues, sales and marketing expenses were 36% for the three months ended September 30, 2010, compared to 37% for the same period in 2009, and 36% for each of the nine months ended September 30, 2010 and 2009. As we work to grow our business, we will continue to add resources to our sales and marketing efforts over time, and we expect that these expenses will increase in absolute dollars.</w:t>
      </w:r>
    </w:p>
    <w:p>
      <w:pPr>
        <w:spacing w:after="0" w:line="83" w:lineRule="exact"/>
        <w:rPr>
          <w:sz w:val="20"/>
          <w:szCs w:val="20"/>
          <w:color w:val="auto"/>
        </w:rPr>
      </w:pPr>
    </w:p>
    <w:p>
      <w:pPr>
        <w:ind w:right="40" w:firstLine="450"/>
        <w:spacing w:after="0" w:line="27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and nine months ended September 30, 2010 were $1.1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$3.2 million, respectively, each of which was comparable to the same periods in 2009. As a percentage of revenues, research and development expenses were 10% for each of the three and nine months ended September 30, 2010, compared to 12% for each of the same periods in 2009. Increased revenues contributed to the decrease in research and development expenses as a percentage of revenues. We expect research and development expenses will increase in absolute dollars as we continue to enhance and expand our solutions and applications.</w:t>
      </w:r>
    </w:p>
    <w:p>
      <w:pPr>
        <w:spacing w:after="0" w:line="64"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2010 increased $660,000, or</w:t>
      </w:r>
      <w:r>
        <w:rPr>
          <w:rFonts w:ascii="Arial" w:cs="Arial" w:eastAsia="Arial" w:hAnsi="Arial"/>
          <w:sz w:val="18"/>
          <w:szCs w:val="18"/>
          <w:i w:val="1"/>
          <w:iCs w:val="1"/>
          <w:color w:val="auto"/>
        </w:rPr>
        <w:t xml:space="preserve"> </w:t>
      </w:r>
      <w:r>
        <w:rPr>
          <w:rFonts w:ascii="Arial" w:cs="Arial" w:eastAsia="Arial" w:hAnsi="Arial"/>
          <w:sz w:val="18"/>
          <w:szCs w:val="18"/>
          <w:color w:val="auto"/>
        </w:rPr>
        <w:t>44%, to $2.2 million from $1.5 million for the same period in 2009. For the nine months ended September 30, 2010, general and administrative expenses increased $1.1 million, or 24%, to $5.8 million from $4.7 million for the same period in 2009. The increase in general and administrative expenses for both periods was due to increased expenses related to being a public company, including board of director, legal and accounting fees. As a percentage of revenues, general and administrative expenses were 19% for the three months ended September 30, 2010, compared to 16% for the same period in 2009, and 18% for the nine months ended September 30, 2010, compared to 17% for the same period in 2009. Going forward, we expect that general and administrative expenses will increase in absolute dollars.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Interest expense for the three months ended September 30, 2010 decreased $53,000, or 87%, to $8,000 from $61,000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2009. Interest expense for the nine months ended September 30, 2010 decreased $159,000, or 71%, to $66,000 from $225,000 for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2009. The decrease in interest expense was principally due to reduced equipment borrowings and the repayment of all outstanding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credit facility in 2010. Interest income for the three and nine months ended September 30, 2010 was $104,000 as the result of interest earned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cash proceeds from our initial public offering in April 2010. Other expense for the three months ended September 30, 2010 was $85,000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$8,000 for the same period in 2009. Other expense for the nine months ended September 30, 2010 was $93,000 compared to other income of $113,000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2009. The other income (expense) change was driven primarily by updating the value of outstanding preferred stock warrants to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as required by generally accepted accounting principles. We expect that there will be no further income or expense related to these warrants as they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to common stock warrants with the completion of our initial public offering in April 2010.</w:t>
      </w:r>
    </w:p>
    <w:p>
      <w:pPr>
        <w:spacing w:after="0" w:line="103" w:lineRule="exact"/>
        <w:rPr>
          <w:sz w:val="20"/>
          <w:szCs w:val="20"/>
          <w:color w:val="auto"/>
        </w:rPr>
      </w:pPr>
    </w:p>
    <w:p>
      <w:pPr>
        <w:ind w:right="180" w:firstLine="450"/>
        <w:spacing w:after="0" w:line="276" w:lineRule="auto"/>
        <w:rPr>
          <w:sz w:val="20"/>
          <w:szCs w:val="20"/>
          <w:color w:val="auto"/>
        </w:rPr>
      </w:pPr>
      <w:r>
        <w:rPr>
          <w:rFonts w:ascii="Arial" w:cs="Arial" w:eastAsia="Arial" w:hAnsi="Arial"/>
          <w:sz w:val="17"/>
          <w:szCs w:val="17"/>
          <w:i w:val="1"/>
          <w:iCs w:val="1"/>
          <w:color w:val="auto"/>
        </w:rPr>
        <w:t xml:space="preserve">Income Tax Benefit (Expense). </w:t>
      </w:r>
      <w:r>
        <w:rPr>
          <w:rFonts w:ascii="Arial" w:cs="Arial" w:eastAsia="Arial" w:hAnsi="Arial"/>
          <w:sz w:val="17"/>
          <w:szCs w:val="17"/>
          <w:color w:val="auto"/>
        </w:rPr>
        <w:t>Income tax benefit was $7,000 for the three months ended September 30, 2010, compared to income tax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$49,000 for the three months ended September 30, 2009. Income tax expense was $96,000 for the nine months ended September 30, 2010 compared to $60,000 for the same period in 2009. We record our interim provision for income taxes based on our estimated annual effective tax rate for the year. Our provision for income taxes includes estimated federal alternative minimum taxes, state income and franchise taxes, as well as deferred tax expense resulting from the book and tax basis difference in goodwill from a prior asset acquisition.</w:t>
      </w:r>
    </w:p>
    <w:p>
      <w:pPr>
        <w:spacing w:after="0" w:line="64"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(benefit) expense and non-cash, share-based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60" w:type="dxa"/>
            <w:vAlign w:val="bottom"/>
          </w:tcPr>
          <w:p>
            <w:pPr>
              <w:spacing w:after="0"/>
              <w:rPr>
                <w:sz w:val="20"/>
                <w:szCs w:val="20"/>
                <w:color w:val="auto"/>
              </w:rPr>
            </w:pPr>
            <w:r>
              <w:rPr>
                <w:rFonts w:ascii="Arial" w:cs="Arial" w:eastAsia="Arial" w:hAnsi="Arial"/>
                <w:sz w:val="18"/>
                <w:szCs w:val="18"/>
                <w:color w:val="auto"/>
              </w:rPr>
              <w:t>EBITDA</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3,649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share-based compensation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1,418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4,107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vMerge w:val="restart"/>
          </w:tcPr>
          <w:p>
            <w:pPr>
              <w:jc w:val="right"/>
              <w:ind w:right="65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0"/>
        <w:spacing w:after="0" w:line="312" w:lineRule="auto"/>
        <w:rPr>
          <w:sz w:val="20"/>
          <w:szCs w:val="20"/>
          <w:color w:val="auto"/>
        </w:rPr>
      </w:pPr>
      <w:r>
        <w:rPr>
          <w:rFonts w:ascii="Arial" w:cs="Arial" w:eastAsia="Arial" w:hAnsi="Arial"/>
          <w:sz w:val="16"/>
          <w:szCs w:val="16"/>
          <w:i w:val="1"/>
          <w:iCs w:val="1"/>
          <w:color w:val="auto"/>
        </w:rPr>
        <w:t xml:space="preserve">Non-GAAP Net Income per Share. </w:t>
      </w:r>
      <w:r>
        <w:rPr>
          <w:rFonts w:ascii="Arial" w:cs="Arial" w:eastAsia="Arial" w:hAnsi="Arial"/>
          <w:sz w:val="16"/>
          <w:szCs w:val="16"/>
          <w:color w:val="auto"/>
        </w:rPr>
        <w:t>Non-GAAP net income per share consists of net income plus non-cash, share-based compensation expense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expense related to intangible assets divided by the weighted average number of shares of common stock outstanding during each period. We believe non-GAAP net income per share is useful to an investor because it is widely used to measure a company’s operating performance.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net income per share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Non-cash, share-based compensation expense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2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1,118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2,901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net income per share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11,620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12,413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11,275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Non-GAAP net income per share</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0"/>
        <w:spacing w:after="0" w:line="264" w:lineRule="auto"/>
        <w:rPr>
          <w:sz w:val="20"/>
          <w:szCs w:val="20"/>
          <w:color w:val="auto"/>
        </w:rPr>
      </w:pPr>
      <w:r>
        <w:rPr>
          <w:rFonts w:ascii="Arial" w:cs="Arial" w:eastAsia="Arial" w:hAnsi="Arial"/>
          <w:sz w:val="18"/>
          <w:szCs w:val="18"/>
          <w:color w:val="auto"/>
        </w:rPr>
        <w:t>At September 30, 2010, our principal sources of liquidity were cash and cash equivalents of $39.1 million and accounts receivable, net of allowance for doubtful accounts, of $5.5 million. Our working capital at September 30, 2010 was $40.6 million compared to $5.0 million at December 31, 2009. The increase in working capital from December 31, 2009 to September 30, 2010 resulted primarily from the following:</w:t>
      </w:r>
    </w:p>
    <w:p>
      <w:pPr>
        <w:spacing w:after="0" w:line="7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$33.2 million increase in cash and cash equivalents, primarily representing the net proceeds from our initial public offering in April 2010;</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$751,000 increase in net accounts receivable, due to new business for the nine months ended September 30, 2010;</w:t>
      </w:r>
    </w:p>
    <w:p>
      <w:pPr>
        <w:spacing w:after="0" w:line="130" w:lineRule="exact"/>
        <w:rPr>
          <w:rFonts w:ascii="Arial" w:cs="Arial" w:eastAsia="Arial" w:hAnsi="Arial"/>
          <w:sz w:val="18"/>
          <w:szCs w:val="18"/>
          <w:b w:val="1"/>
          <w:bCs w:val="1"/>
          <w:color w:val="auto"/>
        </w:rPr>
      </w:pPr>
    </w:p>
    <w:p>
      <w:pPr>
        <w:ind w:left="900" w:right="52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$455,000 increase in deferred costs, current for expenses related to increased implementation resources and commission payments for new business;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$449,000 decrease in prepaid expenses and other current assets, as prepaid expenses related to our initial public offering were recognized;</w:t>
      </w:r>
    </w:p>
    <w:p>
      <w:pPr>
        <w:spacing w:after="0" w:line="142" w:lineRule="exact"/>
        <w:rPr>
          <w:rFonts w:ascii="Arial" w:cs="Arial" w:eastAsia="Arial" w:hAnsi="Arial"/>
          <w:sz w:val="17"/>
          <w:szCs w:val="17"/>
          <w:b w:val="1"/>
          <w:bCs w:val="1"/>
          <w:color w:val="auto"/>
        </w:rPr>
      </w:pPr>
    </w:p>
    <w:p>
      <w:pPr>
        <w:ind w:left="900" w:right="48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$287,000 decrease in accounts payable, and $175,000 decrease in accrued expenses and other current liabilities, as payments were made on invoices and accruals related to our initial public offering;</w:t>
      </w:r>
    </w:p>
    <w:p>
      <w:pPr>
        <w:spacing w:after="0" w:line="75" w:lineRule="exact"/>
        <w:rPr>
          <w:rFonts w:ascii="Arial" w:cs="Arial" w:eastAsia="Arial" w:hAnsi="Arial"/>
          <w:sz w:val="18"/>
          <w:szCs w:val="18"/>
          <w:b w:val="1"/>
          <w:bCs w:val="1"/>
          <w:color w:val="auto"/>
        </w:rPr>
      </w:pPr>
    </w:p>
    <w:p>
      <w:pPr>
        <w:ind w:left="900" w:right="30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$714,000 increase in accrued compensation and benefits, due primarily to increased salary accruals, slightly offset by payments made in early 2010 for bonuses accrued as of December 31, 2009;</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$267,000 increase in current deferred revenue, due to new business for the nine months ended September 30, 2010; and,</w:t>
      </w:r>
    </w:p>
    <w:p>
      <w:pPr>
        <w:spacing w:after="0" w:line="130" w:lineRule="exact"/>
        <w:rPr>
          <w:rFonts w:ascii="Arial" w:cs="Arial" w:eastAsia="Arial" w:hAnsi="Arial"/>
          <w:sz w:val="18"/>
          <w:szCs w:val="18"/>
          <w:b w:val="1"/>
          <w:bCs w:val="1"/>
          <w:color w:val="auto"/>
        </w:rPr>
      </w:pPr>
    </w:p>
    <w:p>
      <w:pPr>
        <w:ind w:left="900" w:right="36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$2.2 million decrease in the current portion of long-term debt and line of credit, as amounts were repaid with proceeds from our initial public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260" w:firstLine="450"/>
        <w:spacing w:after="0" w:line="342" w:lineRule="auto"/>
        <w:rPr>
          <w:sz w:val="20"/>
          <w:szCs w:val="20"/>
          <w:color w:val="auto"/>
        </w:rPr>
      </w:pPr>
      <w:r>
        <w:rPr>
          <w:rFonts w:ascii="Arial" w:cs="Arial" w:eastAsia="Arial" w:hAnsi="Arial"/>
          <w:sz w:val="16"/>
          <w:szCs w:val="16"/>
          <w:color w:val="auto"/>
        </w:rPr>
        <w:t>Net cash provided by operating activities was $4.1 million for each of the nine months ended September 30, 2010 and 2009, as the approximate $1.5 increase in net income was more than offset by the changes in non-cash expenses and the changes in working capital accounts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140" w:firstLine="450"/>
        <w:spacing w:after="0" w:line="308" w:lineRule="auto"/>
        <w:rPr>
          <w:sz w:val="20"/>
          <w:szCs w:val="20"/>
          <w:color w:val="auto"/>
        </w:rPr>
      </w:pPr>
      <w:r>
        <w:rPr>
          <w:rFonts w:ascii="Arial" w:cs="Arial" w:eastAsia="Arial" w:hAnsi="Arial"/>
          <w:sz w:val="17"/>
          <w:szCs w:val="17"/>
          <w:color w:val="auto"/>
        </w:rPr>
        <w:t>Net cash used in investing activities was $1.2 million for the nine months ended September 30, 2010 and $506,000 for the same period in 2009, all for capital expenditures. Capital expenditures in 2010 included a significant consolidated purchase of middleware and database licenses.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40" w:firstLine="450"/>
        <w:spacing w:after="0" w:line="286" w:lineRule="auto"/>
        <w:rPr>
          <w:sz w:val="20"/>
          <w:szCs w:val="20"/>
          <w:color w:val="auto"/>
        </w:rPr>
      </w:pPr>
      <w:r>
        <w:rPr>
          <w:rFonts w:ascii="Arial" w:cs="Arial" w:eastAsia="Arial" w:hAnsi="Arial"/>
          <w:sz w:val="17"/>
          <w:szCs w:val="17"/>
          <w:color w:val="auto"/>
        </w:rPr>
        <w:t>Net cash provided by financing activities was $30.3 million for the nine months ended September 30, 2010, representing the approximate $33.0 million of net proceeds from our initial public offering slightly offset by $2.6 million of net repayments on our outstanding indebtedness. Net cash used in financing activities was $1.5 million for the nine months ended September 30, 2009, representing net repayments on outstanding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We maintained a credit facility with BlueCrest Venture Finance Master Fund Limited which provided us a series of equipment and term loans as well as a revolving line of credit. This credit facility is discussed in more detail under the heading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Liquidity and Capital Resources — Credit Facility</w:t>
      </w:r>
      <w:r>
        <w:rPr>
          <w:rFonts w:ascii="Arial" w:cs="Arial" w:eastAsia="Arial" w:hAnsi="Arial"/>
          <w:sz w:val="18"/>
          <w:szCs w:val="18"/>
          <w:color w:val="auto"/>
        </w:rPr>
        <w:t>” and in Note D to our financial statements included in the final prospectus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initial public offering dated April 22, 2010 as filed with the Securities and Exchange Commission. We terminated this credit facility, effective March 31, 2010, such that no new borrowings will be made and all related outstanding indebtedness was repaid during the quarter ended June 30, 2010. We are currently reviewing our future needs for a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Historically, we have experienced increases in our expenditures consistent with the growth in our operations and personnel, and we anticipate that our expenditures will increase as we continue to grow our business.</w:t>
      </w:r>
    </w:p>
    <w:p>
      <w:pPr>
        <w:spacing w:after="0" w:line="64" w:lineRule="exact"/>
        <w:rPr>
          <w:sz w:val="20"/>
          <w:szCs w:val="20"/>
          <w:color w:val="auto"/>
        </w:rPr>
      </w:pPr>
    </w:p>
    <w:p>
      <w:pPr>
        <w:ind w:right="380" w:firstLine="447"/>
        <w:spacing w:after="0" w:line="277"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and nine months ended September 30, 2010. We do not expect that inflation or changing prices will materially affect our business in the foreseeable future.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47"/>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See Note A to our financial statements elsewhere in this Quarterly Report on Form 10-Q and in the final prospectus for our initial public offering dated April 22, 2010 as filed with the Securities and Exchange Commission for a full description of recent accounting pronouncements, including the respective expected dates of adoption and effects on our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2010 that have materially affected, or are reasonably likely to materially affect, our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447"/>
        <w:spacing w:after="0" w:line="34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47"/>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final prospectus for our initial public offering dated April 22, 2010 as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2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0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immediately following the signatures to this report.</w:t>
      </w: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November 4, 2010</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Exhibit</w:t>
      </w:r>
    </w:p>
    <w:p>
      <w:pPr>
        <w:spacing w:after="0"/>
        <w:tabs>
          <w:tab w:leader="none" w:pos="900" w:val="left"/>
        </w:tabs>
        <w:rPr>
          <w:sz w:val="20"/>
          <w:szCs w:val="20"/>
          <w:color w:val="auto"/>
        </w:rPr>
      </w:pPr>
      <w:r>
        <w:rPr>
          <w:rFonts w:ascii="Arial" w:cs="Arial" w:eastAsia="Arial" w:hAnsi="Arial"/>
          <w:sz w:val="14"/>
          <w:szCs w:val="14"/>
          <w:i w:val="1"/>
          <w:iCs w:val="1"/>
          <w:color w:val="auto"/>
        </w:rPr>
        <w:t>Number</w:t>
      </w:r>
      <w:r>
        <w:rPr>
          <w:sz w:val="20"/>
          <w:szCs w:val="20"/>
          <w:color w:val="auto"/>
        </w:rPr>
        <w:tab/>
      </w:r>
      <w:r>
        <w:rPr>
          <w:rFonts w:ascii="Arial" w:cs="Arial" w:eastAsia="Arial" w:hAnsi="Arial"/>
          <w:sz w:val="14"/>
          <w:szCs w:val="14"/>
          <w:i w:val="1"/>
          <w:i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225" w:lineRule="exact"/>
        <w:rPr>
          <w:sz w:val="20"/>
          <w:szCs w:val="20"/>
          <w:color w:val="auto"/>
        </w:rPr>
      </w:pPr>
    </w:p>
    <w:p>
      <w:pPr>
        <w:ind w:left="920" w:right="120" w:hanging="730"/>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19" w:right="2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00" w:hanging="447"/>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00" w:hanging="447"/>
        <w:spacing w:after="0" w:line="264"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00" w:hanging="447"/>
        <w:spacing w:after="0" w:line="277" w:lineRule="auto"/>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2300" w:firstLine="2307"/>
        <w:spacing w:after="0" w:line="378"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00" w:hanging="447"/>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00" w:hanging="447"/>
        <w:spacing w:after="0" w:line="264"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00" w:hanging="447"/>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firstLine="450"/>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2010,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4,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2019-12-10T18:11:30Z</dcterms:created>
  <dcterms:modified xsi:type="dcterms:W3CDTF">2019-12-10T18:11:30Z</dcterms:modified>
</cp:coreProperties>
</file>