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8" w:lineRule="exact"/>
        <w:rPr>
          <w:sz w:val="24"/>
          <w:szCs w:val="24"/>
          <w:color w:val="auto"/>
        </w:rPr>
      </w:pPr>
    </w:p>
    <w:p>
      <w:pPr>
        <w:ind w:left="520" w:right="280" w:hanging="494"/>
        <w:spacing w:after="0" w:line="256" w:lineRule="auto"/>
        <w:tabs>
          <w:tab w:leader="none" w:pos="5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08" w:lineRule="exact"/>
        <w:rPr>
          <w:sz w:val="24"/>
          <w:szCs w:val="24"/>
          <w:color w:val="auto"/>
        </w:rPr>
      </w:pPr>
    </w:p>
    <w:p>
      <w:pPr>
        <w:ind w:left="500" w:right="260" w:hanging="474"/>
        <w:spacing w:after="0" w:line="256" w:lineRule="auto"/>
        <w:tabs>
          <w:tab w:leader="none" w:pos="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001-34702</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3168650</wp:posOffset>
            </wp:positionH>
            <wp:positionV relativeFrom="paragraph">
              <wp:posOffset>39370</wp:posOffset>
            </wp:positionV>
            <wp:extent cx="814705"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470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jc w:val="center"/>
              <w:ind w:left="2723"/>
              <w:spacing w:after="0"/>
              <w:rPr>
                <w:sz w:val="20"/>
                <w:szCs w:val="20"/>
                <w:color w:val="auto"/>
              </w:rPr>
            </w:pPr>
            <w:r>
              <w:rPr>
                <w:rFonts w:ascii="Arial" w:cs="Arial" w:eastAsia="Arial" w:hAnsi="Arial"/>
                <w:sz w:val="18"/>
                <w:szCs w:val="18"/>
                <w:b w:val="1"/>
                <w:bCs w:val="1"/>
                <w:color w:val="auto"/>
                <w:w w:val="91"/>
              </w:rPr>
              <w:t>Delaware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60" w:type="dxa"/>
            <w:vAlign w:val="bottom"/>
          </w:tcPr>
          <w:p>
            <w:pPr>
              <w:jc w:val="center"/>
              <w:ind w:right="2024"/>
              <w:spacing w:after="0"/>
              <w:rPr>
                <w:sz w:val="20"/>
                <w:szCs w:val="20"/>
                <w:color w:val="auto"/>
              </w:rPr>
            </w:pPr>
            <w:r>
              <w:rPr>
                <w:rFonts w:ascii="Arial" w:cs="Arial" w:eastAsia="Arial" w:hAnsi="Arial"/>
                <w:sz w:val="18"/>
                <w:szCs w:val="18"/>
                <w:b w:val="1"/>
                <w:bCs w:val="1"/>
                <w:color w:val="auto"/>
                <w:w w:val="89"/>
              </w:rPr>
              <w:t>41-2015127</w:t>
            </w:r>
          </w:p>
        </w:tc>
      </w:tr>
      <w:tr>
        <w:trPr>
          <w:trHeight w:val="211"/>
        </w:trPr>
        <w:tc>
          <w:tcPr>
            <w:tcW w:w="7280" w:type="dxa"/>
            <w:vAlign w:val="bottom"/>
            <w:gridSpan w:val="6"/>
          </w:tcPr>
          <w:p>
            <w:pPr>
              <w:jc w:val="center"/>
              <w:ind w:right="720"/>
              <w:spacing w:after="0"/>
              <w:rPr>
                <w:sz w:val="20"/>
                <w:szCs w:val="20"/>
                <w:color w:val="auto"/>
              </w:rPr>
            </w:pPr>
            <w:r>
              <w:rPr>
                <w:rFonts w:ascii="Arial" w:cs="Arial" w:eastAsia="Arial" w:hAnsi="Arial"/>
                <w:sz w:val="14"/>
                <w:szCs w:val="14"/>
                <w:b w:val="1"/>
                <w:bCs w:val="1"/>
                <w:i w:val="1"/>
                <w:iCs w:val="1"/>
                <w:color w:val="auto"/>
                <w:w w:val="89"/>
              </w:rPr>
              <w:t>(State or other jurisdiction of</w:t>
            </w:r>
          </w:p>
        </w:tc>
        <w:tc>
          <w:tcPr>
            <w:tcW w:w="3960" w:type="dxa"/>
            <w:vAlign w:val="bottom"/>
          </w:tcPr>
          <w:p>
            <w:pPr>
              <w:jc w:val="center"/>
              <w:ind w:right="2024"/>
              <w:spacing w:after="0"/>
              <w:rPr>
                <w:sz w:val="20"/>
                <w:szCs w:val="20"/>
                <w:color w:val="auto"/>
              </w:rPr>
            </w:pPr>
            <w:r>
              <w:rPr>
                <w:rFonts w:ascii="Arial" w:cs="Arial" w:eastAsia="Arial" w:hAnsi="Arial"/>
                <w:sz w:val="14"/>
                <w:szCs w:val="14"/>
                <w:b w:val="1"/>
                <w:bCs w:val="1"/>
                <w:i w:val="1"/>
                <w:iCs w:val="1"/>
                <w:color w:val="auto"/>
                <w:w w:val="91"/>
              </w:rPr>
              <w:t>(I.R.S. Employer</w:t>
            </w:r>
          </w:p>
        </w:tc>
      </w:tr>
      <w:tr>
        <w:trPr>
          <w:trHeight w:val="182"/>
        </w:trPr>
        <w:tc>
          <w:tcPr>
            <w:tcW w:w="7280" w:type="dxa"/>
            <w:vAlign w:val="bottom"/>
            <w:gridSpan w:val="6"/>
          </w:tcPr>
          <w:p>
            <w:pPr>
              <w:jc w:val="center"/>
              <w:ind w:right="740"/>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3960" w:type="dxa"/>
            <w:vAlign w:val="bottom"/>
          </w:tcPr>
          <w:p>
            <w:pPr>
              <w:jc w:val="center"/>
              <w:ind w:right="2024"/>
              <w:spacing w:after="0"/>
              <w:rPr>
                <w:sz w:val="20"/>
                <w:szCs w:val="20"/>
                <w:color w:val="auto"/>
              </w:rPr>
            </w:pPr>
            <w:r>
              <w:rPr>
                <w:rFonts w:ascii="Arial" w:cs="Arial" w:eastAsia="Arial" w:hAnsi="Arial"/>
                <w:sz w:val="14"/>
                <w:szCs w:val="14"/>
                <w:b w:val="1"/>
                <w:bCs w:val="1"/>
                <w:i w:val="1"/>
                <w:iCs w:val="1"/>
                <w:color w:val="auto"/>
                <w:w w:val="92"/>
              </w:rPr>
              <w:t>Identification No.)</w:t>
            </w:r>
          </w:p>
        </w:tc>
      </w:tr>
      <w:tr>
        <w:trPr>
          <w:trHeight w:val="371"/>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333 South Seventh Street, Suite 1000, Minneapolis, MN 55402</w:t>
            </w:r>
          </w:p>
        </w:tc>
      </w:tr>
      <w:tr>
        <w:trPr>
          <w:trHeight w:val="182"/>
        </w:trPr>
        <w:tc>
          <w:tcPr>
            <w:tcW w:w="3760" w:type="dxa"/>
            <w:vAlign w:val="bottom"/>
          </w:tcPr>
          <w:p>
            <w:pPr>
              <w:spacing w:after="0"/>
              <w:rPr>
                <w:sz w:val="15"/>
                <w:szCs w:val="15"/>
                <w:color w:val="auto"/>
              </w:rPr>
            </w:pPr>
          </w:p>
        </w:tc>
        <w:tc>
          <w:tcPr>
            <w:tcW w:w="7480" w:type="dxa"/>
            <w:vAlign w:val="bottom"/>
            <w:gridSpan w:val="6"/>
          </w:tcPr>
          <w:p>
            <w:pPr>
              <w:jc w:val="center"/>
              <w:ind w:right="3684"/>
              <w:spacing w:after="0"/>
              <w:rPr>
                <w:sz w:val="20"/>
                <w:szCs w:val="20"/>
                <w:color w:val="auto"/>
              </w:rPr>
            </w:pPr>
            <w:r>
              <w:rPr>
                <w:rFonts w:ascii="Arial" w:cs="Arial" w:eastAsia="Arial" w:hAnsi="Arial"/>
                <w:sz w:val="14"/>
                <w:szCs w:val="14"/>
                <w:b w:val="1"/>
                <w:bCs w:val="1"/>
                <w:i w:val="1"/>
                <w:iCs w:val="1"/>
                <w:color w:val="auto"/>
                <w:w w:val="89"/>
              </w:rPr>
              <w:t>(Address of principal executive offices, including Zip Code)</w:t>
            </w:r>
          </w:p>
        </w:tc>
      </w:tr>
      <w:tr>
        <w:trPr>
          <w:trHeight w:val="358"/>
        </w:trPr>
        <w:tc>
          <w:tcPr>
            <w:tcW w:w="3760" w:type="dxa"/>
            <w:vAlign w:val="bottom"/>
          </w:tcPr>
          <w:p>
            <w:pPr>
              <w:spacing w:after="0"/>
              <w:rPr>
                <w:sz w:val="24"/>
                <w:szCs w:val="24"/>
                <w:color w:val="auto"/>
              </w:rPr>
            </w:pPr>
          </w:p>
        </w:tc>
        <w:tc>
          <w:tcPr>
            <w:tcW w:w="2900" w:type="dxa"/>
            <w:vAlign w:val="bottom"/>
            <w:gridSpan w:val="3"/>
          </w:tcPr>
          <w:p>
            <w:pPr>
              <w:jc w:val="center"/>
              <w:ind w:left="742"/>
              <w:spacing w:after="0"/>
              <w:rPr>
                <w:sz w:val="20"/>
                <w:szCs w:val="20"/>
                <w:color w:val="auto"/>
              </w:rPr>
            </w:pPr>
            <w:r>
              <w:rPr>
                <w:rFonts w:ascii="Arial" w:cs="Arial" w:eastAsia="Arial" w:hAnsi="Arial"/>
                <w:sz w:val="18"/>
                <w:szCs w:val="18"/>
                <w:b w:val="1"/>
                <w:bCs w:val="1"/>
                <w:color w:val="auto"/>
                <w:w w:val="90"/>
              </w:rPr>
              <w:t>(612) 435-9400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82"/>
        </w:trPr>
        <w:tc>
          <w:tcPr>
            <w:tcW w:w="3760" w:type="dxa"/>
            <w:vAlign w:val="bottom"/>
          </w:tcPr>
          <w:p>
            <w:pPr>
              <w:spacing w:after="0"/>
              <w:rPr>
                <w:sz w:val="15"/>
                <w:szCs w:val="15"/>
                <w:color w:val="auto"/>
              </w:rPr>
            </w:pPr>
          </w:p>
        </w:tc>
        <w:tc>
          <w:tcPr>
            <w:tcW w:w="3520" w:type="dxa"/>
            <w:vAlign w:val="bottom"/>
            <w:gridSpan w:val="5"/>
          </w:tcPr>
          <w:p>
            <w:pPr>
              <w:jc w:val="center"/>
              <w:ind w:left="122"/>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960" w:type="dxa"/>
            <w:vAlign w:val="bottom"/>
          </w:tcPr>
          <w:p>
            <w:pPr>
              <w:spacing w:after="0"/>
              <w:rPr>
                <w:sz w:val="15"/>
                <w:szCs w:val="15"/>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84"/>
        </w:trPr>
        <w:tc>
          <w:tcPr>
            <w:tcW w:w="3760" w:type="dxa"/>
            <w:vAlign w:val="bottom"/>
          </w:tcPr>
          <w:p>
            <w:pPr>
              <w:jc w:val="center"/>
              <w:ind w:left="683"/>
              <w:spacing w:after="0"/>
              <w:rPr>
                <w:sz w:val="20"/>
                <w:szCs w:val="20"/>
                <w:color w:val="auto"/>
              </w:rPr>
            </w:pPr>
            <w:r>
              <w:rPr>
                <w:rFonts w:ascii="Arial" w:cs="Arial" w:eastAsia="Arial" w:hAnsi="Arial"/>
                <w:sz w:val="14"/>
                <w:szCs w:val="14"/>
                <w:b w:val="1"/>
                <w:bCs w:val="1"/>
                <w:color w:val="auto"/>
                <w:w w:val="89"/>
              </w:rPr>
              <w:t>Title of each class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Trading Symbol</w:t>
            </w:r>
          </w:p>
        </w:tc>
        <w:tc>
          <w:tcPr>
            <w:tcW w:w="3960" w:type="dxa"/>
            <w:vAlign w:val="bottom"/>
          </w:tcPr>
          <w:p>
            <w:pPr>
              <w:jc w:val="center"/>
              <w:ind w:right="464"/>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39"/>
        </w:trPr>
        <w:tc>
          <w:tcPr>
            <w:tcW w:w="37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184"/>
        </w:trPr>
        <w:tc>
          <w:tcPr>
            <w:tcW w:w="3760" w:type="dxa"/>
            <w:vAlign w:val="bottom"/>
          </w:tcPr>
          <w:p>
            <w:pPr>
              <w:jc w:val="center"/>
              <w:ind w:left="663"/>
              <w:spacing w:after="0"/>
              <w:rPr>
                <w:sz w:val="20"/>
                <w:szCs w:val="20"/>
                <w:color w:val="auto"/>
              </w:rPr>
            </w:pPr>
            <w:r>
              <w:rPr>
                <w:rFonts w:ascii="Arial" w:cs="Arial" w:eastAsia="Arial" w:hAnsi="Arial"/>
                <w:sz w:val="14"/>
                <w:szCs w:val="14"/>
                <w:color w:val="auto"/>
                <w:w w:val="92"/>
              </w:rPr>
              <w:t>Common Stock, par value $0.001 per share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620"/>
              <w:spacing w:after="0"/>
              <w:rPr>
                <w:sz w:val="20"/>
                <w:szCs w:val="20"/>
                <w:color w:val="auto"/>
              </w:rPr>
            </w:pPr>
            <w:r>
              <w:rPr>
                <w:rFonts w:ascii="Arial" w:cs="Arial" w:eastAsia="Arial" w:hAnsi="Arial"/>
                <w:sz w:val="14"/>
                <w:szCs w:val="14"/>
                <w:color w:val="auto"/>
                <w:w w:val="89"/>
              </w:rPr>
              <w:t>SPSC</w:t>
            </w:r>
          </w:p>
        </w:tc>
        <w:tc>
          <w:tcPr>
            <w:tcW w:w="3960" w:type="dxa"/>
            <w:vAlign w:val="bottom"/>
          </w:tcPr>
          <w:p>
            <w:pPr>
              <w:jc w:val="center"/>
              <w:ind w:right="464"/>
              <w:spacing w:after="0"/>
              <w:rPr>
                <w:sz w:val="20"/>
                <w:szCs w:val="20"/>
                <w:color w:val="auto"/>
              </w:rPr>
            </w:pPr>
            <w:r>
              <w:rPr>
                <w:rFonts w:ascii="Arial" w:cs="Arial" w:eastAsia="Arial" w:hAnsi="Arial"/>
                <w:sz w:val="14"/>
                <w:szCs w:val="14"/>
                <w:color w:val="auto"/>
                <w:w w:val="94"/>
              </w:rPr>
              <w:t>The Nasdaq Stock Market LLC (Nasdaq Global Market)</w:t>
            </w:r>
          </w:p>
        </w:tc>
      </w:tr>
    </w:tbl>
    <w:p>
      <w:pPr>
        <w:spacing w:after="0" w:line="164" w:lineRule="exact"/>
        <w:rPr>
          <w:sz w:val="24"/>
          <w:szCs w:val="24"/>
          <w:color w:val="auto"/>
        </w:rPr>
      </w:pPr>
    </w:p>
    <w:p>
      <w:pPr>
        <w:jc w:val="both"/>
        <w:ind w:right="20"/>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3" w:lineRule="exact"/>
        <w:rPr>
          <w:sz w:val="24"/>
          <w:szCs w:val="24"/>
          <w:color w:val="auto"/>
        </w:rPr>
      </w:pPr>
    </w:p>
    <w:p>
      <w:pPr>
        <w:ind w:right="40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0"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ind w:left="1520"/>
              <w:spacing w:after="0"/>
              <w:rPr>
                <w:sz w:val="20"/>
                <w:szCs w:val="20"/>
                <w:color w:val="auto"/>
              </w:rPr>
            </w:pPr>
            <w:r>
              <w:rPr>
                <w:rFonts w:ascii="Arial" w:cs="Arial" w:eastAsia="Arial" w:hAnsi="Arial"/>
                <w:sz w:val="16"/>
                <w:szCs w:val="16"/>
                <w:color w:val="auto"/>
              </w:rPr>
              <w:t>x</w:t>
            </w:r>
          </w:p>
        </w:tc>
        <w:tc>
          <w:tcPr>
            <w:tcW w:w="4160" w:type="dxa"/>
            <w:vAlign w:val="bottom"/>
          </w:tcPr>
          <w:p>
            <w:pPr>
              <w:ind w:left="520"/>
              <w:spacing w:after="0"/>
              <w:rPr>
                <w:sz w:val="20"/>
                <w:szCs w:val="20"/>
                <w:color w:val="auto"/>
              </w:rPr>
            </w:pPr>
            <w:r>
              <w:rPr>
                <w:rFonts w:ascii="Arial" w:cs="Arial" w:eastAsia="Arial" w:hAnsi="Arial"/>
                <w:sz w:val="16"/>
                <w:szCs w:val="16"/>
                <w:color w:val="auto"/>
              </w:rPr>
              <w:t>Accelerated filer</w:t>
            </w:r>
          </w:p>
        </w:tc>
        <w:tc>
          <w:tcPr>
            <w:tcW w:w="1940" w:type="dxa"/>
            <w:vAlign w:val="bottom"/>
          </w:tcPr>
          <w:p>
            <w:pPr>
              <w:ind w:left="1860"/>
              <w:spacing w:after="0"/>
              <w:rPr>
                <w:sz w:val="20"/>
                <w:szCs w:val="20"/>
                <w:color w:val="auto"/>
              </w:rPr>
            </w:pPr>
            <w:r>
              <w:rPr>
                <w:rFonts w:ascii="Arial" w:cs="Arial" w:eastAsia="Arial" w:hAnsi="Arial"/>
                <w:sz w:val="15"/>
                <w:szCs w:val="15"/>
                <w:color w:val="auto"/>
                <w:w w:val="71"/>
              </w:rPr>
              <w:t>o</w:t>
            </w:r>
          </w:p>
        </w:tc>
      </w:tr>
      <w:tr>
        <w:trPr>
          <w:trHeight w:val="270"/>
        </w:trPr>
        <w:tc>
          <w:tcPr>
            <w:tcW w:w="2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ind w:left="1520"/>
              <w:spacing w:after="0"/>
              <w:rPr>
                <w:sz w:val="20"/>
                <w:szCs w:val="20"/>
                <w:color w:val="auto"/>
              </w:rPr>
            </w:pPr>
            <w:r>
              <w:rPr>
                <w:rFonts w:ascii="Arial" w:cs="Arial" w:eastAsia="Arial" w:hAnsi="Arial"/>
                <w:sz w:val="16"/>
                <w:szCs w:val="16"/>
                <w:color w:val="auto"/>
              </w:rPr>
              <w:t>o</w:t>
            </w:r>
          </w:p>
        </w:tc>
        <w:tc>
          <w:tcPr>
            <w:tcW w:w="4160" w:type="dxa"/>
            <w:vAlign w:val="bottom"/>
          </w:tcPr>
          <w:p>
            <w:pPr>
              <w:ind w:left="520"/>
              <w:spacing w:after="0"/>
              <w:rPr>
                <w:sz w:val="20"/>
                <w:szCs w:val="20"/>
                <w:color w:val="auto"/>
              </w:rPr>
            </w:pPr>
            <w:r>
              <w:rPr>
                <w:rFonts w:ascii="Arial" w:cs="Arial" w:eastAsia="Arial" w:hAnsi="Arial"/>
                <w:sz w:val="16"/>
                <w:szCs w:val="16"/>
                <w:color w:val="auto"/>
              </w:rPr>
              <w:t>Smaller reporting company</w:t>
            </w:r>
          </w:p>
        </w:tc>
        <w:tc>
          <w:tcPr>
            <w:tcW w:w="1940" w:type="dxa"/>
            <w:vAlign w:val="bottom"/>
          </w:tcPr>
          <w:p>
            <w:pPr>
              <w:ind w:left="1860"/>
              <w:spacing w:after="0"/>
              <w:rPr>
                <w:sz w:val="20"/>
                <w:szCs w:val="20"/>
                <w:color w:val="auto"/>
              </w:rPr>
            </w:pPr>
            <w:r>
              <w:rPr>
                <w:rFonts w:ascii="Arial" w:cs="Arial" w:eastAsia="Arial" w:hAnsi="Arial"/>
                <w:sz w:val="15"/>
                <w:szCs w:val="15"/>
                <w:color w:val="auto"/>
                <w:w w:val="71"/>
              </w:rPr>
              <w:t>o</w:t>
            </w:r>
          </w:p>
        </w:tc>
      </w:tr>
      <w:tr>
        <w:trPr>
          <w:trHeight w:val="270"/>
        </w:trPr>
        <w:tc>
          <w:tcPr>
            <w:tcW w:w="29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160" w:type="dxa"/>
            <w:vAlign w:val="bottom"/>
          </w:tcPr>
          <w:p>
            <w:pPr>
              <w:ind w:left="520"/>
              <w:spacing w:after="0"/>
              <w:rPr>
                <w:sz w:val="20"/>
                <w:szCs w:val="20"/>
                <w:color w:val="auto"/>
              </w:rPr>
            </w:pPr>
            <w:r>
              <w:rPr>
                <w:rFonts w:ascii="Arial" w:cs="Arial" w:eastAsia="Arial" w:hAnsi="Arial"/>
                <w:sz w:val="16"/>
                <w:szCs w:val="16"/>
                <w:color w:val="auto"/>
              </w:rPr>
              <w:t>Emerging growth company</w:t>
            </w:r>
          </w:p>
        </w:tc>
        <w:tc>
          <w:tcPr>
            <w:tcW w:w="1940" w:type="dxa"/>
            <w:vAlign w:val="bottom"/>
          </w:tcPr>
          <w:p>
            <w:pPr>
              <w:ind w:left="1860"/>
              <w:spacing w:after="0"/>
              <w:rPr>
                <w:sz w:val="20"/>
                <w:szCs w:val="20"/>
                <w:color w:val="auto"/>
              </w:rPr>
            </w:pPr>
            <w:r>
              <w:rPr>
                <w:rFonts w:ascii="Arial" w:cs="Arial" w:eastAsia="Arial" w:hAnsi="Arial"/>
                <w:sz w:val="15"/>
                <w:szCs w:val="15"/>
                <w:color w:val="auto"/>
                <w:w w:val="71"/>
              </w:rPr>
              <w:t>o</w:t>
            </w:r>
          </w:p>
        </w:tc>
      </w:tr>
    </w:tbl>
    <w:p>
      <w:pPr>
        <w:spacing w:after="0" w:line="77" w:lineRule="exact"/>
        <w:rPr>
          <w:sz w:val="24"/>
          <w:szCs w:val="24"/>
          <w:color w:val="auto"/>
        </w:rPr>
      </w:pPr>
    </w:p>
    <w:p>
      <w:pPr>
        <w:ind w:right="580"/>
        <w:spacing w:after="0" w:line="29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July 20, 2023 was 36,651,156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TABLE OF CONTENTS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6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4640" w:type="dxa"/>
            <w:vAlign w:val="bottom"/>
            <w:gridSpan w:val="10"/>
            <w:vMerge w:val="restart"/>
          </w:tcPr>
          <w:p>
            <w:pPr>
              <w:spacing w:after="0"/>
              <w:rPr>
                <w:sz w:val="20"/>
                <w:szCs w:val="20"/>
                <w:color w:val="auto"/>
              </w:rPr>
            </w:pP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060" w:type="dxa"/>
            <w:vAlign w:val="bottom"/>
            <w:tcBorders>
              <w:bottom w:val="single" w:sz="8" w:color="0000FF"/>
            </w:tcBorders>
            <w:gridSpan w:val="9"/>
            <w:vMerge w:val="continue"/>
          </w:tcPr>
          <w:p>
            <w:pPr>
              <w:spacing w:after="0"/>
              <w:rPr>
                <w:sz w:val="16"/>
                <w:szCs w:val="16"/>
                <w:color w:val="auto"/>
              </w:rPr>
            </w:pPr>
          </w:p>
        </w:tc>
        <w:tc>
          <w:tcPr>
            <w:tcW w:w="4640" w:type="dxa"/>
            <w:vAlign w:val="bottom"/>
            <w:gridSpan w:val="10"/>
            <w:vMerge w:val="continue"/>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Financial Statements (unaudited)</w:t>
            </w:r>
          </w:p>
        </w:tc>
        <w:tc>
          <w:tcPr>
            <w:tcW w:w="4060" w:type="dxa"/>
            <w:vAlign w:val="bottom"/>
            <w:gridSpan w:val="8"/>
          </w:tcPr>
          <w:p>
            <w:pPr>
              <w:spacing w:after="0"/>
              <w:rPr>
                <w:sz w:val="24"/>
                <w:szCs w:val="24"/>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Condensed Consolidated Balance Sheets</w:t>
            </w:r>
          </w:p>
        </w:tc>
        <w:tc>
          <w:tcPr>
            <w:tcW w:w="3500" w:type="dxa"/>
            <w:vAlign w:val="bottom"/>
            <w:gridSpan w:val="7"/>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3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w w:val="93"/>
              </w:rPr>
              <w:t>Condensed Consolidated Statements of Stockholders’ Equity</w:t>
            </w:r>
          </w:p>
        </w:tc>
        <w:tc>
          <w:tcPr>
            <w:tcW w:w="1860" w:type="dxa"/>
            <w:vAlign w:val="bottom"/>
          </w:tcPr>
          <w:p>
            <w:pPr>
              <w:spacing w:after="0"/>
              <w:rPr>
                <w:sz w:val="24"/>
                <w:szCs w:val="24"/>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660" w:type="dxa"/>
            <w:vAlign w:val="bottom"/>
            <w:tcBorders>
              <w:top w:val="single" w:sz="8" w:color="0000FF"/>
            </w:tcBorders>
            <w:gridSpan w:val="4"/>
          </w:tcPr>
          <w:p>
            <w:pPr>
              <w:spacing w:after="0"/>
              <w:rPr>
                <w:sz w:val="22"/>
                <w:szCs w:val="22"/>
                <w:color w:val="auto"/>
              </w:rPr>
            </w:pPr>
          </w:p>
        </w:tc>
        <w:tc>
          <w:tcPr>
            <w:tcW w:w="2060" w:type="dxa"/>
            <w:vAlign w:val="bottom"/>
            <w:gridSpan w:val="2"/>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2440" w:type="dxa"/>
            <w:vAlign w:val="bottom"/>
            <w:gridSpan w:val="5"/>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3"/>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gridSpan w:val="3"/>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4660" w:type="dxa"/>
            <w:vAlign w:val="bottom"/>
            <w:gridSpan w:val="11"/>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7700" w:type="dxa"/>
            <w:vAlign w:val="bottom"/>
            <w:gridSpan w:val="19"/>
          </w:tcPr>
          <w:p>
            <w:pPr>
              <w:spacing w:after="0"/>
              <w:rPr>
                <w:sz w:val="20"/>
                <w:szCs w:val="20"/>
                <w:color w:val="auto"/>
              </w:rPr>
            </w:pPr>
            <w:r>
              <w:rPr>
                <w:rFonts w:ascii="Arial" w:cs="Arial" w:eastAsia="Arial" w:hAnsi="Arial"/>
                <w:sz w:val="18"/>
                <w:szCs w:val="18"/>
                <w:b w:val="1"/>
                <w:bCs w:val="1"/>
                <w:color w:val="0000FF"/>
              </w:rPr>
              <w:t>PART II. OTHER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160" w:type="dxa"/>
            <w:vAlign w:val="bottom"/>
            <w:tcBorders>
              <w:top w:val="single" w:sz="8" w:color="0000FF"/>
            </w:tcBorders>
          </w:tcPr>
          <w:p>
            <w:pPr>
              <w:spacing w:after="0"/>
              <w:rPr>
                <w:sz w:val="22"/>
                <w:szCs w:val="22"/>
                <w:color w:val="auto"/>
              </w:rPr>
            </w:pPr>
          </w:p>
        </w:tc>
        <w:tc>
          <w:tcPr>
            <w:tcW w:w="4940" w:type="dxa"/>
            <w:vAlign w:val="bottom"/>
            <w:gridSpan w:val="12"/>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644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2100" w:type="dxa"/>
            <w:vAlign w:val="bottom"/>
            <w:gridSpan w:val="4"/>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2"/>
          </w:tcPr>
          <w:p>
            <w:pPr>
              <w:spacing w:after="0"/>
              <w:rPr>
                <w:sz w:val="22"/>
                <w:szCs w:val="22"/>
                <w:color w:val="auto"/>
              </w:rPr>
            </w:pPr>
          </w:p>
        </w:tc>
        <w:tc>
          <w:tcPr>
            <w:tcW w:w="4120" w:type="dxa"/>
            <w:vAlign w:val="bottom"/>
            <w:gridSpan w:val="9"/>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5120" w:type="dxa"/>
            <w:vAlign w:val="bottom"/>
            <w:gridSpan w:val="14"/>
          </w:tcPr>
          <w:p>
            <w:pPr>
              <w:spacing w:after="0"/>
              <w:rPr>
                <w:sz w:val="24"/>
                <w:szCs w:val="24"/>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4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1260" w:type="dxa"/>
            <w:vAlign w:val="bottom"/>
            <w:gridSpan w:val="2"/>
          </w:tcPr>
          <w:p>
            <w:pPr>
              <w:spacing w:after="0"/>
              <w:rPr>
                <w:sz w:val="20"/>
                <w:szCs w:val="20"/>
                <w:color w:val="auto"/>
              </w:rPr>
            </w:pPr>
            <w:r>
              <w:rPr>
                <w:rFonts w:ascii="Arial" w:cs="Arial" w:eastAsia="Arial" w:hAnsi="Arial"/>
                <w:sz w:val="18"/>
                <w:szCs w:val="18"/>
                <w:b w:val="1"/>
                <w:bCs w:val="1"/>
                <w:color w:val="0000FF"/>
              </w:rPr>
              <w:t>SIGNATURES</w:t>
            </w:r>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271780</wp:posOffset>
            </wp:positionV>
            <wp:extent cx="325755"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ind w:left="480"/>
              <w:spacing w:after="0"/>
              <w:rPr>
                <w:sz w:val="20"/>
                <w:szCs w:val="20"/>
                <w:color w:val="auto"/>
              </w:rPr>
            </w:pPr>
            <w:r>
              <w:rPr>
                <w:rFonts w:ascii="Arial" w:cs="Arial" w:eastAsia="Arial" w:hAnsi="Arial"/>
                <w:sz w:val="14"/>
                <w:szCs w:val="14"/>
                <w:color w:val="0000FF"/>
                <w:w w:val="90"/>
              </w:rPr>
              <w:t>Table of Contents</w:t>
            </w:r>
          </w:p>
        </w:tc>
        <w:tc>
          <w:tcPr>
            <w:tcW w:w="0" w:type="dxa"/>
            <w:vAlign w:val="bottom"/>
          </w:tcPr>
          <w:p>
            <w:pPr>
              <w:spacing w:after="0"/>
              <w:rPr>
                <w:sz w:val="1"/>
                <w:szCs w:val="1"/>
                <w:color w:val="auto"/>
              </w:rPr>
            </w:pPr>
          </w:p>
        </w:tc>
      </w:tr>
      <w:tr>
        <w:trPr>
          <w:trHeight w:val="628"/>
        </w:trPr>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gridSpan w:val="2"/>
          </w:tcPr>
          <w:p>
            <w:pPr>
              <w:jc w:val="center"/>
              <w:ind w:right="44"/>
              <w:spacing w:after="0"/>
              <w:rPr>
                <w:sz w:val="20"/>
                <w:szCs w:val="20"/>
                <w:color w:val="auto"/>
              </w:rPr>
            </w:pPr>
            <w:r>
              <w:rPr>
                <w:rFonts w:ascii="Arial" w:cs="Arial" w:eastAsia="Arial" w:hAnsi="Arial"/>
                <w:sz w:val="18"/>
                <w:szCs w:val="18"/>
                <w:b w:val="1"/>
                <w:bCs w:val="1"/>
                <w:color w:val="00AAE5"/>
              </w:rPr>
              <w:t>PART I. – FINANCIAL INFORMATION</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color w:val="00AAE5"/>
              </w:rPr>
              <w:t>Item 1. Financial Statements</w:t>
            </w: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gridSpan w:val="2"/>
          </w:tcPr>
          <w:p>
            <w:pPr>
              <w:jc w:val="center"/>
              <w:ind w:right="64"/>
              <w:spacing w:after="0"/>
              <w:rPr>
                <w:sz w:val="20"/>
                <w:szCs w:val="20"/>
                <w:color w:val="auto"/>
              </w:rPr>
            </w:pPr>
            <w:r>
              <w:rPr>
                <w:rFonts w:ascii="Arial" w:cs="Arial" w:eastAsia="Arial" w:hAnsi="Arial"/>
                <w:sz w:val="18"/>
                <w:szCs w:val="18"/>
                <w:b w:val="1"/>
                <w:bCs w:val="1"/>
                <w:color w:val="00AAE5"/>
                <w:w w:val="99"/>
              </w:rPr>
              <w:t>SPS COMMERCE, INC. AND SUBSIDIARIES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700" w:type="dxa"/>
            <w:vAlign w:val="bottom"/>
            <w:gridSpan w:val="2"/>
          </w:tcPr>
          <w:p>
            <w:pPr>
              <w:jc w:val="center"/>
              <w:ind w:right="64"/>
              <w:spacing w:after="0"/>
              <w:rPr>
                <w:sz w:val="20"/>
                <w:szCs w:val="20"/>
                <w:color w:val="auto"/>
              </w:rPr>
            </w:pPr>
            <w:r>
              <w:rPr>
                <w:rFonts w:ascii="Arial" w:cs="Arial" w:eastAsia="Arial" w:hAnsi="Arial"/>
                <w:sz w:val="18"/>
                <w:szCs w:val="18"/>
                <w:b w:val="1"/>
                <w:bCs w:val="1"/>
                <w:color w:val="00AAE5"/>
                <w:w w:val="98"/>
              </w:rPr>
              <w:t>CONDENSED CONSOLIDATED BALANCE SHEETS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20" w:type="dxa"/>
            <w:vAlign w:val="bottom"/>
          </w:tcPr>
          <w:p>
            <w:pPr>
              <w:spacing w:after="0"/>
              <w:rPr>
                <w:sz w:val="24"/>
                <w:szCs w:val="24"/>
                <w:color w:val="auto"/>
              </w:rPr>
            </w:pPr>
          </w:p>
        </w:tc>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w:t>
            </w: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center"/>
              <w:ind w:right="184"/>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3120" w:type="dxa"/>
            <w:vAlign w:val="bottom"/>
            <w:vMerge w:val="continue"/>
          </w:tcPr>
          <w:p>
            <w:pPr>
              <w:spacing w:after="0"/>
              <w:rPr>
                <w:sz w:val="16"/>
                <w:szCs w:val="16"/>
                <w:color w:val="auto"/>
              </w:rPr>
            </w:pPr>
          </w:p>
        </w:tc>
        <w:tc>
          <w:tcPr>
            <w:tcW w:w="4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3704"/>
              <w:spacing w:after="0"/>
              <w:rPr>
                <w:sz w:val="20"/>
                <w:szCs w:val="20"/>
                <w:color w:val="auto"/>
              </w:rPr>
            </w:pPr>
            <w:r>
              <w:rPr>
                <w:rFonts w:ascii="Arial" w:cs="Arial" w:eastAsia="Arial" w:hAnsi="Arial"/>
                <w:sz w:val="14"/>
                <w:szCs w:val="14"/>
                <w:b w:val="1"/>
                <w:bCs w:val="1"/>
                <w:color w:val="auto"/>
              </w:rPr>
              <w:t>ASSETS</w:t>
            </w:r>
          </w:p>
        </w:tc>
        <w:tc>
          <w:tcPr>
            <w:tcW w:w="1360" w:type="dxa"/>
            <w:vAlign w:val="bottom"/>
            <w:shd w:val="clear" w:color="auto" w:fill="CCEEFF"/>
          </w:tcPr>
          <w:p>
            <w:pPr>
              <w:jc w:val="center"/>
              <w:ind w:right="184"/>
              <w:spacing w:after="0"/>
              <w:rPr>
                <w:sz w:val="20"/>
                <w:szCs w:val="20"/>
                <w:color w:val="auto"/>
              </w:rPr>
            </w:pPr>
            <w:r>
              <w:rPr>
                <w:rFonts w:ascii="Arial" w:cs="Arial" w:eastAsia="Arial" w:hAnsi="Arial"/>
                <w:sz w:val="14"/>
                <w:szCs w:val="14"/>
                <w:color w:val="auto"/>
                <w:w w:val="93"/>
              </w:rPr>
              <w:t>(unaudited)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Current assets</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470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209,264</w:t>
            </w:r>
          </w:p>
        </w:tc>
        <w:tc>
          <w:tcPr>
            <w:tcW w:w="34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162,893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Short-term investments</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60,914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51,412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receivable</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42,501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31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Allowance for credit losses</w:t>
            </w:r>
          </w:p>
        </w:tc>
        <w:tc>
          <w:tcPr>
            <w:tcW w:w="4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(3,100)</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(3,066)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Accounts receivable, net</w:t>
            </w:r>
          </w:p>
        </w:tc>
        <w:tc>
          <w:tcPr>
            <w:tcW w:w="4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44,992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rPr>
              <w:t>39,435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Deferred costs</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56,250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52,755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44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13,556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16,319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3120" w:type="dxa"/>
            <w:vAlign w:val="bottom"/>
          </w:tcPr>
          <w:p>
            <w:pPr>
              <w:ind w:left="480"/>
              <w:spacing w:after="0"/>
              <w:rPr>
                <w:sz w:val="20"/>
                <w:szCs w:val="20"/>
                <w:color w:val="auto"/>
              </w:rPr>
            </w:pPr>
            <w:r>
              <w:rPr>
                <w:rFonts w:ascii="Arial" w:cs="Arial" w:eastAsia="Arial" w:hAnsi="Arial"/>
                <w:sz w:val="15"/>
                <w:szCs w:val="15"/>
                <w:color w:val="auto"/>
              </w:rPr>
              <w:t>Total current assets</w:t>
            </w: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384,976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322,814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35,458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7,973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9,170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197,284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Intangible assets, net</w:t>
            </w: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77,633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88,352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Deferred costs, non-current</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19,005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17,424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Deferred income tax assets</w:t>
            </w:r>
          </w:p>
        </w:tc>
        <w:tc>
          <w:tcPr>
            <w:tcW w:w="44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6,676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Other assets, non-current</w:t>
            </w:r>
          </w:p>
        </w:tc>
        <w:tc>
          <w:tcPr>
            <w:tcW w:w="4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2,185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Total assets</w:t>
            </w:r>
          </w:p>
        </w:tc>
        <w:tc>
          <w:tcPr>
            <w:tcW w:w="44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735,538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672,914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20" w:type="dxa"/>
            <w:vAlign w:val="bottom"/>
          </w:tcPr>
          <w:p>
            <w:pPr>
              <w:spacing w:after="0"/>
              <w:rPr>
                <w:sz w:val="14"/>
                <w:szCs w:val="14"/>
                <w:color w:val="auto"/>
              </w:rPr>
            </w:pPr>
          </w:p>
        </w:tc>
        <w:tc>
          <w:tcPr>
            <w:tcW w:w="7540" w:type="dxa"/>
            <w:vAlign w:val="bottom"/>
            <w:gridSpan w:val="2"/>
          </w:tcPr>
          <w:p>
            <w:pPr>
              <w:ind w:left="21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47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6,163</w:t>
            </w:r>
          </w:p>
        </w:tc>
        <w:tc>
          <w:tcPr>
            <w:tcW w:w="34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11,256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compensation</w:t>
            </w:r>
          </w:p>
        </w:tc>
        <w:tc>
          <w:tcPr>
            <w:tcW w:w="44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28,637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30,235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Accrued expenses</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6,714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7,451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revenue</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57,423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312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Operating lease liabilities</w:t>
            </w:r>
          </w:p>
        </w:tc>
        <w:tc>
          <w:tcPr>
            <w:tcW w:w="4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4,277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31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Total current liabilities</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111,968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110,642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Other liabilities</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Deferred revenue, non-current</w:t>
            </w:r>
          </w:p>
        </w:tc>
        <w:tc>
          <w:tcPr>
            <w:tcW w:w="44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5,724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4,771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Operating lease liabilities, non-current</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11,058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13,009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Deferred income tax liabilities</w:t>
            </w:r>
          </w:p>
        </w:tc>
        <w:tc>
          <w:tcPr>
            <w:tcW w:w="44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7,419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3120" w:type="dxa"/>
            <w:vAlign w:val="bottom"/>
            <w:tcBorders>
              <w:bottom w:val="single" w:sz="8" w:color="CCEEFF"/>
            </w:tcBorders>
          </w:tcPr>
          <w:p>
            <w:pPr>
              <w:ind w:left="480"/>
              <w:spacing w:after="0"/>
              <w:rPr>
                <w:sz w:val="20"/>
                <w:szCs w:val="20"/>
                <w:color w:val="auto"/>
              </w:rPr>
            </w:pPr>
            <w:r>
              <w:rPr>
                <w:rFonts w:ascii="Arial" w:cs="Arial" w:eastAsia="Arial" w:hAnsi="Arial"/>
                <w:sz w:val="15"/>
                <w:szCs w:val="15"/>
                <w:color w:val="auto"/>
              </w:rPr>
              <w:t>Total liabilities</w:t>
            </w:r>
          </w:p>
        </w:tc>
        <w:tc>
          <w:tcPr>
            <w:tcW w:w="44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134,557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135,841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44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Stockholders' equity</w:t>
            </w: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782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Preferred stock, $0.001 par value; 5,000,000 shares authorized; 0 shares issued and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7820" w:type="dxa"/>
            <w:vAlign w:val="bottom"/>
            <w:gridSpan w:val="3"/>
          </w:tcPr>
          <w:p>
            <w:pPr>
              <w:ind w:left="160"/>
              <w:spacing w:after="0" w:line="162" w:lineRule="exact"/>
              <w:rPr>
                <w:sz w:val="20"/>
                <w:szCs w:val="20"/>
                <w:color w:val="auto"/>
              </w:rPr>
            </w:pPr>
            <w:r>
              <w:rPr>
                <w:rFonts w:ascii="Arial" w:cs="Arial" w:eastAsia="Arial" w:hAnsi="Arial"/>
                <w:sz w:val="15"/>
                <w:szCs w:val="15"/>
                <w:color w:val="auto"/>
              </w:rPr>
              <w:t>Common stock, $0.001 par value; 110,000,000 shares authorized; 38,797,917 and 38,309,144 shares issued; and</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7820" w:type="dxa"/>
            <w:vAlign w:val="bottom"/>
            <w:gridSpan w:val="3"/>
          </w:tcPr>
          <w:p>
            <w:pPr>
              <w:ind w:left="160"/>
              <w:spacing w:after="0"/>
              <w:rPr>
                <w:sz w:val="20"/>
                <w:szCs w:val="20"/>
                <w:color w:val="auto"/>
              </w:rPr>
            </w:pPr>
            <w:r>
              <w:rPr>
                <w:rFonts w:ascii="Arial" w:cs="Arial" w:eastAsia="Arial" w:hAnsi="Arial"/>
                <w:sz w:val="15"/>
                <w:szCs w:val="15"/>
                <w:color w:val="auto"/>
              </w:rPr>
              <w:t>36,646,819 and 36,158,046 shares outstanding, respectively</w:t>
            </w:r>
          </w:p>
        </w:tc>
        <w:tc>
          <w:tcPr>
            <w:tcW w:w="136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Treasury Stock, at cost; 2,151,098 shares</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(128,892)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Additional paid-in capital</w:t>
            </w: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508,484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476,117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Retained earnings</w:t>
            </w:r>
          </w:p>
        </w:tc>
        <w:tc>
          <w:tcPr>
            <w:tcW w:w="4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223,192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193,221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Accumulated other comprehensive loss</w:t>
            </w:r>
          </w:p>
        </w:tc>
        <w:tc>
          <w:tcPr>
            <w:tcW w:w="4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(3,411)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1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Total stockholders’ equity</w:t>
            </w:r>
          </w:p>
        </w:tc>
        <w:tc>
          <w:tcPr>
            <w:tcW w:w="4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600,981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537,073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3120" w:type="dxa"/>
            <w:vAlign w:val="bottom"/>
          </w:tcPr>
          <w:p>
            <w:pPr>
              <w:ind w:left="660"/>
              <w:spacing w:after="0"/>
              <w:rPr>
                <w:sz w:val="20"/>
                <w:szCs w:val="20"/>
                <w:color w:val="auto"/>
              </w:rPr>
            </w:pPr>
            <w:r>
              <w:rPr>
                <w:rFonts w:ascii="Arial" w:cs="Arial" w:eastAsia="Arial" w:hAnsi="Arial"/>
                <w:sz w:val="15"/>
                <w:szCs w:val="15"/>
                <w:color w:val="auto"/>
                <w:w w:val="94"/>
              </w:rPr>
              <w:t>Total liabilities and stockholders’ equity</w:t>
            </w:r>
          </w:p>
        </w:tc>
        <w:tc>
          <w:tcPr>
            <w:tcW w:w="442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735,538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672,914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gridSpan w:val="2"/>
          </w:tcPr>
          <w:p>
            <w:pPr>
              <w:jc w:val="center"/>
              <w:ind w:right="64"/>
              <w:spacing w:after="0"/>
              <w:rPr>
                <w:sz w:val="20"/>
                <w:szCs w:val="20"/>
                <w:color w:val="auto"/>
              </w:rPr>
            </w:pPr>
            <w:r>
              <w:rPr>
                <w:rFonts w:ascii="Arial" w:cs="Arial" w:eastAsia="Arial" w:hAnsi="Arial"/>
                <w:sz w:val="14"/>
                <w:szCs w:val="14"/>
                <w:color w:val="auto"/>
                <w:w w:val="90"/>
              </w:rPr>
              <w:t>See accompanying notes to these condensed consolidated financial statements.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3120" w:type="dxa"/>
            <w:vAlign w:val="bottom"/>
          </w:tcPr>
          <w:p>
            <w:pPr>
              <w:ind w:left="320"/>
              <w:spacing w:after="0"/>
              <w:rPr>
                <w:sz w:val="20"/>
                <w:szCs w:val="20"/>
                <w:color w:val="auto"/>
              </w:rPr>
            </w:pPr>
            <w:r>
              <w:rPr>
                <w:rFonts w:ascii="Arial" w:cs="Arial" w:eastAsia="Arial" w:hAnsi="Arial"/>
                <w:sz w:val="14"/>
                <w:szCs w:val="14"/>
                <w:b w:val="1"/>
                <w:bCs w:val="1"/>
                <w:color w:val="auto"/>
              </w:rPr>
              <w:t>SPS COMMERCE, INC.</w:t>
            </w:r>
          </w:p>
        </w:tc>
        <w:tc>
          <w:tcPr>
            <w:tcW w:w="4420" w:type="dxa"/>
            <w:vAlign w:val="bottom"/>
          </w:tcPr>
          <w:p>
            <w:pPr>
              <w:jc w:val="right"/>
              <w:ind w:right="2320"/>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3200" w:type="dxa"/>
            <w:vAlign w:val="bottom"/>
            <w:gridSpan w:val="6"/>
          </w:tcPr>
          <w:p>
            <w:pPr>
              <w:ind w:left="160"/>
              <w:spacing w:after="0"/>
              <w:rPr>
                <w:sz w:val="20"/>
                <w:szCs w:val="20"/>
                <w:color w:val="auto"/>
              </w:rPr>
            </w:pPr>
            <w:r>
              <w:rPr>
                <w:rFonts w:ascii="Arial" w:cs="Arial" w:eastAsia="Arial" w:hAnsi="Arial"/>
                <w:sz w:val="11"/>
                <w:szCs w:val="11"/>
                <w:b w:val="1"/>
                <w:bCs w:val="1"/>
                <w:color w:val="auto"/>
              </w:rPr>
              <w:t>Form 10-Q for the Quarterly Period ended June 30, 2023</w:t>
            </w:r>
          </w:p>
        </w:tc>
        <w:tc>
          <w:tcPr>
            <w:tcW w:w="0" w:type="dxa"/>
            <w:vAlign w:val="bottom"/>
          </w:tcPr>
          <w:p>
            <w:pPr>
              <w:spacing w:after="0"/>
              <w:rPr>
                <w:sz w:val="1"/>
                <w:szCs w:val="1"/>
                <w:color w:val="auto"/>
              </w:rPr>
            </w:pPr>
          </w:p>
        </w:tc>
      </w:tr>
      <w:tr>
        <w:trPr>
          <w:trHeight w:val="218"/>
        </w:trPr>
        <w:tc>
          <w:tcPr>
            <w:tcW w:w="220" w:type="dxa"/>
            <w:vAlign w:val="bottom"/>
            <w:tcBorders>
              <w:bottom w:val="single" w:sz="8" w:color="9A9A9A"/>
            </w:tcBorders>
          </w:tcPr>
          <w:p>
            <w:pPr>
              <w:spacing w:after="0"/>
              <w:rPr>
                <w:sz w:val="18"/>
                <w:szCs w:val="18"/>
                <w:color w:val="auto"/>
              </w:rPr>
            </w:pPr>
          </w:p>
        </w:tc>
        <w:tc>
          <w:tcPr>
            <w:tcW w:w="312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32575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COMPREHENSIVE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214,371</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44,544</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87,508</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168,776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141,452</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30,349</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49,237</w:t>
            </w:r>
          </w:p>
        </w:tc>
        <w:tc>
          <w:tcPr>
            <w:tcW w:w="0" w:type="dxa"/>
            <w:vAlign w:val="bottom"/>
          </w:tcPr>
          <w:p>
            <w:pPr>
              <w:spacing w:after="0"/>
              <w:rPr>
                <w:sz w:val="1"/>
                <w:szCs w:val="1"/>
                <w:color w:val="auto"/>
              </w:rPr>
            </w:pPr>
          </w:p>
        </w:tc>
      </w:tr>
      <w:tr>
        <w:trPr>
          <w:trHeight w:val="229"/>
        </w:trPr>
        <w:tc>
          <w:tcPr>
            <w:tcW w:w="516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13,318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25,880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22,133</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0" w:type="dxa"/>
            <w:vAlign w:val="bottom"/>
          </w:tcPr>
          <w:p>
            <w:pPr>
              <w:spacing w:after="0"/>
              <w:rPr>
                <w:sz w:val="1"/>
                <w:szCs w:val="1"/>
                <w:color w:val="auto"/>
              </w:rPr>
            </w:pPr>
          </w:p>
        </w:tc>
      </w:tr>
      <w:tr>
        <w:trPr>
          <w:trHeight w:val="229"/>
        </w:trPr>
        <w:tc>
          <w:tcPr>
            <w:tcW w:w="5160" w:type="dxa"/>
            <w:vAlign w:val="bottom"/>
          </w:tcPr>
          <w:p>
            <w:pPr>
              <w:ind w:left="30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68,839</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135,012</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17,033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33,764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32,478</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18,915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29,971</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0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188"/>
        </w:trPr>
        <w:tc>
          <w:tcPr>
            <w:tcW w:w="5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7"/>
              </w:rPr>
              <w:t>Unrealized gain (loss) on investments, net of tax of $136, $(3),</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$269 and $(4), respectively</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5160" w:type="dxa"/>
            <w:vAlign w:val="bottom"/>
          </w:tcPr>
          <w:p>
            <w:pPr>
              <w:ind w:left="300"/>
              <w:spacing w:after="0" w:line="176" w:lineRule="exact"/>
              <w:rPr>
                <w:sz w:val="20"/>
                <w:szCs w:val="20"/>
                <w:color w:val="auto"/>
              </w:rPr>
            </w:pPr>
            <w:r>
              <w:rPr>
                <w:rFonts w:ascii="Arial" w:cs="Arial" w:eastAsia="Arial" w:hAnsi="Arial"/>
                <w:sz w:val="18"/>
                <w:szCs w:val="18"/>
                <w:color w:val="auto"/>
                <w:w w:val="92"/>
              </w:rPr>
              <w:t>Reclassification of gain on investments into earnings, net of tax of</w:t>
            </w: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160" w:type="dxa"/>
            <w:vAlign w:val="bottom"/>
          </w:tcPr>
          <w:p>
            <w:pPr>
              <w:ind w:left="300"/>
              <w:spacing w:after="0"/>
              <w:rPr>
                <w:sz w:val="20"/>
                <w:szCs w:val="20"/>
                <w:color w:val="auto"/>
              </w:rPr>
            </w:pPr>
            <w:r>
              <w:rPr>
                <w:rFonts w:ascii="Arial" w:cs="Arial" w:eastAsia="Arial" w:hAnsi="Arial"/>
                <w:sz w:val="18"/>
                <w:szCs w:val="18"/>
                <w:color w:val="auto"/>
              </w:rPr>
              <w:t>$(127), $(8), $(252), and $(4), respectively</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 (expense)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6"/>
        </w:trPr>
        <w:tc>
          <w:tcPr>
            <w:tcW w:w="51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16,324</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8,979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31,540</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0.39</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0.80</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w w:val="94"/>
              </w:rPr>
              <w:t>Weighted average common shares used to compute net income per</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share</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36,593</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36,110</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37,426</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36,862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37,327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36,897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304165</wp:posOffset>
            </wp:positionV>
            <wp:extent cx="32575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STOCKHOLDERS’ EQUITY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1820" w:type="dxa"/>
            <w:vAlign w:val="bottom"/>
            <w:gridSpan w:val="4"/>
          </w:tcPr>
          <w:p>
            <w:pPr>
              <w:jc w:val="right"/>
              <w:ind w:right="342"/>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4"/>
          </w:tcPr>
          <w:p>
            <w:pPr>
              <w:jc w:val="right"/>
              <w:ind w:right="537"/>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78"/>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jc w:val="center"/>
              <w:ind w:right="78"/>
              <w:spacing w:after="0" w:line="75" w:lineRule="exact"/>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jc w:val="right"/>
              <w:ind w:right="178"/>
              <w:spacing w:after="0" w:line="75" w:lineRule="exact"/>
              <w:rPr>
                <w:sz w:val="20"/>
                <w:szCs w:val="20"/>
                <w:color w:val="auto"/>
              </w:rPr>
            </w:pPr>
            <w:r>
              <w:rPr>
                <w:rFonts w:ascii="Arial" w:cs="Arial" w:eastAsia="Arial" w:hAnsi="Arial"/>
                <w:sz w:val="8"/>
                <w:szCs w:val="8"/>
                <w:b w:val="1"/>
                <w:bCs w:val="1"/>
                <w:color w:val="auto"/>
              </w:rPr>
              <w:t>Retained</w:t>
            </w:r>
          </w:p>
        </w:tc>
        <w:tc>
          <w:tcPr>
            <w:tcW w:w="80" w:type="dxa"/>
            <w:vAlign w:val="bottom"/>
          </w:tcPr>
          <w:p>
            <w:pPr>
              <w:spacing w:after="0"/>
              <w:rPr>
                <w:sz w:val="6"/>
                <w:szCs w:val="6"/>
                <w:color w:val="auto"/>
              </w:rPr>
            </w:pPr>
          </w:p>
        </w:tc>
        <w:tc>
          <w:tcPr>
            <w:tcW w:w="1180" w:type="dxa"/>
            <w:vAlign w:val="bottom"/>
            <w:gridSpan w:val="2"/>
          </w:tcPr>
          <w:p>
            <w:pPr>
              <w:jc w:val="right"/>
              <w:spacing w:after="0" w:line="75" w:lineRule="exact"/>
              <w:rPr>
                <w:sz w:val="20"/>
                <w:szCs w:val="20"/>
                <w:color w:val="auto"/>
              </w:rPr>
            </w:pPr>
            <w:r>
              <w:rPr>
                <w:rFonts w:ascii="Arial" w:cs="Arial" w:eastAsia="Arial" w:hAnsi="Arial"/>
                <w:sz w:val="8"/>
                <w:szCs w:val="8"/>
                <w:b w:val="1"/>
                <w:bCs w:val="1"/>
                <w:color w:val="auto"/>
              </w:rPr>
              <w:t>Accumulated Other</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jc w:val="center"/>
              <w:ind w:right="38"/>
              <w:spacing w:after="0" w:line="7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 except shares) (unaudited)</w:t>
            </w: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1"/>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March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36,120,518</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38</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1,910,897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442,405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150,690</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491,521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vMerge w:val="continue"/>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8,128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8,128</w:t>
            </w: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60"/>
        </w:trPr>
        <w:tc>
          <w:tcPr>
            <w:tcW w:w="264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33,337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3,203</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(133,652)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133,652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(14,997)</w:t>
            </w:r>
          </w:p>
        </w:tc>
        <w:tc>
          <w:tcPr>
            <w:tcW w:w="0" w:type="dxa"/>
            <w:vAlign w:val="bottom"/>
          </w:tcPr>
          <w:p>
            <w:pPr>
              <w:spacing w:after="0"/>
              <w:rPr>
                <w:sz w:val="1"/>
                <w:szCs w:val="1"/>
                <w:color w:val="auto"/>
              </w:rPr>
            </w:pPr>
          </w:p>
        </w:tc>
      </w:tr>
      <w:tr>
        <w:trPr>
          <w:trHeight w:val="168"/>
        </w:trPr>
        <w:tc>
          <w:tcPr>
            <w:tcW w:w="264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10,753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10,753</w:t>
            </w:r>
          </w:p>
        </w:tc>
        <w:tc>
          <w:tcPr>
            <w:tcW w:w="0" w:type="dxa"/>
            <w:vAlign w:val="bottom"/>
          </w:tcPr>
          <w:p>
            <w:pPr>
              <w:spacing w:after="0"/>
              <w:rPr>
                <w:sz w:val="1"/>
                <w:szCs w:val="1"/>
                <w:color w:val="auto"/>
              </w:rPr>
            </w:pPr>
          </w:p>
        </w:tc>
      </w:tr>
      <w:tr>
        <w:trPr>
          <w:trHeight w:val="177"/>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0" w:type="dxa"/>
            <w:vAlign w:val="bottom"/>
          </w:tcPr>
          <w:p>
            <w:pPr>
              <w:spacing w:after="0"/>
              <w:rPr>
                <w:sz w:val="1"/>
                <w:szCs w:val="1"/>
                <w:color w:val="auto"/>
              </w:rPr>
            </w:pPr>
          </w:p>
        </w:tc>
      </w:tr>
      <w:tr>
        <w:trPr>
          <w:trHeight w:val="168"/>
        </w:trPr>
        <w:tc>
          <w:tcPr>
            <w:tcW w:w="2640" w:type="dxa"/>
            <w:vAlign w:val="bottom"/>
          </w:tcPr>
          <w:p>
            <w:pPr>
              <w:ind w:left="240"/>
              <w:spacing w:after="0"/>
              <w:rPr>
                <w:sz w:val="20"/>
                <w:szCs w:val="20"/>
                <w:color w:val="auto"/>
              </w:rPr>
            </w:pPr>
            <w:r>
              <w:rPr>
                <w:rFonts w:ascii="Arial" w:cs="Arial" w:eastAsia="Arial" w:hAnsi="Arial"/>
                <w:sz w:val="13"/>
                <w:szCs w:val="13"/>
                <w:color w:val="auto"/>
                <w:w w:val="98"/>
              </w:rPr>
              <w:t>Unrealized loss on investments, net of tax</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6"/>
              </w:rPr>
              <w:t>Reclassification of loss on investments into</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20"/>
              <w:spacing w:after="0"/>
              <w:rPr>
                <w:sz w:val="20"/>
                <w:szCs w:val="20"/>
                <w:color w:val="auto"/>
              </w:rPr>
            </w:pPr>
            <w:r>
              <w:rPr>
                <w:rFonts w:ascii="Arial" w:cs="Arial" w:eastAsia="Arial" w:hAnsi="Arial"/>
                <w:sz w:val="13"/>
                <w:szCs w:val="13"/>
                <w:color w:val="auto"/>
              </w:rPr>
              <w:t>Balances, June 30, 2022</w:t>
            </w:r>
          </w:p>
        </w:tc>
        <w:tc>
          <w:tcPr>
            <w:tcW w:w="980" w:type="dxa"/>
            <w:vAlign w:val="bottom"/>
          </w:tcPr>
          <w:p>
            <w:pPr>
              <w:jc w:val="right"/>
              <w:spacing w:after="0"/>
              <w:rPr>
                <w:sz w:val="20"/>
                <w:szCs w:val="20"/>
                <w:color w:val="auto"/>
              </w:rPr>
            </w:pPr>
            <w:r>
              <w:rPr>
                <w:rFonts w:ascii="Arial" w:cs="Arial" w:eastAsia="Arial" w:hAnsi="Arial"/>
                <w:sz w:val="13"/>
                <w:szCs w:val="13"/>
                <w:color w:val="auto"/>
              </w:rPr>
              <w:t>36,029,477</w:t>
            </w:r>
          </w:p>
        </w:tc>
        <w:tc>
          <w:tcPr>
            <w:tcW w:w="840" w:type="dxa"/>
            <w:vAlign w:val="bottom"/>
            <w:gridSpan w:val="3"/>
          </w:tcPr>
          <w:p>
            <w:pPr>
              <w:jc w:val="right"/>
              <w:ind w:right="622"/>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38</w:t>
            </w:r>
          </w:p>
        </w:tc>
        <w:tc>
          <w:tcPr>
            <w:tcW w:w="1060" w:type="dxa"/>
            <w:vAlign w:val="bottom"/>
            <w:gridSpan w:val="3"/>
          </w:tcPr>
          <w:p>
            <w:pPr>
              <w:jc w:val="right"/>
              <w:spacing w:after="0"/>
              <w:rPr>
                <w:sz w:val="20"/>
                <w:szCs w:val="20"/>
                <w:color w:val="auto"/>
              </w:rPr>
            </w:pPr>
            <w:r>
              <w:rPr>
                <w:rFonts w:ascii="Arial" w:cs="Arial" w:eastAsia="Arial" w:hAnsi="Arial"/>
                <w:sz w:val="13"/>
                <w:szCs w:val="13"/>
                <w:color w:val="auto"/>
              </w:rPr>
              <w:t>2,044,549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(115,900)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453,922</w:t>
            </w:r>
          </w:p>
        </w:tc>
        <w:tc>
          <w:tcPr>
            <w:tcW w:w="2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161,443</w:t>
            </w:r>
          </w:p>
        </w:tc>
        <w:tc>
          <w:tcPr>
            <w:tcW w:w="5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(2,483)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497,020</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March 31,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36,532,756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39</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2,151,098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(128,892)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489,716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208,510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565,889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vMerge w:val="continue"/>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12,237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12,237</w:t>
            </w:r>
          </w:p>
        </w:tc>
        <w:tc>
          <w:tcPr>
            <w:tcW w:w="0" w:type="dxa"/>
            <w:vAlign w:val="bottom"/>
          </w:tcPr>
          <w:p>
            <w:pPr>
              <w:spacing w:after="0"/>
              <w:rPr>
                <w:sz w:val="1"/>
                <w:szCs w:val="1"/>
                <w:color w:val="auto"/>
              </w:rPr>
            </w:pPr>
          </w:p>
        </w:tc>
      </w:tr>
      <w:tr>
        <w:trPr>
          <w:trHeight w:val="177"/>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78,387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2,636</w:t>
            </w:r>
          </w:p>
        </w:tc>
        <w:tc>
          <w:tcPr>
            <w:tcW w:w="0" w:type="dxa"/>
            <w:vAlign w:val="bottom"/>
          </w:tcPr>
          <w:p>
            <w:pPr>
              <w:spacing w:after="0"/>
              <w:rPr>
                <w:sz w:val="1"/>
                <w:szCs w:val="1"/>
                <w:color w:val="auto"/>
              </w:rPr>
            </w:pPr>
          </w:p>
        </w:tc>
      </w:tr>
      <w:tr>
        <w:trPr>
          <w:trHeight w:val="168"/>
        </w:trPr>
        <w:tc>
          <w:tcPr>
            <w:tcW w:w="264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35,676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3,895</w:t>
            </w: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14,682</w:t>
            </w:r>
          </w:p>
        </w:tc>
        <w:tc>
          <w:tcPr>
            <w:tcW w:w="0" w:type="dxa"/>
            <w:vAlign w:val="bottom"/>
          </w:tcPr>
          <w:p>
            <w:pPr>
              <w:spacing w:after="0"/>
              <w:rPr>
                <w:sz w:val="1"/>
                <w:szCs w:val="1"/>
                <w:color w:val="auto"/>
              </w:rPr>
            </w:pPr>
          </w:p>
        </w:tc>
      </w:tr>
      <w:tr>
        <w:trPr>
          <w:trHeight w:val="160"/>
        </w:trPr>
        <w:tc>
          <w:tcPr>
            <w:tcW w:w="2640" w:type="dxa"/>
            <w:vAlign w:val="bottom"/>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1,615</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8"/>
              </w:rPr>
              <w:t>Unrealized gain on investments, net of tax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122"/>
        </w:trPr>
        <w:tc>
          <w:tcPr>
            <w:tcW w:w="2640" w:type="dxa"/>
            <w:vAlign w:val="bottom"/>
          </w:tcPr>
          <w:p>
            <w:pPr>
              <w:ind w:left="240"/>
              <w:spacing w:after="0" w:line="122" w:lineRule="exact"/>
              <w:rPr>
                <w:sz w:val="20"/>
                <w:szCs w:val="20"/>
                <w:color w:val="auto"/>
              </w:rPr>
            </w:pPr>
            <w:r>
              <w:rPr>
                <w:rFonts w:ascii="Arial" w:cs="Arial" w:eastAsia="Arial" w:hAnsi="Arial"/>
                <w:sz w:val="13"/>
                <w:szCs w:val="13"/>
                <w:color w:val="auto"/>
                <w:w w:val="95"/>
              </w:rPr>
              <w:t>Reclassification of gain on investments into</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69"/>
        </w:trPr>
        <w:tc>
          <w:tcPr>
            <w:tcW w:w="2640" w:type="dxa"/>
            <w:vAlign w:val="bottom"/>
          </w:tcPr>
          <w:p>
            <w:pPr>
              <w:ind w:left="240"/>
              <w:spacing w:after="0"/>
              <w:rPr>
                <w:sz w:val="20"/>
                <w:szCs w:val="20"/>
                <w:color w:val="auto"/>
              </w:rPr>
            </w:pPr>
            <w:r>
              <w:rPr>
                <w:rFonts w:ascii="Arial" w:cs="Arial" w:eastAsia="Arial" w:hAnsi="Arial"/>
                <w:sz w:val="13"/>
                <w:szCs w:val="13"/>
                <w:color w:val="auto"/>
              </w:rPr>
              <w:t>earnings, net of tax</w:t>
            </w: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June 30,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36,646,819</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39</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2,151,098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(128,892)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508,484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223,192</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600,981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640" w:type="dxa"/>
            <w:vAlign w:val="bottom"/>
          </w:tcPr>
          <w:p>
            <w:pPr>
              <w:spacing w:after="0"/>
              <w:rPr>
                <w:sz w:val="24"/>
                <w:szCs w:val="24"/>
                <w:color w:val="auto"/>
              </w:rPr>
            </w:pPr>
          </w:p>
        </w:tc>
        <w:tc>
          <w:tcPr>
            <w:tcW w:w="1820" w:type="dxa"/>
            <w:vAlign w:val="bottom"/>
            <w:gridSpan w:val="4"/>
          </w:tcPr>
          <w:p>
            <w:pPr>
              <w:jc w:val="right"/>
              <w:ind w:right="342"/>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4"/>
          </w:tcPr>
          <w:p>
            <w:pPr>
              <w:jc w:val="right"/>
              <w:ind w:right="537"/>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ind w:right="78"/>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center"/>
              <w:ind w:right="78"/>
              <w:spacing w:after="0" w:line="9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178"/>
              <w:spacing w:after="0" w:line="95" w:lineRule="exact"/>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4"/>
                <w:szCs w:val="4"/>
                <w:color w:val="auto"/>
              </w:rPr>
            </w:pPr>
          </w:p>
        </w:tc>
        <w:tc>
          <w:tcPr>
            <w:tcW w:w="1180" w:type="dxa"/>
            <w:vAlign w:val="bottom"/>
            <w:gridSpan w:val="2"/>
            <w:vMerge w:val="restart"/>
          </w:tcPr>
          <w:p>
            <w:pPr>
              <w:jc w:val="right"/>
              <w:spacing w:after="0" w:line="95" w:lineRule="exact"/>
              <w:rPr>
                <w:sz w:val="20"/>
                <w:szCs w:val="20"/>
                <w:color w:val="auto"/>
              </w:rPr>
            </w:pPr>
            <w:r>
              <w:rPr>
                <w:rFonts w:ascii="Arial" w:cs="Arial" w:eastAsia="Arial" w:hAnsi="Arial"/>
                <w:sz w:val="10"/>
                <w:szCs w:val="10"/>
                <w:b w:val="1"/>
                <w:bCs w:val="1"/>
                <w:color w:val="auto"/>
              </w:rPr>
              <w:t>Accumulated Other</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center"/>
              <w:ind w:right="3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4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December 31, 2021</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36,009,257</w:t>
            </w:r>
          </w:p>
        </w:tc>
        <w:tc>
          <w:tcPr>
            <w:tcW w:w="840" w:type="dxa"/>
            <w:vAlign w:val="bottom"/>
            <w:gridSpan w:val="3"/>
            <w:shd w:val="clear" w:color="auto" w:fill="CCEEFF"/>
          </w:tcPr>
          <w:p>
            <w:pPr>
              <w:jc w:val="right"/>
              <w:ind w:right="622"/>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38</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1,789,353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433,258</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138,087</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484,259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40" w:type="dxa"/>
            <w:vAlign w:val="bottom"/>
            <w:vMerge w:val="continue"/>
          </w:tcPr>
          <w:p>
            <w:pPr>
              <w:spacing w:after="0"/>
              <w:rPr>
                <w:sz w:val="12"/>
                <w:szCs w:val="12"/>
                <w:color w:val="auto"/>
              </w:rPr>
            </w:pPr>
          </w:p>
        </w:tc>
        <w:tc>
          <w:tcPr>
            <w:tcW w:w="980" w:type="dxa"/>
            <w:vAlign w:val="bottom"/>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16,624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3"/>
                <w:szCs w:val="13"/>
                <w:color w:val="auto"/>
              </w:rPr>
              <w:t>16,624</w:t>
            </w:r>
          </w:p>
        </w:tc>
        <w:tc>
          <w:tcPr>
            <w:tcW w:w="0" w:type="dxa"/>
            <w:vAlign w:val="bottom"/>
          </w:tcPr>
          <w:p>
            <w:pPr>
              <w:spacing w:after="0"/>
              <w:rPr>
                <w:sz w:val="1"/>
                <w:szCs w:val="1"/>
                <w:color w:val="auto"/>
              </w:rPr>
            </w:pPr>
          </w:p>
        </w:tc>
      </w:tr>
      <w:tr>
        <w:trPr>
          <w:trHeight w:val="190"/>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5"/>
              </w:rPr>
              <w:t>Shares issued pursuant to stock awards</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240,381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168"/>
        </w:trPr>
        <w:tc>
          <w:tcPr>
            <w:tcW w:w="264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35,035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3,350</w:t>
            </w: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(255,196)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255,196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(30,223)</w:t>
            </w:r>
          </w:p>
        </w:tc>
        <w:tc>
          <w:tcPr>
            <w:tcW w:w="0" w:type="dxa"/>
            <w:vAlign w:val="bottom"/>
          </w:tcPr>
          <w:p>
            <w:pPr>
              <w:spacing w:after="0"/>
              <w:rPr>
                <w:sz w:val="1"/>
                <w:szCs w:val="1"/>
                <w:color w:val="auto"/>
              </w:rPr>
            </w:pPr>
          </w:p>
        </w:tc>
      </w:tr>
      <w:tr>
        <w:trPr>
          <w:trHeight w:val="160"/>
        </w:trPr>
        <w:tc>
          <w:tcPr>
            <w:tcW w:w="264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23,356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23,356</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0" w:type="dxa"/>
            <w:vAlign w:val="bottom"/>
          </w:tcPr>
          <w:p>
            <w:pPr>
              <w:spacing w:after="0"/>
              <w:rPr>
                <w:sz w:val="1"/>
                <w:szCs w:val="1"/>
                <w:color w:val="auto"/>
              </w:rPr>
            </w:pPr>
          </w:p>
        </w:tc>
      </w:tr>
      <w:tr>
        <w:trPr>
          <w:trHeight w:val="168"/>
        </w:trPr>
        <w:tc>
          <w:tcPr>
            <w:tcW w:w="2640" w:type="dxa"/>
            <w:vAlign w:val="bottom"/>
          </w:tcPr>
          <w:p>
            <w:pPr>
              <w:ind w:left="240"/>
              <w:spacing w:after="0"/>
              <w:rPr>
                <w:sz w:val="20"/>
                <w:szCs w:val="20"/>
                <w:color w:val="auto"/>
              </w:rPr>
            </w:pPr>
            <w:r>
              <w:rPr>
                <w:rFonts w:ascii="Arial" w:cs="Arial" w:eastAsia="Arial" w:hAnsi="Arial"/>
                <w:sz w:val="13"/>
                <w:szCs w:val="13"/>
                <w:color w:val="auto"/>
                <w:w w:val="98"/>
              </w:rPr>
              <w:t>Unrealized loss on investments, net of tax</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ind w:left="240"/>
              <w:spacing w:after="0" w:line="142" w:lineRule="exact"/>
              <w:rPr>
                <w:sz w:val="20"/>
                <w:szCs w:val="20"/>
                <w:color w:val="auto"/>
              </w:rPr>
            </w:pPr>
            <w:r>
              <w:rPr>
                <w:rFonts w:ascii="Arial" w:cs="Arial" w:eastAsia="Arial" w:hAnsi="Arial"/>
                <w:sz w:val="13"/>
                <w:szCs w:val="13"/>
                <w:color w:val="auto"/>
                <w:w w:val="96"/>
              </w:rPr>
              <w:t>Reclassification of loss on investments into</w:t>
            </w:r>
          </w:p>
        </w:tc>
        <w:tc>
          <w:tcPr>
            <w:tcW w:w="9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1"/>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20"/>
              <w:spacing w:after="0"/>
              <w:rPr>
                <w:sz w:val="20"/>
                <w:szCs w:val="20"/>
                <w:color w:val="auto"/>
              </w:rPr>
            </w:pPr>
            <w:r>
              <w:rPr>
                <w:rFonts w:ascii="Arial" w:cs="Arial" w:eastAsia="Arial" w:hAnsi="Arial"/>
                <w:sz w:val="13"/>
                <w:szCs w:val="13"/>
                <w:color w:val="auto"/>
              </w:rPr>
              <w:t>Balances, June 30, 2022</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36,029,477</w:t>
            </w:r>
          </w:p>
        </w:tc>
        <w:tc>
          <w:tcPr>
            <w:tcW w:w="840" w:type="dxa"/>
            <w:vAlign w:val="bottom"/>
            <w:gridSpan w:val="3"/>
          </w:tcPr>
          <w:p>
            <w:pPr>
              <w:jc w:val="right"/>
              <w:ind w:right="622"/>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38</w:t>
            </w:r>
          </w:p>
        </w:tc>
        <w:tc>
          <w:tcPr>
            <w:tcW w:w="1060" w:type="dxa"/>
            <w:vAlign w:val="bottom"/>
            <w:gridSpan w:val="3"/>
          </w:tcPr>
          <w:p>
            <w:pPr>
              <w:jc w:val="right"/>
              <w:spacing w:after="0"/>
              <w:rPr>
                <w:sz w:val="20"/>
                <w:szCs w:val="20"/>
                <w:color w:val="auto"/>
              </w:rPr>
            </w:pPr>
            <w:r>
              <w:rPr>
                <w:rFonts w:ascii="Arial" w:cs="Arial" w:eastAsia="Arial" w:hAnsi="Arial"/>
                <w:sz w:val="13"/>
                <w:szCs w:val="13"/>
                <w:color w:val="auto"/>
              </w:rPr>
              <w:t>2,044,549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(115,900)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453,922</w:t>
            </w:r>
          </w:p>
        </w:tc>
        <w:tc>
          <w:tcPr>
            <w:tcW w:w="2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161,443</w:t>
            </w:r>
          </w:p>
        </w:tc>
        <w:tc>
          <w:tcPr>
            <w:tcW w:w="5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(2,483)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497,020</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December 31, 2022</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36,158,046</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622"/>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38</w:t>
            </w: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2,151,098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(128,892)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476,117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193,221</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537,073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40" w:type="dxa"/>
            <w:vAlign w:val="bottom"/>
            <w:vMerge w:val="continue"/>
          </w:tcPr>
          <w:p>
            <w:pPr>
              <w:spacing w:after="0"/>
              <w:rPr>
                <w:sz w:val="11"/>
                <w:szCs w:val="11"/>
                <w:color w:val="auto"/>
              </w:rPr>
            </w:pPr>
          </w:p>
        </w:tc>
        <w:tc>
          <w:tcPr>
            <w:tcW w:w="980" w:type="dxa"/>
            <w:vAlign w:val="bottom"/>
          </w:tcPr>
          <w:p>
            <w:pPr>
              <w:jc w:val="right"/>
              <w:ind w:right="17"/>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jc w:val="right"/>
              <w:spacing w:after="0" w:line="134"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23,412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color w:val="auto"/>
              </w:rPr>
              <w:t>23,412</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4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5"/>
              </w:rPr>
              <w:t>Shares issued pursuant to stock awards</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450,548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4,819</w:t>
            </w:r>
          </w:p>
        </w:tc>
        <w:tc>
          <w:tcPr>
            <w:tcW w:w="0" w:type="dxa"/>
            <w:vAlign w:val="bottom"/>
          </w:tcPr>
          <w:p>
            <w:pPr>
              <w:spacing w:after="0"/>
              <w:rPr>
                <w:sz w:val="1"/>
                <w:szCs w:val="1"/>
                <w:color w:val="auto"/>
              </w:rPr>
            </w:pPr>
          </w:p>
        </w:tc>
      </w:tr>
      <w:tr>
        <w:trPr>
          <w:trHeight w:val="160"/>
        </w:trPr>
        <w:tc>
          <w:tcPr>
            <w:tcW w:w="264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38,225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4,136</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income</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29,971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29,971</w:t>
            </w:r>
          </w:p>
        </w:tc>
        <w:tc>
          <w:tcPr>
            <w:tcW w:w="0" w:type="dxa"/>
            <w:vAlign w:val="bottom"/>
          </w:tcPr>
          <w:p>
            <w:pPr>
              <w:spacing w:after="0"/>
              <w:rPr>
                <w:sz w:val="1"/>
                <w:szCs w:val="1"/>
                <w:color w:val="auto"/>
              </w:rPr>
            </w:pPr>
          </w:p>
        </w:tc>
      </w:tr>
      <w:tr>
        <w:trPr>
          <w:trHeight w:val="168"/>
        </w:trPr>
        <w:tc>
          <w:tcPr>
            <w:tcW w:w="2640" w:type="dxa"/>
            <w:vAlign w:val="bottom"/>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1,520</w:t>
            </w:r>
          </w:p>
        </w:tc>
        <w:tc>
          <w:tcPr>
            <w:tcW w:w="0" w:type="dxa"/>
            <w:vAlign w:val="bottom"/>
          </w:tcPr>
          <w:p>
            <w:pPr>
              <w:spacing w:after="0"/>
              <w:rPr>
                <w:sz w:val="1"/>
                <w:szCs w:val="1"/>
                <w:color w:val="auto"/>
              </w:rPr>
            </w:pPr>
          </w:p>
        </w:tc>
      </w:tr>
      <w:tr>
        <w:trPr>
          <w:trHeight w:val="177"/>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w w:val="98"/>
              </w:rPr>
              <w:t>Unrealized gain on investments, net of tax</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22"/>
        </w:trPr>
        <w:tc>
          <w:tcPr>
            <w:tcW w:w="2640" w:type="dxa"/>
            <w:vAlign w:val="bottom"/>
          </w:tcPr>
          <w:p>
            <w:pPr>
              <w:ind w:left="240"/>
              <w:spacing w:after="0" w:line="122" w:lineRule="exact"/>
              <w:rPr>
                <w:sz w:val="20"/>
                <w:szCs w:val="20"/>
                <w:color w:val="auto"/>
              </w:rPr>
            </w:pPr>
            <w:r>
              <w:rPr>
                <w:rFonts w:ascii="Arial" w:cs="Arial" w:eastAsia="Arial" w:hAnsi="Arial"/>
                <w:sz w:val="13"/>
                <w:szCs w:val="13"/>
                <w:color w:val="auto"/>
                <w:w w:val="95"/>
              </w:rPr>
              <w:t>Reclassification of gain on investments into</w:t>
            </w:r>
          </w:p>
        </w:tc>
        <w:tc>
          <w:tcPr>
            <w:tcW w:w="9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(757)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69"/>
        </w:trPr>
        <w:tc>
          <w:tcPr>
            <w:tcW w:w="26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earnings, net of tax</w:t>
            </w: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June 30, 2023</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36,646,819</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22"/>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39</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2,151,098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(128,892)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508,484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223,192</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600,981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201295</wp:posOffset>
            </wp:positionV>
            <wp:extent cx="32575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92"/>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9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(unaudited)</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9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29,971</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23,356</w:t>
            </w:r>
          </w:p>
        </w:tc>
      </w:tr>
      <w:tr>
        <w:trPr>
          <w:trHeight w:val="229"/>
        </w:trPr>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79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w:t>
            </w:r>
          </w:p>
        </w:tc>
      </w:tr>
      <w:tr>
        <w:trPr>
          <w:trHeight w:val="23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and equipment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7,330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4,938</w:t>
            </w:r>
          </w:p>
        </w:tc>
      </w:tr>
      <w:tr>
        <w:trPr>
          <w:trHeight w:val="243"/>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24,661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17,676</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796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6"/>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Deferred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(5,095)</w:t>
            </w:r>
          </w:p>
        </w:tc>
      </w:tr>
      <w:tr>
        <w:trPr>
          <w:trHeight w:val="243"/>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and non-current assets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29"/>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r>
      <w:tr>
        <w:trPr>
          <w:trHeight w:val="237"/>
        </w:trPr>
        <w:tc>
          <w:tcPr>
            <w:tcW w:w="79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36"/>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r>
      <w:tr>
        <w:trPr>
          <w:trHeight w:val="230"/>
        </w:trPr>
        <w:tc>
          <w:tcPr>
            <w:tcW w:w="7960" w:type="dxa"/>
            <w:vAlign w:val="bottom"/>
          </w:tcPr>
          <w:p>
            <w:pPr>
              <w:ind w:left="52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3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36,785</w:t>
            </w:r>
          </w:p>
        </w:tc>
      </w:tr>
      <w:tr>
        <w:trPr>
          <w:trHeight w:val="217"/>
        </w:trPr>
        <w:tc>
          <w:tcPr>
            <w:tcW w:w="79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(68,579)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(114,603)</w:t>
            </w:r>
          </w:p>
        </w:tc>
      </w:tr>
      <w:tr>
        <w:trPr>
          <w:trHeight w:val="23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investments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w:t>
            </w:r>
          </w:p>
        </w:tc>
      </w:tr>
      <w:tr>
        <w:trPr>
          <w:trHeight w:val="223"/>
        </w:trPr>
        <w:tc>
          <w:tcPr>
            <w:tcW w:w="79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79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(30,223)</w:t>
            </w:r>
          </w:p>
        </w:tc>
      </w:tr>
      <w:tr>
        <w:trPr>
          <w:trHeight w:val="23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exercise of options to purchase common stock</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proceeds from employee stock purchase plan activity</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r>
      <w:tr>
        <w:trPr>
          <w:trHeight w:val="223"/>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(26,183)</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162,893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207,552</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209,264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212,725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304165</wp:posOffset>
            </wp:positionV>
            <wp:extent cx="325755" cy="299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117" w:lineRule="exact"/>
        <w:rPr>
          <w:sz w:val="20"/>
          <w:szCs w:val="20"/>
          <w:color w:val="auto"/>
        </w:rPr>
      </w:pPr>
    </w:p>
    <w:p>
      <w:pPr>
        <w:jc w:val="both"/>
        <w:ind w:right="340" w:firstLine="648"/>
        <w:spacing w:after="0" w:line="279" w:lineRule="auto"/>
        <w:rPr>
          <w:sz w:val="20"/>
          <w:szCs w:val="20"/>
          <w:color w:val="auto"/>
        </w:rPr>
      </w:pPr>
      <w:r>
        <w:rPr>
          <w:rFonts w:ascii="Arial" w:cs="Arial" w:eastAsia="Arial" w:hAnsi="Arial"/>
          <w:sz w:val="17"/>
          <w:szCs w:val="17"/>
          <w:color w:val="auto"/>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spacing w:after="0" w:line="6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products enable customers to increase supply chain performance, optimize inventory levels and sell-through, reduce operational costs, improve order visibility, and satisfy consumer demands for a seamless omnichannel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w:t>
      </w:r>
    </w:p>
    <w:p>
      <w:pPr>
        <w:spacing w:after="0" w:line="7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2022, as filed with the Securities and Exchange Commission (“SEC”). We have included all normal recurring adjustments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six months ended June 30, 2023. See Note A to the consolidated financial statements included in our Annual Report on Form 10-K for the year ended December 31, 2022, as filed with the SEC, for additional information regarding our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Accounting Pronouncements Recently Adopted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Standard</w:t>
            </w: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rPr>
              <w:t>Date of Issuance</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40" w:type="dxa"/>
            <w:vAlign w:val="bottom"/>
          </w:tcPr>
          <w:p>
            <w:pPr>
              <w:jc w:val="center"/>
              <w:ind w:left="79"/>
              <w:spacing w:after="0"/>
              <w:rPr>
                <w:sz w:val="20"/>
                <w:szCs w:val="20"/>
                <w:color w:val="auto"/>
              </w:rPr>
            </w:pPr>
            <w:r>
              <w:rPr>
                <w:rFonts w:ascii="Arial" w:cs="Arial" w:eastAsia="Arial" w:hAnsi="Arial"/>
                <w:sz w:val="14"/>
                <w:szCs w:val="14"/>
                <w:b w:val="1"/>
                <w:bCs w:val="1"/>
                <w:color w:val="auto"/>
                <w:w w:val="92"/>
              </w:rPr>
              <w:t>Date of Adoption</w:t>
            </w:r>
          </w:p>
        </w:tc>
        <w:tc>
          <w:tcPr>
            <w:tcW w:w="2640" w:type="dxa"/>
            <w:vAlign w:val="bottom"/>
          </w:tcPr>
          <w:p>
            <w:pPr>
              <w:jc w:val="center"/>
              <w:ind w:left="137"/>
              <w:spacing w:after="0"/>
              <w:rPr>
                <w:sz w:val="20"/>
                <w:szCs w:val="20"/>
                <w:color w:val="auto"/>
              </w:rPr>
            </w:pPr>
            <w:r>
              <w:rPr>
                <w:rFonts w:ascii="Arial" w:cs="Arial" w:eastAsia="Arial" w:hAnsi="Arial"/>
                <w:sz w:val="14"/>
                <w:szCs w:val="14"/>
                <w:b w:val="1"/>
                <w:bCs w:val="1"/>
                <w:color w:val="auto"/>
                <w:w w:val="91"/>
              </w:rPr>
              <w:t>Effect on the Financial Statements</w:t>
            </w:r>
          </w:p>
        </w:tc>
        <w:tc>
          <w:tcPr>
            <w:tcW w:w="0" w:type="dxa"/>
            <w:vAlign w:val="bottom"/>
          </w:tcPr>
          <w:p>
            <w:pPr>
              <w:spacing w:after="0"/>
              <w:rPr>
                <w:sz w:val="1"/>
                <w:szCs w:val="1"/>
                <w:color w:val="auto"/>
              </w:rPr>
            </w:pPr>
          </w:p>
        </w:tc>
      </w:tr>
      <w:tr>
        <w:trPr>
          <w:trHeight w:val="25"/>
        </w:trPr>
        <w:tc>
          <w:tcPr>
            <w:tcW w:w="2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b w:val="1"/>
                <w:bCs w:val="1"/>
                <w:color w:val="auto"/>
                <w:w w:val="90"/>
              </w:rPr>
              <w:t xml:space="preserve">ASU 2021-08, </w:t>
            </w:r>
            <w:r>
              <w:rPr>
                <w:rFonts w:ascii="Arial" w:cs="Arial" w:eastAsia="Arial" w:hAnsi="Arial"/>
                <w:sz w:val="18"/>
                <w:szCs w:val="18"/>
                <w:color w:val="auto"/>
                <w:w w:val="90"/>
              </w:rPr>
              <w:t>Business</w:t>
            </w:r>
          </w:p>
        </w:tc>
        <w:tc>
          <w:tcPr>
            <w:tcW w:w="130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October 2021</w:t>
            </w:r>
          </w:p>
        </w:tc>
        <w:tc>
          <w:tcPr>
            <w:tcW w:w="35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This amendment requires that an acquirer</w:t>
            </w:r>
          </w:p>
        </w:tc>
        <w:tc>
          <w:tcPr>
            <w:tcW w:w="1240" w:type="dxa"/>
            <w:vAlign w:val="bottom"/>
            <w:shd w:val="clear" w:color="auto" w:fill="CCEEFF"/>
          </w:tcPr>
          <w:p>
            <w:pPr>
              <w:jc w:val="center"/>
              <w:ind w:left="79"/>
              <w:spacing w:after="0" w:line="182" w:lineRule="exact"/>
              <w:rPr>
                <w:sz w:val="20"/>
                <w:szCs w:val="20"/>
                <w:color w:val="auto"/>
              </w:rPr>
            </w:pPr>
            <w:r>
              <w:rPr>
                <w:rFonts w:ascii="Arial" w:cs="Arial" w:eastAsia="Arial" w:hAnsi="Arial"/>
                <w:sz w:val="18"/>
                <w:szCs w:val="18"/>
                <w:color w:val="auto"/>
                <w:w w:val="87"/>
              </w:rPr>
              <w:t>January 2023</w:t>
            </w:r>
          </w:p>
        </w:tc>
        <w:tc>
          <w:tcPr>
            <w:tcW w:w="2640" w:type="dxa"/>
            <w:vAlign w:val="bottom"/>
            <w:shd w:val="clear" w:color="auto" w:fill="CCEEFF"/>
          </w:tcPr>
          <w:p>
            <w:pPr>
              <w:jc w:val="center"/>
              <w:ind w:left="137"/>
              <w:spacing w:after="0" w:line="182" w:lineRule="exact"/>
              <w:rPr>
                <w:sz w:val="20"/>
                <w:szCs w:val="20"/>
                <w:color w:val="auto"/>
              </w:rPr>
            </w:pPr>
            <w:r>
              <w:rPr>
                <w:rFonts w:ascii="Arial" w:cs="Arial" w:eastAsia="Arial" w:hAnsi="Arial"/>
                <w:sz w:val="18"/>
                <w:szCs w:val="18"/>
                <w:color w:val="auto"/>
                <w:w w:val="90"/>
              </w:rPr>
              <w:t>The adoption of this standard</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Combinations (Topic 805) -</w:t>
            </w:r>
          </w:p>
        </w:tc>
        <w:tc>
          <w:tcPr>
            <w:tcW w:w="1300" w:type="dxa"/>
            <w:vAlign w:val="bottom"/>
            <w:shd w:val="clear" w:color="auto" w:fill="CCEEFF"/>
          </w:tcPr>
          <w:p>
            <w:pPr>
              <w:spacing w:after="0"/>
              <w:rPr>
                <w:sz w:val="17"/>
                <w:szCs w:val="17"/>
                <w:color w:val="auto"/>
              </w:rPr>
            </w:pPr>
          </w:p>
        </w:tc>
        <w:tc>
          <w:tcPr>
            <w:tcW w:w="3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recognize and measure contract assets and</w:t>
            </w:r>
          </w:p>
        </w:tc>
        <w:tc>
          <w:tcPr>
            <w:tcW w:w="124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137"/>
              <w:spacing w:after="0" w:line="202" w:lineRule="exact"/>
              <w:rPr>
                <w:sz w:val="20"/>
                <w:szCs w:val="20"/>
                <w:color w:val="auto"/>
              </w:rPr>
            </w:pPr>
            <w:r>
              <w:rPr>
                <w:rFonts w:ascii="Arial" w:cs="Arial" w:eastAsia="Arial" w:hAnsi="Arial"/>
                <w:sz w:val="18"/>
                <w:szCs w:val="18"/>
                <w:color w:val="auto"/>
                <w:w w:val="90"/>
              </w:rPr>
              <w:t>may have a material impact on</w:t>
            </w:r>
          </w:p>
        </w:tc>
        <w:tc>
          <w:tcPr>
            <w:tcW w:w="0" w:type="dxa"/>
            <w:vAlign w:val="bottom"/>
          </w:tcPr>
          <w:p>
            <w:pPr>
              <w:spacing w:after="0"/>
              <w:rPr>
                <w:sz w:val="1"/>
                <w:szCs w:val="1"/>
                <w:color w:val="auto"/>
              </w:rPr>
            </w:pPr>
          </w:p>
        </w:tc>
      </w:tr>
      <w:tr>
        <w:trPr>
          <w:trHeight w:val="148"/>
        </w:trPr>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Accounting for Contract Assets</w:t>
            </w:r>
          </w:p>
        </w:tc>
        <w:tc>
          <w:tcPr>
            <w:tcW w:w="1300" w:type="dxa"/>
            <w:vAlign w:val="bottom"/>
            <w:shd w:val="clear" w:color="auto" w:fill="CCEEFF"/>
          </w:tcPr>
          <w:p>
            <w:pPr>
              <w:spacing w:after="0"/>
              <w:rPr>
                <w:sz w:val="12"/>
                <w:szCs w:val="12"/>
                <w:color w:val="auto"/>
              </w:rPr>
            </w:pPr>
          </w:p>
        </w:tc>
        <w:tc>
          <w:tcPr>
            <w:tcW w:w="3560" w:type="dxa"/>
            <w:vAlign w:val="bottom"/>
            <w:shd w:val="clear" w:color="auto" w:fill="CCEEFF"/>
          </w:tcPr>
          <w:p>
            <w:pPr>
              <w:jc w:val="center"/>
              <w:spacing w:after="0" w:line="148" w:lineRule="exact"/>
              <w:rPr>
                <w:sz w:val="20"/>
                <w:szCs w:val="20"/>
                <w:color w:val="auto"/>
              </w:rPr>
            </w:pPr>
            <w:r>
              <w:rPr>
                <w:rFonts w:ascii="Arial" w:cs="Arial" w:eastAsia="Arial" w:hAnsi="Arial"/>
                <w:sz w:val="17"/>
                <w:szCs w:val="17"/>
                <w:color w:val="auto"/>
                <w:w w:val="96"/>
              </w:rPr>
              <w:t>contract liabilities acquired in a business</w:t>
            </w:r>
          </w:p>
        </w:tc>
        <w:tc>
          <w:tcPr>
            <w:tcW w:w="1240" w:type="dxa"/>
            <w:vAlign w:val="bottom"/>
            <w:shd w:val="clear" w:color="auto" w:fill="CCEEFF"/>
          </w:tcPr>
          <w:p>
            <w:pPr>
              <w:spacing w:after="0"/>
              <w:rPr>
                <w:sz w:val="12"/>
                <w:szCs w:val="12"/>
                <w:color w:val="auto"/>
              </w:rPr>
            </w:pPr>
          </w:p>
        </w:tc>
        <w:tc>
          <w:tcPr>
            <w:tcW w:w="2640" w:type="dxa"/>
            <w:vAlign w:val="bottom"/>
            <w:shd w:val="clear" w:color="auto" w:fill="CCEEFF"/>
          </w:tcPr>
          <w:p>
            <w:pPr>
              <w:jc w:val="center"/>
              <w:ind w:left="137"/>
              <w:spacing w:after="0" w:line="148" w:lineRule="exact"/>
              <w:rPr>
                <w:sz w:val="20"/>
                <w:szCs w:val="20"/>
                <w:color w:val="auto"/>
              </w:rPr>
            </w:pPr>
            <w:r>
              <w:rPr>
                <w:rFonts w:ascii="Arial" w:cs="Arial" w:eastAsia="Arial" w:hAnsi="Arial"/>
                <w:sz w:val="17"/>
                <w:szCs w:val="17"/>
                <w:color w:val="auto"/>
                <w:w w:val="94"/>
              </w:rPr>
              <w:t>the purchase accounting for</w:t>
            </w:r>
          </w:p>
        </w:tc>
        <w:tc>
          <w:tcPr>
            <w:tcW w:w="0" w:type="dxa"/>
            <w:vAlign w:val="bottom"/>
          </w:tcPr>
          <w:p>
            <w:pPr>
              <w:spacing w:after="0"/>
              <w:rPr>
                <w:sz w:val="1"/>
                <w:szCs w:val="1"/>
                <w:color w:val="auto"/>
              </w:rPr>
            </w:pPr>
          </w:p>
        </w:tc>
      </w:tr>
      <w:tr>
        <w:trPr>
          <w:trHeight w:val="95"/>
        </w:trPr>
        <w:tc>
          <w:tcPr>
            <w:tcW w:w="2500" w:type="dxa"/>
            <w:vAlign w:val="bottom"/>
            <w:vMerge w:val="continue"/>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356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combination in accordance with Topic 606,</w:t>
            </w:r>
          </w:p>
        </w:tc>
        <w:tc>
          <w:tcPr>
            <w:tcW w:w="1240" w:type="dxa"/>
            <w:vAlign w:val="bottom"/>
            <w:shd w:val="clear" w:color="auto" w:fill="CCEEFF"/>
          </w:tcPr>
          <w:p>
            <w:pPr>
              <w:spacing w:after="0"/>
              <w:rPr>
                <w:sz w:val="8"/>
                <w:szCs w:val="8"/>
                <w:color w:val="auto"/>
              </w:rPr>
            </w:pPr>
          </w:p>
        </w:tc>
        <w:tc>
          <w:tcPr>
            <w:tcW w:w="2640" w:type="dxa"/>
            <w:vAlign w:val="bottom"/>
            <w:vMerge w:val="restart"/>
            <w:shd w:val="clear" w:color="auto" w:fill="CCEEFF"/>
          </w:tcPr>
          <w:p>
            <w:pPr>
              <w:jc w:val="center"/>
              <w:ind w:left="137"/>
              <w:spacing w:after="0" w:line="176" w:lineRule="exact"/>
              <w:rPr>
                <w:sz w:val="20"/>
                <w:szCs w:val="20"/>
                <w:color w:val="auto"/>
              </w:rPr>
            </w:pPr>
            <w:r>
              <w:rPr>
                <w:rFonts w:ascii="Arial" w:cs="Arial" w:eastAsia="Arial" w:hAnsi="Arial"/>
                <w:sz w:val="18"/>
                <w:szCs w:val="18"/>
                <w:color w:val="auto"/>
                <w:w w:val="90"/>
              </w:rPr>
              <w:t>future business combinations</w:t>
            </w:r>
          </w:p>
        </w:tc>
        <w:tc>
          <w:tcPr>
            <w:tcW w:w="0" w:type="dxa"/>
            <w:vAlign w:val="bottom"/>
          </w:tcPr>
          <w:p>
            <w:pPr>
              <w:spacing w:after="0"/>
              <w:rPr>
                <w:sz w:val="1"/>
                <w:szCs w:val="1"/>
                <w:color w:val="auto"/>
              </w:rPr>
            </w:pPr>
          </w:p>
        </w:tc>
      </w:tr>
      <w:tr>
        <w:trPr>
          <w:trHeight w:val="82"/>
        </w:trPr>
        <w:tc>
          <w:tcPr>
            <w:tcW w:w="2500" w:type="dxa"/>
            <w:vAlign w:val="bottom"/>
            <w:vMerge w:val="restart"/>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and Contract Liabilities from</w:t>
            </w:r>
          </w:p>
        </w:tc>
        <w:tc>
          <w:tcPr>
            <w:tcW w:w="1300" w:type="dxa"/>
            <w:vAlign w:val="bottom"/>
            <w:shd w:val="clear" w:color="auto" w:fill="CCEEFF"/>
          </w:tcPr>
          <w:p>
            <w:pPr>
              <w:spacing w:after="0"/>
              <w:rPr>
                <w:sz w:val="7"/>
                <w:szCs w:val="7"/>
                <w:color w:val="auto"/>
              </w:rPr>
            </w:pPr>
          </w:p>
        </w:tc>
        <w:tc>
          <w:tcPr>
            <w:tcW w:w="356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6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500" w:type="dxa"/>
            <w:vAlign w:val="bottom"/>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356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effective for all business combinations in the</w:t>
            </w:r>
          </w:p>
        </w:tc>
        <w:tc>
          <w:tcPr>
            <w:tcW w:w="1240" w:type="dxa"/>
            <w:vAlign w:val="bottom"/>
            <w:shd w:val="clear" w:color="auto" w:fill="CCEEFF"/>
          </w:tcPr>
          <w:p>
            <w:pPr>
              <w:spacing w:after="0"/>
              <w:rPr>
                <w:sz w:val="10"/>
                <w:szCs w:val="10"/>
                <w:color w:val="auto"/>
              </w:rPr>
            </w:pPr>
          </w:p>
        </w:tc>
        <w:tc>
          <w:tcPr>
            <w:tcW w:w="2640" w:type="dxa"/>
            <w:vAlign w:val="bottom"/>
            <w:vMerge w:val="restart"/>
            <w:shd w:val="clear" w:color="auto" w:fill="CCEEFF"/>
          </w:tcPr>
          <w:p>
            <w:pPr>
              <w:jc w:val="center"/>
              <w:ind w:left="137"/>
              <w:spacing w:after="0" w:line="176" w:lineRule="exact"/>
              <w:rPr>
                <w:sz w:val="20"/>
                <w:szCs w:val="20"/>
                <w:color w:val="auto"/>
              </w:rPr>
            </w:pPr>
            <w:r>
              <w:rPr>
                <w:rFonts w:ascii="Arial" w:cs="Arial" w:eastAsia="Arial" w:hAnsi="Arial"/>
                <w:sz w:val="18"/>
                <w:szCs w:val="18"/>
                <w:color w:val="auto"/>
                <w:w w:val="91"/>
              </w:rPr>
              <w:t>depending on the specific</w:t>
            </w:r>
          </w:p>
        </w:tc>
        <w:tc>
          <w:tcPr>
            <w:tcW w:w="0" w:type="dxa"/>
            <w:vAlign w:val="bottom"/>
          </w:tcPr>
          <w:p>
            <w:pPr>
              <w:spacing w:after="0"/>
              <w:rPr>
                <w:sz w:val="1"/>
                <w:szCs w:val="1"/>
                <w:color w:val="auto"/>
              </w:rPr>
            </w:pPr>
          </w:p>
        </w:tc>
      </w:tr>
      <w:tr>
        <w:trPr>
          <w:trHeight w:val="55"/>
        </w:trPr>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Contracts with Customers</w:t>
            </w:r>
          </w:p>
        </w:tc>
        <w:tc>
          <w:tcPr>
            <w:tcW w:w="1300" w:type="dxa"/>
            <w:vAlign w:val="bottom"/>
            <w:shd w:val="clear" w:color="auto" w:fill="CCEEFF"/>
          </w:tcPr>
          <w:p>
            <w:pPr>
              <w:spacing w:after="0"/>
              <w:rPr>
                <w:sz w:val="4"/>
                <w:szCs w:val="4"/>
                <w:color w:val="auto"/>
              </w:rPr>
            </w:pPr>
          </w:p>
        </w:tc>
        <w:tc>
          <w:tcPr>
            <w:tcW w:w="3560" w:type="dxa"/>
            <w:vAlign w:val="bottom"/>
            <w:vMerge w:val="continue"/>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6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500" w:type="dxa"/>
            <w:vAlign w:val="bottom"/>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year of adoption and thereafter.</w:t>
            </w:r>
          </w:p>
        </w:tc>
        <w:tc>
          <w:tcPr>
            <w:tcW w:w="1240" w:type="dxa"/>
            <w:vAlign w:val="bottom"/>
            <w:shd w:val="clear" w:color="auto" w:fill="CCEEFF"/>
          </w:tcPr>
          <w:p>
            <w:pPr>
              <w:spacing w:after="0"/>
              <w:rPr>
                <w:sz w:val="16"/>
                <w:szCs w:val="16"/>
                <w:color w:val="auto"/>
              </w:rPr>
            </w:pPr>
          </w:p>
        </w:tc>
        <w:tc>
          <w:tcPr>
            <w:tcW w:w="2640" w:type="dxa"/>
            <w:vAlign w:val="bottom"/>
            <w:shd w:val="clear" w:color="auto" w:fill="CCEEFF"/>
          </w:tcPr>
          <w:p>
            <w:pPr>
              <w:jc w:val="center"/>
              <w:ind w:left="137"/>
              <w:spacing w:after="0" w:line="189" w:lineRule="exact"/>
              <w:rPr>
                <w:sz w:val="20"/>
                <w:szCs w:val="20"/>
                <w:color w:val="auto"/>
              </w:rPr>
            </w:pPr>
            <w:r>
              <w:rPr>
                <w:rFonts w:ascii="Arial" w:cs="Arial" w:eastAsia="Arial" w:hAnsi="Arial"/>
                <w:sz w:val="18"/>
                <w:szCs w:val="18"/>
                <w:color w:val="auto"/>
                <w:w w:val="88"/>
              </w:rPr>
              <w:t>amount of contract assets and</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4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92"/>
              </w:rPr>
              <w:t>liabilities being acquired.</w:t>
            </w:r>
          </w:p>
        </w:tc>
        <w:tc>
          <w:tcPr>
            <w:tcW w:w="0" w:type="dxa"/>
            <w:vAlign w:val="bottom"/>
          </w:tcPr>
          <w:p>
            <w:pPr>
              <w:spacing w:after="0"/>
              <w:rPr>
                <w:sz w:val="1"/>
                <w:szCs w:val="1"/>
                <w:color w:val="auto"/>
              </w:rPr>
            </w:pPr>
          </w:p>
        </w:tc>
      </w:tr>
      <w:tr>
        <w:trPr>
          <w:trHeight w:val="788"/>
        </w:trPr>
        <w:tc>
          <w:tcPr>
            <w:tcW w:w="2500" w:type="dxa"/>
            <w:vAlign w:val="bottom"/>
          </w:tcPr>
          <w:p>
            <w:pPr>
              <w:ind w:left="540"/>
              <w:spacing w:after="0"/>
              <w:rPr>
                <w:sz w:val="20"/>
                <w:szCs w:val="20"/>
                <w:color w:val="auto"/>
              </w:rPr>
            </w:pPr>
            <w:r>
              <w:rPr>
                <w:rFonts w:ascii="Arial" w:cs="Arial" w:eastAsia="Arial" w:hAnsi="Arial"/>
                <w:sz w:val="14"/>
                <w:szCs w:val="14"/>
                <w:b w:val="1"/>
                <w:bCs w:val="1"/>
                <w:color w:val="auto"/>
              </w:rPr>
              <w:t>SPS COMMERCE, INC.</w:t>
            </w:r>
          </w:p>
        </w:tc>
        <w:tc>
          <w:tcPr>
            <w:tcW w:w="1300" w:type="dxa"/>
            <w:vAlign w:val="bottom"/>
          </w:tcPr>
          <w:p>
            <w:pPr>
              <w:spacing w:after="0"/>
              <w:rPr>
                <w:sz w:val="24"/>
                <w:szCs w:val="24"/>
                <w:color w:val="auto"/>
              </w:rPr>
            </w:pPr>
          </w:p>
        </w:tc>
        <w:tc>
          <w:tcPr>
            <w:tcW w:w="3560" w:type="dxa"/>
            <w:vAlign w:val="bottom"/>
          </w:tcPr>
          <w:p>
            <w:pPr>
              <w:jc w:val="right"/>
              <w:ind w:right="1715"/>
              <w:spacing w:after="0"/>
              <w:rPr>
                <w:sz w:val="20"/>
                <w:szCs w:val="20"/>
                <w:color w:val="auto"/>
              </w:rPr>
            </w:pPr>
            <w:r>
              <w:rPr>
                <w:rFonts w:ascii="Arial" w:cs="Arial" w:eastAsia="Arial" w:hAnsi="Arial"/>
                <w:sz w:val="14"/>
                <w:szCs w:val="14"/>
                <w:color w:val="auto"/>
              </w:rPr>
              <w:t>7</w:t>
            </w:r>
          </w:p>
        </w:tc>
        <w:tc>
          <w:tcPr>
            <w:tcW w:w="12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1"/>
                <w:szCs w:val="11"/>
                <w:b w:val="1"/>
                <w:bCs w:val="1"/>
                <w:color w:val="auto"/>
                <w:w w:val="89"/>
              </w:rPr>
              <w:t>Form 10-Q for the Quarterly Period ended June 30, 2023</w:t>
            </w:r>
          </w:p>
        </w:tc>
        <w:tc>
          <w:tcPr>
            <w:tcW w:w="0" w:type="dxa"/>
            <w:vAlign w:val="bottom"/>
          </w:tcPr>
          <w:p>
            <w:pPr>
              <w:spacing w:after="0"/>
              <w:rPr>
                <w:sz w:val="1"/>
                <w:szCs w:val="1"/>
                <w:color w:val="auto"/>
              </w:rPr>
            </w:pPr>
          </w:p>
        </w:tc>
      </w:tr>
      <w:tr>
        <w:trPr>
          <w:trHeight w:val="231"/>
        </w:trPr>
        <w:tc>
          <w:tcPr>
            <w:tcW w:w="250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356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26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-522605</wp:posOffset>
            </wp:positionV>
            <wp:extent cx="32575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B – Business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GCommerce</w:t>
      </w:r>
    </w:p>
    <w:p>
      <w:pPr>
        <w:spacing w:after="0" w:line="12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Effective July 19, 2022, we acquired all of the outstanding equity ownership interests of GCommerce, Inc. ("GCommerce"), a leading EDI provider within the automotive aftermarket industry. Pursuant to the definitive agreement, the purchase price was $45.1 million, including post-closing adjustments. During the quarter ended March 31, 2023, provisional amounts were adjusted by $1.6 million, primarily relating to a $1.5 million decrease in the estimated value of deferred income tax assets, with the corresponding offset to goodwill. During the quarter ending June 30, 2023, there were no significant adjustments made to provisional amounts. The purchase accounting for the acquisition has been finalized as of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InterTrade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October 4, 2022, we acquired all of the outstanding equity ownership interests of Canadian based InterTrade Systems Inc. ("InterTrade"),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leading EDI provider within the apparel and general merchandising markets. Pursuant to the definitive agreement, the purchase price was $49.1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estimated post-closing adjustments. The purchase accounting for the acquisition has not been finalized as of June 30, 2023 due to various items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valuation modeling completion; provisional amounts are primarily related to intangible assets. We expect to finalize the allocation of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within the one-year measurement period following the acquisition. During the quarter ended June 30, 2023, provisional amounts were adjusted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million, primarily relating to a $3.9 million decrease in estimated value of intangible assets and the corresponding $1.0 million change to the deferred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position, with the offsets to goodwill.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TIE Kinetix</w:t>
      </w:r>
    </w:p>
    <w:p>
      <w:pPr>
        <w:spacing w:after="0" w:line="22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July 26, 2023, we entered into a purchase agreement with TIE Kinetix N.V. ("TIE Kinetix"), a leading provider of supply chain digitalization including EDI and e-invoicing in Europe, to acquire the business and operations of TIE Kinetix by purchasing the equity of its wholly owned operating subsidiary. The purchase price is €64.5 million ($71.4 million at the July 26, 2023 exchange rate), net of cash acquired. The transaction is subject to customary closing conditions and is expected to close during the quarter ending September 30, 2023, upon the approval of the shareholders of TIE Kinetix.</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Revenue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derive our revenues from the following revenue streams: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Fulfillment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105,500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87,887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207,169</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172,618</w:t>
            </w: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Analytics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r>
      <w:tr>
        <w:trPr>
          <w:trHeight w:val="243"/>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198,730</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One-time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w:t>
            </w:r>
          </w:p>
        </w:tc>
      </w:tr>
      <w:tr>
        <w:trPr>
          <w:trHeight w:val="25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256,284</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214,371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are the amount that reflects the consideration we are contractually and legally entitled to, as well as the amount we expect to collect, in exchange for those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271780</wp:posOffset>
            </wp:positionV>
            <wp:extent cx="325755"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generally ranging from monthly to annual, and generally allow the customer to cancel the contract for any reason with 30 to 90 days’ notice. Timing of billings varies by customer and by contract type and generally are either in advance or within 30 days of the service being performed.</w:t>
      </w:r>
    </w:p>
    <w:p>
      <w:pPr>
        <w:spacing w:after="0" w:line="8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Given that the recurring revenue contracts are for one year or less, we have applied the optional exemption to not disclose information about the remaining performance obligations for recurring revenue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One-time revenues consist of set-up fees and miscellaneous fees from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1F282C"/>
        </w:rPr>
        <w:t>Set-up revenues</w:t>
      </w:r>
    </w:p>
    <w:p>
      <w:pPr>
        <w:spacing w:after="0" w:line="11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spacing w:after="0" w:line="16"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beginning of period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Invoiced set-up fees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Recognized set-up fees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920" w:type="dxa"/>
            <w:vAlign w:val="bottom"/>
          </w:tcPr>
          <w:p>
            <w:pPr>
              <w:spacing w:after="0"/>
              <w:rPr>
                <w:sz w:val="14"/>
                <w:szCs w:val="14"/>
                <w:color w:val="auto"/>
              </w:rPr>
            </w:pPr>
          </w:p>
        </w:tc>
      </w:tr>
      <w:tr>
        <w:trPr>
          <w:trHeight w:val="192"/>
        </w:trPr>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15,287</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14,938</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14,999</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14,459</w:t>
            </w:r>
          </w:p>
        </w:tc>
      </w:tr>
      <w:tr>
        <w:trPr>
          <w:trHeight w:val="230"/>
        </w:trPr>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5,739</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8,061</w:t>
            </w:r>
          </w:p>
        </w:tc>
      </w:tr>
      <w:tr>
        <w:trPr>
          <w:trHeight w:val="243"/>
        </w:trPr>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(4,048)</w:t>
            </w:r>
          </w:p>
        </w:tc>
        <w:tc>
          <w:tcPr>
            <w:tcW w:w="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(3,687)</w:t>
            </w:r>
          </w:p>
        </w:tc>
        <w:tc>
          <w:tcPr>
            <w:tcW w:w="1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(8,011)</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w:t>
            </w:r>
          </w:p>
        </w:tc>
      </w:tr>
      <w:tr>
        <w:trPr>
          <w:trHeight w:val="223"/>
        </w:trPr>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16,978</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15,309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16,978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15,309</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-642620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-334010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4320" w:space="720"/>
            <w:col w:w="6200"/>
          </w:cols>
          <w:pgMar w:left="320" w:top="337" w:right="339" w:bottom="1440" w:gutter="0" w:footer="0" w:header="0"/>
          <w:type w:val="continuous"/>
        </w:sectPr>
      </w:pPr>
    </w:p>
    <w:p>
      <w:pPr>
        <w:ind w:right="100" w:firstLine="648"/>
        <w:spacing w:after="0" w:line="277" w:lineRule="auto"/>
        <w:rPr>
          <w:sz w:val="20"/>
          <w:szCs w:val="20"/>
          <w:color w:val="auto"/>
        </w:rPr>
      </w:pPr>
      <w:r>
        <w:rPr>
          <w:rFonts w:ascii="Arial" w:cs="Arial" w:eastAsia="Arial" w:hAnsi="Arial"/>
          <w:sz w:val="18"/>
          <w:szCs w:val="18"/>
          <w:color w:val="auto"/>
        </w:rPr>
        <w:t>The entire balance of deferred set-up fees will be recognized within two years. Those that will be recognized within the next year are classified as current, whereas the remainder are classified as non-current.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one-time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Miscellaneous one-time fees consist of professional services and testing and certification.</w:t>
      </w:r>
    </w:p>
    <w:p>
      <w:pPr>
        <w:spacing w:after="0" w:line="11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Deferred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deferred costs activity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19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98"/>
              <w:spacing w:after="0"/>
              <w:rPr>
                <w:sz w:val="20"/>
                <w:szCs w:val="20"/>
                <w:color w:val="auto"/>
              </w:rPr>
            </w:pPr>
            <w:r>
              <w:rPr>
                <w:rFonts w:ascii="Arial" w:cs="Arial" w:eastAsia="Arial" w:hAnsi="Arial"/>
                <w:sz w:val="18"/>
                <w:szCs w:val="18"/>
                <w:color w:val="auto"/>
                <w:w w:val="90"/>
              </w:rPr>
              <w:t>71,809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0"/>
              </w:rPr>
              <w:t>62,610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418"/>
              <w:spacing w:after="0"/>
              <w:rPr>
                <w:sz w:val="20"/>
                <w:szCs w:val="20"/>
                <w:color w:val="auto"/>
              </w:rPr>
            </w:pPr>
            <w:r>
              <w:rPr>
                <w:rFonts w:ascii="Arial" w:cs="Arial" w:eastAsia="Arial" w:hAnsi="Arial"/>
                <w:sz w:val="18"/>
                <w:szCs w:val="18"/>
                <w:color w:val="auto"/>
                <w:w w:val="90"/>
              </w:rPr>
              <w:t>70,179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7"/>
              </w:rPr>
              <w:t>59,720</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Incurred deferred costs</w:t>
            </w:r>
          </w:p>
        </w:tc>
        <w:tc>
          <w:tcPr>
            <w:tcW w:w="340" w:type="dxa"/>
            <w:vAlign w:val="bottom"/>
          </w:tcPr>
          <w:p>
            <w:pPr>
              <w:spacing w:after="0"/>
              <w:rPr>
                <w:sz w:val="20"/>
                <w:szCs w:val="20"/>
                <w:color w:val="auto"/>
              </w:rPr>
            </w:pPr>
          </w:p>
        </w:tc>
        <w:tc>
          <w:tcPr>
            <w:tcW w:w="1140" w:type="dxa"/>
            <w:vAlign w:val="bottom"/>
          </w:tcPr>
          <w:p>
            <w:pPr>
              <w:jc w:val="center"/>
              <w:ind w:left="398"/>
              <w:spacing w:after="0"/>
              <w:rPr>
                <w:sz w:val="20"/>
                <w:szCs w:val="20"/>
                <w:color w:val="auto"/>
              </w:rPr>
            </w:pPr>
            <w:r>
              <w:rPr>
                <w:rFonts w:ascii="Arial" w:cs="Arial" w:eastAsia="Arial" w:hAnsi="Arial"/>
                <w:sz w:val="18"/>
                <w:szCs w:val="18"/>
                <w:color w:val="auto"/>
                <w:w w:val="90"/>
              </w:rPr>
              <w:t>19,304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center"/>
              <w:ind w:left="354"/>
              <w:spacing w:after="0"/>
              <w:rPr>
                <w:sz w:val="20"/>
                <w:szCs w:val="20"/>
                <w:color w:val="auto"/>
              </w:rPr>
            </w:pPr>
            <w:r>
              <w:rPr>
                <w:rFonts w:ascii="Arial" w:cs="Arial" w:eastAsia="Arial" w:hAnsi="Arial"/>
                <w:sz w:val="18"/>
                <w:szCs w:val="18"/>
                <w:color w:val="auto"/>
                <w:w w:val="90"/>
              </w:rPr>
              <w:t>17,637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center"/>
              <w:ind w:left="418"/>
              <w:spacing w:after="0"/>
              <w:rPr>
                <w:sz w:val="20"/>
                <w:szCs w:val="20"/>
                <w:color w:val="auto"/>
              </w:rPr>
            </w:pPr>
            <w:r>
              <w:rPr>
                <w:rFonts w:ascii="Arial" w:cs="Arial" w:eastAsia="Arial" w:hAnsi="Arial"/>
                <w:sz w:val="18"/>
                <w:szCs w:val="18"/>
                <w:color w:val="auto"/>
                <w:w w:val="90"/>
              </w:rPr>
              <w:t>37,538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center"/>
              <w:ind w:left="194"/>
              <w:spacing w:after="0"/>
              <w:rPr>
                <w:sz w:val="20"/>
                <w:szCs w:val="20"/>
                <w:color w:val="auto"/>
              </w:rPr>
            </w:pPr>
            <w:r>
              <w:rPr>
                <w:rFonts w:ascii="Arial" w:cs="Arial" w:eastAsia="Arial" w:hAnsi="Arial"/>
                <w:sz w:val="18"/>
                <w:szCs w:val="18"/>
                <w:color w:val="auto"/>
                <w:w w:val="87"/>
              </w:rPr>
              <w:t>35,418</w:t>
            </w:r>
          </w:p>
        </w:tc>
      </w:tr>
      <w:tr>
        <w:trPr>
          <w:trHeight w:val="23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Amortized deferred costs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8"/>
                <w:szCs w:val="18"/>
                <w:color w:val="auto"/>
                <w:w w:val="92"/>
              </w:rPr>
              <w:t>(15,858)</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2"/>
              </w:rPr>
              <w:t>(15,582)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378"/>
              <w:spacing w:after="0"/>
              <w:rPr>
                <w:sz w:val="20"/>
                <w:szCs w:val="20"/>
                <w:color w:val="auto"/>
              </w:rPr>
            </w:pPr>
            <w:r>
              <w:rPr>
                <w:rFonts w:ascii="Arial" w:cs="Arial" w:eastAsia="Arial" w:hAnsi="Arial"/>
                <w:sz w:val="18"/>
                <w:szCs w:val="18"/>
                <w:color w:val="auto"/>
                <w:w w:val="92"/>
              </w:rPr>
              <w:t>(32,462)</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2"/>
              </w:rPr>
              <w:t>(30,473)</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398"/>
              <w:spacing w:after="0"/>
              <w:rPr>
                <w:sz w:val="20"/>
                <w:szCs w:val="20"/>
                <w:color w:val="auto"/>
              </w:rPr>
            </w:pPr>
            <w:r>
              <w:rPr>
                <w:rFonts w:ascii="Arial" w:cs="Arial" w:eastAsia="Arial" w:hAnsi="Arial"/>
                <w:sz w:val="18"/>
                <w:szCs w:val="18"/>
                <w:color w:val="auto"/>
                <w:w w:val="90"/>
              </w:rPr>
              <w:t>75,255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90"/>
              </w:rPr>
              <w:t>64,665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18"/>
              <w:spacing w:after="0"/>
              <w:rPr>
                <w:sz w:val="20"/>
                <w:szCs w:val="20"/>
                <w:color w:val="auto"/>
              </w:rPr>
            </w:pPr>
            <w:r>
              <w:rPr>
                <w:rFonts w:ascii="Arial" w:cs="Arial" w:eastAsia="Arial" w:hAnsi="Arial"/>
                <w:sz w:val="18"/>
                <w:szCs w:val="18"/>
                <w:color w:val="auto"/>
                <w:w w:val="90"/>
              </w:rPr>
              <w:t>75,255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194"/>
              <w:spacing w:after="0"/>
              <w:rPr>
                <w:sz w:val="20"/>
                <w:szCs w:val="20"/>
                <w:color w:val="auto"/>
              </w:rPr>
            </w:pPr>
            <w:r>
              <w:rPr>
                <w:rFonts w:ascii="Arial" w:cs="Arial" w:eastAsia="Arial" w:hAnsi="Arial"/>
                <w:sz w:val="18"/>
                <w:szCs w:val="18"/>
                <w:color w:val="auto"/>
                <w:w w:val="87"/>
              </w:rPr>
              <w:t>64,665</w:t>
            </w:r>
          </w:p>
        </w:tc>
      </w:tr>
      <w:tr>
        <w:trPr>
          <w:trHeight w:val="21"/>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351155</wp:posOffset>
            </wp:positionV>
            <wp:extent cx="325755"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Cash Equivalents and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equivalents and investments, as measured at fair value on a recurring basis,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w w:val="95"/>
              </w:rPr>
              <w:t>Unrealized Gains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(Losses), net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(Losses), net</w:t>
            </w:r>
          </w:p>
        </w:tc>
        <w:tc>
          <w:tcPr>
            <w:tcW w:w="180" w:type="dxa"/>
            <w:vAlign w:val="bottom"/>
          </w:tcPr>
          <w:p>
            <w:pPr>
              <w:spacing w:after="0"/>
              <w:rPr>
                <w:sz w:val="16"/>
                <w:szCs w:val="16"/>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0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152,309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152,309</w:t>
            </w: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73,368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73,368</w:t>
            </w:r>
          </w:p>
        </w:tc>
        <w:tc>
          <w:tcPr>
            <w:tcW w:w="0" w:type="dxa"/>
            <w:vAlign w:val="bottom"/>
          </w:tcPr>
          <w:p>
            <w:pPr>
              <w:spacing w:after="0"/>
              <w:rPr>
                <w:sz w:val="1"/>
                <w:szCs w:val="1"/>
                <w:color w:val="auto"/>
              </w:rPr>
            </w:pPr>
          </w:p>
        </w:tc>
      </w:tr>
      <w:tr>
        <w:trPr>
          <w:trHeight w:val="25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Marketable securities: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460"/>
              <w:spacing w:after="0"/>
              <w:rPr>
                <w:sz w:val="20"/>
                <w:szCs w:val="20"/>
                <w:color w:val="auto"/>
              </w:rPr>
            </w:pPr>
            <w:r>
              <w:rPr>
                <w:rFonts w:ascii="Arial" w:cs="Arial" w:eastAsia="Arial" w:hAnsi="Arial"/>
                <w:sz w:val="18"/>
                <w:szCs w:val="18"/>
                <w:color w:val="auto"/>
              </w:rPr>
              <w:t>Commercial paper</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44,599</w:t>
            </w:r>
          </w:p>
        </w:tc>
        <w:tc>
          <w:tcPr>
            <w:tcW w:w="0" w:type="dxa"/>
            <w:vAlign w:val="bottom"/>
          </w:tcPr>
          <w:p>
            <w:pPr>
              <w:spacing w:after="0"/>
              <w:rPr>
                <w:sz w:val="1"/>
                <w:szCs w:val="1"/>
                <w:color w:val="auto"/>
              </w:rPr>
            </w:pPr>
          </w:p>
        </w:tc>
      </w:tr>
      <w:tr>
        <w:trPr>
          <w:trHeight w:val="263"/>
        </w:trPr>
        <w:tc>
          <w:tcPr>
            <w:tcW w:w="3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 treasury securities</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212,783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213,223</w:t>
            </w: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124,405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124,780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F – Allowance for Credit Losses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24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Six Months Ended</w:t>
      </w:r>
    </w:p>
    <w:p>
      <w:pPr>
        <w:jc w:val="center"/>
        <w:ind w:left="814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5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5" w:lineRule="exact"/>
        <w:rPr>
          <w:sz w:val="20"/>
          <w:szCs w:val="20"/>
          <w:color w:val="auto"/>
        </w:rPr>
      </w:pPr>
    </w:p>
    <w:p>
      <w:pPr>
        <w:jc w:val="right"/>
        <w:ind w:right="5320"/>
        <w:spacing w:after="0"/>
        <w:rPr>
          <w:sz w:val="20"/>
          <w:szCs w:val="20"/>
          <w:color w:val="auto"/>
        </w:rPr>
      </w:pPr>
      <w:r>
        <w:rPr>
          <w:rFonts w:ascii="Arial" w:cs="Arial" w:eastAsia="Arial" w:hAnsi="Arial"/>
          <w:sz w:val="16"/>
          <w:szCs w:val="16"/>
          <w:color w:val="auto"/>
        </w:rPr>
        <w:t>Balance, beginning of period</w:t>
      </w:r>
    </w:p>
    <w:p>
      <w:pPr>
        <w:spacing w:after="0" w:line="46"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Write-offs, net of recoveries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end of period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G – Property and Equipment,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and equipment, net consisted of the following: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8"/>
              </w:rPr>
              <w:t>3,066</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88"/>
              </w:rPr>
              <w:t>4,249</w:t>
            </w:r>
          </w:p>
        </w:tc>
      </w:tr>
      <w:tr>
        <w:trPr>
          <w:trHeight w:val="229"/>
        </w:trPr>
        <w:tc>
          <w:tcPr>
            <w:tcW w:w="520" w:type="dxa"/>
            <w:vAlign w:val="bottom"/>
          </w:tcPr>
          <w:p>
            <w:pPr>
              <w:spacing w:after="0"/>
              <w:rPr>
                <w:sz w:val="19"/>
                <w:szCs w:val="19"/>
                <w:color w:val="auto"/>
              </w:rPr>
            </w:pPr>
          </w:p>
        </w:tc>
        <w:tc>
          <w:tcPr>
            <w:tcW w:w="960" w:type="dxa"/>
            <w:vAlign w:val="bottom"/>
          </w:tcPr>
          <w:p>
            <w:pPr>
              <w:jc w:val="center"/>
              <w:ind w:left="350"/>
              <w:spacing w:after="0"/>
              <w:rPr>
                <w:sz w:val="20"/>
                <w:szCs w:val="20"/>
                <w:color w:val="auto"/>
              </w:rPr>
            </w:pPr>
            <w:r>
              <w:rPr>
                <w:rFonts w:ascii="Arial" w:cs="Arial" w:eastAsia="Arial" w:hAnsi="Arial"/>
                <w:sz w:val="18"/>
                <w:szCs w:val="18"/>
                <w:color w:val="auto"/>
                <w:w w:val="88"/>
              </w:rPr>
              <w:t>2,491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88"/>
              </w:rPr>
              <w:t>2,634</w:t>
            </w:r>
          </w:p>
        </w:tc>
      </w:tr>
      <w:tr>
        <w:trPr>
          <w:trHeight w:val="237"/>
        </w:trPr>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1"/>
              </w:rPr>
              <w:t>(2,457)</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4"/>
              </w:rPr>
              <w:t>(2,429)</w:t>
            </w:r>
          </w:p>
        </w:tc>
      </w:tr>
      <w:tr>
        <w:trPr>
          <w:trHeight w:val="229"/>
        </w:trPr>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8"/>
              </w:rPr>
              <w:t>3,100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8"/>
              </w:rPr>
              <w:t>4,454</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840" w:type="dxa"/>
            <w:vAlign w:val="bottom"/>
          </w:tcPr>
          <w:p>
            <w:pPr>
              <w:jc w:val="center"/>
              <w:ind w:right="268"/>
              <w:spacing w:after="0"/>
              <w:rPr>
                <w:sz w:val="20"/>
                <w:szCs w:val="20"/>
                <w:color w:val="auto"/>
              </w:rPr>
            </w:pPr>
            <w:r>
              <w:rPr>
                <w:rFonts w:ascii="Arial" w:cs="Arial" w:eastAsia="Arial" w:hAnsi="Arial"/>
                <w:sz w:val="14"/>
                <w:szCs w:val="14"/>
                <w:b w:val="1"/>
                <w:bCs w:val="1"/>
                <w:color w:val="auto"/>
                <w:w w:val="89"/>
              </w:rPr>
              <w:t>June 30,</w:t>
            </w:r>
          </w:p>
        </w:tc>
        <w:tc>
          <w:tcPr>
            <w:tcW w:w="152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186"/>
        </w:trPr>
        <w:tc>
          <w:tcPr>
            <w:tcW w:w="84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2">
            <w:col w:w="7440" w:space="720"/>
            <w:col w:w="30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54,846</w:t>
            </w:r>
          </w:p>
        </w:tc>
        <w:tc>
          <w:tcPr>
            <w:tcW w:w="10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49,994</w:t>
            </w: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30,310</w:t>
            </w:r>
          </w:p>
        </w:tc>
      </w:tr>
      <w:tr>
        <w:trPr>
          <w:trHeight w:val="23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r>
      <w:tr>
        <w:trPr>
          <w:trHeight w:val="237"/>
        </w:trPr>
        <w:tc>
          <w:tcPr>
            <w:tcW w:w="8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 cost</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107,816</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(72,358)</w:t>
            </w:r>
          </w:p>
        </w:tc>
      </w:tr>
      <w:tr>
        <w:trPr>
          <w:trHeight w:val="243"/>
        </w:trPr>
        <w:tc>
          <w:tcPr>
            <w:tcW w:w="8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 net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351155</wp:posOffset>
            </wp:positionV>
            <wp:extent cx="325755"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H –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goodwill was as follows:</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w:t>
      </w:r>
    </w:p>
    <w:p>
      <w:pPr>
        <w:spacing w:after="0" w:line="35" w:lineRule="exact"/>
        <w:rPr>
          <w:sz w:val="20"/>
          <w:szCs w:val="20"/>
          <w:color w:val="auto"/>
        </w:rPr>
      </w:pPr>
    </w:p>
    <w:p>
      <w:pPr>
        <w:ind w:left="20" w:right="1520" w:firstLine="162"/>
        <w:spacing w:after="0" w:line="340" w:lineRule="auto"/>
        <w:rPr>
          <w:sz w:val="20"/>
          <w:szCs w:val="20"/>
          <w:color w:val="auto"/>
        </w:rPr>
      </w:pPr>
      <w:r>
        <w:rPr>
          <w:rFonts w:ascii="Arial" w:cs="Arial" w:eastAsia="Arial" w:hAnsi="Arial"/>
          <w:sz w:val="18"/>
          <w:szCs w:val="18"/>
          <w:color w:val="auto"/>
        </w:rPr>
        <w:t>Remeasurement from provisional purchase accounting amount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consisted of the following:</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2459"/>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2459"/>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800" w:type="dxa"/>
        <w:tblCellMar>
          <w:top w:w="0" w:type="dxa"/>
          <w:left w:w="0" w:type="dxa"/>
          <w:bottom w:w="0" w:type="dxa"/>
          <w:right w:w="0" w:type="dxa"/>
        </w:tblCellMar>
      </w:tblPr>
      <w:tr>
        <w:trPr>
          <w:trHeight w:val="202"/>
        </w:trPr>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r>
      <w:tr>
        <w:trPr>
          <w:trHeight w:val="229"/>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197,284</w:t>
            </w:r>
          </w:p>
        </w:tc>
      </w:tr>
      <w:tr>
        <w:trPr>
          <w:trHeight w:val="230"/>
        </w:trPr>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43"/>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202,786</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30, 2023</w:t>
      </w:r>
    </w:p>
    <w:p>
      <w:pPr>
        <w:spacing w:after="0" w:line="31" w:lineRule="exact"/>
        <w:rPr>
          <w:sz w:val="20"/>
          <w:szCs w:val="20"/>
          <w:color w:val="auto"/>
        </w:rPr>
      </w:pPr>
    </w:p>
    <w:p>
      <w:pPr>
        <w:sectPr>
          <w:pgSz w:w="11900" w:h="16838" w:orient="portrait"/>
          <w:cols w:equalWidth="0" w:num="2">
            <w:col w:w="6220" w:space="720"/>
            <w:col w:w="4300"/>
          </w:cols>
          <w:pgMar w:left="320" w:top="337" w:right="339" w:bottom="1440" w:gutter="0" w:footer="0" w:header="0"/>
        </w:sect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Gross</w:t>
            </w:r>
          </w:p>
        </w:tc>
        <w:tc>
          <w:tcPr>
            <w:tcW w:w="1660" w:type="dxa"/>
            <w:vAlign w:val="bottom"/>
            <w:tcBorders>
              <w:top w:val="single" w:sz="8" w:color="auto"/>
            </w:tcBorders>
            <w:vMerge w:val="restart"/>
          </w:tcPr>
          <w:p>
            <w:pPr>
              <w:ind w:left="440"/>
              <w:spacing w:after="0"/>
              <w:rPr>
                <w:sz w:val="20"/>
                <w:szCs w:val="20"/>
                <w:color w:val="auto"/>
              </w:rPr>
            </w:pPr>
            <w:r>
              <w:rPr>
                <w:rFonts w:ascii="Arial" w:cs="Arial" w:eastAsia="Arial" w:hAnsi="Arial"/>
                <w:sz w:val="14"/>
                <w:szCs w:val="14"/>
                <w:b w:val="1"/>
                <w:bCs w:val="1"/>
                <w:color w:val="auto"/>
              </w:rPr>
              <w:t>Accumulated</w:t>
            </w:r>
          </w:p>
        </w:tc>
        <w:tc>
          <w:tcPr>
            <w:tcW w:w="1660" w:type="dxa"/>
            <w:vAlign w:val="bottom"/>
            <w:tcBorders>
              <w:top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Foreign</w:t>
            </w:r>
          </w:p>
        </w:tc>
        <w:tc>
          <w:tcPr>
            <w:tcW w:w="12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9"/>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Carrying</w:t>
            </w:r>
          </w:p>
        </w:tc>
        <w:tc>
          <w:tcPr>
            <w:tcW w:w="1660" w:type="dxa"/>
            <w:vAlign w:val="bottom"/>
            <w:vMerge w:val="continue"/>
          </w:tcPr>
          <w:p>
            <w:pPr>
              <w:spacing w:after="0"/>
              <w:rPr>
                <w:sz w:val="12"/>
                <w:szCs w:val="12"/>
                <w:color w:val="auto"/>
              </w:rPr>
            </w:pPr>
          </w:p>
        </w:tc>
        <w:tc>
          <w:tcPr>
            <w:tcW w:w="166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w w:val="97"/>
              </w:rPr>
              <w:t>Currency</w:t>
            </w:r>
          </w:p>
        </w:tc>
        <w:tc>
          <w:tcPr>
            <w:tcW w:w="12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Net</w:t>
            </w:r>
          </w:p>
        </w:tc>
        <w:tc>
          <w:tcPr>
            <w:tcW w:w="1780" w:type="dxa"/>
            <w:vAlign w:val="bottom"/>
          </w:tcPr>
          <w:p>
            <w:pPr>
              <w:jc w:val="center"/>
              <w:ind w:left="228"/>
              <w:spacing w:after="0" w:line="13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6"/>
        </w:trPr>
        <w:tc>
          <w:tcPr>
            <w:tcW w:w="3480" w:type="dxa"/>
            <w:vAlign w:val="bottom"/>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60" w:type="dxa"/>
            <w:vAlign w:val="bottom"/>
          </w:tcPr>
          <w:p>
            <w:pPr>
              <w:ind w:left="440"/>
              <w:spacing w:after="0"/>
              <w:rPr>
                <w:sz w:val="20"/>
                <w:szCs w:val="20"/>
                <w:color w:val="auto"/>
              </w:rPr>
            </w:pPr>
            <w:r>
              <w:rPr>
                <w:rFonts w:ascii="Arial" w:cs="Arial" w:eastAsia="Arial" w:hAnsi="Arial"/>
                <w:sz w:val="14"/>
                <w:szCs w:val="14"/>
                <w:b w:val="1"/>
                <w:bCs w:val="1"/>
                <w:color w:val="auto"/>
              </w:rPr>
              <w:t>Amortization</w:t>
            </w:r>
          </w:p>
        </w:tc>
        <w:tc>
          <w:tcPr>
            <w:tcW w:w="16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Translation</w:t>
            </w:r>
          </w:p>
        </w:tc>
        <w:tc>
          <w:tcPr>
            <w:tcW w:w="1200" w:type="dxa"/>
            <w:vAlign w:val="bottom"/>
            <w:vMerge w:val="continue"/>
          </w:tcPr>
          <w:p>
            <w:pPr>
              <w:spacing w:after="0"/>
              <w:rPr>
                <w:sz w:val="16"/>
                <w:szCs w:val="16"/>
                <w:color w:val="auto"/>
              </w:rPr>
            </w:pPr>
          </w:p>
        </w:tc>
        <w:tc>
          <w:tcPr>
            <w:tcW w:w="178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79,385</w:t>
            </w:r>
          </w:p>
        </w:tc>
        <w:tc>
          <w:tcPr>
            <w:tcW w:w="120" w:type="dxa"/>
            <w:vAlign w:val="bottom"/>
            <w:tcBorders>
              <w:top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49,941</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center"/>
              <w:ind w:right="13"/>
              <w:spacing w:after="0"/>
              <w:rPr>
                <w:sz w:val="20"/>
                <w:szCs w:val="20"/>
                <w:color w:val="auto"/>
              </w:rPr>
            </w:pPr>
            <w:r>
              <w:rPr>
                <w:rFonts w:ascii="Arial" w:cs="Arial" w:eastAsia="Arial" w:hAnsi="Arial"/>
                <w:sz w:val="18"/>
                <w:szCs w:val="18"/>
                <w:color w:val="auto"/>
                <w:w w:val="86"/>
              </w:rPr>
              <w:t>6.4 years</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Acquired technology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color w:val="auto"/>
                <w:w w:val="86"/>
              </w:rPr>
              <w:t>5.2 years</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119,997</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86"/>
              </w:rPr>
              <w:t>6.0 years</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13"/>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1180" w:type="dxa"/>
            <w:vAlign w:val="bottom"/>
          </w:tcPr>
          <w:p>
            <w:pPr>
              <w:jc w:val="center"/>
              <w:ind w:right="176"/>
              <w:spacing w:after="0" w:line="14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Net</w:t>
            </w:r>
          </w:p>
        </w:tc>
        <w:tc>
          <w:tcPr>
            <w:tcW w:w="1380" w:type="dxa"/>
            <w:vAlign w:val="bottom"/>
          </w:tcPr>
          <w:p>
            <w:pPr>
              <w:jc w:val="center"/>
              <w:ind w:right="13"/>
              <w:spacing w:after="0" w:line="14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96"/>
        </w:trPr>
        <w:tc>
          <w:tcPr>
            <w:tcW w:w="35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4"/>
            <w:vMerge w:val="continue"/>
          </w:tcPr>
          <w:p>
            <w:pPr>
              <w:spacing w:after="0"/>
              <w:rPr>
                <w:sz w:val="17"/>
                <w:szCs w:val="17"/>
                <w:color w:val="auto"/>
              </w:rPr>
            </w:pPr>
          </w:p>
        </w:tc>
        <w:tc>
          <w:tcPr>
            <w:tcW w:w="138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2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right="13"/>
              <w:spacing w:after="0"/>
              <w:rPr>
                <w:sz w:val="20"/>
                <w:szCs w:val="20"/>
                <w:color w:val="auto"/>
              </w:rPr>
            </w:pPr>
            <w:r>
              <w:rPr>
                <w:rFonts w:ascii="Arial" w:cs="Arial" w:eastAsia="Arial" w:hAnsi="Arial"/>
                <w:sz w:val="18"/>
                <w:szCs w:val="18"/>
                <w:color w:val="auto"/>
                <w:w w:val="86"/>
              </w:rPr>
              <w:t>6.8 years</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Acquired technology</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color w:val="auto"/>
                <w:w w:val="86"/>
              </w:rPr>
              <w:t>5.7 years</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ind w:right="13"/>
              <w:spacing w:after="0"/>
              <w:rPr>
                <w:sz w:val="20"/>
                <w:szCs w:val="20"/>
                <w:color w:val="auto"/>
              </w:rPr>
            </w:pPr>
            <w:r>
              <w:rPr>
                <w:rFonts w:ascii="Arial" w:cs="Arial" w:eastAsia="Arial" w:hAnsi="Arial"/>
                <w:sz w:val="18"/>
                <w:szCs w:val="18"/>
                <w:color w:val="auto"/>
                <w:w w:val="86"/>
              </w:rPr>
              <w:t>6.4 years</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100" w:type="dxa"/>
            <w:vAlign w:val="bottom"/>
            <w:gridSpan w:val="11"/>
          </w:tcPr>
          <w:p>
            <w:pPr>
              <w:ind w:left="660"/>
              <w:spacing w:after="0"/>
              <w:rPr>
                <w:sz w:val="20"/>
                <w:szCs w:val="20"/>
                <w:color w:val="auto"/>
              </w:rPr>
            </w:pPr>
            <w:r>
              <w:rPr>
                <w:rFonts w:ascii="Arial" w:cs="Arial" w:eastAsia="Arial" w:hAnsi="Arial"/>
                <w:sz w:val="18"/>
                <w:szCs w:val="18"/>
                <w:color w:val="auto"/>
              </w:rPr>
              <w:t>The estimated future annual amortization expense related to intangible assets is as follows: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13,665</w:t>
            </w: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12,523</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299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Leases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9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7"/>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5"/>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r>
      <w:tr>
        <w:trPr>
          <w:trHeight w:val="248"/>
        </w:trPr>
        <w:tc>
          <w:tcPr>
            <w:tcW w:w="5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4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Six Months Ended</w:t>
            </w:r>
          </w:p>
        </w:tc>
      </w:tr>
      <w:tr>
        <w:trPr>
          <w:trHeight w:val="196"/>
        </w:trPr>
        <w:tc>
          <w:tcPr>
            <w:tcW w:w="8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868"/>
              <w:spacing w:after="0"/>
              <w:rPr>
                <w:sz w:val="20"/>
                <w:szCs w:val="20"/>
                <w:color w:val="auto"/>
              </w:rPr>
            </w:pPr>
            <w:r>
              <w:rPr>
                <w:rFonts w:ascii="Arial" w:cs="Arial" w:eastAsia="Arial" w:hAnsi="Arial"/>
                <w:sz w:val="14"/>
                <w:szCs w:val="14"/>
                <w:b w:val="1"/>
                <w:bCs w:val="1"/>
                <w:color w:val="auto"/>
                <w:w w:val="92"/>
              </w:rPr>
              <w:t>June 30,</w:t>
            </w:r>
          </w:p>
        </w:tc>
      </w:tr>
      <w:tr>
        <w:trPr>
          <w:trHeight w:val="186"/>
        </w:trPr>
        <w:tc>
          <w:tcPr>
            <w:tcW w:w="8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2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7940" w:type="dxa"/>
            <w:vAlign w:val="bottom"/>
          </w:tcPr>
          <w:p>
            <w:pPr>
              <w:ind w:left="660"/>
              <w:spacing w:after="0"/>
              <w:rPr>
                <w:sz w:val="20"/>
                <w:szCs w:val="20"/>
                <w:color w:val="auto"/>
              </w:rPr>
            </w:pPr>
            <w:r>
              <w:rPr>
                <w:rFonts w:ascii="Arial" w:cs="Arial" w:eastAsia="Arial" w:hAnsi="Arial"/>
                <w:sz w:val="18"/>
                <w:szCs w:val="18"/>
                <w:color w:val="auto"/>
              </w:rPr>
              <w:t>Supplemental balance sheet information related to operating leases was as follows: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years</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418"/>
        </w:trPr>
        <w:tc>
          <w:tcPr>
            <w:tcW w:w="7940" w:type="dxa"/>
            <w:vAlign w:val="bottom"/>
          </w:tcPr>
          <w:p>
            <w:pPr>
              <w:ind w:left="660"/>
              <w:spacing w:after="0"/>
              <w:rPr>
                <w:sz w:val="20"/>
                <w:szCs w:val="20"/>
                <w:color w:val="auto"/>
              </w:rPr>
            </w:pPr>
            <w:r>
              <w:rPr>
                <w:rFonts w:ascii="Arial" w:cs="Arial" w:eastAsia="Arial" w:hAnsi="Arial"/>
                <w:sz w:val="18"/>
                <w:szCs w:val="18"/>
                <w:color w:val="auto"/>
              </w:rPr>
              <w:t>At June 30, 2023, our future minimum payments under operating leases were as follows: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Total future gross payments</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16,294</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15,131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Purchase Commitments</w:t>
      </w:r>
    </w:p>
    <w:p>
      <w:pPr>
        <w:spacing w:after="0" w:line="104"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We have entered into separate noncancelable agreements with computing infrastructure, productivity software, customer relationship management, and performance and security data analytics vendors for services through 2026. At June 30, 2023, our remaining purchase commitments and estimated purchase timing were as follows: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8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11,527</w:t>
            </w:r>
          </w:p>
        </w:tc>
      </w:tr>
      <w:tr>
        <w:trPr>
          <w:trHeight w:val="24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r>
      <w:tr>
        <w:trPr>
          <w:trHeight w:val="24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estimated future purchases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33,078</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 </w:t>
      </w:r>
      <w:r>
        <w:rPr>
          <w:rFonts w:ascii="Arial" w:cs="Arial" w:eastAsia="Arial" w:hAnsi="Arial"/>
          <w:sz w:val="18"/>
          <w:szCs w:val="18"/>
          <w:b w:val="1"/>
          <w:bCs w:val="1"/>
          <w:i w:val="1"/>
          <w:iCs w:val="1"/>
          <w:color w:val="1F282C"/>
        </w:rPr>
        <w:t>Repurchase Programs</w:t>
      </w:r>
    </w:p>
    <w:p>
      <w:pPr>
        <w:spacing w:after="0" w:line="11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212529"/>
        </w:rPr>
        <w:t xml:space="preserve">Our board of directors has authorized multiple non-concurrent programs to repurchase our common stock. Details of the programs and activity thereunder through </w:t>
      </w:r>
      <w:r>
        <w:rPr>
          <w:rFonts w:ascii="Arial" w:cs="Arial" w:eastAsia="Arial" w:hAnsi="Arial"/>
          <w:sz w:val="18"/>
          <w:szCs w:val="18"/>
          <w:color w:val="000000"/>
        </w:rPr>
        <w:t>June 30, 2023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Share Value Authorized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339"/>
              <w:spacing w:after="0"/>
              <w:rPr>
                <w:sz w:val="20"/>
                <w:szCs w:val="20"/>
                <w:color w:val="auto"/>
              </w:rPr>
            </w:pPr>
            <w:r>
              <w:rPr>
                <w:rFonts w:ascii="Arial" w:cs="Arial" w:eastAsia="Arial" w:hAnsi="Arial"/>
                <w:sz w:val="14"/>
                <w:szCs w:val="14"/>
                <w:b w:val="1"/>
                <w:bCs w:val="1"/>
                <w:color w:val="auto"/>
              </w:rPr>
              <w:t>Share Value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Unused &amp; Expired</w:t>
            </w:r>
          </w:p>
        </w:tc>
        <w:tc>
          <w:tcPr>
            <w:tcW w:w="10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 Value Available</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for Repurchase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Repurchased</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Share Repurchase Value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for Future Repurchase</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 Program</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2021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August 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1460" w:type="dxa"/>
            <w:vAlign w:val="bottom"/>
          </w:tcPr>
          <w:p>
            <w:pPr>
              <w:ind w:left="220"/>
              <w:spacing w:after="0"/>
              <w:rPr>
                <w:sz w:val="20"/>
                <w:szCs w:val="20"/>
                <w:color w:val="auto"/>
              </w:rPr>
            </w:pPr>
            <w:r>
              <w:rPr>
                <w:rFonts w:ascii="Arial" w:cs="Arial" w:eastAsia="Arial" w:hAnsi="Arial"/>
                <w:sz w:val="18"/>
                <w:szCs w:val="18"/>
                <w:color w:val="auto"/>
              </w:rPr>
              <w:t>2022 Program</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August 2022</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July 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76"/>
              <w:spacing w:after="0"/>
              <w:rPr>
                <w:sz w:val="20"/>
                <w:szCs w:val="20"/>
                <w:color w:val="auto"/>
              </w:rPr>
            </w:pPr>
            <w:r>
              <w:rPr>
                <w:rFonts w:ascii="Arial" w:cs="Arial" w:eastAsia="Arial" w:hAnsi="Arial"/>
                <w:sz w:val="18"/>
                <w:szCs w:val="18"/>
                <w:color w:val="auto"/>
                <w:w w:val="99"/>
              </w:rPr>
              <w:t>N/A</w:t>
            </w:r>
          </w:p>
        </w:tc>
        <w:tc>
          <w:tcPr>
            <w:tcW w:w="4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47,008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share repurchase activity by period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3"/>
          </w:tcPr>
          <w:p>
            <w:pPr>
              <w:ind w:left="600"/>
              <w:spacing w:after="0"/>
              <w:rPr>
                <w:sz w:val="20"/>
                <w:szCs w:val="20"/>
                <w:color w:val="auto"/>
              </w:rPr>
            </w:pPr>
            <w:r>
              <w:rPr>
                <w:rFonts w:ascii="Arial" w:cs="Arial" w:eastAsia="Arial" w:hAnsi="Arial"/>
                <w:sz w:val="14"/>
                <w:szCs w:val="14"/>
                <w:b w:val="1"/>
                <w:bCs w:val="1"/>
                <w:color w:val="auto"/>
                <w:w w:val="96"/>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80" w:type="dxa"/>
            <w:vAlign w:val="bottom"/>
          </w:tcPr>
          <w:p>
            <w:pPr>
              <w:spacing w:after="0"/>
              <w:rPr>
                <w:sz w:val="14"/>
                <w:szCs w:val="14"/>
                <w:color w:val="auto"/>
              </w:rPr>
            </w:pPr>
          </w:p>
        </w:tc>
      </w:tr>
      <w:tr>
        <w:trPr>
          <w:trHeight w:val="192"/>
        </w:trPr>
        <w:tc>
          <w:tcPr>
            <w:tcW w:w="4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shares and per share amounts)</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255,196</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Shares repurchased cost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14,997</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30,223</w:t>
            </w:r>
          </w:p>
        </w:tc>
      </w:tr>
      <w:tr>
        <w:trPr>
          <w:trHeight w:val="23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repurchased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8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Stock-Based Compensation</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performance share units (“PSUs”), restricted stock awards (“RSAs”), restricted stock units (“RSUs”), and deferred stock units (“DSUs”), to employees, non-employee directors and other consultants who provide services to us. We also provide an employee stock purchase plan (“ESPP”) and 401(k) match to eligible participants.</w:t>
      </w:r>
    </w:p>
    <w:p>
      <w:pPr>
        <w:spacing w:after="0" w:line="7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 xml:space="preserve">We recognize stock-based compensation expense based on grant date award fair value. This cost is recognized over the period for which the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At </w:t>
      </w:r>
      <w:r>
        <w:rPr>
          <w:rFonts w:ascii="Arial" w:cs="Arial" w:eastAsia="Arial" w:hAnsi="Arial"/>
          <w:sz w:val="17"/>
          <w:szCs w:val="17"/>
          <w:color w:val="212529"/>
        </w:rPr>
        <w:t>June 30, 2023</w:t>
      </w:r>
      <w:r>
        <w:rPr>
          <w:rFonts w:ascii="Arial" w:cs="Arial" w:eastAsia="Arial" w:hAnsi="Arial"/>
          <w:sz w:val="17"/>
          <w:szCs w:val="17"/>
          <w:color w:val="auto"/>
        </w:rPr>
        <w:t>, there were 12.8 million shares available for grant under approved equity compensation plans.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6"/>
        </w:trPr>
        <w:tc>
          <w:tcPr>
            <w:tcW w:w="5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2,854</w:t>
            </w:r>
          </w:p>
        </w:tc>
      </w:tr>
      <w:tr>
        <w:trPr>
          <w:trHeight w:val="23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r>
      <w:tr>
        <w:trPr>
          <w:trHeight w:val="230"/>
        </w:trPr>
        <w:tc>
          <w:tcPr>
            <w:tcW w:w="50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12,881</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8,661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24,661</w:t>
            </w:r>
          </w:p>
        </w:tc>
        <w:tc>
          <w:tcPr>
            <w:tcW w:w="6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17,676</w:t>
            </w:r>
          </w:p>
        </w:tc>
      </w:tr>
      <w:tr>
        <w:trPr>
          <w:trHeight w:val="27"/>
        </w:trPr>
        <w:tc>
          <w:tcPr>
            <w:tcW w:w="50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by grant type or plan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50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PSUs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3,499</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4,703</w:t>
            </w:r>
          </w:p>
        </w:tc>
      </w:tr>
      <w:tr>
        <w:trPr>
          <w:trHeight w:val="23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7,381</w:t>
            </w: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RSAs &amp; DSUs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r>
      <w:tr>
        <w:trPr>
          <w:trHeight w:val="229"/>
        </w:trPr>
        <w:tc>
          <w:tcPr>
            <w:tcW w:w="50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401(k) stock match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r>
      <w:tr>
        <w:trPr>
          <w:trHeight w:val="248"/>
        </w:trPr>
        <w:tc>
          <w:tcPr>
            <w:tcW w:w="50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12,881</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17,676</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June 30, 2023, there was $53.8 million of unrecognized stock-based compensation expense under our equity compensation plans, which is expected to be recognized on a primarily straight-line basis over a weighted average period of 2.5 years.</w:t>
      </w:r>
    </w:p>
    <w:p>
      <w:pPr>
        <w:sectPr>
          <w:pgSz w:w="11900" w:h="16838" w:orient="portrait"/>
          <w:cols w:equalWidth="0" w:num="1">
            <w:col w:w="11240"/>
          </w:cols>
          <w:pgMar w:left="320" w:top="337"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jc w:val="right"/>
        <w:ind w:right="3840"/>
        <w:spacing w:after="0"/>
        <w:rPr>
          <w:sz w:val="20"/>
          <w:szCs w:val="20"/>
          <w:color w:val="auto"/>
        </w:rPr>
      </w:pPr>
      <w:r>
        <w:rPr>
          <w:rFonts w:ascii="Arial" w:cs="Arial" w:eastAsia="Arial" w:hAnsi="Arial"/>
          <w:sz w:val="18"/>
          <w:szCs w:val="18"/>
          <w:color w:val="auto"/>
        </w:rPr>
        <w:t>Our stock option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57"/>
              <w:spacing w:after="0" w:line="14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14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Options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562,697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41"/>
        </w:trPr>
        <w:tc>
          <w:tcPr>
            <w:tcW w:w="1480" w:type="dxa"/>
            <w:vAlign w:val="bottom"/>
          </w:tcPr>
          <w:p>
            <w:pPr>
              <w:jc w:val="right"/>
              <w:spacing w:after="0"/>
              <w:rPr>
                <w:sz w:val="20"/>
                <w:szCs w:val="20"/>
                <w:color w:val="auto"/>
              </w:rPr>
            </w:pPr>
            <w:r>
              <w:rPr>
                <w:rFonts w:ascii="Arial" w:cs="Arial" w:eastAsia="Arial" w:hAnsi="Arial"/>
                <w:sz w:val="18"/>
                <w:szCs w:val="18"/>
                <w:color w:val="auto"/>
              </w:rPr>
              <w:t>39,483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151.89</w:t>
            </w: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(143,550)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44"/>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2">
            <w:col w:w="7440" w:space="720"/>
            <w:col w:w="3080"/>
          </w:cols>
          <w:pgMar w:left="320" w:top="337" w:right="339" w:bottom="1440" w:gutter="0" w:footer="0" w:header="0"/>
          <w:type w:val="continuous"/>
        </w:sectPr>
      </w:pPr>
    </w:p>
    <w:p>
      <w:pPr>
        <w:ind w:right="220" w:firstLine="648"/>
        <w:spacing w:after="0" w:line="277" w:lineRule="auto"/>
        <w:rPr>
          <w:sz w:val="20"/>
          <w:szCs w:val="20"/>
          <w:color w:val="auto"/>
        </w:rPr>
      </w:pPr>
      <w:r>
        <w:rPr>
          <w:rFonts w:ascii="Arial" w:cs="Arial" w:eastAsia="Arial" w:hAnsi="Arial"/>
          <w:sz w:val="18"/>
          <w:szCs w:val="18"/>
          <w:color w:val="auto"/>
        </w:rPr>
        <w:t>Of the total outstanding options at June 30, 2023, 0.4 million were exercisable. The outstanding and exercisable options had a weighted average exercise price of $58.49 per share and a weighted average remaining contractual life of 3.1 years.</w:t>
      </w:r>
    </w:p>
    <w:p>
      <w:pPr>
        <w:spacing w:after="0" w:line="62"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The weighted average grant date fair value of options granted during the six months ended June 30, 2023 was $56.23 per share. This was estimated on the date of grant using the Black-Scholes option pricing model with the following weighted-average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 years)</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61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5100" w:type="dxa"/>
            <w:vAlign w:val="bottom"/>
          </w:tcPr>
          <w:p>
            <w:pPr>
              <w:jc w:val="right"/>
              <w:spacing w:after="0"/>
              <w:rPr>
                <w:sz w:val="20"/>
                <w:szCs w:val="20"/>
                <w:color w:val="auto"/>
              </w:rPr>
            </w:pPr>
            <w:r>
              <w:rPr>
                <w:rFonts w:ascii="Arial" w:cs="Arial" w:eastAsia="Arial" w:hAnsi="Arial"/>
                <w:sz w:val="18"/>
                <w:szCs w:val="18"/>
                <w:color w:val="auto"/>
              </w:rPr>
              <w:t>39.3 %</w:t>
            </w:r>
          </w:p>
        </w:tc>
      </w:tr>
      <w:tr>
        <w:trPr>
          <w:trHeight w:val="26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100" w:type="dxa"/>
            <w:vAlign w:val="bottom"/>
          </w:tcPr>
          <w:p>
            <w:pPr>
              <w:jc w:val="right"/>
              <w:spacing w:after="0"/>
              <w:rPr>
                <w:sz w:val="20"/>
                <w:szCs w:val="20"/>
                <w:color w:val="auto"/>
              </w:rPr>
            </w:pPr>
            <w:r>
              <w:rPr>
                <w:rFonts w:ascii="Arial" w:cs="Arial" w:eastAsia="Arial" w:hAnsi="Arial"/>
                <w:sz w:val="18"/>
                <w:szCs w:val="18"/>
                <w:color w:val="auto"/>
              </w:rPr>
              <w:t>4.0 %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Restricted Stock Units and Awards, and Deferred Stock Units</w:t>
      </w:r>
    </w:p>
    <w:p>
      <w:pPr>
        <w:spacing w:after="0" w:line="11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 each of the quarters ended March 31, 2023, 2022, 2021, and 2020 we granted PSU awards with a target performance level.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In the three months ended March 31, 2023, PSU awards granted in 2020 vested at the maximum performance level and 0.1 million shares of common stock were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299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our PSUs, RSUs, RSAs, and DSUs in aggregate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80" w:type="dxa"/>
            <w:vAlign w:val="bottom"/>
            <w:gridSpan w:val="4"/>
          </w:tcPr>
          <w:p>
            <w:pPr>
              <w:jc w:val="right"/>
              <w:ind w:right="89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038"/>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139"/>
        </w:trPr>
        <w:tc>
          <w:tcPr>
            <w:tcW w:w="8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4"/>
        </w:trPr>
        <w:tc>
          <w:tcPr>
            <w:tcW w:w="8160" w:type="dxa"/>
            <w:vAlign w:val="bottom"/>
          </w:tcPr>
          <w:p>
            <w:pPr>
              <w:spacing w:after="0"/>
              <w:rPr>
                <w:sz w:val="12"/>
                <w:szCs w:val="12"/>
                <w:color w:val="auto"/>
              </w:rPr>
            </w:pPr>
          </w:p>
        </w:tc>
        <w:tc>
          <w:tcPr>
            <w:tcW w:w="148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period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311,488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162.86</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6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end of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713,180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number of PSUs, RSUs, RSAs, and DSUs outstanding at June 30, 2023 included less than 0.1 million units that have vested, but the shares of common stock have not yet been issued, pursuant to the terms of the underlying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Employee Stock Purchase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ESPP activity was as follows: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6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vMerge w:val="continue"/>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for shares purchased</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Shares purchased</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35,676</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33,337</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38,225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35,035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total of 1.7 million shares of common stock are reserved for issuance under the ESPP as of June 30, 2023.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was estimated based on the market price of our common stock at the beginning of the offering period using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assumptions:</w:t>
            </w:r>
          </w:p>
        </w:tc>
        <w:tc>
          <w:tcPr>
            <w:tcW w:w="5100" w:type="dxa"/>
            <w:vAlign w:val="bottom"/>
          </w:tcPr>
          <w:p>
            <w:pPr>
              <w:spacing w:after="0"/>
              <w:rPr>
                <w:sz w:val="20"/>
                <w:szCs w:val="20"/>
                <w:color w:val="auto"/>
              </w:rPr>
            </w:pPr>
          </w:p>
        </w:tc>
      </w:tr>
      <w:tr>
        <w:trPr>
          <w:trHeight w:val="229"/>
        </w:trPr>
        <w:tc>
          <w:tcPr>
            <w:tcW w:w="614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 years)</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5100" w:type="dxa"/>
            <w:vAlign w:val="bottom"/>
          </w:tcPr>
          <w:p>
            <w:pPr>
              <w:jc w:val="right"/>
              <w:spacing w:after="0"/>
              <w:rPr>
                <w:sz w:val="20"/>
                <w:szCs w:val="20"/>
                <w:color w:val="auto"/>
              </w:rPr>
            </w:pPr>
            <w:r>
              <w:rPr>
                <w:rFonts w:ascii="Arial" w:cs="Arial" w:eastAsia="Arial" w:hAnsi="Arial"/>
                <w:sz w:val="18"/>
                <w:szCs w:val="18"/>
                <w:color w:val="auto"/>
              </w:rPr>
              <w:t>40.1 %</w:t>
            </w: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100" w:type="dxa"/>
            <w:vAlign w:val="bottom"/>
          </w:tcPr>
          <w:p>
            <w:pPr>
              <w:jc w:val="right"/>
              <w:spacing w:after="0"/>
              <w:rPr>
                <w:sz w:val="20"/>
                <w:szCs w:val="20"/>
                <w:color w:val="auto"/>
              </w:rPr>
            </w:pPr>
            <w:r>
              <w:rPr>
                <w:rFonts w:ascii="Arial" w:cs="Arial" w:eastAsia="Arial" w:hAnsi="Arial"/>
                <w:sz w:val="18"/>
                <w:szCs w:val="18"/>
                <w:color w:val="auto"/>
              </w:rPr>
              <w:t>4.6 %</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Income Taxes</w:t>
      </w:r>
    </w:p>
    <w:p>
      <w:pPr>
        <w:spacing w:after="0" w:line="121"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Our provisions for income taxes includes current federal, state, and foreign income tax expense, as well as deferred tax expense.</w:t>
      </w:r>
    </w:p>
    <w:p>
      <w:pPr>
        <w:spacing w:after="0" w:line="7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271780</wp:posOffset>
            </wp:positionV>
            <wp:extent cx="325755" cy="299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color w:val="0000FF"/>
                <w:w w:val="90"/>
              </w:rPr>
              <w:t>Table of Contents</w:t>
            </w:r>
          </w:p>
        </w:tc>
        <w:tc>
          <w:tcPr>
            <w:tcW w:w="0" w:type="dxa"/>
            <w:vAlign w:val="bottom"/>
          </w:tcPr>
          <w:p>
            <w:pPr>
              <w:spacing w:after="0"/>
              <w:rPr>
                <w:sz w:val="1"/>
                <w:szCs w:val="1"/>
                <w:color w:val="auto"/>
              </w:rPr>
            </w:pPr>
          </w:p>
        </w:tc>
      </w:tr>
      <w:tr>
        <w:trPr>
          <w:trHeight w:val="925"/>
        </w:trPr>
        <w:tc>
          <w:tcPr>
            <w:tcW w:w="5080" w:type="dxa"/>
            <w:vAlign w:val="bottom"/>
            <w:gridSpan w:val="2"/>
          </w:tcPr>
          <w:p>
            <w:pPr>
              <w:spacing w:after="0"/>
              <w:rPr>
                <w:sz w:val="20"/>
                <w:szCs w:val="20"/>
                <w:color w:val="auto"/>
              </w:rPr>
            </w:pPr>
            <w:r>
              <w:rPr>
                <w:rFonts w:ascii="Arial" w:cs="Arial" w:eastAsia="Arial" w:hAnsi="Arial"/>
                <w:sz w:val="18"/>
                <w:szCs w:val="18"/>
                <w:b w:val="1"/>
                <w:bCs w:val="1"/>
                <w:color w:val="00AAE5"/>
              </w:rPr>
              <w:t>NOTE M – Other Income and Expense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040" w:type="dxa"/>
            <w:vAlign w:val="bottom"/>
          </w:tcPr>
          <w:p>
            <w:pPr>
              <w:ind w:left="620"/>
              <w:spacing w:after="0"/>
              <w:rPr>
                <w:sz w:val="20"/>
                <w:szCs w:val="20"/>
                <w:color w:val="auto"/>
              </w:rPr>
            </w:pPr>
            <w:r>
              <w:rPr>
                <w:rFonts w:ascii="Arial" w:cs="Arial" w:eastAsia="Arial" w:hAnsi="Arial"/>
                <w:sz w:val="18"/>
                <w:szCs w:val="18"/>
                <w:color w:val="auto"/>
              </w:rPr>
              <w:t>Other income (expense), net included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6"/>
          </w:tcPr>
          <w:p>
            <w:pPr>
              <w:ind w:lef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left="636"/>
              <w:spacing w:after="0"/>
              <w:rPr>
                <w:sz w:val="20"/>
                <w:szCs w:val="20"/>
                <w:color w:val="auto"/>
              </w:rPr>
            </w:pPr>
            <w:r>
              <w:rPr>
                <w:rFonts w:ascii="Arial" w:cs="Arial" w:eastAsia="Arial" w:hAnsi="Arial"/>
                <w:sz w:val="18"/>
                <w:szCs w:val="18"/>
                <w:color w:val="auto"/>
                <w:w w:val="93"/>
              </w:rPr>
              <w:t>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40" w:type="dxa"/>
            <w:vAlign w:val="bottom"/>
          </w:tcPr>
          <w:p>
            <w:pPr>
              <w:ind w:left="20"/>
              <w:spacing w:after="0" w:line="189" w:lineRule="exact"/>
              <w:rPr>
                <w:sz w:val="20"/>
                <w:szCs w:val="20"/>
                <w:color w:val="auto"/>
              </w:rPr>
            </w:pPr>
            <w:r>
              <w:rPr>
                <w:rFonts w:ascii="Arial" w:cs="Arial" w:eastAsia="Arial" w:hAnsi="Arial"/>
                <w:sz w:val="18"/>
                <w:szCs w:val="18"/>
                <w:color w:val="auto"/>
                <w:w w:val="93"/>
              </w:rPr>
              <w:t>Realized gain (loss) from foreign currency on cash and investments</w:t>
            </w: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(1,327)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restart"/>
          </w:tcPr>
          <w:p>
            <w:pPr>
              <w:jc w:val="center"/>
              <w:ind w:left="596"/>
              <w:spacing w:after="0"/>
              <w:rPr>
                <w:sz w:val="20"/>
                <w:szCs w:val="20"/>
                <w:color w:val="auto"/>
              </w:rPr>
            </w:pPr>
            <w:r>
              <w:rPr>
                <w:rFonts w:ascii="Arial" w:cs="Arial" w:eastAsia="Arial" w:hAnsi="Arial"/>
                <w:sz w:val="18"/>
                <w:szCs w:val="18"/>
                <w:color w:val="auto"/>
                <w:w w:val="95"/>
              </w:rPr>
              <w:t>(859)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held</w:t>
            </w: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50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center"/>
              <w:ind w:left="596"/>
              <w:spacing w:after="0"/>
              <w:rPr>
                <w:sz w:val="20"/>
                <w:szCs w:val="20"/>
                <w:color w:val="auto"/>
              </w:rPr>
            </w:pPr>
            <w:r>
              <w:rPr>
                <w:rFonts w:ascii="Arial" w:cs="Arial" w:eastAsia="Arial" w:hAnsi="Arial"/>
                <w:sz w:val="18"/>
                <w:szCs w:val="18"/>
                <w:color w:val="auto"/>
                <w:w w:val="95"/>
              </w:rPr>
              <w:t>(276)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596"/>
              <w:spacing w:after="0"/>
              <w:rPr>
                <w:sz w:val="20"/>
                <w:szCs w:val="20"/>
                <w:color w:val="auto"/>
              </w:rPr>
            </w:pPr>
            <w:r>
              <w:rPr>
                <w:rFonts w:ascii="Arial" w:cs="Arial" w:eastAsia="Arial" w:hAnsi="Arial"/>
                <w:sz w:val="18"/>
                <w:szCs w:val="18"/>
                <w:color w:val="auto"/>
                <w:w w:val="95"/>
              </w:rPr>
              <w:t>(915)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and computation of basic and diluted net income per share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14,682</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10,753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29,971</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 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36,110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Options to purchase 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PSUs, RSUs, RSAs, and DSUs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diluted</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0.39</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number of outstanding potential common shares that were excluded from the calculation of diluted net income per share as they were anti-dilutive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58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6"/>
        </w:trPr>
        <w:tc>
          <w:tcPr>
            <w:tcW w:w="50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9"/>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10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O –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Domestic revenue, which we define as revenue that was attributable to customers based within the U.S.,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revenue</w:t>
            </w:r>
          </w:p>
        </w:tc>
        <w:tc>
          <w:tcPr>
            <w:tcW w:w="9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84 %</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364"/>
        </w:trPr>
        <w:tc>
          <w:tcPr>
            <w:tcW w:w="7460" w:type="dxa"/>
            <w:vAlign w:val="bottom"/>
            <w:gridSpan w:val="5"/>
          </w:tcPr>
          <w:p>
            <w:pPr>
              <w:ind w:left="660"/>
              <w:spacing w:after="0"/>
              <w:rPr>
                <w:sz w:val="20"/>
                <w:szCs w:val="20"/>
                <w:color w:val="auto"/>
              </w:rPr>
            </w:pPr>
            <w:r>
              <w:rPr>
                <w:rFonts w:ascii="Arial" w:cs="Arial" w:eastAsia="Arial" w:hAnsi="Arial"/>
                <w:sz w:val="18"/>
                <w:szCs w:val="18"/>
                <w:color w:val="auto"/>
              </w:rPr>
              <w:t>No single jurisdiction outside of the U.S. had revenues in excess of 10%.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40" w:type="dxa"/>
            <w:vAlign w:val="bottom"/>
            <w:gridSpan w:val="9"/>
          </w:tcPr>
          <w:p>
            <w:pPr>
              <w:ind w:left="660"/>
              <w:spacing w:after="0"/>
              <w:rPr>
                <w:sz w:val="20"/>
                <w:szCs w:val="20"/>
                <w:color w:val="auto"/>
              </w:rPr>
            </w:pPr>
            <w:r>
              <w:rPr>
                <w:rFonts w:ascii="Arial" w:cs="Arial" w:eastAsia="Arial" w:hAnsi="Arial"/>
                <w:sz w:val="18"/>
                <w:szCs w:val="18"/>
                <w:color w:val="auto"/>
              </w:rPr>
              <w:t>Property and equipment, net located at subsidiary and office locations outside of the U.S. was as follows: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property and equipment</w:t>
            </w: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2022, as may be updated in our subsequent Quarterly Reports on Form 10-Q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jc w:val="both"/>
        <w:ind w:right="340" w:firstLine="648"/>
        <w:spacing w:after="0" w:line="279" w:lineRule="auto"/>
        <w:rPr>
          <w:sz w:val="20"/>
          <w:szCs w:val="20"/>
          <w:color w:val="auto"/>
        </w:rPr>
      </w:pPr>
      <w:r>
        <w:rPr>
          <w:rFonts w:ascii="Arial" w:cs="Arial" w:eastAsia="Arial" w:hAnsi="Arial"/>
          <w:sz w:val="17"/>
          <w:szCs w:val="17"/>
          <w:color w:val="auto"/>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spacing w:after="0" w:line="6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products enable customers to increase supply chain performance, optimize inventory levels and sell-through, reduce operational costs, improve order visibility, and satisfy consumer demands for a seamless omnichannel experience.</w:t>
      </w:r>
    </w:p>
    <w:p>
      <w:pPr>
        <w:spacing w:after="0" w:line="6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Metrics and Non-GAAP Measures</w:t>
      </w:r>
    </w:p>
    <w:p>
      <w:pPr>
        <w:spacing w:after="0" w:line="12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have several key financial terms, metrics, and non-GAAP measures as discussed in our Annual Report on Form 10-K for the year ended December 31, 2022, as filed with the SEC,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p>
    <w:p>
      <w:pPr>
        <w:spacing w:after="0" w:line="16"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To supplement our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spacing w:after="0" w:line="4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spacing w:after="0" w:line="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These non-GAAP financial measures should not be considered a substitute for, or superior to, financial measures calculated in accordance with GAAP. These non-GAAP financial measures exclude significant expenses and income that are required by GAAP to be recorded in our consolidated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254635</wp:posOffset>
            </wp:positionV>
            <wp:extent cx="325755"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June 30, 2023 Compared to Three Months Ended June 30, 2022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 of revenue</w:t>
            </w:r>
            <w:r>
              <w:rPr>
                <w:rFonts w:ascii="Arial" w:cs="Arial" w:eastAsia="Arial" w:hAnsi="Arial"/>
                <w:sz w:val="9"/>
                <w:szCs w:val="9"/>
                <w:b w:val="1"/>
                <w:bCs w:val="1"/>
                <w:color w:val="auto"/>
                <w:w w:val="95"/>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 of revenue</w:t>
            </w:r>
            <w:r>
              <w:rPr>
                <w:rFonts w:ascii="Arial" w:cs="Arial" w:eastAsia="Arial" w:hAnsi="Arial"/>
                <w:sz w:val="9"/>
                <w:szCs w:val="9"/>
                <w:b w:val="1"/>
                <w:bCs w:val="1"/>
                <w:color w:val="auto"/>
                <w:w w:val="93"/>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90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130,416</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109,178</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21,238</w:t>
            </w: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44,544</w:t>
            </w:r>
          </w:p>
        </w:tc>
        <w:tc>
          <w:tcPr>
            <w:tcW w:w="2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1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37,530</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5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30,349</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13,318</w:t>
            </w:r>
          </w:p>
        </w:tc>
        <w:tc>
          <w:tcPr>
            <w:tcW w:w="2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11,432</w:t>
            </w:r>
          </w:p>
        </w:tc>
        <w:tc>
          <w:tcPr>
            <w:tcW w:w="28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1,886</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2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28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68,839</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5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17,033</w:t>
            </w:r>
          </w:p>
        </w:tc>
        <w:tc>
          <w:tcPr>
            <w:tcW w:w="28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15,968</w:t>
            </w:r>
          </w:p>
        </w:tc>
        <w:tc>
          <w:tcPr>
            <w:tcW w:w="28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w:t>
            </w:r>
          </w:p>
        </w:tc>
        <w:tc>
          <w:tcPr>
            <w:tcW w:w="520" w:type="dxa"/>
            <w:vAlign w:val="bottom"/>
          </w:tcPr>
          <w:p>
            <w:pPr>
              <w:spacing w:after="0"/>
              <w:rPr>
                <w:sz w:val="20"/>
                <w:szCs w:val="20"/>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18,915</w:t>
            </w:r>
          </w:p>
        </w:tc>
        <w:tc>
          <w:tcPr>
            <w:tcW w:w="2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14,630</w:t>
            </w:r>
          </w:p>
        </w:tc>
        <w:tc>
          <w:tcPr>
            <w:tcW w:w="28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4,285</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(1) Amounts in column may not foot due to rounding</w:t>
      </w:r>
    </w:p>
    <w:p>
      <w:pPr>
        <w:spacing w:after="0" w:line="32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Revenues increased for the 90th consecutive quarter. The increase in revenue resulted from two primary factors: the increase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recurring revenue customers, which is driven primarily by continued 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980" w:right="3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number of recurring revenue customers increased 11% to 43,000 at </w:t>
      </w:r>
      <w:r>
        <w:rPr>
          <w:rFonts w:ascii="Arial" w:cs="Arial" w:eastAsia="Arial" w:hAnsi="Arial"/>
          <w:sz w:val="18"/>
          <w:szCs w:val="18"/>
          <w:color w:val="1F282C"/>
        </w:rPr>
        <w:t>June 30, 2023</w:t>
      </w:r>
      <w:r>
        <w:rPr>
          <w:rFonts w:ascii="Arial" w:cs="Arial" w:eastAsia="Arial" w:hAnsi="Arial"/>
          <w:sz w:val="18"/>
          <w:szCs w:val="18"/>
          <w:color w:val="auto"/>
        </w:rPr>
        <w:t xml:space="preserve"> from 38,650 at </w:t>
      </w:r>
      <w:r>
        <w:rPr>
          <w:rFonts w:ascii="Arial" w:cs="Arial" w:eastAsia="Arial" w:hAnsi="Arial"/>
          <w:sz w:val="18"/>
          <w:szCs w:val="18"/>
          <w:color w:val="1F282C"/>
        </w:rPr>
        <w:t>June 30, 2022 primarily due to sales</w:t>
      </w:r>
      <w:r>
        <w:rPr>
          <w:rFonts w:ascii="Arial" w:cs="Arial" w:eastAsia="Arial" w:hAnsi="Arial"/>
          <w:sz w:val="18"/>
          <w:szCs w:val="18"/>
          <w:color w:val="auto"/>
        </w:rPr>
        <w:t xml:space="preserve"> </w:t>
      </w:r>
      <w:r>
        <w:rPr>
          <w:rFonts w:ascii="Arial" w:cs="Arial" w:eastAsia="Arial" w:hAnsi="Arial"/>
          <w:sz w:val="18"/>
          <w:szCs w:val="18"/>
          <w:color w:val="1F282C"/>
        </w:rPr>
        <w:t>and marketing efforts to acquire new customers and due to recent acquisitions.</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Wallet share increased 8% to $11,350 for the three months ended </w:t>
      </w:r>
      <w:r>
        <w:rPr>
          <w:rFonts w:ascii="Arial" w:cs="Arial" w:eastAsia="Arial" w:hAnsi="Arial"/>
          <w:sz w:val="18"/>
          <w:szCs w:val="18"/>
          <w:color w:val="1F282C"/>
        </w:rPr>
        <w:t>June 30, 2023</w:t>
      </w:r>
      <w:r>
        <w:rPr>
          <w:rFonts w:ascii="Arial" w:cs="Arial" w:eastAsia="Arial" w:hAnsi="Arial"/>
          <w:sz w:val="18"/>
          <w:szCs w:val="18"/>
          <w:color w:val="auto"/>
        </w:rPr>
        <w:t xml:space="preserve"> from $10,550 for the same period in 2022. This was primarily attributable to increased usage of our products by our recurring revenue customers.</w:t>
      </w:r>
    </w:p>
    <w:p>
      <w:pPr>
        <w:spacing w:after="0" w:line="6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 xml:space="preserve">Recurring revenues increased 20% to $121.5 million for the three months ended </w:t>
      </w:r>
      <w:r>
        <w:rPr>
          <w:rFonts w:ascii="Arial" w:cs="Arial" w:eastAsia="Arial" w:hAnsi="Arial"/>
          <w:sz w:val="16"/>
          <w:szCs w:val="16"/>
          <w:color w:val="1F282C"/>
        </w:rPr>
        <w:t>June 30, 2023 compared to the three months ended June 30, 2022.</w:t>
      </w:r>
      <w:r>
        <w:rPr>
          <w:rFonts w:ascii="Arial" w:cs="Arial" w:eastAsia="Arial" w:hAnsi="Arial"/>
          <w:sz w:val="16"/>
          <w:szCs w:val="16"/>
          <w:color w:val="auto"/>
        </w:rPr>
        <w:t xml:space="preserve"> </w:t>
      </w:r>
      <w:r>
        <w:rPr>
          <w:rFonts w:ascii="Arial" w:cs="Arial" w:eastAsia="Arial" w:hAnsi="Arial"/>
          <w:sz w:val="16"/>
          <w:szCs w:val="16"/>
          <w:color w:val="1F282C"/>
        </w:rPr>
        <w:t xml:space="preserve">Recurring revenues </w:t>
      </w:r>
      <w:r>
        <w:rPr>
          <w:rFonts w:ascii="Arial" w:cs="Arial" w:eastAsia="Arial" w:hAnsi="Arial"/>
          <w:sz w:val="16"/>
          <w:szCs w:val="16"/>
          <w:color w:val="000000"/>
        </w:rPr>
        <w:t>accounted for 93% of our total revenues for the three months ended</w:t>
      </w:r>
      <w:r>
        <w:rPr>
          <w:rFonts w:ascii="Arial" w:cs="Arial" w:eastAsia="Arial" w:hAnsi="Arial"/>
          <w:sz w:val="16"/>
          <w:szCs w:val="16"/>
          <w:color w:val="1F282C"/>
        </w:rPr>
        <w:t xml:space="preserve"> June 30, 2023 </w:t>
      </w:r>
      <w:r>
        <w:rPr>
          <w:rFonts w:ascii="Arial" w:cs="Arial" w:eastAsia="Arial" w:hAnsi="Arial"/>
          <w:sz w:val="16"/>
          <w:szCs w:val="16"/>
          <w:color w:val="000000"/>
        </w:rPr>
        <w:t>and 2022. We anticipate that the number of recurring</w:t>
      </w:r>
      <w:r>
        <w:rPr>
          <w:rFonts w:ascii="Arial" w:cs="Arial" w:eastAsia="Arial" w:hAnsi="Arial"/>
          <w:sz w:val="16"/>
          <w:szCs w:val="16"/>
          <w:color w:val="1F282C"/>
        </w:rPr>
        <w:t xml:space="preserve"> </w:t>
      </w:r>
      <w:r>
        <w:rPr>
          <w:rFonts w:ascii="Arial" w:cs="Arial" w:eastAsia="Arial" w:hAnsi="Arial"/>
          <w:sz w:val="16"/>
          <w:szCs w:val="16"/>
          <w:color w:val="000000"/>
        </w:rPr>
        <w:t>revenue customers and wallet share will continue to increase as we execute our growth strategy focused on further penetration of our market.</w:t>
      </w:r>
    </w:p>
    <w:p>
      <w:pPr>
        <w:spacing w:after="0" w:line="14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Cost of Revenues - </w:t>
      </w:r>
      <w:r>
        <w:rPr>
          <w:rFonts w:ascii="Arial" w:cs="Arial" w:eastAsia="Arial" w:hAnsi="Arial"/>
          <w:sz w:val="18"/>
          <w:szCs w:val="18"/>
          <w:color w:val="000000"/>
        </w:rPr>
        <w:t>The increase in cost of revenues was primarily due to increased headcount, which resulted in an increase of $5.0 million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personnel-related costs.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Sales and Marketing Expenses - </w:t>
      </w:r>
      <w:r>
        <w:rPr>
          <w:rFonts w:ascii="Arial" w:cs="Arial" w:eastAsia="Arial" w:hAnsi="Arial"/>
          <w:sz w:val="18"/>
          <w:szCs w:val="18"/>
          <w:color w:val="000000"/>
        </w:rPr>
        <w:t>The increase in sales and marketing expense was primarily due to increased headcount, which resulted in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 of $3.6 million in personnel-related costs.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was primarily due to increased headcount, which</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resulted in an increase of $1.1 million in personnel-related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271780</wp:posOffset>
            </wp:positionV>
            <wp:extent cx="325755"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was primarily related to increased stock-based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compensation of $2.8 million. Additionally, the increase was due to supporting continued business growth, including an increase in headcount. The increase in headcount resulted in an increase in personnel-related costs of $1.1 million.</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acquired intangible assets related to recent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business combinations.</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Other Income (Expense), Net - </w:t>
      </w:r>
      <w:r>
        <w:rPr>
          <w:rFonts w:ascii="Arial" w:cs="Arial" w:eastAsia="Arial" w:hAnsi="Arial"/>
          <w:sz w:val="18"/>
          <w:szCs w:val="18"/>
          <w:color w:val="000000"/>
        </w:rPr>
        <w:t>The increase in other income (expense), net was primarily due to favorable investment returns and foreign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currency exchange rate changes.</w:t>
      </w:r>
    </w:p>
    <w:p>
      <w:pPr>
        <w:spacing w:after="0" w:line="170"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b w:val="1"/>
          <w:bCs w:val="1"/>
          <w:i w:val="1"/>
          <w:iCs w:val="1"/>
          <w:color w:val="1F282C"/>
        </w:rPr>
        <w:t xml:space="preserve">Income Tax Expense - </w:t>
      </w:r>
      <w:r>
        <w:rPr>
          <w:rFonts w:ascii="Arial" w:cs="Arial" w:eastAsia="Arial" w:hAnsi="Arial"/>
          <w:sz w:val="16"/>
          <w:szCs w:val="16"/>
          <w:color w:val="000000"/>
        </w:rPr>
        <w:t>The increase in income tax expense was primarily driven by the increase pre-tax income, as partially offset by changes in</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the excess tax deductions from current period equity award settlements. Excess tax benefits generated upon the settlement or exercise of stock awards are recognized as a reduction to income tax expense and, as a result, we expect that our annual effective income tax rate will fluctuate.</w:t>
      </w:r>
    </w:p>
    <w:p>
      <w:pPr>
        <w:spacing w:after="0" w:line="14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 Other adjustments included the expense impact from the disposals of certain capitalized internally developed software. Net income is the comparable GAAP measure of financial performance.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Adjusted EBITDA: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3,877</w:t>
            </w:r>
          </w:p>
        </w:tc>
      </w:tr>
      <w:tr>
        <w:trPr>
          <w:trHeight w:val="23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2,468</w:t>
            </w:r>
          </w:p>
        </w:tc>
      </w:tr>
      <w:tr>
        <w:trPr>
          <w:trHeight w:val="24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3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Adjusted EBITDA Margin - </w:t>
      </w:r>
      <w:r>
        <w:rPr>
          <w:rFonts w:ascii="Arial" w:cs="Arial" w:eastAsia="Arial" w:hAnsi="Arial"/>
          <w:sz w:val="18"/>
          <w:szCs w:val="18"/>
          <w:color w:val="000000"/>
        </w:rPr>
        <w:t>Adjusted EBITDA Margin consists of Adjusted EBITDA divided by revenue. Margin, the comparable GAAP</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measure of financial performance, consists of net income divided by revenue.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Margin to Adjusted EBITDA Margin: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r>
      <w:tr>
        <w:trPr>
          <w:trHeight w:val="196"/>
        </w:trPr>
        <w:tc>
          <w:tcPr>
            <w:tcW w:w="7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7"/>
                <w:szCs w:val="17"/>
                <w:color w:val="auto"/>
              </w:rPr>
            </w:pPr>
          </w:p>
        </w:tc>
      </w:tr>
      <w:tr>
        <w:trPr>
          <w:trHeight w:val="19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130,416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109,178</w:t>
            </w:r>
          </w:p>
        </w:tc>
      </w:tr>
      <w:tr>
        <w:trPr>
          <w:trHeight w:val="270"/>
        </w:trPr>
        <w:tc>
          <w:tcPr>
            <w:tcW w:w="7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14,682</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10,753</w:t>
            </w:r>
          </w:p>
        </w:tc>
      </w:tr>
      <w:tr>
        <w:trPr>
          <w:trHeight w:val="236"/>
        </w:trPr>
        <w:tc>
          <w:tcPr>
            <w:tcW w:w="7920" w:type="dxa"/>
            <w:vAlign w:val="bottom"/>
          </w:tcPr>
          <w:p>
            <w:pPr>
              <w:ind w:left="20"/>
              <w:spacing w:after="0"/>
              <w:rPr>
                <w:sz w:val="20"/>
                <w:szCs w:val="20"/>
                <w:color w:val="auto"/>
              </w:rPr>
            </w:pPr>
            <w:r>
              <w:rPr>
                <w:rFonts w:ascii="Arial" w:cs="Arial" w:eastAsia="Arial" w:hAnsi="Arial"/>
                <w:sz w:val="18"/>
                <w:szCs w:val="18"/>
                <w:color w:val="auto"/>
              </w:rPr>
              <w:t>Margin</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38,171</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30,864</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351790</wp:posOffset>
            </wp:positionV>
            <wp:extent cx="325755"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b w:val="1"/>
          <w:bCs w:val="1"/>
          <w:i w:val="1"/>
          <w:iCs w:val="1"/>
          <w:color w:val="1F282C"/>
        </w:rPr>
        <w:t xml:space="preserve">Non-GAAP Income per Share - </w:t>
      </w:r>
      <w:r>
        <w:rPr>
          <w:rFonts w:ascii="Arial" w:cs="Arial" w:eastAsia="Arial" w:hAnsi="Arial"/>
          <w:sz w:val="17"/>
          <w:szCs w:val="17"/>
          <w:color w:val="000000"/>
        </w:rPr>
        <w:t>Non-GAAP income per share consists of net income adjusted for stock-based compensation expense,</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 Other adjustments included the expense impact from the disposals of certain capitalized internally developed software. Net income per share, the comparable GAAP measure of financial performance, consists of net income divided by the weighted average number of shares of common and diluted stock outstanding during each period.</w:t>
      </w:r>
    </w:p>
    <w:p>
      <w:pPr>
        <w:spacing w:after="0" w:line="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per share to non-GAAP income per share: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r>
      <w:tr>
        <w:trPr>
          <w:trHeight w:val="237"/>
        </w:trPr>
        <w:tc>
          <w:tcPr>
            <w:tcW w:w="816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8,661</w:t>
            </w:r>
          </w:p>
        </w:tc>
      </w:tr>
      <w:tr>
        <w:trPr>
          <w:trHeight w:val="236"/>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30"/>
        </w:trPr>
        <w:tc>
          <w:tcPr>
            <w:tcW w:w="8160" w:type="dxa"/>
            <w:vAlign w:val="bottom"/>
          </w:tcPr>
          <w:p>
            <w:pPr>
              <w:ind w:left="30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4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to compute net income and non-GAAP income per share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8160" w:type="dxa"/>
            <w:vAlign w:val="bottom"/>
          </w:tcPr>
          <w:p>
            <w:pPr>
              <w:ind w:left="3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36,085</w:t>
            </w:r>
          </w:p>
        </w:tc>
      </w:tr>
      <w:tr>
        <w:trPr>
          <w:trHeight w:val="230"/>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36,862</w:t>
            </w:r>
          </w:p>
        </w:tc>
      </w:tr>
      <w:tr>
        <w:trPr>
          <w:trHeight w:val="270"/>
        </w:trPr>
        <w:tc>
          <w:tcPr>
            <w:tcW w:w="8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Non-GAAP adjustments to net income per share, basic</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Non-GAAP adjustments to net income per share, diluted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 per share,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574675</wp:posOffset>
            </wp:positionV>
            <wp:extent cx="32575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Six Months Ended June 30, 2023 Compared to Six Months Ended June 30, 2022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 of revenue</w:t>
            </w:r>
            <w:r>
              <w:rPr>
                <w:rFonts w:ascii="Arial" w:cs="Arial" w:eastAsia="Arial" w:hAnsi="Arial"/>
                <w:sz w:val="9"/>
                <w:szCs w:val="9"/>
                <w:b w:val="1"/>
                <w:bCs w:val="1"/>
                <w:color w:val="auto"/>
                <w:w w:val="95"/>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 of revenue</w:t>
            </w:r>
            <w:r>
              <w:rPr>
                <w:rFonts w:ascii="Arial" w:cs="Arial" w:eastAsia="Arial" w:hAnsi="Arial"/>
                <w:sz w:val="9"/>
                <w:szCs w:val="9"/>
                <w:b w:val="1"/>
                <w:bCs w:val="1"/>
                <w:color w:val="auto"/>
                <w:w w:val="93"/>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90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256,284</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214,371</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41,913</w:t>
            </w: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87,508</w:t>
            </w:r>
          </w:p>
        </w:tc>
        <w:tc>
          <w:tcPr>
            <w:tcW w:w="2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12"/>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72,919</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14,589</w:t>
            </w:r>
          </w:p>
        </w:tc>
        <w:tc>
          <w:tcPr>
            <w:tcW w:w="5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168,776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59,433</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49,237</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25,880</w:t>
            </w:r>
          </w:p>
        </w:tc>
        <w:tc>
          <w:tcPr>
            <w:tcW w:w="2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22,133</w:t>
            </w:r>
          </w:p>
        </w:tc>
        <w:tc>
          <w:tcPr>
            <w:tcW w:w="28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3,747</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42,369</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2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28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135,012</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108,974</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26,038</w:t>
            </w:r>
          </w:p>
        </w:tc>
        <w:tc>
          <w:tcPr>
            <w:tcW w:w="5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33,764</w:t>
            </w:r>
          </w:p>
        </w:tc>
        <w:tc>
          <w:tcPr>
            <w:tcW w:w="2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right"/>
              <w:ind w:right="1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32,478</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5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5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36,921</w:t>
            </w:r>
          </w:p>
        </w:tc>
        <w:tc>
          <w:tcPr>
            <w:tcW w:w="2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31,563</w:t>
            </w:r>
          </w:p>
        </w:tc>
        <w:tc>
          <w:tcPr>
            <w:tcW w:w="28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5,358</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23,356</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(1) Amounts in column may not foot due to rounding</w:t>
      </w:r>
    </w:p>
    <w:p>
      <w:pPr>
        <w:spacing w:after="0" w:line="32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 resulted from two primary factors: the increase in recurring revenue customers, which is driven primarily by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continued 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980" w:right="3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number of recurring revenue customers increased 11% to 43,000 at </w:t>
      </w:r>
      <w:r>
        <w:rPr>
          <w:rFonts w:ascii="Arial" w:cs="Arial" w:eastAsia="Arial" w:hAnsi="Arial"/>
          <w:sz w:val="18"/>
          <w:szCs w:val="18"/>
          <w:color w:val="1F282C"/>
        </w:rPr>
        <w:t>June 30, 2023</w:t>
      </w:r>
      <w:r>
        <w:rPr>
          <w:rFonts w:ascii="Arial" w:cs="Arial" w:eastAsia="Arial" w:hAnsi="Arial"/>
          <w:sz w:val="18"/>
          <w:szCs w:val="18"/>
          <w:color w:val="auto"/>
        </w:rPr>
        <w:t xml:space="preserve"> from 38,650 at </w:t>
      </w:r>
      <w:r>
        <w:rPr>
          <w:rFonts w:ascii="Arial" w:cs="Arial" w:eastAsia="Arial" w:hAnsi="Arial"/>
          <w:sz w:val="18"/>
          <w:szCs w:val="18"/>
          <w:color w:val="1F282C"/>
        </w:rPr>
        <w:t>June 30, 2022 primarily due to sales</w:t>
      </w:r>
      <w:r>
        <w:rPr>
          <w:rFonts w:ascii="Arial" w:cs="Arial" w:eastAsia="Arial" w:hAnsi="Arial"/>
          <w:sz w:val="18"/>
          <w:szCs w:val="18"/>
          <w:color w:val="auto"/>
        </w:rPr>
        <w:t xml:space="preserve"> </w:t>
      </w:r>
      <w:r>
        <w:rPr>
          <w:rFonts w:ascii="Arial" w:cs="Arial" w:eastAsia="Arial" w:hAnsi="Arial"/>
          <w:sz w:val="18"/>
          <w:szCs w:val="18"/>
          <w:color w:val="1F282C"/>
        </w:rPr>
        <w:t>and marketing efforts to acquire new customers and due to recent acquisitions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Wallet share increased 7% to $11,200 for the six months ended </w:t>
      </w:r>
      <w:r>
        <w:rPr>
          <w:rFonts w:ascii="Arial" w:cs="Arial" w:eastAsia="Arial" w:hAnsi="Arial"/>
          <w:sz w:val="18"/>
          <w:szCs w:val="18"/>
          <w:color w:val="1F282C"/>
        </w:rPr>
        <w:t>June 30, 2023</w:t>
      </w:r>
      <w:r>
        <w:rPr>
          <w:rFonts w:ascii="Arial" w:cs="Arial" w:eastAsia="Arial" w:hAnsi="Arial"/>
          <w:sz w:val="18"/>
          <w:szCs w:val="18"/>
          <w:color w:val="auto"/>
        </w:rPr>
        <w:t xml:space="preserve"> from $10,450 for the same period in 2022. The increase was primarily attributable to increased usage of our solutions by our recurring revenue customers.</w:t>
      </w:r>
    </w:p>
    <w:p>
      <w:pPr>
        <w:spacing w:after="0" w:line="6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Recurring revenues increased 20% to $238.8 million for the six months ended </w:t>
      </w:r>
      <w:r>
        <w:rPr>
          <w:rFonts w:ascii="Arial" w:cs="Arial" w:eastAsia="Arial" w:hAnsi="Arial"/>
          <w:sz w:val="18"/>
          <w:szCs w:val="18"/>
          <w:color w:val="1F282C"/>
        </w:rPr>
        <w:t>June 30, 2023 compared to the</w:t>
      </w:r>
      <w:r>
        <w:rPr>
          <w:rFonts w:ascii="Arial" w:cs="Arial" w:eastAsia="Arial" w:hAnsi="Arial"/>
          <w:sz w:val="18"/>
          <w:szCs w:val="18"/>
          <w:color w:val="auto"/>
        </w:rPr>
        <w:t xml:space="preserve"> six </w:t>
      </w:r>
      <w:r>
        <w:rPr>
          <w:rFonts w:ascii="Arial" w:cs="Arial" w:eastAsia="Arial" w:hAnsi="Arial"/>
          <w:sz w:val="18"/>
          <w:szCs w:val="18"/>
          <w:color w:val="1F282C"/>
        </w:rPr>
        <w:t>months ended June 30, 2022.</w:t>
      </w:r>
      <w:r>
        <w:rPr>
          <w:rFonts w:ascii="Arial" w:cs="Arial" w:eastAsia="Arial" w:hAnsi="Arial"/>
          <w:sz w:val="18"/>
          <w:szCs w:val="18"/>
          <w:color w:val="auto"/>
        </w:rPr>
        <w:t xml:space="preserve"> </w:t>
      </w:r>
      <w:r>
        <w:rPr>
          <w:rFonts w:ascii="Arial" w:cs="Arial" w:eastAsia="Arial" w:hAnsi="Arial"/>
          <w:sz w:val="18"/>
          <w:szCs w:val="18"/>
          <w:color w:val="1F282C"/>
        </w:rPr>
        <w:t xml:space="preserve">Recurring revenues </w:t>
      </w:r>
      <w:r>
        <w:rPr>
          <w:rFonts w:ascii="Arial" w:cs="Arial" w:eastAsia="Arial" w:hAnsi="Arial"/>
          <w:sz w:val="18"/>
          <w:szCs w:val="18"/>
          <w:color w:val="000000"/>
        </w:rPr>
        <w:t>from recurring revenue customers accounted for 93% of our total revenues for the six months ended</w:t>
      </w:r>
      <w:r>
        <w:rPr>
          <w:rFonts w:ascii="Arial" w:cs="Arial" w:eastAsia="Arial" w:hAnsi="Arial"/>
          <w:sz w:val="18"/>
          <w:szCs w:val="18"/>
          <w:color w:val="1F282C"/>
        </w:rPr>
        <w:t xml:space="preserve"> June 30, 2023 </w:t>
      </w:r>
      <w:r>
        <w:rPr>
          <w:rFonts w:ascii="Arial" w:cs="Arial" w:eastAsia="Arial" w:hAnsi="Arial"/>
          <w:sz w:val="18"/>
          <w:szCs w:val="18"/>
          <w:color w:val="000000"/>
        </w:rPr>
        <w:t>and 2022,</w:t>
      </w:r>
      <w:r>
        <w:rPr>
          <w:rFonts w:ascii="Arial" w:cs="Arial" w:eastAsia="Arial" w:hAnsi="Arial"/>
          <w:sz w:val="18"/>
          <w:szCs w:val="18"/>
          <w:color w:val="1F282C"/>
        </w:rPr>
        <w:t xml:space="preserve"> </w:t>
      </w:r>
      <w:r>
        <w:rPr>
          <w:rFonts w:ascii="Arial" w:cs="Arial" w:eastAsia="Arial" w:hAnsi="Arial"/>
          <w:sz w:val="18"/>
          <w:szCs w:val="18"/>
          <w:color w:val="000000"/>
        </w:rPr>
        <w:t>respectively. We anticipate that the number of recurring revenue customers and wallet share will continue to increase as we execute our growth strategy focused on further penetrations of our market.</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Cost of Revenues - </w:t>
      </w:r>
      <w:r>
        <w:rPr>
          <w:rFonts w:ascii="Arial" w:cs="Arial" w:eastAsia="Arial" w:hAnsi="Arial"/>
          <w:sz w:val="18"/>
          <w:szCs w:val="18"/>
          <w:color w:val="000000"/>
        </w:rPr>
        <w:t>The increase in cost of revenues was primarily due to increased headcount, which resulted in an increase of $10.8 million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personnel-related costs and an increase of $1.4 million of software subscriptions.</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Sales and Marketing Expenses - </w:t>
      </w:r>
      <w:r>
        <w:rPr>
          <w:rFonts w:ascii="Arial" w:cs="Arial" w:eastAsia="Arial" w:hAnsi="Arial"/>
          <w:sz w:val="18"/>
          <w:szCs w:val="18"/>
          <w:color w:val="000000"/>
        </w:rPr>
        <w:t>The increase in sales and marketing expense was primarily due to increased headcount, which resulted in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increases of $7.0 million in personnel-related costs, $1.0 million in stock-based compensation, and $1.0 million in variable compensation earned by sales personnel and referral partners.</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was primarily due to increased headcount, which</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resulted in an increase of $2.3 million in personnel-related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271780</wp:posOffset>
            </wp:positionV>
            <wp:extent cx="325755"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was primarily related to increased stock-based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compensation of $4.5 million. Additionally, the increase was due to supporting continued business growth, including an increase in headcount. The increase in headcount resulted in an increase in personnel-related costs of $2.5 million and an increase of $1.0 million of software subscriptions. Additionally, there was an increase in charitable contributions of $1.0 million.</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acquired intangible assets related to recent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business combinations.</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Other Income (Expense), Net - </w:t>
      </w:r>
      <w:r>
        <w:rPr>
          <w:rFonts w:ascii="Arial" w:cs="Arial" w:eastAsia="Arial" w:hAnsi="Arial"/>
          <w:sz w:val="18"/>
          <w:szCs w:val="18"/>
          <w:color w:val="000000"/>
        </w:rPr>
        <w:t>The increase in other income (expense), net was primarily due to favorable investment returns and foreign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currency exchange rate changes.</w:t>
      </w:r>
    </w:p>
    <w:p>
      <w:pPr>
        <w:spacing w:after="0" w:line="170"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b w:val="1"/>
          <w:bCs w:val="1"/>
          <w:i w:val="1"/>
          <w:iCs w:val="1"/>
          <w:color w:val="1F282C"/>
        </w:rPr>
        <w:t xml:space="preserve">Income Tax Expense - </w:t>
      </w:r>
      <w:r>
        <w:rPr>
          <w:rFonts w:ascii="Arial" w:cs="Arial" w:eastAsia="Arial" w:hAnsi="Arial"/>
          <w:sz w:val="16"/>
          <w:szCs w:val="16"/>
          <w:color w:val="000000"/>
        </w:rPr>
        <w:t>The decrease in income tax expense was primarily driven by the change in the excess tax deductions due to the current</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period equity award settlements, as partially offset by an increase in pre-tax income. Excess tax benefits generated upon the settlement or exercise of stock awards are recognized as a reduction to income tax expense and, as a result, we expect that our annual effective income tax rate will fluctuate.</w:t>
      </w:r>
    </w:p>
    <w:p>
      <w:pPr>
        <w:spacing w:after="0" w:line="14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 Other adjustments included the expense impact from the disposals of certain capitalized internally developed software. Net income is the comparable GAAP measure of financial performance.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Adjusted EBITDA: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8,207</w:t>
            </w:r>
          </w:p>
        </w:tc>
      </w:tr>
      <w:tr>
        <w:trPr>
          <w:trHeight w:val="23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4,938</w:t>
            </w:r>
          </w:p>
        </w:tc>
      </w:tr>
      <w:tr>
        <w:trPr>
          <w:trHeight w:val="24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3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Adjusted EBITDA Margin - </w:t>
      </w:r>
      <w:r>
        <w:rPr>
          <w:rFonts w:ascii="Arial" w:cs="Arial" w:eastAsia="Arial" w:hAnsi="Arial"/>
          <w:sz w:val="18"/>
          <w:szCs w:val="18"/>
          <w:color w:val="000000"/>
        </w:rPr>
        <w:t>Adjusted EBITDA Margin consists of Adjusted EBITDA divided by revenue. Margin, the comparable GAAP</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measure of financial performance, consists of net income divided by revenue.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Margin to Adjusted EBITDA Margin: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2"/>
              </w:rPr>
              <w:t>Six Months Ended</w:t>
            </w:r>
          </w:p>
        </w:tc>
        <w:tc>
          <w:tcPr>
            <w:tcW w:w="1020" w:type="dxa"/>
            <w:vAlign w:val="bottom"/>
          </w:tcPr>
          <w:p>
            <w:pPr>
              <w:spacing w:after="0"/>
              <w:rPr>
                <w:sz w:val="14"/>
                <w:szCs w:val="14"/>
                <w:color w:val="auto"/>
              </w:rPr>
            </w:pPr>
          </w:p>
        </w:tc>
      </w:tr>
      <w:tr>
        <w:trPr>
          <w:trHeight w:val="196"/>
        </w:trPr>
        <w:tc>
          <w:tcPr>
            <w:tcW w:w="7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7"/>
                <w:szCs w:val="17"/>
                <w:color w:val="auto"/>
              </w:rPr>
            </w:pPr>
          </w:p>
        </w:tc>
      </w:tr>
      <w:tr>
        <w:trPr>
          <w:trHeight w:val="19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256,284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214,371</w:t>
            </w:r>
          </w:p>
        </w:tc>
      </w:tr>
      <w:tr>
        <w:trPr>
          <w:trHeight w:val="270"/>
        </w:trPr>
        <w:tc>
          <w:tcPr>
            <w:tcW w:w="7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29,971</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23,356</w:t>
            </w:r>
          </w:p>
        </w:tc>
      </w:tr>
      <w:tr>
        <w:trPr>
          <w:trHeight w:val="236"/>
        </w:trPr>
        <w:tc>
          <w:tcPr>
            <w:tcW w:w="7920" w:type="dxa"/>
            <w:vAlign w:val="bottom"/>
          </w:tcPr>
          <w:p>
            <w:pPr>
              <w:ind w:left="20"/>
              <w:spacing w:after="0"/>
              <w:rPr>
                <w:sz w:val="20"/>
                <w:szCs w:val="20"/>
                <w:color w:val="auto"/>
              </w:rPr>
            </w:pPr>
            <w:r>
              <w:rPr>
                <w:rFonts w:ascii="Arial" w:cs="Arial" w:eastAsia="Arial" w:hAnsi="Arial"/>
                <w:sz w:val="18"/>
                <w:szCs w:val="18"/>
                <w:color w:val="auto"/>
              </w:rPr>
              <w:t>Margin</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75,171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62,630</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351790</wp:posOffset>
            </wp:positionV>
            <wp:extent cx="325755"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b w:val="1"/>
          <w:bCs w:val="1"/>
          <w:i w:val="1"/>
          <w:iCs w:val="1"/>
          <w:color w:val="1F282C"/>
        </w:rPr>
        <w:t xml:space="preserve">Non-GAAP Income per Share - </w:t>
      </w:r>
      <w:r>
        <w:rPr>
          <w:rFonts w:ascii="Arial" w:cs="Arial" w:eastAsia="Arial" w:hAnsi="Arial"/>
          <w:sz w:val="17"/>
          <w:szCs w:val="17"/>
          <w:color w:val="000000"/>
        </w:rPr>
        <w:t>Non-GAAP income per share consists of net income adjusted for stock-based compensation expense,</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 Other adjustments included the expense impact from the disposals of certain capitalized internally developed software. Net income per share, the comparable GAAP measure of financial performance, consists of net income divided by the weighted average number of shares of common and diluted stock outstanding during each period.</w:t>
      </w:r>
    </w:p>
    <w:p>
      <w:pPr>
        <w:spacing w:after="0" w:line="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per share to non-GAAP income per share: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24,661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17,676</w:t>
            </w:r>
          </w:p>
        </w:tc>
      </w:tr>
      <w:tr>
        <w:trPr>
          <w:trHeight w:val="23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to compute net income and non-GAAP income per share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36,110</w:t>
            </w:r>
          </w:p>
        </w:tc>
      </w:tr>
      <w:tr>
        <w:trPr>
          <w:trHeight w:val="23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36,897</w:t>
            </w:r>
          </w:p>
        </w:tc>
      </w:tr>
      <w:tr>
        <w:trPr>
          <w:trHeight w:val="270"/>
        </w:trPr>
        <w:tc>
          <w:tcPr>
            <w:tcW w:w="8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Non-GAAP adjustments to net income per share, basic</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Non-GAAP adjustments to net income per share, diluted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 per share,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574675</wp:posOffset>
            </wp:positionV>
            <wp:extent cx="325755"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spacing w:after="0" w:line="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six months ended June 30, 2023, there were no changes in our critical accounting policies or estimates. For additional information regarding our critical accounting policies and estimates, see the discussion under "Critical Accounting Policies and Estimates" in "Management's Discussion and Analysis of Financial Condition and Results of Operations" included in our Annual Report on Form 10-K for the year ended December 31, 2022, as filed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1F282C"/>
        </w:rPr>
        <w:t>June 30, 2023</w:t>
      </w:r>
      <w:r>
        <w:rPr>
          <w:rFonts w:ascii="Arial" w:cs="Arial" w:eastAsia="Arial" w:hAnsi="Arial"/>
          <w:sz w:val="18"/>
          <w:szCs w:val="18"/>
          <w:color w:val="auto"/>
        </w:rPr>
        <w:t>, our principal sources of liquidity were cash and cash equivalents and short-term investments totaling $270.2 million and net accounts receivable of $45.0 million. Our investments are selected in accordance with our investment policy, with a goal of maintaining liquidity and capital preservation. Our cash equivalents and short-term investments are held in highly liquid money market funds, certificates of deposits, and commercial paper.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summary of activity within the condensed consolidated statements of cash flows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2"/>
              </w:rPr>
              <w:t>Six Months Ended</w:t>
            </w:r>
          </w:p>
        </w:tc>
        <w:tc>
          <w:tcPr>
            <w:tcW w:w="940" w:type="dxa"/>
            <w:vAlign w:val="bottom"/>
          </w:tcPr>
          <w:p>
            <w:pPr>
              <w:spacing w:after="0"/>
              <w:rPr>
                <w:sz w:val="14"/>
                <w:szCs w:val="14"/>
                <w:color w:val="auto"/>
              </w:rPr>
            </w:pPr>
          </w:p>
        </w:tc>
      </w:t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r>
      <w:tr>
        <w:trPr>
          <w:trHeight w:val="19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(5,294)</w:t>
            </w: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(26,183)</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increase in cash provided by operating activities was primarily driven by changes in the amount and timing of settlement of operating assets and liabilities, in addition to increased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Investing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cash used in investing activities was primarily due to the net investment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Financing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provided by (used in) financing activities was primarily due to the decrease in cash used for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325755" cy="299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Our contractual obligations and commercial commitments as of </w:t>
      </w:r>
      <w:r>
        <w:rPr>
          <w:rFonts w:ascii="Arial" w:cs="Arial" w:eastAsia="Arial" w:hAnsi="Arial"/>
          <w:sz w:val="18"/>
          <w:szCs w:val="18"/>
          <w:color w:val="1F282C"/>
        </w:rPr>
        <w:t>June 30, 2023</w:t>
      </w:r>
      <w:r>
        <w:rPr>
          <w:rFonts w:ascii="Arial" w:cs="Arial" w:eastAsia="Arial" w:hAnsi="Arial"/>
          <w:sz w:val="18"/>
          <w:szCs w:val="18"/>
          <w:color w:val="auto"/>
        </w:rPr>
        <w:t xml:space="preserve"> are summarized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 including imputed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16,294</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commitments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Future Capital Requirements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develop and implement new products and applications, if any;</w:t>
      </w:r>
    </w:p>
    <w:p>
      <w:pPr>
        <w:spacing w:after="0" w:line="117"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products and applications that we may develop;</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 of competitors to our products and applications; and</w:t>
      </w:r>
    </w:p>
    <w:p>
      <w:pPr>
        <w:spacing w:after="0" w:line="117"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5"/>
        </w:numPr>
        <w:rPr>
          <w:rFonts w:ascii="Arial" w:cs="Arial" w:eastAsia="Arial" w:hAnsi="Arial"/>
          <w:sz w:val="18"/>
          <w:szCs w:val="18"/>
          <w:b w:val="1"/>
          <w:bCs w:val="1"/>
          <w:u w:val="single" w:color="auto"/>
          <w:color w:val="auto"/>
        </w:rPr>
      </w:pPr>
      <w:r>
        <w:rPr>
          <w:rFonts w:ascii="Arial" w:cs="Arial" w:eastAsia="Arial" w:hAnsi="Arial"/>
          <w:sz w:val="18"/>
          <w:szCs w:val="18"/>
          <w:color w:val="auto"/>
        </w:rPr>
        <w:t>use of capital for acquisitions, including the €64.5 million TIE Kinetix acquisition expected to close in the quarter ending September 30, 2023.</w:t>
      </w:r>
    </w:p>
    <w:p>
      <w:pPr>
        <w:spacing w:after="0" w:line="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believe our cash, cash equivalents, investments, and cash flows from our operations will be sufficient to meet our working capital and capital expenditure requirements for at least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and Inflation Rate Changes</w:t>
      </w:r>
    </w:p>
    <w:p>
      <w:pPr>
        <w:spacing w:after="0" w:line="11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spacing w:after="0" w:line="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Inflation and changing prices did not have a material effect on our business during the six months ended </w:t>
      </w:r>
      <w:r>
        <w:rPr>
          <w:rFonts w:ascii="Arial" w:cs="Arial" w:eastAsia="Arial" w:hAnsi="Arial"/>
          <w:sz w:val="18"/>
          <w:szCs w:val="18"/>
          <w:color w:val="1F282C"/>
        </w:rPr>
        <w:t>June 30, 2023</w:t>
      </w:r>
      <w:r>
        <w:rPr>
          <w:rFonts w:ascii="Arial" w:cs="Arial" w:eastAsia="Arial" w:hAnsi="Arial"/>
          <w:sz w:val="18"/>
          <w:szCs w:val="18"/>
          <w:color w:val="auto"/>
        </w:rPr>
        <w:t xml:space="preserve"> and we do not expect that inflation or changing prices will materially affect our business in the foreseeable future.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exposure. We do not enter into investments for trading or speculative purposes.</w:t>
      </w:r>
    </w:p>
    <w:p>
      <w:pPr>
        <w:spacing w:after="0" w:line="4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We did not have any variable interest rate outstanding debt as of </w:t>
      </w:r>
      <w:r>
        <w:rPr>
          <w:rFonts w:ascii="Arial" w:cs="Arial" w:eastAsia="Arial" w:hAnsi="Arial"/>
          <w:sz w:val="18"/>
          <w:szCs w:val="18"/>
          <w:color w:val="1F282C"/>
        </w:rPr>
        <w:t>June 30, 2023</w:t>
      </w:r>
      <w:r>
        <w:rPr>
          <w:rFonts w:ascii="Arial" w:cs="Arial" w:eastAsia="Arial" w:hAnsi="Arial"/>
          <w:sz w:val="18"/>
          <w:szCs w:val="18"/>
          <w:color w:val="auto"/>
        </w:rPr>
        <w:t>. Therefore, we do not have any material risk to interest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Due to international operations, we have revenue, expenses, assets, and liabilities that are denominated in currencies other than the U.S. dollar, primarily the Australian and Canadian dollars. Our consolidated balance sheet, results of operations, and cash flows are, therefore, subject to fluctuations due to changes in foreign currency exchange rates and may be adversely affected in the future due to changes in foreign exchange rates.</w:t>
      </w:r>
    </w:p>
    <w:p>
      <w:pPr>
        <w:spacing w:after="0" w:line="41" w:lineRule="exact"/>
        <w:rPr>
          <w:sz w:val="20"/>
          <w:szCs w:val="20"/>
          <w:color w:val="auto"/>
        </w:rPr>
      </w:pPr>
    </w:p>
    <w:p>
      <w:pPr>
        <w:jc w:val="both"/>
        <w:ind w:right="220" w:firstLine="648"/>
        <w:spacing w:after="0" w:line="308" w:lineRule="auto"/>
        <w:rPr>
          <w:sz w:val="20"/>
          <w:szCs w:val="20"/>
          <w:color w:val="auto"/>
        </w:rPr>
      </w:pPr>
      <w:r>
        <w:rPr>
          <w:rFonts w:ascii="Arial" w:cs="Arial" w:eastAsia="Arial" w:hAnsi="Arial"/>
          <w:sz w:val="17"/>
          <w:szCs w:val="17"/>
          <w:color w:val="auto"/>
        </w:rPr>
        <w:t xml:space="preserve">Our sales are primarily denominated in U.S. dollars. Our expenses are generally denominated in the local currencies in which our operations are located. As of </w:t>
      </w:r>
      <w:r>
        <w:rPr>
          <w:rFonts w:ascii="Arial" w:cs="Arial" w:eastAsia="Arial" w:hAnsi="Arial"/>
          <w:sz w:val="17"/>
          <w:szCs w:val="17"/>
          <w:color w:val="1F282C"/>
        </w:rPr>
        <w:t>June 30, 2023</w:t>
      </w:r>
      <w:r>
        <w:rPr>
          <w:rFonts w:ascii="Arial" w:cs="Arial" w:eastAsia="Arial" w:hAnsi="Arial"/>
          <w:sz w:val="17"/>
          <w:szCs w:val="17"/>
          <w:color w:val="auto"/>
        </w:rPr>
        <w:t>, we maintained 10% of our total cash and cash equivalents and investments in foreign currencies.</w:t>
      </w:r>
    </w:p>
    <w:p>
      <w:pPr>
        <w:spacing w:after="0" w:line="38" w:lineRule="exact"/>
        <w:rPr>
          <w:sz w:val="20"/>
          <w:szCs w:val="20"/>
          <w:color w:val="auto"/>
        </w:rPr>
      </w:pPr>
    </w:p>
    <w:p>
      <w:pPr>
        <w:jc w:val="both"/>
        <w:ind w:right="200" w:firstLine="648"/>
        <w:spacing w:after="0" w:line="308" w:lineRule="auto"/>
        <w:rPr>
          <w:sz w:val="20"/>
          <w:szCs w:val="20"/>
          <w:color w:val="auto"/>
        </w:rPr>
      </w:pPr>
      <w:r>
        <w:rPr>
          <w:rFonts w:ascii="Arial" w:cs="Arial" w:eastAsia="Arial" w:hAnsi="Arial"/>
          <w:sz w:val="17"/>
          <w:szCs w:val="17"/>
          <w:color w:val="auto"/>
        </w:rPr>
        <w:t>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financials.</w:t>
      </w:r>
    </w:p>
    <w:p>
      <w:pPr>
        <w:spacing w:after="0" w:line="3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not used any forward contracts or currency borrowings to hedge our exposure to foreign currency exchange risk, although we may do so in the future.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6"/>
          <w:szCs w:val="16"/>
          <w:b w:val="1"/>
          <w:bCs w:val="1"/>
          <w:color w:val="00AAE5"/>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w:t>
      </w:r>
      <w:r>
        <w:rPr>
          <w:rFonts w:ascii="Arial" w:cs="Arial" w:eastAsia="Arial" w:hAnsi="Arial"/>
          <w:sz w:val="16"/>
          <w:szCs w:val="16"/>
          <w:color w:val="1F282C"/>
        </w:rPr>
        <w:t>June 30, 2023</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1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There were no changes in our internal control over financial reporting during the quarter ended </w:t>
      </w:r>
      <w:r>
        <w:rPr>
          <w:rFonts w:ascii="Arial" w:cs="Arial" w:eastAsia="Arial" w:hAnsi="Arial"/>
          <w:sz w:val="18"/>
          <w:szCs w:val="18"/>
          <w:color w:val="1F282C"/>
        </w:rPr>
        <w:t>June 30, 2023</w:t>
      </w:r>
      <w:r>
        <w:rPr>
          <w:rFonts w:ascii="Arial" w:cs="Arial" w:eastAsia="Arial" w:hAnsi="Arial"/>
          <w:sz w:val="18"/>
          <w:szCs w:val="18"/>
          <w:color w:val="auto"/>
        </w:rPr>
        <w:t xml:space="preserve"> that have materially affected, or are reasonably likely to materially affect, our internal control over financial reporting.</w:t>
      </w:r>
    </w:p>
    <w:p>
      <w:pPr>
        <w:spacing w:after="0" w:line="6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July 2022, we acquired the GCommerce business and in October 2022, we acquired the InterTrade business. Pursuant to the SEC’s general guidance that the assessment of a recently acquired business' internal control over financial reporting may be omitted in the year of acquisition, the scope of our most recent assessment did not include GCommerce or InterTrade. We are currently in the process of incorporating internal controls specific to GCommerce and InterTrade that we believe are appropriate and necessary to consolidate and report upon our financial results.</w:t>
      </w:r>
    </w:p>
    <w:p>
      <w:pPr>
        <w:spacing w:after="0" w:line="4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As of </w:t>
      </w:r>
      <w:r>
        <w:rPr>
          <w:rFonts w:ascii="Arial" w:cs="Arial" w:eastAsia="Arial" w:hAnsi="Arial"/>
          <w:sz w:val="16"/>
          <w:szCs w:val="16"/>
          <w:color w:val="1F282C"/>
        </w:rPr>
        <w:t>June 30, 2023</w:t>
      </w:r>
      <w:r>
        <w:rPr>
          <w:rFonts w:ascii="Arial" w:cs="Arial" w:eastAsia="Arial" w:hAnsi="Arial"/>
          <w:sz w:val="16"/>
          <w:szCs w:val="16"/>
          <w:color w:val="auto"/>
        </w:rPr>
        <w:t xml:space="preserve">, excluding net intangible assets and goodwill, GCommerce and InterTrade combined represented 4.2% of our consolidated assets. For the six months ended </w:t>
      </w:r>
      <w:r>
        <w:rPr>
          <w:rFonts w:ascii="Arial" w:cs="Arial" w:eastAsia="Arial" w:hAnsi="Arial"/>
          <w:sz w:val="16"/>
          <w:szCs w:val="16"/>
          <w:color w:val="1F282C"/>
        </w:rPr>
        <w:t>June 30, 2023</w:t>
      </w:r>
      <w:r>
        <w:rPr>
          <w:rFonts w:ascii="Arial" w:cs="Arial" w:eastAsia="Arial" w:hAnsi="Arial"/>
          <w:sz w:val="16"/>
          <w:szCs w:val="16"/>
          <w:color w:val="auto"/>
        </w:rPr>
        <w:t>, GCommerce and InterTrade combined represented 3.3% of our consolidated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464820</wp:posOffset>
            </wp:positionV>
            <wp:extent cx="325755"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2022, as filed with the SEC, except for the below which replaces the risk factor titled, </w:t>
      </w:r>
      <w:r>
        <w:rPr>
          <w:rFonts w:ascii="Arial" w:cs="Arial" w:eastAsia="Arial" w:hAnsi="Arial"/>
          <w:sz w:val="18"/>
          <w:szCs w:val="18"/>
          <w:i w:val="1"/>
          <w:iCs w:val="1"/>
          <w:color w:val="auto"/>
        </w:rPr>
        <w:t>“If we fail to attract, retain, and</w:t>
      </w:r>
      <w:r>
        <w:rPr>
          <w:rFonts w:ascii="Arial" w:cs="Arial" w:eastAsia="Arial" w:hAnsi="Arial"/>
          <w:sz w:val="18"/>
          <w:szCs w:val="18"/>
          <w:color w:val="auto"/>
        </w:rPr>
        <w:t xml:space="preserve"> </w:t>
      </w:r>
      <w:r>
        <w:rPr>
          <w:rFonts w:ascii="Arial" w:cs="Arial" w:eastAsia="Arial" w:hAnsi="Arial"/>
          <w:sz w:val="18"/>
          <w:szCs w:val="18"/>
          <w:i w:val="1"/>
          <w:iCs w:val="1"/>
          <w:color w:val="auto"/>
        </w:rPr>
        <w:t>train members of our senior management team, including our Chief Executive Officer and other key personnel, our business plan would be impacted, and we might not be able to implement it successfully.”</w:t>
      </w:r>
    </w:p>
    <w:p>
      <w:pPr>
        <w:spacing w:after="0" w:line="212" w:lineRule="exact"/>
        <w:rPr>
          <w:sz w:val="20"/>
          <w:szCs w:val="20"/>
          <w:color w:val="auto"/>
        </w:rPr>
      </w:pPr>
    </w:p>
    <w:p>
      <w:pPr>
        <w:ind w:left="660" w:right="200" w:firstLine="648"/>
        <w:spacing w:after="0" w:line="250" w:lineRule="auto"/>
        <w:rPr>
          <w:sz w:val="20"/>
          <w:szCs w:val="20"/>
          <w:color w:val="auto"/>
        </w:rPr>
      </w:pPr>
      <w:r>
        <w:rPr>
          <w:rFonts w:ascii="Arial" w:cs="Arial" w:eastAsia="Arial" w:hAnsi="Arial"/>
          <w:sz w:val="18"/>
          <w:szCs w:val="18"/>
          <w:b w:val="1"/>
          <w:bCs w:val="1"/>
          <w:color w:val="auto"/>
        </w:rPr>
        <w:t>If we fail to attract, retain, and train members of our senior management team and other key personnel, or if we are not able to successfully manage the transition of our Chief Executive Officer or our President and Chief Operating Officer, our business could be adversely affected.</w:t>
      </w:r>
    </w:p>
    <w:p>
      <w:pPr>
        <w:spacing w:after="0" w:line="194" w:lineRule="exact"/>
        <w:rPr>
          <w:sz w:val="20"/>
          <w:szCs w:val="20"/>
          <w:color w:val="auto"/>
        </w:rPr>
      </w:pPr>
    </w:p>
    <w:p>
      <w:pPr>
        <w:ind w:left="660" w:right="80" w:firstLine="648"/>
        <w:spacing w:after="0" w:line="276" w:lineRule="auto"/>
        <w:rPr>
          <w:sz w:val="20"/>
          <w:szCs w:val="20"/>
          <w:color w:val="auto"/>
        </w:rPr>
      </w:pPr>
      <w:r>
        <w:rPr>
          <w:rFonts w:ascii="Arial" w:cs="Arial" w:eastAsia="Arial" w:hAnsi="Arial"/>
          <w:sz w:val="16"/>
          <w:szCs w:val="16"/>
          <w:color w:val="auto"/>
        </w:rPr>
        <w:t>Given the complex nature of the cloud-based technology through which our business operates and the speed with which such technology advances, our future success is dependent, in large part, upon our ability to attract, retain and train highly qualified key executive, managerial, technology, and sales personnel. Competition for talented personnel is intense and we cannot be certain that we can retain our key personnel or that we can attract, assimilate, or retain such personnel in the future to adequately scale our business. Additionally, the loss of any key or a significant number of personnel in our technology, customer success, or sales teams might significantly delay or prevent the achievement of our business objectives and could materially harm our business, customer relationships, results of operations and financial condition.</w:t>
      </w:r>
    </w:p>
    <w:p>
      <w:pPr>
        <w:spacing w:after="0" w:line="188" w:lineRule="exact"/>
        <w:rPr>
          <w:sz w:val="20"/>
          <w:szCs w:val="20"/>
          <w:color w:val="auto"/>
        </w:rPr>
      </w:pPr>
    </w:p>
    <w:p>
      <w:pPr>
        <w:ind w:left="660" w:right="60" w:firstLine="648"/>
        <w:spacing w:after="0" w:line="243" w:lineRule="auto"/>
        <w:rPr>
          <w:sz w:val="20"/>
          <w:szCs w:val="20"/>
          <w:color w:val="auto"/>
        </w:rPr>
      </w:pPr>
      <w:r>
        <w:rPr>
          <w:rFonts w:ascii="Arial" w:cs="Arial" w:eastAsia="Arial" w:hAnsi="Arial"/>
          <w:sz w:val="18"/>
          <w:szCs w:val="18"/>
          <w:color w:val="auto"/>
        </w:rPr>
        <w:t>Further, we have announced the planned retirement of our Chief Executive Officer, Archie Black, and the appointment of his successor, Chad Collins, effective October 2, 2023, and the planned retirement of our President and Chief Operating Officer, James Frome, effective December 31, 2024. Leadership transitions and management changes involve inherent risks, can be difficult to manage and may cause uncertainty or a disruption, which could adversely affect our business.</w:t>
      </w: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5"/>
          <w:szCs w:val="15"/>
          <w:b w:val="1"/>
          <w:bCs w:val="1"/>
          <w:color w:val="00AAE5"/>
        </w:rPr>
        <w:t>Unregistered Sales of Equity Securities and Use of Proceeds</w:t>
      </w:r>
    </w:p>
    <w:p>
      <w:pPr>
        <w:spacing w:after="0" w:line="117" w:lineRule="exact"/>
        <w:rPr>
          <w:sz w:val="20"/>
          <w:szCs w:val="20"/>
          <w:color w:val="auto"/>
        </w:rPr>
      </w:pPr>
    </w:p>
    <w:p>
      <w:pPr>
        <w:ind w:left="760" w:hanging="252"/>
        <w:spacing w:after="0"/>
        <w:tabs>
          <w:tab w:leader="none" w:pos="760" w:val="left"/>
        </w:tabs>
        <w:numPr>
          <w:ilvl w:val="0"/>
          <w:numId w:val="6"/>
        </w:numPr>
        <w:rPr>
          <w:rFonts w:ascii="Arial" w:cs="Arial" w:eastAsia="Arial" w:hAnsi="Arial"/>
          <w:sz w:val="18"/>
          <w:szCs w:val="18"/>
          <w:b w:val="1"/>
          <w:bCs w:val="1"/>
          <w:color w:val="1F282C"/>
        </w:rPr>
      </w:pPr>
      <w:r>
        <w:rPr>
          <w:rFonts w:ascii="Arial" w:cs="Arial" w:eastAsia="Arial" w:hAnsi="Arial"/>
          <w:sz w:val="18"/>
          <w:szCs w:val="18"/>
          <w:b w:val="1"/>
          <w:bCs w:val="1"/>
          <w:color w:val="auto"/>
        </w:rPr>
        <w:t xml:space="preserve">Share </w:t>
      </w:r>
      <w:r>
        <w:rPr>
          <w:rFonts w:ascii="Arial" w:cs="Arial" w:eastAsia="Arial" w:hAnsi="Arial"/>
          <w:sz w:val="18"/>
          <w:szCs w:val="18"/>
          <w:b w:val="1"/>
          <w:bCs w:val="1"/>
          <w:color w:val="1F282C"/>
        </w:rPr>
        <w:t>Repurchases</w:t>
      </w:r>
    </w:p>
    <w:p>
      <w:pPr>
        <w:spacing w:after="0" w:line="12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212529"/>
        </w:rPr>
        <w:t xml:space="preserve">On July 26, 2022 (announced July 27, 2022), our board of directors authorized a program </w:t>
      </w:r>
      <w:r>
        <w:rPr>
          <w:rFonts w:ascii="Arial" w:cs="Arial" w:eastAsia="Arial" w:hAnsi="Arial"/>
          <w:sz w:val="18"/>
          <w:szCs w:val="18"/>
          <w:color w:val="000000"/>
        </w:rPr>
        <w:t>to repurchase up to $50.0 million of our common stock.</w:t>
      </w:r>
      <w:r>
        <w:rPr>
          <w:rFonts w:ascii="Arial" w:cs="Arial" w:eastAsia="Arial" w:hAnsi="Arial"/>
          <w:sz w:val="18"/>
          <w:szCs w:val="18"/>
          <w:color w:val="212529"/>
        </w:rPr>
        <w:t xml:space="preserve"> </w:t>
      </w:r>
      <w:r>
        <w:rPr>
          <w:rFonts w:ascii="Arial" w:cs="Arial" w:eastAsia="Arial" w:hAnsi="Arial"/>
          <w:sz w:val="18"/>
          <w:szCs w:val="18"/>
          <w:color w:val="000000"/>
        </w:rPr>
        <w:t>Under the program, purchases may be made from time to time in the open market or in privately negotiated purchases, or both. The new share repurchase program became effective August 26, 2022 and expires on July 26, 2024.</w:t>
      </w:r>
    </w:p>
    <w:p>
      <w:pPr>
        <w:spacing w:after="0" w:line="7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did not make any repurchases under the program during the quarter ended June 30, 2023. For more information regarding our share repurchase programs, refer to Note J to our condensed consolidated financial statements, included in Part 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325755" cy="299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Insider Adoption or Termination of Trading Arrangements</w:t>
      </w:r>
    </w:p>
    <w:p>
      <w:pPr>
        <w:spacing w:after="0" w:line="12" w:lineRule="exact"/>
        <w:rPr>
          <w:sz w:val="20"/>
          <w:szCs w:val="20"/>
          <w:color w:val="auto"/>
        </w:rPr>
      </w:pPr>
    </w:p>
    <w:p>
      <w:pPr>
        <w:ind w:right="100" w:firstLine="648"/>
        <w:spacing w:after="0" w:line="260" w:lineRule="auto"/>
        <w:rPr>
          <w:sz w:val="20"/>
          <w:szCs w:val="20"/>
          <w:color w:val="auto"/>
        </w:rPr>
      </w:pPr>
      <w:r>
        <w:rPr>
          <w:rFonts w:ascii="Arial" w:cs="Arial" w:eastAsia="Arial" w:hAnsi="Arial"/>
          <w:sz w:val="17"/>
          <w:szCs w:val="17"/>
          <w:color w:val="auto"/>
        </w:rPr>
        <w:t xml:space="preserve">During the three months ending </w:t>
      </w:r>
      <w:r>
        <w:rPr>
          <w:rFonts w:ascii="Arial" w:cs="Arial" w:eastAsia="Arial" w:hAnsi="Arial"/>
          <w:sz w:val="17"/>
          <w:szCs w:val="17"/>
          <w:color w:val="1F282C"/>
        </w:rPr>
        <w:t>June 30, 2023</w:t>
      </w:r>
      <w:r>
        <w:rPr>
          <w:rFonts w:ascii="Arial" w:cs="Arial" w:eastAsia="Arial" w:hAnsi="Arial"/>
          <w:sz w:val="17"/>
          <w:szCs w:val="17"/>
          <w:color w:val="auto"/>
        </w:rPr>
        <w:t xml:space="preserve"> ,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00AAE5"/>
              </w:rPr>
              <w:t>Item 6.</w:t>
            </w:r>
          </w:p>
        </w:tc>
        <w:tc>
          <w:tcPr>
            <w:tcW w:w="10600" w:type="dxa"/>
            <w:vAlign w:val="bottom"/>
            <w:gridSpan w:val="16"/>
          </w:tcPr>
          <w:p>
            <w:pPr>
              <w:ind w:left="80"/>
              <w:spacing w:after="0"/>
              <w:rPr>
                <w:sz w:val="20"/>
                <w:szCs w:val="20"/>
                <w:color w:val="auto"/>
              </w:rPr>
            </w:pPr>
            <w:r>
              <w:rPr>
                <w:rFonts w:ascii="Arial" w:cs="Arial" w:eastAsia="Arial" w:hAnsi="Arial"/>
                <w:sz w:val="18"/>
                <w:szCs w:val="18"/>
                <w:b w:val="1"/>
                <w:bCs w:val="1"/>
                <w:color w:val="00AAE5"/>
              </w:rPr>
              <w:t>Exhibits</w:t>
            </w:r>
          </w:p>
        </w:tc>
      </w:tr>
      <w:tr>
        <w:trPr>
          <w:trHeight w:val="433"/>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13"/>
          </w:tcPr>
          <w:p>
            <w:pPr>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Ninth Amended and Restated Certificate of Incorporation (incorporated by reference to Exhibit 3.2 to our Current Report on Form 8-K</w:t>
              </w:r>
            </w:hyperlink>
          </w:p>
        </w:tc>
      </w:tr>
      <w:tr>
        <w:trPr>
          <w:trHeight w:val="183"/>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filed with the SEC on May 21, 2020).</w:t>
              </w:r>
            </w:hyperlink>
          </w:p>
        </w:tc>
        <w:tc>
          <w:tcPr>
            <w:tcW w:w="6980" w:type="dxa"/>
            <w:vAlign w:val="bottom"/>
            <w:tcBorders>
              <w:top w:val="single" w:sz="8" w:color="0000EE"/>
            </w:tcBorders>
            <w:gridSpan w:val="9"/>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EE"/>
            </w:tcBorders>
            <w:gridSpan w:val="8"/>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Amended and Restated Bylaws (incorporated by reference to Exhibit 3.2 to our Form 10-K filed with the SEC on February 21, 2023).</w:t>
              </w:r>
            </w:hyperlink>
          </w:p>
        </w:tc>
        <w:tc>
          <w:tcPr>
            <w:tcW w:w="300" w:type="dxa"/>
            <w:vAlign w:val="bottom"/>
            <w:gridSpan w:val="5"/>
          </w:tcPr>
          <w:p>
            <w:pPr>
              <w:spacing w:after="0"/>
              <w:rPr>
                <w:sz w:val="24"/>
                <w:szCs w:val="24"/>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Offer Letter between Chad Collins and SPS Commerce, Inc., dated as of July 6, 2023 (incorporated by reference to Exhibit 10.1 to our</w:t>
              </w:r>
            </w:hyperlink>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Current Report on Form 8-K filed with the SEC on July 6, 2023).</w:t>
              </w:r>
            </w:hyperlink>
          </w:p>
        </w:tc>
        <w:tc>
          <w:tcPr>
            <w:tcW w:w="260" w:type="dxa"/>
            <w:vAlign w:val="bottom"/>
            <w:gridSpan w:val="3"/>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rFonts w:ascii="Arial" w:cs="Arial" w:eastAsia="Arial" w:hAnsi="Arial"/>
                <w:sz w:val="18"/>
                <w:szCs w:val="18"/>
                <w:color w:val="0000FF"/>
                <w:w w:val="97"/>
              </w:rPr>
            </w:pPr>
            <w:hyperlink r:id="rId79">
              <w:r>
                <w:rPr>
                  <w:rFonts w:ascii="Arial" w:cs="Arial" w:eastAsia="Arial" w:hAnsi="Arial"/>
                  <w:sz w:val="18"/>
                  <w:szCs w:val="18"/>
                  <w:color w:val="0000FF"/>
                  <w:w w:val="97"/>
                </w:rPr>
                <w:t>Executive Severance and Change in Control Agreement, effective as of October 2, 2023, by and between Chad Collins and SPS</w:t>
              </w:r>
            </w:hyperlink>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54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13"/>
          </w:tcPr>
          <w:p>
            <w:pPr>
              <w:spacing w:after="0" w:line="182" w:lineRule="exact"/>
              <w:rPr>
                <w:rFonts w:ascii="Arial" w:cs="Arial" w:eastAsia="Arial" w:hAnsi="Arial"/>
                <w:sz w:val="18"/>
                <w:szCs w:val="18"/>
                <w:color w:val="0000FF"/>
                <w:w w:val="96"/>
              </w:rPr>
            </w:pPr>
            <w:hyperlink r:id="rId79">
              <w:r>
                <w:rPr>
                  <w:rFonts w:ascii="Arial" w:cs="Arial" w:eastAsia="Arial" w:hAnsi="Arial"/>
                  <w:sz w:val="18"/>
                  <w:szCs w:val="18"/>
                  <w:color w:val="0000FF"/>
                  <w:w w:val="96"/>
                </w:rPr>
                <w:t>Commerce, Inc. (incorporated by reference to Exhibit 10.2 to our Current Report on Form 8-K filed with the SEC on July 6, 2023).</w:t>
              </w:r>
            </w:hyperlink>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57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Arial" w:cs="Arial" w:eastAsia="Arial" w:hAnsi="Arial"/>
                <w:sz w:val="18"/>
                <w:szCs w:val="18"/>
                <w:color w:val="0000EE"/>
                <w:w w:val="93"/>
              </w:rPr>
              <w:t>Certification of Principal Executive Officer pursuant to Rules 13a-14(a) under the Securities Exchange Act of 1934, as amended (filed</w:t>
            </w:r>
          </w:p>
        </w:tc>
      </w:tr>
      <w:tr>
        <w:trPr>
          <w:trHeight w:val="183"/>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1"/>
              </w:rPr>
              <w:t>herewith).</w:t>
            </w:r>
          </w:p>
        </w:tc>
        <w:tc>
          <w:tcPr>
            <w:tcW w:w="8920" w:type="dxa"/>
            <w:vAlign w:val="bottom"/>
            <w:tcBorders>
              <w:top w:val="single" w:sz="8" w:color="0000EE"/>
            </w:tcBorders>
            <w:gridSpan w:val="8"/>
          </w:tcPr>
          <w:p>
            <w:pPr>
              <w:spacing w:after="0"/>
              <w:rPr>
                <w:sz w:val="15"/>
                <w:szCs w:val="15"/>
                <w:color w:val="auto"/>
              </w:rPr>
            </w:pPr>
          </w:p>
        </w:tc>
        <w:tc>
          <w:tcPr>
            <w:tcW w:w="2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Arial" w:cs="Arial" w:eastAsia="Arial" w:hAnsi="Arial"/>
                <w:sz w:val="18"/>
                <w:szCs w:val="18"/>
                <w:color w:val="0000EE"/>
                <w:w w:val="94"/>
              </w:rPr>
              <w:t>Certification of Principal Financial Officer pursuant to Rules 13a-14(a) under the Securities Exchange Act of 1934, as amended (filed</w:t>
            </w:r>
          </w:p>
        </w:tc>
      </w:tr>
      <w:tr>
        <w:trPr>
          <w:trHeight w:val="182"/>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1"/>
              </w:rPr>
              <w:t>herewith).</w:t>
            </w:r>
          </w:p>
        </w:tc>
        <w:tc>
          <w:tcPr>
            <w:tcW w:w="8880" w:type="dxa"/>
            <w:vAlign w:val="bottom"/>
            <w:tcBorders>
              <w:top w:val="single" w:sz="8" w:color="0000EE"/>
            </w:tcBorders>
            <w:gridSpan w:val="6"/>
          </w:tcPr>
          <w:p>
            <w:pPr>
              <w:spacing w:after="0"/>
              <w:rPr>
                <w:sz w:val="15"/>
                <w:szCs w:val="15"/>
                <w:color w:val="auto"/>
              </w:rPr>
            </w:pPr>
          </w:p>
        </w:tc>
        <w:tc>
          <w:tcPr>
            <w:tcW w:w="2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Certification of Chief Executive Officer and Chief Financial Officer pursuant to 18 U.S.C. Sec. 1350, as adopted pursuant to Section 906</w:t>
            </w:r>
          </w:p>
        </w:tc>
        <w:tc>
          <w:tcPr>
            <w:tcW w:w="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of the Sarbanes-Oxley Act of 2002 (filed herewith).</w:t>
            </w:r>
          </w:p>
        </w:tc>
        <w:tc>
          <w:tcPr>
            <w:tcW w:w="6220" w:type="dxa"/>
            <w:vAlign w:val="bottom"/>
            <w:gridSpan w:val="10"/>
          </w:tcPr>
          <w:p>
            <w:pPr>
              <w:spacing w:after="0"/>
              <w:rPr>
                <w:sz w:val="17"/>
                <w:szCs w:val="17"/>
                <w:color w:val="auto"/>
              </w:rPr>
            </w:pPr>
          </w:p>
        </w:tc>
      </w:tr>
    </w:tbl>
    <w:p>
      <w:pPr>
        <w:spacing w:after="0" w:line="161" w:lineRule="exact"/>
        <w:rPr>
          <w:sz w:val="20"/>
          <w:szCs w:val="20"/>
          <w:color w:val="auto"/>
        </w:rPr>
      </w:pPr>
    </w:p>
    <w:p>
      <w:pPr>
        <w:ind w:left="1300" w:right="420" w:hanging="127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89"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June 30, 2023,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366395</wp:posOffset>
            </wp:positionV>
            <wp:extent cx="325755"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9"/>
          <w:szCs w:val="9"/>
          <w:b w:val="1"/>
          <w:bCs w:val="1"/>
          <w:color w:val="auto"/>
        </w:rPr>
        <w:t>Form 10-Q for the Quarterly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Dated: July 27, 2023</w:t>
      </w:r>
      <w:r>
        <w:rPr>
          <w:sz w:val="20"/>
          <w:szCs w:val="20"/>
          <w:color w:val="auto"/>
        </w:rPr>
        <w:tab/>
      </w:r>
      <w:r>
        <w:rPr>
          <w:rFonts w:ascii="Arial" w:cs="Arial" w:eastAsia="Arial" w:hAnsi="Arial"/>
          <w:sz w:val="17"/>
          <w:szCs w:val="17"/>
          <w:b w:val="1"/>
          <w:bCs w:val="1"/>
          <w:color w:val="auto"/>
        </w:rPr>
        <w:t>SPS COMMERCE, INC.</w:t>
      </w: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Kimberly Nelson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325755"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9"/>
          <w:szCs w:val="9"/>
          <w:b w:val="1"/>
          <w:bCs w:val="1"/>
          <w:color w:val="auto"/>
        </w:rPr>
        <w:t>Form 10-Q for the Quarterly Period ended June 30, 2023</w:t>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Black, certify that:</w:t>
      </w:r>
    </w:p>
    <w:p>
      <w:pPr>
        <w:spacing w:after="0" w:line="225"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980" w:right="60" w:hanging="648"/>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20" w:hanging="648"/>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960" w:right="20" w:hanging="980"/>
        <w:spacing w:after="0" w:line="286" w:lineRule="auto"/>
        <w:tabs>
          <w:tab w:leader="none" w:pos="19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980"/>
        <w:spacing w:after="0" w:line="286" w:lineRule="auto"/>
        <w:tabs>
          <w:tab w:leader="none" w:pos="19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980"/>
        <w:spacing w:after="0" w:line="263"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200" w:hanging="980"/>
        <w:spacing w:after="0" w:line="311" w:lineRule="auto"/>
        <w:tabs>
          <w:tab w:leader="none" w:pos="1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80" w:hanging="648"/>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960" w:right="60" w:hanging="980"/>
        <w:spacing w:after="0" w:line="263"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20" w:hanging="980"/>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ARCHIE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Archie Black</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ind w:left="20"/>
        <w:spacing w:after="0"/>
        <w:rPr>
          <w:sz w:val="20"/>
          <w:szCs w:val="20"/>
          <w:color w:val="auto"/>
        </w:rPr>
      </w:pPr>
      <w:r>
        <w:rPr>
          <w:rFonts w:ascii="Arial" w:cs="Arial" w:eastAsia="Arial" w:hAnsi="Arial"/>
          <w:sz w:val="18"/>
          <w:szCs w:val="18"/>
          <w:color w:val="auto"/>
        </w:rPr>
        <w:t>July 27, 2023</w:t>
      </w:r>
    </w:p>
    <w:p>
      <w:pPr>
        <w:sectPr>
          <w:pgSz w:w="11900" w:h="16838" w:orient="portrait"/>
          <w:cols w:equalWidth="0" w:num="1">
            <w:col w:w="11240"/>
          </w:cols>
          <w:pgMar w:left="320" w:top="114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Nelson, certify that:</w:t>
      </w:r>
    </w:p>
    <w:p>
      <w:pPr>
        <w:spacing w:after="0" w:line="225"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980" w:right="60" w:hanging="648"/>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20" w:hanging="648"/>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960" w:right="20" w:hanging="980"/>
        <w:spacing w:after="0" w:line="286" w:lineRule="auto"/>
        <w:tabs>
          <w:tab w:leader="none" w:pos="19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980"/>
        <w:spacing w:after="0" w:line="286" w:lineRule="auto"/>
        <w:tabs>
          <w:tab w:leader="none" w:pos="19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980"/>
        <w:spacing w:after="0" w:line="263"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200" w:hanging="980"/>
        <w:spacing w:after="0" w:line="311" w:lineRule="auto"/>
        <w:tabs>
          <w:tab w:leader="none" w:pos="1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80" w:hanging="648"/>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960" w:right="60" w:hanging="980"/>
        <w:spacing w:after="0" w:line="263"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20" w:hanging="980"/>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Kimberly Nelson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ind w:left="20"/>
        <w:spacing w:after="0"/>
        <w:rPr>
          <w:sz w:val="20"/>
          <w:szCs w:val="20"/>
          <w:color w:val="auto"/>
        </w:rPr>
      </w:pPr>
      <w:r>
        <w:rPr>
          <w:rFonts w:ascii="Arial" w:cs="Arial" w:eastAsia="Arial" w:hAnsi="Arial"/>
          <w:sz w:val="18"/>
          <w:szCs w:val="18"/>
          <w:color w:val="auto"/>
        </w:rPr>
        <w:t>July 27, 2023</w:t>
      </w:r>
    </w:p>
    <w:p>
      <w:pPr>
        <w:sectPr>
          <w:pgSz w:w="11900" w:h="16838" w:orient="portrait"/>
          <w:cols w:equalWidth="0" w:num="1">
            <w:col w:w="11240"/>
          </w:cols>
          <w:pgMar w:left="320" w:top="114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2023,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49"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0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ARCHIE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Archie Black</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Kimberly Nelson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2023</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decimal"/>
      <w:start w:val="10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80" Type="http://schemas.openxmlformats.org/officeDocument/2006/relationships/image" Target="media/image69.jpe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jpe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76" Type="http://schemas.openxmlformats.org/officeDocument/2006/relationships/hyperlink" Target="http://www.sec.gov/Archives/edgar/data/1092699/000119312520148645/d833455dex32.htm" TargetMode="External"/><Relationship Id="rId77" Type="http://schemas.openxmlformats.org/officeDocument/2006/relationships/hyperlink" Target="https://www.sec.gov/Archives/edgar/data/1092699/000109269923000006/a2022_10kxex32-bylawsclean.htm" TargetMode="External"/><Relationship Id="rId78" Type="http://schemas.openxmlformats.org/officeDocument/2006/relationships/hyperlink" Target="https://www.sec.gov/Archives/edgar/data/1092699/000109269923000047/a101-ex1xcollins_offerlett.htm" TargetMode="External"/><Relationship Id="rId79" Type="http://schemas.openxmlformats.org/officeDocument/2006/relationships/hyperlink" Target="https://www.sec.gov/Archives/edgar/data/1092699/000109269923000047/a102-ex2xexecutivesevera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2023-07-27T16:02:30Z</dcterms:created>
  <dcterms:modified xsi:type="dcterms:W3CDTF">2023-07-27T16:02:30Z</dcterms:modified>
</cp:coreProperties>
</file>