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254635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1"/>
          <w:szCs w:val="21"/>
          <w:b w:val="1"/>
          <w:bCs w:val="1"/>
          <w:color w:val="auto"/>
        </w:rPr>
        <w:t>Washington, D.C. 20549</w:t>
      </w:r>
    </w:p>
    <w:p>
      <w:pPr>
        <w:spacing w:after="0" w:line="27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w:t>
      </w:r>
    </w:p>
    <w:p>
      <w:pPr>
        <w:spacing w:after="0" w:line="317"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Securities Exchange Act of 1934</w:t>
      </w:r>
    </w:p>
    <w:p>
      <w:pPr>
        <w:jc w:val="center"/>
        <w:ind w:right="-99"/>
        <w:spacing w:after="0"/>
        <w:rPr>
          <w:sz w:val="20"/>
          <w:szCs w:val="20"/>
          <w:color w:val="auto"/>
        </w:rPr>
      </w:pPr>
      <w:r>
        <w:rPr>
          <w:rFonts w:ascii="Arial" w:cs="Arial" w:eastAsia="Arial" w:hAnsi="Arial"/>
          <w:sz w:val="21"/>
          <w:szCs w:val="21"/>
          <w:b w:val="1"/>
          <w:bCs w:val="1"/>
          <w:color w:val="auto"/>
        </w:rPr>
        <w:t>(Amendment No.  )</w:t>
      </w:r>
    </w:p>
    <w:p>
      <w:pPr>
        <w:spacing w:after="0" w:line="375" w:lineRule="exact"/>
        <w:rPr>
          <w:sz w:val="24"/>
          <w:szCs w:val="24"/>
          <w:color w:val="auto"/>
        </w:rPr>
      </w:pPr>
    </w:p>
    <w:p>
      <w:pPr>
        <w:spacing w:after="0" w:line="207" w:lineRule="exact"/>
        <w:tabs>
          <w:tab w:leader="none" w:pos="30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22" w:lineRule="exact"/>
        <w:rPr>
          <w:sz w:val="24"/>
          <w:szCs w:val="24"/>
          <w:color w:val="auto"/>
        </w:rPr>
      </w:pPr>
    </w:p>
    <w:p>
      <w:pPr>
        <w:ind w:left="480" w:hanging="475"/>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2" w:lineRule="exact"/>
        <w:rPr>
          <w:rFonts w:ascii="MS PGothic" w:cs="MS PGothic" w:eastAsia="MS PGothic" w:hAnsi="MS PGothic"/>
          <w:sz w:val="18"/>
          <w:szCs w:val="18"/>
          <w:color w:val="auto"/>
        </w:rPr>
      </w:pPr>
    </w:p>
    <w:p>
      <w:pPr>
        <w:ind w:left="480" w:hanging="475"/>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15" w:lineRule="exact"/>
        <w:rPr>
          <w:sz w:val="24"/>
          <w:szCs w:val="24"/>
          <w:color w:val="auto"/>
        </w:rPr>
      </w:pPr>
    </w:p>
    <w:p>
      <w:pPr>
        <w:ind w:left="480" w:hanging="475"/>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09" w:lineRule="exact"/>
        <w:rPr>
          <w:sz w:val="24"/>
          <w:szCs w:val="24"/>
          <w:color w:val="auto"/>
        </w:rPr>
      </w:pPr>
    </w:p>
    <w:p>
      <w:pPr>
        <w:ind w:left="480" w:hanging="475"/>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8" w:lineRule="exact"/>
        <w:rPr>
          <w:rFonts w:ascii="MS PGothic" w:cs="MS PGothic" w:eastAsia="MS PGothic" w:hAnsi="MS PGothic"/>
          <w:sz w:val="18"/>
          <w:szCs w:val="18"/>
          <w:color w:val="auto"/>
        </w:rPr>
      </w:pPr>
    </w:p>
    <w:p>
      <w:pPr>
        <w:ind w:left="480" w:hanging="475"/>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90" w:lineRule="exact"/>
        <w:rPr>
          <w:sz w:val="24"/>
          <w:szCs w:val="24"/>
          <w:color w:val="auto"/>
        </w:rPr>
      </w:pPr>
    </w:p>
    <w:p>
      <w:pPr>
        <w:jc w:val="center"/>
        <w:ind w:right="-99"/>
        <w:spacing w:after="0"/>
        <w:rPr>
          <w:sz w:val="20"/>
          <w:szCs w:val="20"/>
          <w:color w:val="auto"/>
        </w:rPr>
      </w:pPr>
      <w:r>
        <w:rPr>
          <w:rFonts w:ascii="Arial" w:cs="Arial" w:eastAsia="Arial" w:hAnsi="Arial"/>
          <w:sz w:val="42"/>
          <w:szCs w:val="42"/>
          <w:b w:val="1"/>
          <w:bCs w:val="1"/>
          <w:color w:val="auto"/>
        </w:rPr>
        <w:t>SPS Commerce, Inc.</w:t>
      </w:r>
    </w:p>
    <w:p>
      <w:pPr>
        <w:spacing w:after="0" w:line="4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4" w:lineRule="exact"/>
        <w:rPr>
          <w:sz w:val="24"/>
          <w:szCs w:val="24"/>
          <w:color w:val="auto"/>
        </w:rPr>
      </w:pPr>
    </w:p>
    <w:p>
      <w:pPr>
        <w:ind w:left="480" w:hanging="475"/>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4" w:lineRule="exact"/>
        <w:rPr>
          <w:sz w:val="24"/>
          <w:szCs w:val="24"/>
          <w:color w:val="auto"/>
        </w:rPr>
      </w:pPr>
    </w:p>
    <w:p>
      <w:pPr>
        <w:ind w:left="480" w:hanging="475"/>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3" w:lineRule="exact"/>
        <w:rPr>
          <w:rFonts w:ascii="MS PGothic" w:cs="MS PGothic" w:eastAsia="MS PGothic" w:hAnsi="MS PGothic"/>
          <w:sz w:val="18"/>
          <w:szCs w:val="18"/>
          <w:color w:val="auto"/>
        </w:rPr>
      </w:pPr>
    </w:p>
    <w:p>
      <w:pPr>
        <w:ind w:left="920" w:hanging="441"/>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16" w:lineRule="exact"/>
        <w:rPr>
          <w:rFonts w:ascii="Arial" w:cs="Arial" w:eastAsia="Arial" w:hAnsi="Arial"/>
          <w:sz w:val="18"/>
          <w:szCs w:val="18"/>
          <w:color w:val="auto"/>
        </w:rPr>
      </w:pPr>
    </w:p>
    <w:p>
      <w:pPr>
        <w:ind w:left="920" w:hanging="441"/>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16" w:lineRule="exact"/>
        <w:rPr>
          <w:rFonts w:ascii="Arial" w:cs="Arial" w:eastAsia="Arial" w:hAnsi="Arial"/>
          <w:sz w:val="18"/>
          <w:szCs w:val="18"/>
          <w:color w:val="auto"/>
        </w:rPr>
      </w:pPr>
    </w:p>
    <w:p>
      <w:pPr>
        <w:ind w:left="920" w:hanging="441"/>
        <w:spacing w:after="0" w:line="261"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920" w:hanging="441"/>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16" w:lineRule="exact"/>
        <w:rPr>
          <w:rFonts w:ascii="Arial" w:cs="Arial" w:eastAsia="Arial" w:hAnsi="Arial"/>
          <w:sz w:val="18"/>
          <w:szCs w:val="18"/>
          <w:color w:val="auto"/>
        </w:rPr>
      </w:pPr>
    </w:p>
    <w:p>
      <w:pPr>
        <w:ind w:left="920" w:hanging="441"/>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6" w:lineRule="exact"/>
        <w:rPr>
          <w:rFonts w:ascii="Arial" w:cs="Arial" w:eastAsia="Arial" w:hAnsi="Arial"/>
          <w:sz w:val="18"/>
          <w:szCs w:val="18"/>
          <w:color w:val="auto"/>
        </w:rPr>
      </w:pPr>
    </w:p>
    <w:p>
      <w:pPr>
        <w:ind w:left="480" w:hanging="475"/>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19" w:lineRule="exact"/>
        <w:rPr>
          <w:rFonts w:ascii="MS PGothic" w:cs="MS PGothic" w:eastAsia="MS PGothic" w:hAnsi="MS PGothic"/>
          <w:sz w:val="18"/>
          <w:szCs w:val="18"/>
          <w:color w:val="auto"/>
        </w:rPr>
      </w:pPr>
    </w:p>
    <w:p>
      <w:pPr>
        <w:ind w:left="480" w:right="600" w:hanging="475"/>
        <w:spacing w:after="0" w:line="324"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9" w:lineRule="exact"/>
        <w:rPr>
          <w:rFonts w:ascii="MS PGothic" w:cs="MS PGothic" w:eastAsia="MS PGothic" w:hAnsi="MS PGothic"/>
          <w:sz w:val="16"/>
          <w:szCs w:val="16"/>
          <w:color w:val="auto"/>
        </w:rPr>
      </w:pPr>
    </w:p>
    <w:p>
      <w:pPr>
        <w:ind w:left="920" w:hanging="441"/>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16" w:lineRule="exact"/>
        <w:rPr>
          <w:rFonts w:ascii="Arial" w:cs="Arial" w:eastAsia="Arial" w:hAnsi="Arial"/>
          <w:sz w:val="18"/>
          <w:szCs w:val="18"/>
          <w:color w:val="auto"/>
        </w:rPr>
      </w:pPr>
    </w:p>
    <w:p>
      <w:pPr>
        <w:ind w:left="920" w:hanging="441"/>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-3530600</wp:posOffset>
            </wp:positionV>
            <wp:extent cx="66655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55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-3071495</wp:posOffset>
            </wp:positionV>
            <wp:extent cx="66655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55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-2478405</wp:posOffset>
            </wp:positionV>
            <wp:extent cx="66655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55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-2019300</wp:posOffset>
            </wp:positionV>
            <wp:extent cx="6665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55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-1601470</wp:posOffset>
            </wp:positionV>
            <wp:extent cx="6665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55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-139700</wp:posOffset>
            </wp:positionV>
            <wp:extent cx="66655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55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319405</wp:posOffset>
            </wp:positionV>
            <wp:extent cx="66655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5595" cy="8255"/>
                    </a:xfrm>
                    <a:prstGeom prst="rect">
                      <a:avLst/>
                    </a:prstGeom>
                    <a:noFill/>
                  </pic:spPr>
                </pic:pic>
              </a:graphicData>
            </a:graphic>
          </wp:anchor>
        </w:drawing>
      </w:r>
    </w:p>
    <w:p>
      <w:pPr>
        <w:sectPr>
          <w:pgSz w:w="11900" w:h="16838" w:orient="portrait"/>
          <w:cols w:equalWidth="0" w:num="1">
            <w:col w:w="11320"/>
          </w:cols>
          <w:pgMar w:left="240" w:top="227" w:right="339" w:bottom="602" w:gutter="0" w:footer="0" w:header="0"/>
        </w:sectPr>
      </w:pPr>
    </w:p>
    <w:bookmarkStart w:id="1" w:name="page2"/>
    <w:bookmarkEnd w:id="1"/>
    <w:p>
      <w:pPr>
        <w:ind w:left="441" w:hanging="441"/>
        <w:spacing w:after="0"/>
        <w:tabs>
          <w:tab w:leader="none" w:pos="441"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339" w:lineRule="exact"/>
        <w:rPr>
          <w:rFonts w:ascii="Arial" w:cs="Arial" w:eastAsia="Arial" w:hAnsi="Arial"/>
          <w:sz w:val="16"/>
          <w:szCs w:val="16"/>
          <w:color w:val="auto"/>
        </w:rPr>
      </w:pPr>
    </w:p>
    <w:p>
      <w:pPr>
        <w:ind w:left="441" w:hanging="441"/>
        <w:spacing w:after="0"/>
        <w:tabs>
          <w:tab w:leader="none" w:pos="441"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-139700</wp:posOffset>
            </wp:positionV>
            <wp:extent cx="66655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5595" cy="8255"/>
                    </a:xfrm>
                    <a:prstGeom prst="rect">
                      <a:avLst/>
                    </a:prstGeom>
                    <a:noFill/>
                  </pic:spPr>
                </pic:pic>
              </a:graphicData>
            </a:graphic>
          </wp:anchor>
        </w:drawing>
        <w:drawing>
          <wp:anchor simplePos="0" relativeHeight="251657728" behindDoc="1" locked="0" layoutInCell="0" allowOverlap="1">
            <wp:simplePos x="0" y="0"/>
            <wp:positionH relativeFrom="column">
              <wp:posOffset>283845</wp:posOffset>
            </wp:positionH>
            <wp:positionV relativeFrom="paragraph">
              <wp:posOffset>319405</wp:posOffset>
            </wp:positionV>
            <wp:extent cx="66655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5595" cy="8255"/>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494665</wp:posOffset>
            </wp:positionV>
            <wp:extent cx="7250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536575</wp:posOffset>
            </wp:positionV>
            <wp:extent cx="72504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9740"/>
          </w:cols>
          <w:pgMar w:left="719" w:top="127" w:right="1440"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204470</wp:posOffset>
            </wp:positionV>
            <wp:extent cx="2923540" cy="810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23540" cy="810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333 South Seventh Street, Suite 1000</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Minneapolis, Minnesota 55402</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(612) 435-9400</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13, 2018</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Stockholders:</w:t>
      </w:r>
    </w:p>
    <w:p>
      <w:pPr>
        <w:spacing w:after="0" w:line="109" w:lineRule="exact"/>
        <w:rPr>
          <w:sz w:val="20"/>
          <w:szCs w:val="20"/>
          <w:color w:val="auto"/>
        </w:rPr>
      </w:pPr>
    </w:p>
    <w:p>
      <w:pPr>
        <w:ind w:left="340" w:right="200" w:firstLine="429"/>
        <w:spacing w:after="0" w:line="247" w:lineRule="auto"/>
        <w:rPr>
          <w:sz w:val="20"/>
          <w:szCs w:val="20"/>
          <w:color w:val="auto"/>
        </w:rPr>
      </w:pPr>
      <w:r>
        <w:rPr>
          <w:rFonts w:ascii="Arial" w:cs="Arial" w:eastAsia="Arial" w:hAnsi="Arial"/>
          <w:sz w:val="18"/>
          <w:szCs w:val="18"/>
          <w:color w:val="auto"/>
        </w:rPr>
        <w:t>You are cordially invited to join us for our 2018 annual meeting of stockholders, which will be held on Thursday, May 31, 2018, at 8:00 a.m., Central Time, at 2200 Wells Fargo Center, 90 South Seventh Street, Minneapolis, Minnesota 55402. The notice of annual meeting of stockholders and the proxy statement that follow describe the business to be conducted at the meeting. Whether or not you plan to attend the meeting, your vote is important and we encourage you to vote your shares promptly. You may vote your shares using a toll-free telephone number, using the internet or you may sign, date and mail a proxy card which can be requested and mailed to you free of charge. Instructions regarding the three methods of voting are contained in the proxy materials.</w:t>
      </w:r>
    </w:p>
    <w:p>
      <w:pPr>
        <w:spacing w:after="0" w:line="90" w:lineRule="exact"/>
        <w:rPr>
          <w:sz w:val="20"/>
          <w:szCs w:val="20"/>
          <w:color w:val="auto"/>
        </w:rPr>
      </w:pPr>
    </w:p>
    <w:p>
      <w:pPr>
        <w:ind w:left="340" w:right="60" w:firstLine="429"/>
        <w:spacing w:after="0" w:line="282" w:lineRule="auto"/>
        <w:rPr>
          <w:sz w:val="20"/>
          <w:szCs w:val="20"/>
          <w:color w:val="auto"/>
        </w:rPr>
      </w:pPr>
      <w:r>
        <w:rPr>
          <w:rFonts w:ascii="Arial" w:cs="Arial" w:eastAsia="Arial" w:hAnsi="Arial"/>
          <w:sz w:val="16"/>
          <w:szCs w:val="16"/>
          <w:color w:val="auto"/>
        </w:rPr>
        <w:t>We are pleased to take advantage of Securities and Exchange Commission (“SEC”) rules that allow companies to furnish their proxy materials over the internet. We are mailing to many of our stockholders a Notice of Internet Availability of Proxy Materials (the “Notice”) instead of a paper copy of our proxy materials and our 2017 Annual Report to Stockholders (the “Annual Report”). The Notice contains instructions on how to access those documents and to cast your vote via the internet. The Notice also contains instructions on how to request a paper copy of our proxy materials and our Annual Report. All stockholders who do not receive a Notice will receive a paper copy of the proxy materials and the Annual Report by mail. This process allows us to provide our stockholders with the information they need on a more timely basis, while reducing the environmental impact and lowering the costs of printing and distributing our proxy materials.</w:t>
      </w:r>
    </w:p>
    <w:p>
      <w:pPr>
        <w:spacing w:after="0" w:line="6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look forward to seeing you at the annual meeting.</w:t>
      </w:r>
    </w:p>
    <w:p>
      <w:pPr>
        <w:spacing w:after="0" w:line="122"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4313555</wp:posOffset>
            </wp:positionH>
            <wp:positionV relativeFrom="paragraph">
              <wp:posOffset>76835</wp:posOffset>
            </wp:positionV>
            <wp:extent cx="1604010" cy="45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04010" cy="45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680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080"/>
          </w:cols>
          <w:pgMar w:left="240" w:top="451" w:right="57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204470</wp:posOffset>
            </wp:positionV>
            <wp:extent cx="2923540" cy="810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23540" cy="810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SPS Commerce, Inc.</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333 South Seventh Street</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Minneapolis, Minnesota 55402</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42"/>
          <w:szCs w:val="42"/>
          <w:color w:val="auto"/>
        </w:rPr>
        <w:t>Notice of 2018 Annual Meeting of Stockholders</w:t>
      </w:r>
    </w:p>
    <w:p>
      <w:pPr>
        <w:sectPr>
          <w:pgSz w:w="11900" w:h="16838" w:orient="portrait"/>
          <w:cols w:equalWidth="0" w:num="1">
            <w:col w:w="11040"/>
          </w:cols>
          <w:pgMar w:left="240" w:top="451" w:right="619" w:bottom="1440" w:gutter="0" w:footer="0" w:header="0"/>
        </w:sectPr>
      </w:pPr>
    </w:p>
    <w:p>
      <w:pPr>
        <w:spacing w:after="0" w:line="184"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00A1DF"/>
        </w:rPr>
        <w:t>Time and Date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4260"/>
        <w:spacing w:after="0"/>
        <w:rPr>
          <w:sz w:val="20"/>
          <w:szCs w:val="20"/>
          <w:color w:val="auto"/>
        </w:rPr>
      </w:pPr>
      <w:r>
        <w:rPr>
          <w:rFonts w:ascii="Arial" w:cs="Arial" w:eastAsia="Arial" w:hAnsi="Arial"/>
          <w:sz w:val="15"/>
          <w:szCs w:val="15"/>
          <w:b w:val="1"/>
          <w:bCs w:val="1"/>
          <w:color w:val="00A1DF"/>
        </w:rPr>
        <w:t>Place</w:t>
      </w:r>
    </w:p>
    <w:p>
      <w:pPr>
        <w:spacing w:after="0" w:line="201" w:lineRule="exact"/>
        <w:rPr>
          <w:sz w:val="20"/>
          <w:szCs w:val="20"/>
          <w:color w:val="auto"/>
        </w:rPr>
      </w:pPr>
    </w:p>
    <w:p>
      <w:pPr>
        <w:sectPr>
          <w:pgSz w:w="11900" w:h="16838" w:orient="portrait"/>
          <w:cols w:equalWidth="0" w:num="2">
            <w:col w:w="5660" w:space="720"/>
            <w:col w:w="4660"/>
          </w:cols>
          <w:pgMar w:left="240" w:top="451" w:right="61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8:00 a.m., Central Daylight Time</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Thursday, May 31,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2200 Wells Fargo Center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90 South Seventh Street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Minneapolis, MN 55402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173990</wp:posOffset>
            </wp:positionV>
            <wp:extent cx="6819900" cy="1048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19900" cy="10483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720"/>
            <w:col w:w="5160"/>
          </w:cols>
          <w:pgMar w:left="240" w:top="451" w:right="619" w:bottom="1440" w:gutter="0" w:footer="0" w:header="0"/>
          <w:type w:val="continuous"/>
        </w:sectPr>
      </w:pP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00A1DF"/>
        </w:rPr>
        <w:t>Items of Business</w:t>
      </w:r>
    </w:p>
    <w:p>
      <w:pPr>
        <w:spacing w:after="0" w:line="122" w:lineRule="exact"/>
        <w:rPr>
          <w:sz w:val="20"/>
          <w:szCs w:val="20"/>
          <w:color w:val="auto"/>
        </w:rPr>
      </w:pPr>
    </w:p>
    <w:p>
      <w:pPr>
        <w:ind w:left="780" w:hanging="314"/>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the nine directors identified in the Proxy Statement, each for a one-year term.</w:t>
      </w:r>
    </w:p>
    <w:p>
      <w:pPr>
        <w:spacing w:after="0" w:line="121" w:lineRule="exact"/>
        <w:rPr>
          <w:rFonts w:ascii="Arial" w:cs="Arial" w:eastAsia="Arial" w:hAnsi="Arial"/>
          <w:sz w:val="18"/>
          <w:szCs w:val="18"/>
          <w:color w:val="auto"/>
        </w:rPr>
      </w:pPr>
    </w:p>
    <w:p>
      <w:pPr>
        <w:ind w:left="780" w:hanging="314"/>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Ratification of the selection of KPMG LLP as independent auditor of SPS Commerce, Inc. for the fiscal year ending December 31, 2018.</w:t>
      </w:r>
    </w:p>
    <w:p>
      <w:pPr>
        <w:spacing w:after="0" w:line="144" w:lineRule="exact"/>
        <w:rPr>
          <w:rFonts w:ascii="Arial" w:cs="Arial" w:eastAsia="Arial" w:hAnsi="Arial"/>
          <w:sz w:val="16"/>
          <w:szCs w:val="16"/>
          <w:color w:val="auto"/>
        </w:rPr>
      </w:pPr>
    </w:p>
    <w:p>
      <w:pPr>
        <w:ind w:left="780" w:hanging="314"/>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advisory vote to approve the compensation of our named executive officers.</w:t>
      </w:r>
    </w:p>
    <w:p>
      <w:pPr>
        <w:spacing w:after="0" w:line="121" w:lineRule="exact"/>
        <w:rPr>
          <w:rFonts w:ascii="Arial" w:cs="Arial" w:eastAsia="Arial" w:hAnsi="Arial"/>
          <w:sz w:val="18"/>
          <w:szCs w:val="18"/>
          <w:color w:val="auto"/>
        </w:rPr>
      </w:pPr>
    </w:p>
    <w:p>
      <w:pPr>
        <w:ind w:left="780" w:hanging="314"/>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business that may properly be considered at the meeting or any adjournment or postponement of the meeting.</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00A1DF"/>
        </w:rPr>
        <w:t>Record Date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may vote at the meeting if you were a stockholder of record at the close of business on April 2, 2018.</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00A1DF"/>
        </w:rPr>
        <w:t>Voting by Proxy</w:t>
      </w:r>
    </w:p>
    <w:p>
      <w:pPr>
        <w:spacing w:after="0" w:line="109" w:lineRule="exact"/>
        <w:rPr>
          <w:sz w:val="20"/>
          <w:szCs w:val="20"/>
          <w:color w:val="auto"/>
        </w:rPr>
      </w:pPr>
    </w:p>
    <w:p>
      <w:pPr>
        <w:ind w:left="340"/>
        <w:spacing w:after="0" w:line="248" w:lineRule="auto"/>
        <w:rPr>
          <w:sz w:val="20"/>
          <w:szCs w:val="20"/>
          <w:color w:val="auto"/>
        </w:rPr>
      </w:pPr>
      <w:r>
        <w:rPr>
          <w:rFonts w:ascii="Arial" w:cs="Arial" w:eastAsia="Arial" w:hAnsi="Arial"/>
          <w:sz w:val="18"/>
          <w:szCs w:val="18"/>
          <w:color w:val="auto"/>
        </w:rPr>
        <w:t>Whether or not you plan to attend the annual meeting, please vote your shares by proxy to ensure they are represented at the meeting. To submit your proxy vote, you may follow the instructions for voting via telephone or the internet as described in the Notice of Internet Availability of Proxy Materials and the following proxy statement. If you received a paper copy of the proxy card by mail, you may sign, date and mail the proxy card in the envelope provided. Our vote tabulator is Broadridge Financial Solutions, Inc., and no postage is required if the request for a paper copy of the proxy materials is mailed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69850</wp:posOffset>
            </wp:positionV>
            <wp:extent cx="6819900" cy="589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19900" cy="589280"/>
                    </a:xfrm>
                    <a:prstGeom prst="rect">
                      <a:avLst/>
                    </a:prstGeom>
                    <a:noFill/>
                  </pic:spPr>
                </pic:pic>
              </a:graphicData>
            </a:graphic>
          </wp:anchor>
        </w:drawing>
      </w:r>
    </w:p>
    <w:p>
      <w:pPr>
        <w:spacing w:after="0" w:line="154" w:lineRule="exact"/>
        <w:rPr>
          <w:sz w:val="20"/>
          <w:szCs w:val="20"/>
          <w:color w:val="auto"/>
        </w:rPr>
      </w:pPr>
    </w:p>
    <w:p>
      <w:pPr>
        <w:jc w:val="center"/>
        <w:ind w:left="620" w:right="580"/>
        <w:spacing w:after="0" w:line="268" w:lineRule="auto"/>
        <w:rPr>
          <w:sz w:val="20"/>
          <w:szCs w:val="20"/>
          <w:color w:val="auto"/>
        </w:rPr>
      </w:pPr>
      <w:r>
        <w:rPr>
          <w:rFonts w:ascii="Arial" w:cs="Arial" w:eastAsia="Arial" w:hAnsi="Arial"/>
          <w:sz w:val="18"/>
          <w:szCs w:val="18"/>
          <w:b w:val="1"/>
          <w:bCs w:val="1"/>
          <w:color w:val="00A1DF"/>
        </w:rPr>
        <w:t>IMPORTANT NOTICE REGARDING THE AVAILABILITY OF PROXY MATERIALS FOR THE ANNUAL MEETING OF STOCKHOLDERS TO BE HELD ON MAY 31, 2018:</w:t>
      </w:r>
    </w:p>
    <w:p>
      <w:pPr>
        <w:spacing w:after="0" w:line="6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00A1DF"/>
        </w:rPr>
        <w:t>The Notice of Annual Meeting, Proxy Statement, and 2017 Annual Report are available at www.proxyvote.com.</w:t>
      </w:r>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color w:val="00A1DF"/>
        </w:rPr>
        <w:t>Date of Mailing</w:t>
      </w:r>
    </w:p>
    <w:p>
      <w:pPr>
        <w:spacing w:after="0" w:line="109" w:lineRule="exact"/>
        <w:rPr>
          <w:sz w:val="20"/>
          <w:szCs w:val="20"/>
          <w:color w:val="auto"/>
        </w:rPr>
      </w:pPr>
    </w:p>
    <w:p>
      <w:pPr>
        <w:ind w:left="340" w:right="20"/>
        <w:spacing w:after="0" w:line="261" w:lineRule="auto"/>
        <w:rPr>
          <w:sz w:val="20"/>
          <w:szCs w:val="20"/>
          <w:color w:val="auto"/>
        </w:rPr>
      </w:pPr>
      <w:r>
        <w:rPr>
          <w:rFonts w:ascii="Arial" w:cs="Arial" w:eastAsia="Arial" w:hAnsi="Arial"/>
          <w:sz w:val="18"/>
          <w:szCs w:val="18"/>
          <w:color w:val="auto"/>
        </w:rPr>
        <w:t>This proxy statement and proxy card, or the notice of internet availability of proxy materials, are first being mailed to stockholders on or about April 13, 2018.</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85090</wp:posOffset>
            </wp:positionV>
            <wp:extent cx="1604010" cy="45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04010" cy="45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040"/>
          </w:cols>
          <w:pgMar w:left="240" w:top="451" w:right="619" w:bottom="1440" w:gutter="0" w:footer="0" w:header="0"/>
          <w:type w:val="continuous"/>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auto"/>
        </w:rPr>
        <w:t>How to Vote</w:t>
      </w:r>
    </w:p>
    <w:p>
      <w:pPr>
        <w:spacing w:after="0" w:line="124" w:lineRule="exact"/>
        <w:rPr>
          <w:sz w:val="20"/>
          <w:szCs w:val="20"/>
          <w:color w:val="auto"/>
        </w:rPr>
      </w:pPr>
    </w:p>
    <w:p>
      <w:pPr>
        <w:ind w:left="340" w:right="340"/>
        <w:spacing w:after="0" w:line="261" w:lineRule="auto"/>
        <w:rPr>
          <w:sz w:val="20"/>
          <w:szCs w:val="20"/>
          <w:color w:val="auto"/>
        </w:rPr>
      </w:pPr>
      <w:r>
        <w:rPr>
          <w:rFonts w:ascii="Arial" w:cs="Arial" w:eastAsia="Arial" w:hAnsi="Arial"/>
          <w:sz w:val="18"/>
          <w:szCs w:val="18"/>
          <w:color w:val="auto"/>
        </w:rPr>
        <w:t>Whether or not you plan to attend the meeting, please provide your proxy by either using the Internet or telephone as further explained in this proxy statement or filling in, signing, dating, and promptly mailing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55880</wp:posOffset>
            </wp:positionV>
            <wp:extent cx="83820" cy="142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3820" cy="142240"/>
                    </a:xfrm>
                    <a:prstGeom prst="rect">
                      <a:avLst/>
                    </a:prstGeom>
                    <a:noFill/>
                  </pic:spPr>
                </pic:pic>
              </a:graphicData>
            </a:graphic>
          </wp:anchor>
        </w:drawing>
      </w:r>
    </w:p>
    <w:p>
      <w:pPr>
        <w:spacing w:after="0" w:line="122" w:lineRule="exact"/>
        <w:rPr>
          <w:sz w:val="20"/>
          <w:szCs w:val="20"/>
          <w:color w:val="auto"/>
        </w:rPr>
      </w:pPr>
    </w:p>
    <w:p>
      <w:pPr>
        <w:ind w:left="740"/>
        <w:spacing w:after="0"/>
        <w:rPr>
          <w:sz w:val="20"/>
          <w:szCs w:val="20"/>
          <w:color w:val="auto"/>
        </w:rPr>
      </w:pPr>
      <w:r>
        <w:rPr>
          <w:rFonts w:ascii="Arial" w:cs="Arial" w:eastAsia="Arial" w:hAnsi="Arial"/>
          <w:sz w:val="18"/>
          <w:szCs w:val="18"/>
          <w:color w:val="00A1DF"/>
        </w:rPr>
        <w:t>BY TELEPHONE</w:t>
      </w:r>
    </w:p>
    <w:p>
      <w:pPr>
        <w:spacing w:after="0" w:line="122" w:lineRule="exact"/>
        <w:rPr>
          <w:sz w:val="20"/>
          <w:szCs w:val="20"/>
          <w:color w:val="auto"/>
        </w:rPr>
      </w:pPr>
    </w:p>
    <w:p>
      <w:pPr>
        <w:ind w:left="1080" w:hanging="31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will need to use a control number that was provided to you by our vote tabulator, Broadridge Financial Solutions.</w:t>
      </w:r>
    </w:p>
    <w:p>
      <w:pPr>
        <w:spacing w:after="0" w:line="121" w:lineRule="exact"/>
        <w:rPr>
          <w:rFonts w:ascii="Arial" w:cs="Arial" w:eastAsia="Arial" w:hAnsi="Arial"/>
          <w:sz w:val="18"/>
          <w:szCs w:val="18"/>
          <w:color w:val="auto"/>
        </w:rPr>
      </w:pPr>
    </w:p>
    <w:p>
      <w:pPr>
        <w:ind w:left="1080" w:right="380" w:hanging="312"/>
        <w:spacing w:after="0" w:line="261"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Call the toll-free number on your Notice or proxy card, 24 hours a day, seven days a week, through 11:59 p.m. (ET) on May 30, 2018 for shares held directly, and through 11:59 p.m. (ET) on May 28, 2018 for shares held in a Plan.</w:t>
      </w:r>
    </w:p>
    <w:p>
      <w:pPr>
        <w:spacing w:after="0" w:line="89" w:lineRule="exact"/>
        <w:rPr>
          <w:rFonts w:ascii="Arial" w:cs="Arial" w:eastAsia="Arial" w:hAnsi="Arial"/>
          <w:sz w:val="18"/>
          <w:szCs w:val="18"/>
          <w:color w:val="auto"/>
        </w:rPr>
      </w:pPr>
    </w:p>
    <w:p>
      <w:pPr>
        <w:ind w:left="1080" w:hanging="31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Please have your Notice or proxy card available and follow the additional steps when prompted.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76835</wp:posOffset>
            </wp:positionV>
            <wp:extent cx="133350" cy="133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141" w:lineRule="exact"/>
        <w:rPr>
          <w:sz w:val="20"/>
          <w:szCs w:val="20"/>
          <w:color w:val="auto"/>
        </w:rPr>
      </w:pPr>
    </w:p>
    <w:p>
      <w:pPr>
        <w:ind w:left="820"/>
        <w:spacing w:after="0"/>
        <w:rPr>
          <w:sz w:val="20"/>
          <w:szCs w:val="20"/>
          <w:color w:val="auto"/>
        </w:rPr>
      </w:pPr>
      <w:r>
        <w:rPr>
          <w:rFonts w:ascii="Arial" w:cs="Arial" w:eastAsia="Arial" w:hAnsi="Arial"/>
          <w:sz w:val="18"/>
          <w:szCs w:val="18"/>
          <w:color w:val="00A1DF"/>
        </w:rPr>
        <w:t>BY INTERNET</w:t>
      </w:r>
    </w:p>
    <w:p>
      <w:pPr>
        <w:spacing w:after="0" w:line="122" w:lineRule="exact"/>
        <w:rPr>
          <w:sz w:val="20"/>
          <w:szCs w:val="20"/>
          <w:color w:val="auto"/>
        </w:rPr>
      </w:pPr>
    </w:p>
    <w:p>
      <w:pPr>
        <w:ind w:left="1080" w:right="400" w:hanging="312"/>
        <w:spacing w:after="0" w:line="261"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 to the web site at www.proxyvote.com, 24 hours a day, seven days a week, through 11:59 p.m. (ET) on May 30, 2018 for shares held directly, and through 11:59 p.m. (ET) on May 28, 2018 for shares held in a Plan.</w:t>
      </w:r>
    </w:p>
    <w:p>
      <w:pPr>
        <w:spacing w:after="0" w:line="89" w:lineRule="exact"/>
        <w:rPr>
          <w:rFonts w:ascii="Arial" w:cs="Arial" w:eastAsia="Arial" w:hAnsi="Arial"/>
          <w:sz w:val="18"/>
          <w:szCs w:val="18"/>
          <w:color w:val="auto"/>
        </w:rPr>
      </w:pPr>
    </w:p>
    <w:p>
      <w:pPr>
        <w:ind w:left="1080" w:right="60" w:hanging="312"/>
        <w:spacing w:after="0" w:line="261"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Please have your Notice or proxy card available and follow the instructions provided to obtain your records and to create an electronic voting instruction form.</w:t>
      </w:r>
    </w:p>
    <w:p>
      <w:pPr>
        <w:spacing w:after="0" w:line="76" w:lineRule="exact"/>
        <w:rPr>
          <w:sz w:val="20"/>
          <w:szCs w:val="20"/>
          <w:color w:val="auto"/>
        </w:rPr>
      </w:pPr>
    </w:p>
    <w:p>
      <w:pPr>
        <w:ind w:left="820"/>
        <w:spacing w:after="0"/>
        <w:rPr>
          <w:sz w:val="20"/>
          <w:szCs w:val="20"/>
          <w:color w:val="auto"/>
        </w:rPr>
      </w:pPr>
      <w:r>
        <w:rPr>
          <w:rFonts w:ascii="Arial" w:cs="Arial" w:eastAsia="Arial" w:hAnsi="Arial"/>
          <w:sz w:val="18"/>
          <w:szCs w:val="18"/>
          <w:color w:val="00A1DF"/>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-114300</wp:posOffset>
            </wp:positionV>
            <wp:extent cx="133350" cy="920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3350" cy="92075"/>
                    </a:xfrm>
                    <a:prstGeom prst="rect">
                      <a:avLst/>
                    </a:prstGeom>
                    <a:noFill/>
                  </pic:spPr>
                </pic:pic>
              </a:graphicData>
            </a:graphic>
          </wp:anchor>
        </w:drawing>
      </w:r>
    </w:p>
    <w:p>
      <w:pPr>
        <w:spacing w:after="0" w:line="102" w:lineRule="exact"/>
        <w:rPr>
          <w:sz w:val="20"/>
          <w:szCs w:val="20"/>
          <w:color w:val="auto"/>
        </w:rPr>
      </w:pPr>
    </w:p>
    <w:p>
      <w:pPr>
        <w:ind w:left="1080" w:hanging="31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you received a Notice, first request a paper copy of the proxy materials as directed in the Notice.</w:t>
      </w:r>
    </w:p>
    <w:p>
      <w:pPr>
        <w:spacing w:after="0" w:line="121" w:lineRule="exact"/>
        <w:rPr>
          <w:rFonts w:ascii="Arial" w:cs="Arial" w:eastAsia="Arial" w:hAnsi="Arial"/>
          <w:sz w:val="18"/>
          <w:szCs w:val="18"/>
          <w:color w:val="auto"/>
        </w:rPr>
      </w:pPr>
    </w:p>
    <w:p>
      <w:pPr>
        <w:ind w:left="1080" w:hanging="31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 sign and date your proxy card.</w:t>
      </w:r>
    </w:p>
    <w:p>
      <w:pPr>
        <w:spacing w:after="0" w:line="121" w:lineRule="exact"/>
        <w:rPr>
          <w:rFonts w:ascii="Arial" w:cs="Arial" w:eastAsia="Arial" w:hAnsi="Arial"/>
          <w:sz w:val="18"/>
          <w:szCs w:val="18"/>
          <w:color w:val="auto"/>
        </w:rPr>
      </w:pPr>
    </w:p>
    <w:p>
      <w:pPr>
        <w:ind w:left="1080" w:hanging="31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Return it in the postage-paid envelope provided.</w:t>
      </w:r>
    </w:p>
    <w:p>
      <w:pPr>
        <w:spacing w:after="0" w:line="109" w:lineRule="exact"/>
        <w:rPr>
          <w:sz w:val="20"/>
          <w:szCs w:val="20"/>
          <w:color w:val="auto"/>
        </w:rPr>
      </w:pPr>
    </w:p>
    <w:p>
      <w:pPr>
        <w:ind w:left="340"/>
        <w:spacing w:after="0" w:line="249" w:lineRule="auto"/>
        <w:rPr>
          <w:sz w:val="20"/>
          <w:szCs w:val="20"/>
          <w:color w:val="auto"/>
        </w:rPr>
      </w:pPr>
      <w:r>
        <w:rPr>
          <w:rFonts w:ascii="Arial" w:cs="Arial" w:eastAsia="Arial" w:hAnsi="Arial"/>
          <w:sz w:val="18"/>
          <w:szCs w:val="18"/>
          <w:color w:val="auto"/>
        </w:rPr>
        <w:t>If your shares are held in an account at a brokerage firm, bank or similar organization, you will receive voting instructions from the organization holding your account and you must follow those instructions to vote your shares. You will receive a Notice Regarding the Availability of Proxy Materials that will tell you how to access our proxy materials on the Internet and vote your shares over the Internet. It will also tell you how to request a paper or e-mail copy of our proxy materials.</w:t>
      </w:r>
    </w:p>
    <w:p>
      <w:pPr>
        <w:spacing w:after="0" w:line="82"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YOUR VOTE IS IMPORTANT. THANK YOU FOR VOTING.</w:t>
      </w:r>
    </w:p>
    <w:p>
      <w:pPr>
        <w:sectPr>
          <w:pgSz w:w="11900" w:h="16838" w:orient="portrait"/>
          <w:cols w:equalWidth="0" w:num="1">
            <w:col w:w="11060"/>
          </w:cols>
          <w:pgMar w:left="240" w:top="451" w:right="59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jc w:val="center"/>
        <w:ind w:right="-399"/>
        <w:spacing w:after="0"/>
        <w:rPr>
          <w:sz w:val="20"/>
          <w:szCs w:val="20"/>
          <w:color w:val="auto"/>
        </w:rPr>
      </w:pPr>
      <w:r>
        <w:rPr>
          <w:rFonts w:ascii="Arial" w:cs="Arial" w:eastAsia="Arial" w:hAnsi="Arial"/>
          <w:sz w:val="21"/>
          <w:szCs w:val="21"/>
          <w:b w:val="1"/>
          <w:bCs w:val="1"/>
          <w:color w:val="auto"/>
        </w:rPr>
        <w:t>PROXY STATEMENT</w:t>
      </w:r>
    </w:p>
    <w:p>
      <w:pPr>
        <w:spacing w:after="0" w:line="11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TABLE OF CONTENTS</w:t>
      </w: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0240" w:type="dxa"/>
            <w:vAlign w:val="bottom"/>
            <w:gridSpan w:val="43"/>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PROXY SUMMARY</w:t>
              </w:r>
            </w:hyperlink>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0"/>
        </w:trPr>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0"/>
        </w:trPr>
        <w:tc>
          <w:tcPr>
            <w:tcW w:w="10240" w:type="dxa"/>
            <w:vAlign w:val="bottom"/>
            <w:gridSpan w:val="43"/>
          </w:tcPr>
          <w:p>
            <w:pPr>
              <w:spacing w:after="0" w:line="190"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QUESTIONS AND ANSWERS ABOUT THE ANNUAL MEETING AND VOTING</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3</w:t>
            </w:r>
          </w:p>
        </w:tc>
      </w:tr>
      <w:tr>
        <w:trPr>
          <w:trHeight w:val="190"/>
        </w:trPr>
        <w:tc>
          <w:tcPr>
            <w:tcW w:w="6300" w:type="dxa"/>
            <w:vAlign w:val="bottom"/>
            <w:tcBorders>
              <w:top w:val="single" w:sz="8" w:color="0000EE"/>
            </w:tcBorders>
            <w:gridSpan w:val="38"/>
          </w:tcPr>
          <w:p>
            <w:pPr>
              <w:spacing w:after="0" w:line="190" w:lineRule="exact"/>
              <w:rPr>
                <w:rFonts w:ascii="Arial" w:cs="Arial" w:eastAsia="Arial" w:hAnsi="Arial"/>
                <w:sz w:val="18"/>
                <w:szCs w:val="18"/>
                <w:color w:val="0000EE"/>
              </w:rPr>
            </w:pPr>
            <w:hyperlink w:anchor="page9">
              <w:r>
                <w:rPr>
                  <w:rFonts w:ascii="Arial" w:cs="Arial" w:eastAsia="Arial" w:hAnsi="Arial"/>
                  <w:sz w:val="18"/>
                  <w:szCs w:val="18"/>
                  <w:color w:val="0000EE"/>
                </w:rPr>
                <w:t>Purpose of the Annual Meeting</w:t>
              </w:r>
            </w:hyperlink>
          </w:p>
        </w:tc>
        <w:tc>
          <w:tcPr>
            <w:tcW w:w="3940" w:type="dxa"/>
            <w:vAlign w:val="bottom"/>
            <w:gridSpan w:val="5"/>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0"/>
        </w:trPr>
        <w:tc>
          <w:tcPr>
            <w:tcW w:w="10240" w:type="dxa"/>
            <w:vAlign w:val="bottom"/>
            <w:gridSpan w:val="43"/>
          </w:tcPr>
          <w:p>
            <w:pPr>
              <w:spacing w:after="0" w:line="190" w:lineRule="exact"/>
              <w:rPr>
                <w:rFonts w:ascii="Arial" w:cs="Arial" w:eastAsia="Arial" w:hAnsi="Arial"/>
                <w:sz w:val="18"/>
                <w:szCs w:val="18"/>
                <w:color w:val="0000EE"/>
              </w:rPr>
            </w:pPr>
            <w:hyperlink w:anchor="page9">
              <w:r>
                <w:rPr>
                  <w:rFonts w:ascii="Arial" w:cs="Arial" w:eastAsia="Arial" w:hAnsi="Arial"/>
                  <w:sz w:val="18"/>
                  <w:szCs w:val="18"/>
                  <w:color w:val="0000EE"/>
                </w:rPr>
                <w:t>Annual Meeting Voting Rights and Attendance</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0"/>
        </w:trPr>
        <w:tc>
          <w:tcPr>
            <w:tcW w:w="3520" w:type="dxa"/>
            <w:vAlign w:val="bottom"/>
            <w:tcBorders>
              <w:bottom w:val="single" w:sz="8" w:color="0000EE"/>
            </w:tcBorders>
            <w:gridSpan w:val="26"/>
          </w:tcPr>
          <w:p>
            <w:pPr>
              <w:spacing w:after="0" w:line="190"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Information about the Notice and Proxy Materials</w:t>
              </w:r>
            </w:hyperlink>
          </w:p>
        </w:tc>
        <w:tc>
          <w:tcPr>
            <w:tcW w:w="6720" w:type="dxa"/>
            <w:vAlign w:val="bottom"/>
            <w:gridSpan w:val="17"/>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r>
      <w:tr>
        <w:trPr>
          <w:trHeight w:val="190"/>
        </w:trPr>
        <w:tc>
          <w:tcPr>
            <w:tcW w:w="480" w:type="dxa"/>
            <w:vAlign w:val="bottom"/>
            <w:tcBorders>
              <w:bottom w:val="single" w:sz="8" w:color="0000EE"/>
            </w:tcBorders>
          </w:tcPr>
          <w:p>
            <w:pPr>
              <w:spacing w:after="0" w:line="190"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Voting</w:t>
              </w:r>
            </w:hyperlink>
          </w:p>
        </w:tc>
        <w:tc>
          <w:tcPr>
            <w:tcW w:w="9760" w:type="dxa"/>
            <w:vAlign w:val="bottom"/>
            <w:gridSpan w:val="42"/>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r>
      <w:tr>
        <w:trPr>
          <w:trHeight w:val="190"/>
        </w:trPr>
        <w:tc>
          <w:tcPr>
            <w:tcW w:w="3080" w:type="dxa"/>
            <w:vAlign w:val="bottom"/>
            <w:tcBorders>
              <w:bottom w:val="single" w:sz="8" w:color="0000EE"/>
            </w:tcBorders>
            <w:gridSpan w:val="22"/>
          </w:tcPr>
          <w:p>
            <w:pPr>
              <w:spacing w:after="0" w:line="190" w:lineRule="exact"/>
              <w:rPr>
                <w:rFonts w:ascii="Arial" w:cs="Arial" w:eastAsia="Arial" w:hAnsi="Arial"/>
                <w:sz w:val="18"/>
                <w:szCs w:val="18"/>
                <w:b w:val="1"/>
                <w:bCs w:val="1"/>
                <w:color w:val="0000EE"/>
                <w:w w:val="98"/>
              </w:rPr>
            </w:pPr>
            <w:hyperlink w:anchor="page13">
              <w:r>
                <w:rPr>
                  <w:rFonts w:ascii="Arial" w:cs="Arial" w:eastAsia="Arial" w:hAnsi="Arial"/>
                  <w:sz w:val="18"/>
                  <w:szCs w:val="18"/>
                  <w:b w:val="1"/>
                  <w:bCs w:val="1"/>
                  <w:color w:val="0000EE"/>
                  <w:w w:val="98"/>
                </w:rPr>
                <w:t>ITEM 1 – ELECTION OF DIRECTORS</w:t>
              </w:r>
            </w:hyperlink>
          </w:p>
        </w:tc>
        <w:tc>
          <w:tcPr>
            <w:tcW w:w="7160" w:type="dxa"/>
            <w:vAlign w:val="bottom"/>
            <w:gridSpan w:val="21"/>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7</w:t>
            </w:r>
          </w:p>
        </w:tc>
      </w:tr>
      <w:tr>
        <w:trPr>
          <w:trHeight w:val="190"/>
        </w:trPr>
        <w:tc>
          <w:tcPr>
            <w:tcW w:w="1600" w:type="dxa"/>
            <w:vAlign w:val="bottom"/>
            <w:tcBorders>
              <w:bottom w:val="single" w:sz="8" w:color="0000EE"/>
            </w:tcBorders>
            <w:gridSpan w:val="8"/>
          </w:tcPr>
          <w:p>
            <w:pPr>
              <w:spacing w:after="0" w:line="190"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Nominees for Director</w:t>
              </w:r>
            </w:hyperlink>
          </w:p>
        </w:tc>
        <w:tc>
          <w:tcPr>
            <w:tcW w:w="8640" w:type="dxa"/>
            <w:vAlign w:val="bottom"/>
            <w:gridSpan w:val="35"/>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r>
      <w:tr>
        <w:trPr>
          <w:trHeight w:val="190"/>
        </w:trPr>
        <w:tc>
          <w:tcPr>
            <w:tcW w:w="10240" w:type="dxa"/>
            <w:vAlign w:val="bottom"/>
            <w:gridSpan w:val="43"/>
          </w:tcPr>
          <w:p>
            <w:pPr>
              <w:spacing w:after="0" w:line="190"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INFORMATION REGARDING THE BOARD OF DIRECTORS AND CORPORATE GOVERNANCE</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13</w:t>
            </w:r>
          </w:p>
        </w:tc>
      </w:tr>
      <w:tr>
        <w:trPr>
          <w:trHeight w:val="190"/>
        </w:trPr>
        <w:tc>
          <w:tcPr>
            <w:tcW w:w="7780" w:type="dxa"/>
            <w:vAlign w:val="bottom"/>
            <w:tcBorders>
              <w:top w:val="single" w:sz="8" w:color="0000EE"/>
            </w:tcBorders>
            <w:gridSpan w:val="40"/>
          </w:tcPr>
          <w:p>
            <w:pPr>
              <w:spacing w:after="0" w:line="190" w:lineRule="exact"/>
              <w:rPr>
                <w:rFonts w:ascii="Arial" w:cs="Arial" w:eastAsia="Arial" w:hAnsi="Arial"/>
                <w:sz w:val="18"/>
                <w:szCs w:val="18"/>
                <w:color w:val="0000EE"/>
              </w:rPr>
            </w:pPr>
            <w:hyperlink w:anchor="page19">
              <w:r>
                <w:rPr>
                  <w:rFonts w:ascii="Arial" w:cs="Arial" w:eastAsia="Arial" w:hAnsi="Arial"/>
                  <w:sz w:val="18"/>
                  <w:szCs w:val="18"/>
                  <w:color w:val="0000EE"/>
                </w:rPr>
                <w:t>Director Independence</w:t>
              </w:r>
            </w:hyperlink>
          </w:p>
        </w:tc>
        <w:tc>
          <w:tcPr>
            <w:tcW w:w="2460" w:type="dxa"/>
            <w:vAlign w:val="bottom"/>
            <w:gridSpan w:val="3"/>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13</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0"/>
        </w:trPr>
        <w:tc>
          <w:tcPr>
            <w:tcW w:w="10240" w:type="dxa"/>
            <w:vAlign w:val="bottom"/>
            <w:gridSpan w:val="43"/>
          </w:tcPr>
          <w:p>
            <w:pPr>
              <w:spacing w:after="0" w:line="190" w:lineRule="exact"/>
              <w:rPr>
                <w:rFonts w:ascii="Arial" w:cs="Arial" w:eastAsia="Arial" w:hAnsi="Arial"/>
                <w:sz w:val="18"/>
                <w:szCs w:val="18"/>
                <w:color w:val="0000EE"/>
              </w:rPr>
            </w:pPr>
            <w:hyperlink w:anchor="page19">
              <w:r>
                <w:rPr>
                  <w:rFonts w:ascii="Arial" w:cs="Arial" w:eastAsia="Arial" w:hAnsi="Arial"/>
                  <w:sz w:val="18"/>
                  <w:szCs w:val="18"/>
                  <w:color w:val="0000EE"/>
                </w:rPr>
                <w:t>Board Leadership Structure</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13</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0"/>
        </w:trPr>
        <w:tc>
          <w:tcPr>
            <w:tcW w:w="10240" w:type="dxa"/>
            <w:vAlign w:val="bottom"/>
            <w:gridSpan w:val="43"/>
          </w:tcPr>
          <w:p>
            <w:pPr>
              <w:spacing w:after="0" w:line="190" w:lineRule="exact"/>
              <w:rPr>
                <w:rFonts w:ascii="Arial" w:cs="Arial" w:eastAsia="Arial" w:hAnsi="Arial"/>
                <w:sz w:val="18"/>
                <w:szCs w:val="18"/>
                <w:color w:val="0000EE"/>
              </w:rPr>
            </w:pPr>
            <w:hyperlink w:anchor="page19">
              <w:r>
                <w:rPr>
                  <w:rFonts w:ascii="Arial" w:cs="Arial" w:eastAsia="Arial" w:hAnsi="Arial"/>
                  <w:sz w:val="18"/>
                  <w:szCs w:val="18"/>
                  <w:color w:val="0000EE"/>
                </w:rPr>
                <w:t>Board Involvement in Risk Oversight</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13</w:t>
            </w:r>
          </w:p>
        </w:tc>
      </w:tr>
      <w:tr>
        <w:trPr>
          <w:trHeight w:val="190"/>
        </w:trPr>
        <w:tc>
          <w:tcPr>
            <w:tcW w:w="2640" w:type="dxa"/>
            <w:vAlign w:val="bottom"/>
            <w:tcBorders>
              <w:top w:val="single" w:sz="8" w:color="0000EE"/>
            </w:tcBorders>
            <w:gridSpan w:val="17"/>
          </w:tcPr>
          <w:p>
            <w:pPr>
              <w:spacing w:after="0" w:line="190" w:lineRule="exact"/>
              <w:rPr>
                <w:rFonts w:ascii="Arial" w:cs="Arial" w:eastAsia="Arial" w:hAnsi="Arial"/>
                <w:sz w:val="18"/>
                <w:szCs w:val="18"/>
                <w:color w:val="0000EE"/>
              </w:rPr>
            </w:pPr>
            <w:hyperlink w:anchor="page20">
              <w:r>
                <w:rPr>
                  <w:rFonts w:ascii="Arial" w:cs="Arial" w:eastAsia="Arial" w:hAnsi="Arial"/>
                  <w:sz w:val="18"/>
                  <w:szCs w:val="18"/>
                  <w:color w:val="0000EE"/>
                </w:rPr>
                <w:t>Board Committees</w:t>
              </w:r>
            </w:hyperlink>
          </w:p>
        </w:tc>
        <w:tc>
          <w:tcPr>
            <w:tcW w:w="7600" w:type="dxa"/>
            <w:vAlign w:val="bottom"/>
            <w:gridSpan w:val="26"/>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14</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0"/>
        </w:trPr>
        <w:tc>
          <w:tcPr>
            <w:tcW w:w="1440" w:type="dxa"/>
            <w:vAlign w:val="bottom"/>
            <w:tcBorders>
              <w:bottom w:val="single" w:sz="8" w:color="0000EE"/>
            </w:tcBorders>
            <w:gridSpan w:val="7"/>
          </w:tcPr>
          <w:p>
            <w:pPr>
              <w:spacing w:after="0" w:line="190"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Meeting Attendance</w:t>
              </w:r>
            </w:hyperlink>
          </w:p>
        </w:tc>
        <w:tc>
          <w:tcPr>
            <w:tcW w:w="8800" w:type="dxa"/>
            <w:vAlign w:val="bottom"/>
            <w:gridSpan w:val="36"/>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15</w:t>
            </w:r>
          </w:p>
        </w:tc>
      </w:tr>
      <w:tr>
        <w:trPr>
          <w:trHeight w:val="190"/>
        </w:trPr>
        <w:tc>
          <w:tcPr>
            <w:tcW w:w="10240" w:type="dxa"/>
            <w:vAlign w:val="bottom"/>
            <w:gridSpan w:val="43"/>
          </w:tcPr>
          <w:p>
            <w:pPr>
              <w:spacing w:after="0" w:line="190" w:lineRule="exact"/>
              <w:rPr>
                <w:rFonts w:ascii="Arial" w:cs="Arial" w:eastAsia="Arial" w:hAnsi="Arial"/>
                <w:sz w:val="18"/>
                <w:szCs w:val="18"/>
                <w:color w:val="0000EE"/>
              </w:rPr>
            </w:pPr>
            <w:hyperlink w:anchor="page21">
              <w:r>
                <w:rPr>
                  <w:rFonts w:ascii="Arial" w:cs="Arial" w:eastAsia="Arial" w:hAnsi="Arial"/>
                  <w:sz w:val="18"/>
                  <w:szCs w:val="18"/>
                  <w:color w:val="0000EE"/>
                </w:rPr>
                <w:t>Procedures for Contacting the Board of Directors</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15</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0"/>
        </w:trPr>
        <w:tc>
          <w:tcPr>
            <w:tcW w:w="4380" w:type="dxa"/>
            <w:vAlign w:val="bottom"/>
            <w:tcBorders>
              <w:bottom w:val="single" w:sz="8" w:color="0000EE"/>
            </w:tcBorders>
            <w:gridSpan w:val="33"/>
          </w:tcPr>
          <w:p>
            <w:pPr>
              <w:spacing w:after="0" w:line="190"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Procedures for Selecting and Nominating Director Candidates</w:t>
              </w:r>
            </w:hyperlink>
          </w:p>
        </w:tc>
        <w:tc>
          <w:tcPr>
            <w:tcW w:w="5860" w:type="dxa"/>
            <w:vAlign w:val="bottom"/>
            <w:gridSpan w:val="10"/>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15</w:t>
            </w:r>
          </w:p>
        </w:tc>
      </w:tr>
      <w:tr>
        <w:trPr>
          <w:trHeight w:val="190"/>
        </w:trPr>
        <w:tc>
          <w:tcPr>
            <w:tcW w:w="10240" w:type="dxa"/>
            <w:vAlign w:val="bottom"/>
            <w:gridSpan w:val="43"/>
          </w:tcPr>
          <w:p>
            <w:pPr>
              <w:spacing w:after="0" w:line="190" w:lineRule="exact"/>
              <w:rPr>
                <w:rFonts w:ascii="Arial" w:cs="Arial" w:eastAsia="Arial" w:hAnsi="Arial"/>
                <w:sz w:val="18"/>
                <w:szCs w:val="18"/>
                <w:color w:val="0000EE"/>
              </w:rPr>
            </w:pPr>
            <w:hyperlink w:anchor="page22">
              <w:r>
                <w:rPr>
                  <w:rFonts w:ascii="Arial" w:cs="Arial" w:eastAsia="Arial" w:hAnsi="Arial"/>
                  <w:sz w:val="18"/>
                  <w:szCs w:val="18"/>
                  <w:color w:val="0000EE"/>
                </w:rPr>
                <w:t>Director Compensation</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16</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0"/>
        </w:trPr>
        <w:tc>
          <w:tcPr>
            <w:tcW w:w="2540" w:type="dxa"/>
            <w:vAlign w:val="bottom"/>
            <w:tcBorders>
              <w:bottom w:val="single" w:sz="8" w:color="0000EE"/>
            </w:tcBorders>
            <w:gridSpan w:val="15"/>
          </w:tcPr>
          <w:p>
            <w:pPr>
              <w:spacing w:after="0" w:line="190" w:lineRule="exact"/>
              <w:rPr>
                <w:rFonts w:ascii="Arial" w:cs="Arial" w:eastAsia="Arial" w:hAnsi="Arial"/>
                <w:sz w:val="18"/>
                <w:szCs w:val="18"/>
                <w:b w:val="1"/>
                <w:bCs w:val="1"/>
                <w:color w:val="0000EE"/>
                <w:w w:val="99"/>
              </w:rPr>
            </w:pPr>
            <w:hyperlink w:anchor="page25">
              <w:r>
                <w:rPr>
                  <w:rFonts w:ascii="Arial" w:cs="Arial" w:eastAsia="Arial" w:hAnsi="Arial"/>
                  <w:sz w:val="18"/>
                  <w:szCs w:val="18"/>
                  <w:b w:val="1"/>
                  <w:bCs w:val="1"/>
                  <w:color w:val="0000EE"/>
                  <w:w w:val="99"/>
                </w:rPr>
                <w:t>EXECUTIVE COMPENSATION</w:t>
              </w:r>
            </w:hyperlink>
          </w:p>
        </w:tc>
        <w:tc>
          <w:tcPr>
            <w:tcW w:w="7700" w:type="dxa"/>
            <w:vAlign w:val="bottom"/>
            <w:gridSpan w:val="28"/>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19</w:t>
            </w:r>
          </w:p>
        </w:tc>
      </w:tr>
      <w:tr>
        <w:trPr>
          <w:trHeight w:val="190"/>
        </w:trPr>
        <w:tc>
          <w:tcPr>
            <w:tcW w:w="10240" w:type="dxa"/>
            <w:vAlign w:val="bottom"/>
            <w:gridSpan w:val="43"/>
          </w:tcPr>
          <w:p>
            <w:pPr>
              <w:spacing w:after="0" w:line="190" w:lineRule="exact"/>
              <w:rPr>
                <w:rFonts w:ascii="Arial" w:cs="Arial" w:eastAsia="Arial" w:hAnsi="Arial"/>
                <w:sz w:val="18"/>
                <w:szCs w:val="18"/>
                <w:color w:val="0000EE"/>
              </w:rPr>
            </w:pPr>
            <w:hyperlink w:anchor="page25">
              <w:r>
                <w:rPr>
                  <w:rFonts w:ascii="Arial" w:cs="Arial" w:eastAsia="Arial" w:hAnsi="Arial"/>
                  <w:sz w:val="18"/>
                  <w:szCs w:val="18"/>
                  <w:color w:val="0000EE"/>
                </w:rPr>
                <w:t>Compensation Discussion and Analysis</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19</w:t>
            </w:r>
          </w:p>
        </w:tc>
      </w:tr>
      <w:tr>
        <w:trPr>
          <w:trHeight w:val="190"/>
        </w:trPr>
        <w:tc>
          <w:tcPr>
            <w:tcW w:w="2780" w:type="dxa"/>
            <w:vAlign w:val="bottom"/>
            <w:tcBorders>
              <w:top w:val="single" w:sz="8" w:color="0000EE"/>
            </w:tcBorders>
            <w:gridSpan w:val="20"/>
          </w:tcPr>
          <w:p>
            <w:pPr>
              <w:spacing w:after="0" w:line="190" w:lineRule="exact"/>
              <w:rPr>
                <w:rFonts w:ascii="Arial" w:cs="Arial" w:eastAsia="Arial" w:hAnsi="Arial"/>
                <w:sz w:val="18"/>
                <w:szCs w:val="18"/>
                <w:color w:val="0000EE"/>
              </w:rPr>
            </w:pPr>
            <w:hyperlink w:anchor="page30">
              <w:r>
                <w:rPr>
                  <w:rFonts w:ascii="Arial" w:cs="Arial" w:eastAsia="Arial" w:hAnsi="Arial"/>
                  <w:sz w:val="18"/>
                  <w:szCs w:val="18"/>
                  <w:color w:val="0000EE"/>
                </w:rPr>
                <w:t>Compensation Committee Report</w:t>
              </w:r>
            </w:hyperlink>
          </w:p>
        </w:tc>
        <w:tc>
          <w:tcPr>
            <w:tcW w:w="7460" w:type="dxa"/>
            <w:vAlign w:val="bottom"/>
            <w:gridSpan w:val="23"/>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24</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0"/>
        </w:trPr>
        <w:tc>
          <w:tcPr>
            <w:tcW w:w="2580" w:type="dxa"/>
            <w:vAlign w:val="bottom"/>
            <w:tcBorders>
              <w:bottom w:val="single" w:sz="8" w:color="0000EE"/>
            </w:tcBorders>
            <w:gridSpan w:val="16"/>
          </w:tcPr>
          <w:p>
            <w:pPr>
              <w:spacing w:after="0" w:line="190"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2017 Summary Compensation Table</w:t>
              </w:r>
            </w:hyperlink>
          </w:p>
        </w:tc>
        <w:tc>
          <w:tcPr>
            <w:tcW w:w="7660" w:type="dxa"/>
            <w:vAlign w:val="bottom"/>
            <w:gridSpan w:val="27"/>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25</w:t>
            </w:r>
          </w:p>
        </w:tc>
      </w:tr>
      <w:tr>
        <w:trPr>
          <w:trHeight w:val="190"/>
        </w:trPr>
        <w:tc>
          <w:tcPr>
            <w:tcW w:w="10240" w:type="dxa"/>
            <w:vAlign w:val="bottom"/>
            <w:gridSpan w:val="43"/>
          </w:tcPr>
          <w:p>
            <w:pPr>
              <w:spacing w:after="0" w:line="190" w:lineRule="exact"/>
              <w:rPr>
                <w:rFonts w:ascii="Arial" w:cs="Arial" w:eastAsia="Arial" w:hAnsi="Arial"/>
                <w:sz w:val="18"/>
                <w:szCs w:val="18"/>
                <w:color w:val="0000EE"/>
              </w:rPr>
            </w:pPr>
            <w:hyperlink w:anchor="page32">
              <w:r>
                <w:rPr>
                  <w:rFonts w:ascii="Arial" w:cs="Arial" w:eastAsia="Arial" w:hAnsi="Arial"/>
                  <w:sz w:val="18"/>
                  <w:szCs w:val="18"/>
                  <w:color w:val="0000EE"/>
                </w:rPr>
                <w:t>2017 Grants of Plan-Based Awards Table</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26</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0"/>
        </w:trPr>
        <w:tc>
          <w:tcPr>
            <w:tcW w:w="3720" w:type="dxa"/>
            <w:vAlign w:val="bottom"/>
            <w:tcBorders>
              <w:bottom w:val="single" w:sz="8" w:color="0000EE"/>
            </w:tcBorders>
            <w:gridSpan w:val="29"/>
          </w:tcPr>
          <w:p>
            <w:pPr>
              <w:spacing w:after="0" w:line="190"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Outstanding Equity Awards at Fiscal Year-End Table</w:t>
              </w:r>
            </w:hyperlink>
          </w:p>
        </w:tc>
        <w:tc>
          <w:tcPr>
            <w:tcW w:w="6520" w:type="dxa"/>
            <w:vAlign w:val="bottom"/>
            <w:gridSpan w:val="14"/>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27</w:t>
            </w:r>
          </w:p>
        </w:tc>
      </w:tr>
      <w:tr>
        <w:trPr>
          <w:trHeight w:val="190"/>
        </w:trPr>
        <w:tc>
          <w:tcPr>
            <w:tcW w:w="3380" w:type="dxa"/>
            <w:vAlign w:val="bottom"/>
            <w:tcBorders>
              <w:bottom w:val="single" w:sz="8" w:color="0000EE"/>
            </w:tcBorders>
            <w:gridSpan w:val="24"/>
          </w:tcPr>
          <w:p>
            <w:pPr>
              <w:spacing w:after="0" w:line="190" w:lineRule="exact"/>
              <w:rPr>
                <w:rFonts w:ascii="Arial" w:cs="Arial" w:eastAsia="Arial" w:hAnsi="Arial"/>
                <w:sz w:val="18"/>
                <w:szCs w:val="18"/>
                <w:color w:val="0000EE"/>
                <w:w w:val="86"/>
              </w:rPr>
            </w:pPr>
            <w:hyperlink w:anchor="page34">
              <w:r>
                <w:rPr>
                  <w:rFonts w:ascii="Arial" w:cs="Arial" w:eastAsia="Arial" w:hAnsi="Arial"/>
                  <w:sz w:val="18"/>
                  <w:szCs w:val="18"/>
                  <w:color w:val="0000EE"/>
                  <w:w w:val="86"/>
                </w:rPr>
                <w:t>2017 Options Exercised and Stock Vested Table</w:t>
              </w:r>
            </w:hyperlink>
          </w:p>
        </w:tc>
        <w:tc>
          <w:tcPr>
            <w:tcW w:w="6860" w:type="dxa"/>
            <w:vAlign w:val="bottom"/>
            <w:gridSpan w:val="19"/>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28</w:t>
            </w:r>
          </w:p>
        </w:tc>
      </w:tr>
      <w:tr>
        <w:trPr>
          <w:trHeight w:val="190"/>
        </w:trPr>
        <w:tc>
          <w:tcPr>
            <w:tcW w:w="1200" w:type="dxa"/>
            <w:vAlign w:val="bottom"/>
            <w:tcBorders>
              <w:bottom w:val="single" w:sz="8" w:color="0000EE"/>
            </w:tcBorders>
            <w:gridSpan w:val="5"/>
          </w:tcPr>
          <w:p>
            <w:pPr>
              <w:spacing w:after="0" w:line="190"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Pension Benefits</w:t>
              </w:r>
            </w:hyperlink>
          </w:p>
        </w:tc>
        <w:tc>
          <w:tcPr>
            <w:tcW w:w="9040" w:type="dxa"/>
            <w:vAlign w:val="bottom"/>
            <w:gridSpan w:val="38"/>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28</w:t>
            </w:r>
          </w:p>
        </w:tc>
      </w:tr>
      <w:tr>
        <w:trPr>
          <w:trHeight w:val="190"/>
        </w:trPr>
        <w:tc>
          <w:tcPr>
            <w:tcW w:w="2760" w:type="dxa"/>
            <w:vAlign w:val="bottom"/>
            <w:tcBorders>
              <w:bottom w:val="single" w:sz="8" w:color="0000EE"/>
            </w:tcBorders>
            <w:gridSpan w:val="19"/>
          </w:tcPr>
          <w:p>
            <w:pPr>
              <w:spacing w:after="0" w:line="190"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Non-Qualified Deferred Compensation</w:t>
              </w:r>
            </w:hyperlink>
          </w:p>
        </w:tc>
        <w:tc>
          <w:tcPr>
            <w:tcW w:w="7480" w:type="dxa"/>
            <w:vAlign w:val="bottom"/>
            <w:gridSpan w:val="24"/>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28</w:t>
            </w:r>
          </w:p>
        </w:tc>
      </w:tr>
      <w:tr>
        <w:trPr>
          <w:trHeight w:val="190"/>
        </w:trPr>
        <w:tc>
          <w:tcPr>
            <w:tcW w:w="10240" w:type="dxa"/>
            <w:vAlign w:val="bottom"/>
            <w:gridSpan w:val="43"/>
          </w:tcPr>
          <w:p>
            <w:pPr>
              <w:spacing w:after="0" w:line="190" w:lineRule="exact"/>
              <w:rPr>
                <w:rFonts w:ascii="Arial" w:cs="Arial" w:eastAsia="Arial" w:hAnsi="Arial"/>
                <w:sz w:val="18"/>
                <w:szCs w:val="18"/>
                <w:color w:val="0000EE"/>
              </w:rPr>
            </w:pPr>
            <w:hyperlink w:anchor="page34">
              <w:r>
                <w:rPr>
                  <w:rFonts w:ascii="Arial" w:cs="Arial" w:eastAsia="Arial" w:hAnsi="Arial"/>
                  <w:sz w:val="18"/>
                  <w:szCs w:val="18"/>
                  <w:color w:val="0000EE"/>
                </w:rPr>
                <w:t>Employment Agreements</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28</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6"/>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0"/>
        </w:trPr>
        <w:tc>
          <w:tcPr>
            <w:tcW w:w="10240" w:type="dxa"/>
            <w:vAlign w:val="bottom"/>
            <w:gridSpan w:val="43"/>
          </w:tcPr>
          <w:p>
            <w:pPr>
              <w:spacing w:after="0" w:line="190" w:lineRule="exact"/>
              <w:rPr>
                <w:rFonts w:ascii="Arial" w:cs="Arial" w:eastAsia="Arial" w:hAnsi="Arial"/>
                <w:sz w:val="18"/>
                <w:szCs w:val="18"/>
                <w:color w:val="0000EE"/>
              </w:rPr>
            </w:pPr>
            <w:hyperlink w:anchor="page34">
              <w:r>
                <w:rPr>
                  <w:rFonts w:ascii="Arial" w:cs="Arial" w:eastAsia="Arial" w:hAnsi="Arial"/>
                  <w:sz w:val="18"/>
                  <w:szCs w:val="18"/>
                  <w:color w:val="0000EE"/>
                </w:rPr>
                <w:t>Potential Payments Upon Termination or Change-in-Control</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28</w:t>
            </w:r>
          </w:p>
        </w:tc>
      </w:tr>
      <w:tr>
        <w:trPr>
          <w:trHeight w:val="190"/>
        </w:trPr>
        <w:tc>
          <w:tcPr>
            <w:tcW w:w="4240" w:type="dxa"/>
            <w:vAlign w:val="bottom"/>
            <w:tcBorders>
              <w:top w:val="single" w:sz="8" w:color="0000EE"/>
            </w:tcBorders>
            <w:gridSpan w:val="31"/>
          </w:tcPr>
          <w:p>
            <w:pPr>
              <w:spacing w:after="0" w:line="190" w:lineRule="exact"/>
              <w:rPr>
                <w:rFonts w:ascii="Arial" w:cs="Arial" w:eastAsia="Arial" w:hAnsi="Arial"/>
                <w:sz w:val="18"/>
                <w:szCs w:val="18"/>
                <w:color w:val="0000EE"/>
              </w:rPr>
            </w:pPr>
            <w:hyperlink w:anchor="page39">
              <w:r>
                <w:rPr>
                  <w:rFonts w:ascii="Arial" w:cs="Arial" w:eastAsia="Arial" w:hAnsi="Arial"/>
                  <w:sz w:val="18"/>
                  <w:szCs w:val="18"/>
                  <w:color w:val="0000EE"/>
                </w:rPr>
                <w:t>Equity Compensation Plan Information</w:t>
              </w:r>
            </w:hyperlink>
          </w:p>
        </w:tc>
        <w:tc>
          <w:tcPr>
            <w:tcW w:w="6000" w:type="dxa"/>
            <w:vAlign w:val="bottom"/>
            <w:gridSpan w:val="12"/>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33</w:t>
            </w:r>
          </w:p>
        </w:tc>
      </w:tr>
      <w:tr>
        <w:trPr>
          <w:trHeight w:val="190"/>
        </w:trPr>
        <w:tc>
          <w:tcPr>
            <w:tcW w:w="2760" w:type="dxa"/>
            <w:vAlign w:val="bottom"/>
            <w:tcBorders>
              <w:top w:val="single" w:sz="8" w:color="0000EE"/>
            </w:tcBorders>
            <w:gridSpan w:val="19"/>
          </w:tcPr>
          <w:p>
            <w:pPr>
              <w:spacing w:after="0" w:line="190" w:lineRule="exact"/>
              <w:rPr>
                <w:rFonts w:ascii="Arial" w:cs="Arial" w:eastAsia="Arial" w:hAnsi="Arial"/>
                <w:sz w:val="18"/>
                <w:szCs w:val="18"/>
                <w:color w:val="0000EE"/>
              </w:rPr>
            </w:pPr>
            <w:hyperlink w:anchor="page39">
              <w:r>
                <w:rPr>
                  <w:rFonts w:ascii="Arial" w:cs="Arial" w:eastAsia="Arial" w:hAnsi="Arial"/>
                  <w:sz w:val="18"/>
                  <w:szCs w:val="18"/>
                  <w:color w:val="0000EE"/>
                </w:rPr>
                <w:t>CEO Pay Ratio</w:t>
              </w:r>
            </w:hyperlink>
          </w:p>
        </w:tc>
        <w:tc>
          <w:tcPr>
            <w:tcW w:w="7480" w:type="dxa"/>
            <w:vAlign w:val="bottom"/>
            <w:gridSpan w:val="24"/>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33</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0"/>
        </w:trPr>
        <w:tc>
          <w:tcPr>
            <w:tcW w:w="7520" w:type="dxa"/>
            <w:vAlign w:val="bottom"/>
            <w:tcBorders>
              <w:bottom w:val="single" w:sz="8" w:color="0000EE"/>
            </w:tcBorders>
            <w:gridSpan w:val="39"/>
          </w:tcPr>
          <w:p>
            <w:pPr>
              <w:spacing w:after="0" w:line="190" w:lineRule="exact"/>
              <w:rPr>
                <w:rFonts w:ascii="Arial" w:cs="Arial" w:eastAsia="Arial" w:hAnsi="Arial"/>
                <w:sz w:val="18"/>
                <w:szCs w:val="18"/>
                <w:b w:val="1"/>
                <w:bCs w:val="1"/>
                <w:color w:val="0000EE"/>
                <w:w w:val="98"/>
              </w:rPr>
            </w:pPr>
            <w:hyperlink w:anchor="page41">
              <w:r>
                <w:rPr>
                  <w:rFonts w:ascii="Arial" w:cs="Arial" w:eastAsia="Arial" w:hAnsi="Arial"/>
                  <w:sz w:val="18"/>
                  <w:szCs w:val="18"/>
                  <w:b w:val="1"/>
                  <w:bCs w:val="1"/>
                  <w:color w:val="0000EE"/>
                  <w:w w:val="98"/>
                </w:rPr>
                <w:t>AUDIT COMMITTEE REPORT AND PAYMENT OF FEES TO OUR INDEPENDENT AUDITOR</w:t>
              </w:r>
            </w:hyperlink>
          </w:p>
        </w:tc>
        <w:tc>
          <w:tcPr>
            <w:tcW w:w="2720" w:type="dxa"/>
            <w:vAlign w:val="bottom"/>
            <w:gridSpan w:val="4"/>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35</w:t>
            </w:r>
          </w:p>
        </w:tc>
      </w:tr>
      <w:tr>
        <w:trPr>
          <w:trHeight w:val="190"/>
        </w:trPr>
        <w:tc>
          <w:tcPr>
            <w:tcW w:w="1800" w:type="dxa"/>
            <w:vAlign w:val="bottom"/>
            <w:tcBorders>
              <w:bottom w:val="single" w:sz="8" w:color="0000EE"/>
            </w:tcBorders>
            <w:gridSpan w:val="10"/>
          </w:tcPr>
          <w:p>
            <w:pPr>
              <w:spacing w:after="0" w:line="190"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Audit Committee Report</w:t>
              </w:r>
            </w:hyperlink>
          </w:p>
        </w:tc>
        <w:tc>
          <w:tcPr>
            <w:tcW w:w="8440" w:type="dxa"/>
            <w:vAlign w:val="bottom"/>
            <w:gridSpan w:val="33"/>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35</w:t>
            </w:r>
          </w:p>
        </w:tc>
      </w:tr>
      <w:tr>
        <w:trPr>
          <w:trHeight w:val="190"/>
        </w:trPr>
        <w:tc>
          <w:tcPr>
            <w:tcW w:w="920" w:type="dxa"/>
            <w:vAlign w:val="bottom"/>
            <w:tcBorders>
              <w:bottom w:val="single" w:sz="8" w:color="0000EE"/>
            </w:tcBorders>
            <w:gridSpan w:val="2"/>
          </w:tcPr>
          <w:p>
            <w:pPr>
              <w:spacing w:after="0" w:line="190"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Auditor Fees</w:t>
              </w:r>
            </w:hyperlink>
          </w:p>
        </w:tc>
        <w:tc>
          <w:tcPr>
            <w:tcW w:w="9320" w:type="dxa"/>
            <w:vAlign w:val="bottom"/>
            <w:gridSpan w:val="41"/>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35</w:t>
            </w:r>
          </w:p>
        </w:tc>
      </w:tr>
      <w:tr>
        <w:trPr>
          <w:trHeight w:val="190"/>
        </w:trPr>
        <w:tc>
          <w:tcPr>
            <w:tcW w:w="2680" w:type="dxa"/>
            <w:vAlign w:val="bottom"/>
            <w:tcBorders>
              <w:bottom w:val="single" w:sz="8" w:color="0000EE"/>
            </w:tcBorders>
            <w:gridSpan w:val="18"/>
          </w:tcPr>
          <w:p>
            <w:pPr>
              <w:spacing w:after="0" w:line="190"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Auditor Services Pre-Approval Policy</w:t>
              </w:r>
            </w:hyperlink>
          </w:p>
        </w:tc>
        <w:tc>
          <w:tcPr>
            <w:tcW w:w="7560" w:type="dxa"/>
            <w:vAlign w:val="bottom"/>
            <w:gridSpan w:val="25"/>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36</w:t>
            </w:r>
          </w:p>
        </w:tc>
      </w:tr>
      <w:tr>
        <w:trPr>
          <w:trHeight w:val="190"/>
        </w:trPr>
        <w:tc>
          <w:tcPr>
            <w:tcW w:w="5980" w:type="dxa"/>
            <w:vAlign w:val="bottom"/>
            <w:tcBorders>
              <w:bottom w:val="single" w:sz="8" w:color="0000EE"/>
            </w:tcBorders>
            <w:gridSpan w:val="36"/>
          </w:tcPr>
          <w:p>
            <w:pPr>
              <w:spacing w:after="0" w:line="190" w:lineRule="exact"/>
              <w:rPr>
                <w:rFonts w:ascii="Arial" w:cs="Arial" w:eastAsia="Arial" w:hAnsi="Arial"/>
                <w:sz w:val="18"/>
                <w:szCs w:val="18"/>
                <w:b w:val="1"/>
                <w:bCs w:val="1"/>
                <w:color w:val="0000EE"/>
                <w:w w:val="98"/>
              </w:rPr>
            </w:pPr>
            <w:hyperlink w:anchor="page43">
              <w:r>
                <w:rPr>
                  <w:rFonts w:ascii="Arial" w:cs="Arial" w:eastAsia="Arial" w:hAnsi="Arial"/>
                  <w:sz w:val="18"/>
                  <w:szCs w:val="18"/>
                  <w:b w:val="1"/>
                  <w:bCs w:val="1"/>
                  <w:color w:val="0000EE"/>
                  <w:w w:val="98"/>
                </w:rPr>
                <w:t>ITEM 2 — RATIFICATION OF SELECTION OF INDEPENDENT AUDITOR</w:t>
              </w:r>
            </w:hyperlink>
          </w:p>
        </w:tc>
        <w:tc>
          <w:tcPr>
            <w:tcW w:w="4260" w:type="dxa"/>
            <w:vAlign w:val="bottom"/>
            <w:gridSpan w:val="7"/>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37</w:t>
            </w:r>
          </w:p>
        </w:tc>
      </w:tr>
      <w:tr>
        <w:trPr>
          <w:trHeight w:val="190"/>
        </w:trPr>
        <w:tc>
          <w:tcPr>
            <w:tcW w:w="10240" w:type="dxa"/>
            <w:vAlign w:val="bottom"/>
            <w:gridSpan w:val="43"/>
          </w:tcPr>
          <w:p>
            <w:pPr>
              <w:spacing w:after="0" w:line="190"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ITEM 3 — ADVISORY VOTE TO APPROVE THE COMPENSATION OF THE COMPANY’S NAMED EXECUTIVE OFFICERS</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38</w:t>
            </w:r>
          </w:p>
        </w:tc>
      </w:tr>
      <w:tr>
        <w:trPr>
          <w:trHeight w:val="190"/>
        </w:trPr>
        <w:tc>
          <w:tcPr>
            <w:tcW w:w="9980" w:type="dxa"/>
            <w:vAlign w:val="bottom"/>
            <w:tcBorders>
              <w:top w:val="single" w:sz="8" w:color="0000EE"/>
            </w:tcBorders>
            <w:gridSpan w:val="42"/>
          </w:tcPr>
          <w:p>
            <w:pPr>
              <w:spacing w:after="0" w:line="190"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SECURITY OWNERSHIP</w:t>
              </w:r>
            </w:hyperlink>
          </w:p>
        </w:tc>
        <w:tc>
          <w:tcPr>
            <w:tcW w:w="260" w:type="dxa"/>
            <w:vAlign w:val="bottom"/>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39</w:t>
            </w:r>
          </w:p>
        </w:tc>
      </w:tr>
      <w:tr>
        <w:trPr>
          <w:trHeight w:val="20"/>
        </w:trPr>
        <w:tc>
          <w:tcPr>
            <w:tcW w:w="980" w:type="dxa"/>
            <w:vAlign w:val="bottom"/>
            <w:gridSpan w:val="3"/>
            <w:shd w:val="clear" w:color="auto" w:fill="0000EE"/>
          </w:tcPr>
          <w:p>
            <w:pPr>
              <w:spacing w:after="0" w:line="20" w:lineRule="exact"/>
              <w:rPr>
                <w:sz w:val="1"/>
                <w:szCs w:val="1"/>
                <w:color w:val="auto"/>
              </w:rPr>
            </w:pPr>
          </w:p>
        </w:tc>
        <w:tc>
          <w:tcPr>
            <w:tcW w:w="1060" w:type="dxa"/>
            <w:vAlign w:val="bottom"/>
            <w:tcBorders>
              <w:right w:val="single" w:sz="8" w:color="0000EE"/>
            </w:tcBorders>
            <w:gridSpan w:val="9"/>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0"/>
        </w:trPr>
        <w:tc>
          <w:tcPr>
            <w:tcW w:w="10240" w:type="dxa"/>
            <w:vAlign w:val="bottom"/>
            <w:gridSpan w:val="43"/>
          </w:tcPr>
          <w:p>
            <w:pPr>
              <w:spacing w:after="0" w:line="190" w:lineRule="exact"/>
              <w:rPr>
                <w:rFonts w:ascii="Arial" w:cs="Arial" w:eastAsia="Arial" w:hAnsi="Arial"/>
                <w:sz w:val="18"/>
                <w:szCs w:val="18"/>
                <w:color w:val="0000EE"/>
                <w:w w:val="93"/>
              </w:rPr>
            </w:pPr>
            <w:hyperlink w:anchor="page45">
              <w:r>
                <w:rPr>
                  <w:rFonts w:ascii="Arial" w:cs="Arial" w:eastAsia="Arial" w:hAnsi="Arial"/>
                  <w:sz w:val="18"/>
                  <w:szCs w:val="18"/>
                  <w:color w:val="0000EE"/>
                  <w:w w:val="93"/>
                </w:rPr>
                <w:t>Beneficial Ownership of Directors, Nominees, Executive Officers and Beneficial Owners of More than Five Percent of Our Common Stock</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39</w:t>
            </w:r>
          </w:p>
        </w:tc>
      </w:tr>
      <w:tr>
        <w:trPr>
          <w:trHeight w:val="190"/>
        </w:trPr>
        <w:tc>
          <w:tcPr>
            <w:tcW w:w="9800" w:type="dxa"/>
            <w:vAlign w:val="bottom"/>
            <w:tcBorders>
              <w:top w:val="single" w:sz="8" w:color="0000EE"/>
            </w:tcBorders>
            <w:gridSpan w:val="41"/>
          </w:tcPr>
          <w:p>
            <w:pPr>
              <w:spacing w:after="0" w:line="190"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CERTAIN RELATIONSHIPS AND RELATED TRANSACTIONS</w:t>
              </w:r>
            </w:hyperlink>
          </w:p>
        </w:tc>
        <w:tc>
          <w:tcPr>
            <w:tcW w:w="440" w:type="dxa"/>
            <w:vAlign w:val="bottom"/>
            <w:gridSpan w:val="2"/>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41</w:t>
            </w:r>
          </w:p>
        </w:tc>
      </w:tr>
      <w:tr>
        <w:trPr>
          <w:trHeight w:val="190"/>
        </w:trPr>
        <w:tc>
          <w:tcPr>
            <w:tcW w:w="4360" w:type="dxa"/>
            <w:vAlign w:val="bottom"/>
            <w:tcBorders>
              <w:top w:val="single" w:sz="8" w:color="0000EE"/>
              <w:bottom w:val="single" w:sz="8" w:color="0000EE"/>
            </w:tcBorders>
            <w:gridSpan w:val="32"/>
          </w:tcPr>
          <w:p>
            <w:pPr>
              <w:spacing w:after="0" w:line="190"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Compensation Committee Interlocks and Insider Participation</w:t>
              </w:r>
            </w:hyperlink>
          </w:p>
        </w:tc>
        <w:tc>
          <w:tcPr>
            <w:tcW w:w="640" w:type="dxa"/>
            <w:vAlign w:val="bottom"/>
            <w:tcBorders>
              <w:top w:val="single" w:sz="8" w:color="0000EE"/>
            </w:tcBorders>
            <w:gridSpan w:val="3"/>
          </w:tcPr>
          <w:p>
            <w:pPr>
              <w:spacing w:after="0"/>
              <w:rPr>
                <w:sz w:val="16"/>
                <w:szCs w:val="16"/>
                <w:color w:val="auto"/>
              </w:rPr>
            </w:pPr>
          </w:p>
        </w:tc>
        <w:tc>
          <w:tcPr>
            <w:tcW w:w="5240" w:type="dxa"/>
            <w:vAlign w:val="bottom"/>
            <w:gridSpan w:val="8"/>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41</w:t>
            </w:r>
          </w:p>
        </w:tc>
      </w:tr>
      <w:tr>
        <w:trPr>
          <w:trHeight w:val="190"/>
        </w:trPr>
        <w:tc>
          <w:tcPr>
            <w:tcW w:w="10240" w:type="dxa"/>
            <w:vAlign w:val="bottom"/>
            <w:gridSpan w:val="43"/>
          </w:tcPr>
          <w:p>
            <w:pPr>
              <w:spacing w:after="0" w:line="190" w:lineRule="exact"/>
              <w:rPr>
                <w:rFonts w:ascii="Arial" w:cs="Arial" w:eastAsia="Arial" w:hAnsi="Arial"/>
                <w:sz w:val="18"/>
                <w:szCs w:val="18"/>
                <w:color w:val="0000EE"/>
              </w:rPr>
            </w:pPr>
            <w:hyperlink w:anchor="page47">
              <w:r>
                <w:rPr>
                  <w:rFonts w:ascii="Arial" w:cs="Arial" w:eastAsia="Arial" w:hAnsi="Arial"/>
                  <w:sz w:val="18"/>
                  <w:szCs w:val="18"/>
                  <w:color w:val="0000EE"/>
                </w:rPr>
                <w:t>Transactions with Related Persons</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41</w:t>
            </w:r>
          </w:p>
        </w:tc>
      </w:tr>
      <w:tr>
        <w:trPr>
          <w:trHeight w:val="20"/>
        </w:trPr>
        <w:tc>
          <w:tcPr>
            <w:tcW w:w="980" w:type="dxa"/>
            <w:vAlign w:val="bottom"/>
            <w:gridSpan w:val="3"/>
            <w:shd w:val="clear" w:color="auto" w:fill="0000EE"/>
          </w:tcPr>
          <w:p>
            <w:pPr>
              <w:spacing w:after="0" w:line="20" w:lineRule="exact"/>
              <w:rPr>
                <w:sz w:val="1"/>
                <w:szCs w:val="1"/>
                <w:color w:val="auto"/>
              </w:rPr>
            </w:pPr>
          </w:p>
        </w:tc>
        <w:tc>
          <w:tcPr>
            <w:tcW w:w="1060" w:type="dxa"/>
            <w:vAlign w:val="bottom"/>
            <w:tcBorders>
              <w:right w:val="single" w:sz="8" w:color="0000EE"/>
            </w:tcBorders>
            <w:gridSpan w:val="9"/>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280" w:type="dxa"/>
            <w:vAlign w:val="bottom"/>
            <w:tcBorders>
              <w:left w:val="single" w:sz="8" w:color="0000EE"/>
            </w:tcBorders>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41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0"/>
        </w:trPr>
        <w:tc>
          <w:tcPr>
            <w:tcW w:w="3640" w:type="dxa"/>
            <w:vAlign w:val="bottom"/>
            <w:tcBorders>
              <w:bottom w:val="single" w:sz="8" w:color="0000EE"/>
            </w:tcBorders>
            <w:gridSpan w:val="27"/>
          </w:tcPr>
          <w:p>
            <w:pPr>
              <w:spacing w:after="0" w:line="190"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Policy for Approval of Related Person Transactions</w:t>
              </w:r>
            </w:hyperlink>
          </w:p>
        </w:tc>
        <w:tc>
          <w:tcPr>
            <w:tcW w:w="6600" w:type="dxa"/>
            <w:vAlign w:val="bottom"/>
            <w:gridSpan w:val="16"/>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41</w:t>
            </w:r>
          </w:p>
        </w:tc>
      </w:tr>
      <w:tr>
        <w:trPr>
          <w:trHeight w:val="190"/>
        </w:trPr>
        <w:tc>
          <w:tcPr>
            <w:tcW w:w="2040" w:type="dxa"/>
            <w:vAlign w:val="bottom"/>
            <w:tcBorders>
              <w:bottom w:val="single" w:sz="8" w:color="0000EE"/>
            </w:tcBorders>
            <w:gridSpan w:val="12"/>
          </w:tcPr>
          <w:p>
            <w:pPr>
              <w:spacing w:after="0" w:line="190"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OTHER INFORMATION</w:t>
              </w:r>
            </w:hyperlink>
          </w:p>
        </w:tc>
        <w:tc>
          <w:tcPr>
            <w:tcW w:w="8200" w:type="dxa"/>
            <w:vAlign w:val="bottom"/>
            <w:gridSpan w:val="31"/>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42</w:t>
            </w:r>
          </w:p>
        </w:tc>
      </w:tr>
      <w:tr>
        <w:trPr>
          <w:trHeight w:val="190"/>
        </w:trPr>
        <w:tc>
          <w:tcPr>
            <w:tcW w:w="10240" w:type="dxa"/>
            <w:vAlign w:val="bottom"/>
            <w:gridSpan w:val="43"/>
          </w:tcPr>
          <w:p>
            <w:pPr>
              <w:spacing w:after="0" w:line="190" w:lineRule="exact"/>
              <w:rPr>
                <w:rFonts w:ascii="Arial" w:cs="Arial" w:eastAsia="Arial" w:hAnsi="Arial"/>
                <w:sz w:val="18"/>
                <w:szCs w:val="18"/>
                <w:color w:val="0000EE"/>
              </w:rPr>
            </w:pPr>
            <w:hyperlink w:anchor="page48">
              <w:r>
                <w:rPr>
                  <w:rFonts w:ascii="Arial" w:cs="Arial" w:eastAsia="Arial" w:hAnsi="Arial"/>
                  <w:sz w:val="18"/>
                  <w:szCs w:val="18"/>
                  <w:color w:val="0000EE"/>
                </w:rPr>
                <w:t>Section 16(a) Beneficial Ownership Reporting Compliance</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42</w:t>
            </w:r>
          </w:p>
        </w:tc>
      </w:tr>
      <w:tr>
        <w:trPr>
          <w:trHeight w:val="190"/>
        </w:trPr>
        <w:tc>
          <w:tcPr>
            <w:tcW w:w="4160" w:type="dxa"/>
            <w:vAlign w:val="bottom"/>
            <w:tcBorders>
              <w:top w:val="single" w:sz="8" w:color="0000EE"/>
            </w:tcBorders>
            <w:gridSpan w:val="30"/>
          </w:tcPr>
          <w:p>
            <w:pPr>
              <w:spacing w:after="0" w:line="190" w:lineRule="exact"/>
              <w:rPr>
                <w:rFonts w:ascii="Arial" w:cs="Arial" w:eastAsia="Arial" w:hAnsi="Arial"/>
                <w:sz w:val="18"/>
                <w:szCs w:val="18"/>
                <w:color w:val="0000EE"/>
              </w:rPr>
            </w:pPr>
            <w:hyperlink w:anchor="page48">
              <w:r>
                <w:rPr>
                  <w:rFonts w:ascii="Arial" w:cs="Arial" w:eastAsia="Arial" w:hAnsi="Arial"/>
                  <w:sz w:val="18"/>
                  <w:szCs w:val="18"/>
                  <w:color w:val="0000EE"/>
                </w:rPr>
                <w:t>Stockholder Proposals for the 2019 Annual Meeting</w:t>
              </w:r>
            </w:hyperlink>
          </w:p>
        </w:tc>
        <w:tc>
          <w:tcPr>
            <w:tcW w:w="6080" w:type="dxa"/>
            <w:vAlign w:val="bottom"/>
            <w:gridSpan w:val="13"/>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42</w:t>
            </w:r>
          </w:p>
        </w:tc>
      </w:tr>
      <w:tr>
        <w:trPr>
          <w:trHeight w:val="190"/>
        </w:trPr>
        <w:tc>
          <w:tcPr>
            <w:tcW w:w="3660" w:type="dxa"/>
            <w:vAlign w:val="bottom"/>
            <w:tcBorders>
              <w:top w:val="single" w:sz="8" w:color="0000EE"/>
            </w:tcBorders>
            <w:gridSpan w:val="28"/>
          </w:tcPr>
          <w:p>
            <w:pPr>
              <w:spacing w:after="0" w:line="190" w:lineRule="exact"/>
              <w:rPr>
                <w:rFonts w:ascii="Arial" w:cs="Arial" w:eastAsia="Arial" w:hAnsi="Arial"/>
                <w:sz w:val="18"/>
                <w:szCs w:val="18"/>
                <w:color w:val="0000EE"/>
              </w:rPr>
            </w:pPr>
            <w:hyperlink w:anchor="page48">
              <w:r>
                <w:rPr>
                  <w:rFonts w:ascii="Arial" w:cs="Arial" w:eastAsia="Arial" w:hAnsi="Arial"/>
                  <w:sz w:val="18"/>
                  <w:szCs w:val="18"/>
                  <w:color w:val="0000EE"/>
                </w:rPr>
                <w:t>Householding of Proxy Materials</w:t>
              </w:r>
            </w:hyperlink>
          </w:p>
        </w:tc>
        <w:tc>
          <w:tcPr>
            <w:tcW w:w="6580" w:type="dxa"/>
            <w:vAlign w:val="bottom"/>
            <w:gridSpan w:val="15"/>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42</w:t>
            </w:r>
          </w:p>
        </w:tc>
      </w:tr>
      <w:tr>
        <w:trPr>
          <w:trHeight w:val="190"/>
        </w:trPr>
        <w:tc>
          <w:tcPr>
            <w:tcW w:w="2360" w:type="dxa"/>
            <w:vAlign w:val="bottom"/>
            <w:tcBorders>
              <w:top w:val="single" w:sz="8" w:color="0000EE"/>
            </w:tcBorders>
            <w:gridSpan w:val="14"/>
          </w:tcPr>
          <w:p>
            <w:pPr>
              <w:spacing w:after="0" w:line="190" w:lineRule="exact"/>
              <w:rPr>
                <w:rFonts w:ascii="Arial" w:cs="Arial" w:eastAsia="Arial" w:hAnsi="Arial"/>
                <w:sz w:val="18"/>
                <w:szCs w:val="18"/>
                <w:color w:val="0000EE"/>
              </w:rPr>
            </w:pPr>
            <w:hyperlink w:anchor="page48">
              <w:r>
                <w:rPr>
                  <w:rFonts w:ascii="Arial" w:cs="Arial" w:eastAsia="Arial" w:hAnsi="Arial"/>
                  <w:sz w:val="18"/>
                  <w:szCs w:val="18"/>
                  <w:color w:val="0000EE"/>
                </w:rPr>
                <w:t>Other Matters</w:t>
              </w:r>
            </w:hyperlink>
          </w:p>
        </w:tc>
        <w:tc>
          <w:tcPr>
            <w:tcW w:w="7880" w:type="dxa"/>
            <w:vAlign w:val="bottom"/>
            <w:gridSpan w:val="29"/>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42</w:t>
            </w:r>
          </w:p>
        </w:tc>
      </w:tr>
      <w:tr>
        <w:trPr>
          <w:trHeight w:val="20"/>
        </w:trPr>
        <w:tc>
          <w:tcPr>
            <w:tcW w:w="980" w:type="dxa"/>
            <w:vAlign w:val="bottom"/>
            <w:gridSpan w:val="3"/>
            <w:shd w:val="clear" w:color="auto" w:fill="0000EE"/>
          </w:tcPr>
          <w:p>
            <w:pPr>
              <w:spacing w:after="0" w:line="20" w:lineRule="exact"/>
              <w:rPr>
                <w:sz w:val="1"/>
                <w:szCs w:val="1"/>
                <w:color w:val="auto"/>
              </w:rPr>
            </w:pPr>
          </w:p>
        </w:tc>
        <w:tc>
          <w:tcPr>
            <w:tcW w:w="3680" w:type="dxa"/>
            <w:vAlign w:val="bottom"/>
            <w:gridSpan w:val="31"/>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41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0"/>
        </w:trPr>
        <w:tc>
          <w:tcPr>
            <w:tcW w:w="10240" w:type="dxa"/>
            <w:vAlign w:val="bottom"/>
            <w:gridSpan w:val="43"/>
          </w:tcPr>
          <w:p>
            <w:pPr>
              <w:spacing w:after="0" w:line="190" w:lineRule="exact"/>
              <w:rPr>
                <w:rFonts w:ascii="Arial" w:cs="Arial" w:eastAsia="Arial" w:hAnsi="Arial"/>
                <w:sz w:val="18"/>
                <w:szCs w:val="18"/>
                <w:color w:val="0000EE"/>
              </w:rPr>
            </w:pPr>
            <w:hyperlink w:anchor="page49">
              <w:r>
                <w:rPr>
                  <w:rFonts w:ascii="Arial" w:cs="Arial" w:eastAsia="Arial" w:hAnsi="Arial"/>
                  <w:sz w:val="18"/>
                  <w:szCs w:val="18"/>
                  <w:color w:val="0000EE"/>
                </w:rPr>
                <w:t>Location of SPS Commerce, Inc. Annual Meeting of Stockholders</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43</w:t>
            </w:r>
          </w:p>
        </w:tc>
      </w:tr>
      <w:tr>
        <w:trPr>
          <w:trHeight w:val="20"/>
        </w:trPr>
        <w:tc>
          <w:tcPr>
            <w:tcW w:w="4660" w:type="dxa"/>
            <w:vAlign w:val="bottom"/>
            <w:gridSpan w:val="34"/>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41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0"/>
        </w:trPr>
        <w:tc>
          <w:tcPr>
            <w:tcW w:w="10240" w:type="dxa"/>
            <w:vAlign w:val="bottom"/>
            <w:gridSpan w:val="43"/>
          </w:tcPr>
          <w:p>
            <w:pPr>
              <w:spacing w:after="0" w:line="190"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APPENDIX A - RECONCILIATION OF NON-GAAP FINANCIAL MEASURES</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A-</w:t>
            </w:r>
          </w:p>
        </w:tc>
      </w:tr>
      <w:tr>
        <w:trPr>
          <w:trHeight w:val="229"/>
        </w:trPr>
        <w:tc>
          <w:tcPr>
            <w:tcW w:w="48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9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bl>
    <w:p>
      <w:pPr>
        <w:spacing w:after="0" w:line="13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240" w:top="451" w:right="6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76" w:lineRule="exact"/>
        <w:rPr>
          <w:sz w:val="20"/>
          <w:szCs w:val="20"/>
          <w:color w:val="auto"/>
        </w:rPr>
      </w:pPr>
    </w:p>
    <w:p>
      <w:pPr>
        <w:jc w:val="center"/>
        <w:ind w:right="-339"/>
        <w:spacing w:after="0"/>
        <w:rPr>
          <w:sz w:val="20"/>
          <w:szCs w:val="20"/>
          <w:color w:val="auto"/>
        </w:rPr>
      </w:pPr>
      <w:r>
        <w:rPr>
          <w:rFonts w:ascii="Arial" w:cs="Arial" w:eastAsia="Arial" w:hAnsi="Arial"/>
          <w:sz w:val="35"/>
          <w:szCs w:val="35"/>
          <w:b w:val="1"/>
          <w:bCs w:val="1"/>
          <w:color w:val="00A1DF"/>
        </w:rPr>
        <w:t>PROXY SUMMARY</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auto"/>
        </w:rPr>
        <w:t>Business Results</w:t>
      </w:r>
    </w:p>
    <w:p>
      <w:pPr>
        <w:spacing w:after="0" w:line="130" w:lineRule="exact"/>
        <w:rPr>
          <w:sz w:val="20"/>
          <w:szCs w:val="20"/>
          <w:color w:val="auto"/>
        </w:rPr>
      </w:pPr>
    </w:p>
    <w:p>
      <w:pPr>
        <w:ind w:left="340" w:right="540" w:firstLine="429"/>
        <w:spacing w:after="0" w:line="362" w:lineRule="auto"/>
        <w:rPr>
          <w:sz w:val="20"/>
          <w:szCs w:val="20"/>
          <w:color w:val="auto"/>
        </w:rPr>
      </w:pPr>
      <w:r>
        <w:rPr>
          <w:rFonts w:ascii="Arial" w:cs="Arial" w:eastAsia="Arial" w:hAnsi="Arial"/>
          <w:sz w:val="15"/>
          <w:szCs w:val="15"/>
          <w:color w:val="auto"/>
        </w:rPr>
        <w:t>We are a technology company with $220.6 million in annual revenues. We are a leading provider of cloud-based supply chain management solutions, providing network-proven integrations and comprehensive retail performance analytics to thousands of customers worldwide.</w:t>
      </w:r>
    </w:p>
    <w:p>
      <w:pPr>
        <w:spacing w:after="0" w:line="111" w:lineRule="exact"/>
        <w:rPr>
          <w:sz w:val="20"/>
          <w:szCs w:val="20"/>
          <w:color w:val="auto"/>
        </w:rPr>
      </w:pPr>
    </w:p>
    <w:p>
      <w:pPr>
        <w:ind w:left="340" w:right="320" w:firstLine="429"/>
        <w:spacing w:after="0" w:line="252" w:lineRule="auto"/>
        <w:rPr>
          <w:sz w:val="20"/>
          <w:szCs w:val="20"/>
          <w:color w:val="auto"/>
        </w:rPr>
      </w:pPr>
      <w:r>
        <w:rPr>
          <w:rFonts w:ascii="Arial" w:cs="Arial" w:eastAsia="Arial" w:hAnsi="Arial"/>
          <w:sz w:val="18"/>
          <w:szCs w:val="18"/>
          <w:color w:val="auto"/>
        </w:rPr>
        <w:t>2017 was a year of strong execution for SPS Commerce, in a retail market undergoing a significant transition. We achieved year-over-year recurring revenue growth, customer growth and wallet share growth and delivered strong revenue and adjusted EBITDA growth in 2017. Additional information regarding our performance in 2017 follows.</w:t>
      </w:r>
    </w:p>
    <w:p>
      <w:pPr>
        <w:spacing w:after="0" w:line="58" w:lineRule="exact"/>
        <w:rPr>
          <w:sz w:val="20"/>
          <w:szCs w:val="20"/>
          <w:color w:val="auto"/>
        </w:rPr>
      </w:pPr>
    </w:p>
    <w:p>
      <w:pPr>
        <w:ind w:left="1080" w:hanging="31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had sequential revenue growth for all four quarters of 2017 and we now have 68 consecutive quarters of sequential revenue growth.</w:t>
      </w:r>
    </w:p>
    <w:p>
      <w:pPr>
        <w:spacing w:after="0" w:line="105" w:lineRule="exact"/>
        <w:rPr>
          <w:rFonts w:ascii="Arial" w:cs="Arial" w:eastAsia="Arial" w:hAnsi="Arial"/>
          <w:sz w:val="16"/>
          <w:szCs w:val="16"/>
          <w:color w:val="auto"/>
        </w:rPr>
      </w:pPr>
    </w:p>
    <w:p>
      <w:pPr>
        <w:ind w:left="1080" w:right="100" w:hanging="312"/>
        <w:spacing w:after="0" w:line="261"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revenues of $220.6 million for 2017, compared to $193.3 million for 2016, reflect 14% growth from 2016. Recurring revenue grew 15% from 2016.</w:t>
      </w:r>
    </w:p>
    <w:p>
      <w:pPr>
        <w:spacing w:after="0" w:line="49" w:lineRule="exact"/>
        <w:rPr>
          <w:rFonts w:ascii="Arial" w:cs="Arial" w:eastAsia="Arial" w:hAnsi="Arial"/>
          <w:sz w:val="18"/>
          <w:szCs w:val="18"/>
          <w:color w:val="auto"/>
        </w:rPr>
      </w:pPr>
    </w:p>
    <w:p>
      <w:pPr>
        <w:ind w:left="1080" w:right="360" w:hanging="312"/>
        <w:spacing w:after="0" w:line="261"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average recurring revenue per recurring revenue customer increased 10% from 2016, and the number of recurring revenue customers grew 4% from 2016.</w:t>
      </w:r>
    </w:p>
    <w:p>
      <w:pPr>
        <w:spacing w:after="0" w:line="49" w:lineRule="exact"/>
        <w:rPr>
          <w:rFonts w:ascii="Arial" w:cs="Arial" w:eastAsia="Arial" w:hAnsi="Arial"/>
          <w:sz w:val="18"/>
          <w:szCs w:val="18"/>
          <w:color w:val="auto"/>
        </w:rPr>
      </w:pPr>
    </w:p>
    <w:p>
      <w:pPr>
        <w:ind w:left="1080" w:right="180" w:hanging="312"/>
        <w:spacing w:after="0" w:line="261"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achieved improvements in operational efficiency that produced Adjusted EBITDA of $32.6 million, compared to $26.5 million in 2016, and non-GAAP income per diluted share of $0.96 in 2017 compared to $0.72 in 2016.</w:t>
      </w:r>
      <w:r>
        <w:rPr>
          <w:rFonts w:ascii="Arial" w:cs="Arial" w:eastAsia="Arial" w:hAnsi="Arial"/>
          <w:sz w:val="14"/>
          <w:szCs w:val="14"/>
          <w:color w:val="auto"/>
        </w:rPr>
        <w:t>1</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auto"/>
        </w:rPr>
        <w:t>Voting Matters and Voting Recommendations</w:t>
      </w:r>
    </w:p>
    <w:p>
      <w:pPr>
        <w:spacing w:after="0" w:line="130" w:lineRule="exact"/>
        <w:rPr>
          <w:sz w:val="20"/>
          <w:szCs w:val="20"/>
          <w:color w:val="auto"/>
        </w:rPr>
      </w:pPr>
    </w:p>
    <w:p>
      <w:pPr>
        <w:ind w:left="340" w:right="60" w:firstLine="429"/>
        <w:spacing w:after="0" w:line="261" w:lineRule="auto"/>
        <w:rPr>
          <w:sz w:val="20"/>
          <w:szCs w:val="20"/>
          <w:color w:val="auto"/>
        </w:rPr>
      </w:pPr>
      <w:r>
        <w:rPr>
          <w:rFonts w:ascii="Arial" w:cs="Arial" w:eastAsia="Arial" w:hAnsi="Arial"/>
          <w:sz w:val="18"/>
          <w:szCs w:val="18"/>
          <w:color w:val="auto"/>
        </w:rPr>
        <w:t>The following proposals are included in this proxy statement and are scheduled to be voted on at the meeting. Our board of directors recommends that you vote your shares as indicated below.</w:t>
      </w:r>
    </w:p>
    <w:p>
      <w:pPr>
        <w:spacing w:after="0" w:line="96"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color w:val="00A1DF"/>
              </w:rPr>
              <w:t>THE BOARD OF DIRECTOR’S</w:t>
            </w:r>
          </w:p>
        </w:tc>
        <w:tc>
          <w:tcPr>
            <w:tcW w:w="35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45"/>
        </w:trPr>
        <w:tc>
          <w:tcPr>
            <w:tcW w:w="3660" w:type="dxa"/>
            <w:vAlign w:val="bottom"/>
          </w:tcPr>
          <w:p>
            <w:pPr>
              <w:spacing w:after="0"/>
              <w:rPr>
                <w:sz w:val="12"/>
                <w:szCs w:val="12"/>
                <w:color w:val="auto"/>
              </w:rPr>
            </w:pPr>
          </w:p>
        </w:tc>
        <w:tc>
          <w:tcPr>
            <w:tcW w:w="2420" w:type="dxa"/>
            <w:vAlign w:val="bottom"/>
          </w:tcPr>
          <w:p>
            <w:pPr>
              <w:ind w:left="60"/>
              <w:spacing w:after="0" w:line="145" w:lineRule="exact"/>
              <w:rPr>
                <w:sz w:val="20"/>
                <w:szCs w:val="20"/>
                <w:color w:val="auto"/>
              </w:rPr>
            </w:pPr>
            <w:r>
              <w:rPr>
                <w:rFonts w:ascii="Arial" w:cs="Arial" w:eastAsia="Arial" w:hAnsi="Arial"/>
                <w:sz w:val="13"/>
                <w:szCs w:val="13"/>
                <w:color w:val="00A1DF"/>
              </w:rPr>
              <w:t>VOTING</w:t>
            </w:r>
          </w:p>
        </w:tc>
        <w:tc>
          <w:tcPr>
            <w:tcW w:w="3540" w:type="dxa"/>
            <w:vAlign w:val="bottom"/>
          </w:tcPr>
          <w:p>
            <w:pPr>
              <w:ind w:left="380"/>
              <w:spacing w:after="0" w:line="145" w:lineRule="exact"/>
              <w:rPr>
                <w:sz w:val="20"/>
                <w:szCs w:val="20"/>
                <w:color w:val="auto"/>
              </w:rPr>
            </w:pPr>
            <w:r>
              <w:rPr>
                <w:rFonts w:ascii="Arial" w:cs="Arial" w:eastAsia="Arial" w:hAnsi="Arial"/>
                <w:sz w:val="13"/>
                <w:szCs w:val="13"/>
                <w:color w:val="00A1DF"/>
              </w:rPr>
              <w:t>RATIONALE FOR</w:t>
            </w:r>
          </w:p>
        </w:tc>
        <w:tc>
          <w:tcPr>
            <w:tcW w:w="1120" w:type="dxa"/>
            <w:vAlign w:val="bottom"/>
          </w:tcPr>
          <w:p>
            <w:pPr>
              <w:ind w:left="120"/>
              <w:spacing w:after="0" w:line="145" w:lineRule="exact"/>
              <w:rPr>
                <w:sz w:val="20"/>
                <w:szCs w:val="20"/>
                <w:color w:val="auto"/>
              </w:rPr>
            </w:pPr>
            <w:r>
              <w:rPr>
                <w:rFonts w:ascii="Arial" w:cs="Arial" w:eastAsia="Arial" w:hAnsi="Arial"/>
                <w:sz w:val="13"/>
                <w:szCs w:val="13"/>
                <w:color w:val="00A1DF"/>
              </w:rPr>
              <w:t>FOR FURTHER</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00A1DF"/>
              </w:rPr>
              <w:t>PROPOSALS:</w:t>
            </w:r>
          </w:p>
        </w:tc>
        <w:tc>
          <w:tcPr>
            <w:tcW w:w="2420" w:type="dxa"/>
            <w:vAlign w:val="bottom"/>
          </w:tcPr>
          <w:p>
            <w:pPr>
              <w:ind w:left="60"/>
              <w:spacing w:after="0"/>
              <w:rPr>
                <w:sz w:val="20"/>
                <w:szCs w:val="20"/>
                <w:color w:val="auto"/>
              </w:rPr>
            </w:pPr>
            <w:r>
              <w:rPr>
                <w:rFonts w:ascii="Arial" w:cs="Arial" w:eastAsia="Arial" w:hAnsi="Arial"/>
                <w:sz w:val="13"/>
                <w:szCs w:val="13"/>
                <w:color w:val="00A1DF"/>
              </w:rPr>
              <w:t>RECOMMENDATIONS:</w:t>
            </w:r>
          </w:p>
        </w:tc>
        <w:tc>
          <w:tcPr>
            <w:tcW w:w="3540" w:type="dxa"/>
            <w:vAlign w:val="bottom"/>
          </w:tcPr>
          <w:p>
            <w:pPr>
              <w:ind w:left="380"/>
              <w:spacing w:after="0"/>
              <w:rPr>
                <w:sz w:val="20"/>
                <w:szCs w:val="20"/>
                <w:color w:val="auto"/>
              </w:rPr>
            </w:pPr>
            <w:r>
              <w:rPr>
                <w:rFonts w:ascii="Arial" w:cs="Arial" w:eastAsia="Arial" w:hAnsi="Arial"/>
                <w:sz w:val="13"/>
                <w:szCs w:val="13"/>
                <w:color w:val="00A1DF"/>
              </w:rPr>
              <w:t>SUPPORT:</w:t>
            </w:r>
          </w:p>
        </w:tc>
        <w:tc>
          <w:tcPr>
            <w:tcW w:w="1120" w:type="dxa"/>
            <w:vAlign w:val="bottom"/>
          </w:tcPr>
          <w:p>
            <w:pPr>
              <w:ind w:left="120"/>
              <w:spacing w:after="0"/>
              <w:rPr>
                <w:sz w:val="20"/>
                <w:szCs w:val="20"/>
                <w:color w:val="auto"/>
              </w:rPr>
            </w:pPr>
            <w:r>
              <w:rPr>
                <w:rFonts w:ascii="Arial" w:cs="Arial" w:eastAsia="Arial" w:hAnsi="Arial"/>
                <w:sz w:val="13"/>
                <w:szCs w:val="13"/>
                <w:color w:val="00A1DF"/>
              </w:rPr>
              <w:t>DETAILS:</w:t>
            </w:r>
          </w:p>
        </w:tc>
      </w:tr>
      <w:tr>
        <w:trPr>
          <w:trHeight w:val="238"/>
        </w:trPr>
        <w:tc>
          <w:tcPr>
            <w:tcW w:w="3660" w:type="dxa"/>
            <w:vAlign w:val="bottom"/>
            <w:tcBorders>
              <w:bottom w:val="single" w:sz="8" w:color="00A1DF"/>
            </w:tcBorders>
          </w:tcPr>
          <w:p>
            <w:pPr>
              <w:spacing w:after="0"/>
              <w:rPr>
                <w:sz w:val="20"/>
                <w:szCs w:val="20"/>
                <w:color w:val="auto"/>
              </w:rPr>
            </w:pPr>
          </w:p>
        </w:tc>
        <w:tc>
          <w:tcPr>
            <w:tcW w:w="2420" w:type="dxa"/>
            <w:vAlign w:val="bottom"/>
            <w:tcBorders>
              <w:bottom w:val="single" w:sz="8" w:color="00A1DF"/>
            </w:tcBorders>
          </w:tcPr>
          <w:p>
            <w:pPr>
              <w:spacing w:after="0"/>
              <w:rPr>
                <w:sz w:val="20"/>
                <w:szCs w:val="20"/>
                <w:color w:val="auto"/>
              </w:rPr>
            </w:pPr>
          </w:p>
        </w:tc>
        <w:tc>
          <w:tcPr>
            <w:tcW w:w="3540" w:type="dxa"/>
            <w:vAlign w:val="bottom"/>
            <w:tcBorders>
              <w:bottom w:val="single" w:sz="8" w:color="00A1DF"/>
            </w:tcBorders>
          </w:tcPr>
          <w:p>
            <w:pPr>
              <w:spacing w:after="0"/>
              <w:rPr>
                <w:sz w:val="20"/>
                <w:szCs w:val="20"/>
                <w:color w:val="auto"/>
              </w:rPr>
            </w:pPr>
          </w:p>
        </w:tc>
        <w:tc>
          <w:tcPr>
            <w:tcW w:w="1120" w:type="dxa"/>
            <w:vAlign w:val="bottom"/>
            <w:tcBorders>
              <w:bottom w:val="single" w:sz="8" w:color="00A1DF"/>
            </w:tcBorders>
          </w:tcPr>
          <w:p>
            <w:pPr>
              <w:spacing w:after="0"/>
              <w:rPr>
                <w:sz w:val="20"/>
                <w:szCs w:val="20"/>
                <w:color w:val="auto"/>
              </w:rPr>
            </w:pPr>
          </w:p>
        </w:tc>
      </w:tr>
      <w:tr>
        <w:trPr>
          <w:trHeight w:val="190"/>
        </w:trPr>
        <w:tc>
          <w:tcPr>
            <w:tcW w:w="3660" w:type="dxa"/>
            <w:vAlign w:val="bottom"/>
          </w:tcPr>
          <w:p>
            <w:pPr>
              <w:spacing w:after="0"/>
              <w:rPr>
                <w:sz w:val="20"/>
                <w:szCs w:val="20"/>
                <w:color w:val="auto"/>
              </w:rPr>
            </w:pPr>
            <w:r>
              <w:rPr>
                <w:rFonts w:ascii="Arial" w:cs="Arial" w:eastAsia="Arial" w:hAnsi="Arial"/>
                <w:sz w:val="13"/>
                <w:szCs w:val="13"/>
                <w:color w:val="auto"/>
              </w:rPr>
              <w:t>1.  Elect the nine directors identified in this Proxy Statement,</w:t>
            </w:r>
          </w:p>
        </w:tc>
        <w:tc>
          <w:tcPr>
            <w:tcW w:w="2420" w:type="dxa"/>
            <w:vAlign w:val="bottom"/>
          </w:tcPr>
          <w:p>
            <w:pPr>
              <w:ind w:left="60"/>
              <w:spacing w:after="0"/>
              <w:rPr>
                <w:sz w:val="20"/>
                <w:szCs w:val="20"/>
                <w:color w:val="auto"/>
              </w:rPr>
            </w:pPr>
            <w:r>
              <w:rPr>
                <w:rFonts w:ascii="Arial" w:cs="Arial" w:eastAsia="Arial" w:hAnsi="Arial"/>
                <w:sz w:val="13"/>
                <w:szCs w:val="13"/>
                <w:color w:val="auto"/>
              </w:rPr>
              <w:t>“FOR” each nominee to the Board</w:t>
            </w:r>
          </w:p>
        </w:tc>
        <w:tc>
          <w:tcPr>
            <w:tcW w:w="3540" w:type="dxa"/>
            <w:vAlign w:val="bottom"/>
          </w:tcPr>
          <w:p>
            <w:pPr>
              <w:ind w:left="380"/>
              <w:spacing w:after="0"/>
              <w:rPr>
                <w:sz w:val="20"/>
                <w:szCs w:val="20"/>
                <w:color w:val="auto"/>
              </w:rPr>
            </w:pPr>
            <w:r>
              <w:rPr>
                <w:rFonts w:ascii="Arial" w:cs="Arial" w:eastAsia="Arial" w:hAnsi="Arial"/>
                <w:sz w:val="13"/>
                <w:szCs w:val="13"/>
                <w:color w:val="auto"/>
              </w:rPr>
              <w:t>Our nominees are distinguished leaders who bring a</w:t>
            </w:r>
          </w:p>
        </w:tc>
        <w:tc>
          <w:tcPr>
            <w:tcW w:w="1120" w:type="dxa"/>
            <w:vAlign w:val="bottom"/>
          </w:tcPr>
          <w:p>
            <w:pPr>
              <w:ind w:left="120"/>
              <w:spacing w:after="0"/>
              <w:rPr>
                <w:sz w:val="20"/>
                <w:szCs w:val="20"/>
                <w:color w:val="auto"/>
              </w:rPr>
            </w:pPr>
            <w:r>
              <w:rPr>
                <w:rFonts w:ascii="Arial" w:cs="Arial" w:eastAsia="Arial" w:hAnsi="Arial"/>
                <w:sz w:val="13"/>
                <w:szCs w:val="13"/>
                <w:color w:val="auto"/>
              </w:rPr>
              <w:t>Page 7</w:t>
            </w:r>
          </w:p>
        </w:tc>
      </w:tr>
      <w:tr>
        <w:trPr>
          <w:trHeight w:val="145"/>
        </w:trPr>
        <w:tc>
          <w:tcPr>
            <w:tcW w:w="3660" w:type="dxa"/>
            <w:vAlign w:val="bottom"/>
          </w:tcPr>
          <w:p>
            <w:pPr>
              <w:ind w:left="280"/>
              <w:spacing w:after="0" w:line="145" w:lineRule="exact"/>
              <w:rPr>
                <w:sz w:val="20"/>
                <w:szCs w:val="20"/>
                <w:color w:val="auto"/>
              </w:rPr>
            </w:pPr>
            <w:r>
              <w:rPr>
                <w:rFonts w:ascii="Arial" w:cs="Arial" w:eastAsia="Arial" w:hAnsi="Arial"/>
                <w:sz w:val="13"/>
                <w:szCs w:val="13"/>
                <w:color w:val="auto"/>
              </w:rPr>
              <w:t>each for a term of one year.</w:t>
            </w:r>
          </w:p>
        </w:tc>
        <w:tc>
          <w:tcPr>
            <w:tcW w:w="2420" w:type="dxa"/>
            <w:vAlign w:val="bottom"/>
          </w:tcPr>
          <w:p>
            <w:pPr>
              <w:spacing w:after="0"/>
              <w:rPr>
                <w:sz w:val="12"/>
                <w:szCs w:val="12"/>
                <w:color w:val="auto"/>
              </w:rPr>
            </w:pPr>
          </w:p>
        </w:tc>
        <w:tc>
          <w:tcPr>
            <w:tcW w:w="3540" w:type="dxa"/>
            <w:vAlign w:val="bottom"/>
          </w:tcPr>
          <w:p>
            <w:pPr>
              <w:ind w:left="380"/>
              <w:spacing w:after="0" w:line="145" w:lineRule="exact"/>
              <w:rPr>
                <w:sz w:val="20"/>
                <w:szCs w:val="20"/>
                <w:color w:val="auto"/>
              </w:rPr>
            </w:pPr>
            <w:r>
              <w:rPr>
                <w:rFonts w:ascii="Arial" w:cs="Arial" w:eastAsia="Arial" w:hAnsi="Arial"/>
                <w:sz w:val="13"/>
                <w:szCs w:val="13"/>
                <w:color w:val="auto"/>
              </w:rPr>
              <w:t>mix of skills and qualifications to the Board and can</w:t>
            </w:r>
          </w:p>
        </w:tc>
        <w:tc>
          <w:tcPr>
            <w:tcW w:w="1120" w:type="dxa"/>
            <w:vAlign w:val="bottom"/>
          </w:tcPr>
          <w:p>
            <w:pPr>
              <w:spacing w:after="0"/>
              <w:rPr>
                <w:sz w:val="12"/>
                <w:szCs w:val="12"/>
                <w:color w:val="auto"/>
              </w:rPr>
            </w:pPr>
          </w:p>
        </w:tc>
      </w:tr>
      <w:tr>
        <w:trPr>
          <w:trHeight w:val="145"/>
        </w:trPr>
        <w:tc>
          <w:tcPr>
            <w:tcW w:w="3660" w:type="dxa"/>
            <w:vAlign w:val="bottom"/>
            <w:tcBorders>
              <w:bottom w:val="single" w:sz="8" w:color="00A1DF"/>
            </w:tcBorders>
          </w:tcPr>
          <w:p>
            <w:pPr>
              <w:spacing w:after="0"/>
              <w:rPr>
                <w:sz w:val="12"/>
                <w:szCs w:val="12"/>
                <w:color w:val="auto"/>
              </w:rPr>
            </w:pPr>
          </w:p>
        </w:tc>
        <w:tc>
          <w:tcPr>
            <w:tcW w:w="2420" w:type="dxa"/>
            <w:vAlign w:val="bottom"/>
            <w:tcBorders>
              <w:bottom w:val="single" w:sz="8" w:color="00A1DF"/>
            </w:tcBorders>
          </w:tcPr>
          <w:p>
            <w:pPr>
              <w:spacing w:after="0"/>
              <w:rPr>
                <w:sz w:val="12"/>
                <w:szCs w:val="12"/>
                <w:color w:val="auto"/>
              </w:rPr>
            </w:pPr>
          </w:p>
        </w:tc>
        <w:tc>
          <w:tcPr>
            <w:tcW w:w="3540" w:type="dxa"/>
            <w:vAlign w:val="bottom"/>
            <w:tcBorders>
              <w:bottom w:val="single" w:sz="8" w:color="00A1DF"/>
            </w:tcBorders>
          </w:tcPr>
          <w:p>
            <w:pPr>
              <w:ind w:left="380"/>
              <w:spacing w:after="0" w:line="146" w:lineRule="exact"/>
              <w:rPr>
                <w:sz w:val="20"/>
                <w:szCs w:val="20"/>
                <w:color w:val="auto"/>
              </w:rPr>
            </w:pPr>
            <w:r>
              <w:rPr>
                <w:rFonts w:ascii="Arial" w:cs="Arial" w:eastAsia="Arial" w:hAnsi="Arial"/>
                <w:sz w:val="13"/>
                <w:szCs w:val="13"/>
                <w:color w:val="auto"/>
              </w:rPr>
              <w:t>represent the interests of all stockholders.</w:t>
            </w:r>
          </w:p>
        </w:tc>
        <w:tc>
          <w:tcPr>
            <w:tcW w:w="1120" w:type="dxa"/>
            <w:vAlign w:val="bottom"/>
            <w:tcBorders>
              <w:bottom w:val="single" w:sz="8" w:color="00A1DF"/>
            </w:tcBorders>
          </w:tcPr>
          <w:p>
            <w:pPr>
              <w:spacing w:after="0"/>
              <w:rPr>
                <w:sz w:val="12"/>
                <w:szCs w:val="12"/>
                <w:color w:val="auto"/>
              </w:rPr>
            </w:pPr>
          </w:p>
        </w:tc>
      </w:tr>
    </w:tbl>
    <w:p>
      <w:pPr>
        <w:spacing w:after="0" w:line="47" w:lineRule="exact"/>
        <w:rPr>
          <w:sz w:val="20"/>
          <w:szCs w:val="20"/>
          <w:color w:val="auto"/>
        </w:rPr>
      </w:pPr>
    </w:p>
    <w:p>
      <w:pPr>
        <w:sectPr>
          <w:pgSz w:w="11900" w:h="16838" w:orient="portrait"/>
          <w:cols w:equalWidth="0" w:num="1">
            <w:col w:w="11080"/>
          </w:cols>
          <w:pgMar w:left="240" w:top="451" w:right="579" w:bottom="1440" w:gutter="0" w:footer="0" w:header="0"/>
        </w:sectPr>
      </w:pPr>
    </w:p>
    <w:p>
      <w:pPr>
        <w:spacing w:after="0" w:line="5" w:lineRule="exact"/>
        <w:rPr>
          <w:sz w:val="20"/>
          <w:szCs w:val="20"/>
          <w:color w:val="auto"/>
        </w:rPr>
      </w:pPr>
    </w:p>
    <w:p>
      <w:pPr>
        <w:ind w:left="600" w:right="1640" w:hanging="262"/>
        <w:spacing w:after="0" w:line="238" w:lineRule="auto"/>
        <w:tabs>
          <w:tab w:leader="none" w:pos="580" w:val="left"/>
        </w:tabs>
        <w:rPr>
          <w:sz w:val="20"/>
          <w:szCs w:val="20"/>
          <w:color w:val="auto"/>
        </w:rPr>
      </w:pPr>
      <w:r>
        <w:rPr>
          <w:rFonts w:ascii="Arial" w:cs="Arial" w:eastAsia="Arial" w:hAnsi="Arial"/>
          <w:sz w:val="13"/>
          <w:szCs w:val="13"/>
          <w:color w:val="auto"/>
        </w:rPr>
        <w:t>2.</w:t>
        <w:tab/>
        <w:t>Ratification of the selection of KPMG LLP as independent “FOR” auditor of SPS Commerce for the fiscal year ending December 31, 2018.</w:t>
      </w:r>
    </w:p>
    <w:p>
      <w:pPr>
        <w:spacing w:after="0" w:line="20" w:lineRule="exact"/>
        <w:rPr>
          <w:sz w:val="20"/>
          <w:szCs w:val="20"/>
          <w:color w:val="auto"/>
        </w:rPr>
      </w:pPr>
      <w:r>
        <w:rPr>
          <w:sz w:val="20"/>
          <w:szCs w:val="20"/>
          <w:color w:val="auto"/>
        </w:rPr>
        <w:br w:type="column"/>
      </w:r>
    </w:p>
    <w:p>
      <w:pPr>
        <w:spacing w:after="0"/>
        <w:tabs>
          <w:tab w:leader="none" w:pos="3260" w:val="left"/>
        </w:tabs>
        <w:rPr>
          <w:sz w:val="20"/>
          <w:szCs w:val="20"/>
          <w:color w:val="auto"/>
        </w:rPr>
      </w:pPr>
      <w:r>
        <w:rPr>
          <w:rFonts w:ascii="Arial" w:cs="Arial" w:eastAsia="Arial" w:hAnsi="Arial"/>
          <w:sz w:val="13"/>
          <w:szCs w:val="13"/>
          <w:color w:val="auto"/>
        </w:rPr>
        <w:t>Based on its assessment of the qualifications and</w:t>
      </w:r>
      <w:r>
        <w:rPr>
          <w:sz w:val="20"/>
          <w:szCs w:val="20"/>
          <w:color w:val="auto"/>
        </w:rPr>
        <w:tab/>
      </w:r>
      <w:r>
        <w:rPr>
          <w:rFonts w:ascii="Arial" w:cs="Arial" w:eastAsia="Arial" w:hAnsi="Arial"/>
          <w:sz w:val="13"/>
          <w:szCs w:val="13"/>
          <w:color w:val="auto"/>
        </w:rPr>
        <w:t>Page 37</w:t>
      </w:r>
    </w:p>
    <w:p>
      <w:pPr>
        <w:spacing w:after="0" w:line="232" w:lineRule="auto"/>
        <w:rPr>
          <w:sz w:val="20"/>
          <w:szCs w:val="20"/>
          <w:color w:val="auto"/>
        </w:rPr>
      </w:pPr>
      <w:r>
        <w:rPr>
          <w:rFonts w:ascii="Arial" w:cs="Arial" w:eastAsia="Arial" w:hAnsi="Arial"/>
          <w:sz w:val="13"/>
          <w:szCs w:val="13"/>
          <w:color w:val="auto"/>
        </w:rPr>
        <w:t>performance of KPMG LLP (“KPMG“), the Audit</w:t>
      </w:r>
    </w:p>
    <w:p>
      <w:pPr>
        <w:spacing w:after="0" w:line="232" w:lineRule="auto"/>
        <w:rPr>
          <w:sz w:val="20"/>
          <w:szCs w:val="20"/>
          <w:color w:val="auto"/>
        </w:rPr>
      </w:pPr>
      <w:r>
        <w:rPr>
          <w:rFonts w:ascii="Arial" w:cs="Arial" w:eastAsia="Arial" w:hAnsi="Arial"/>
          <w:sz w:val="13"/>
          <w:szCs w:val="13"/>
          <w:color w:val="auto"/>
        </w:rPr>
        <w:t>Committee believes that it is in the best interests of</w:t>
      </w:r>
    </w:p>
    <w:p>
      <w:pPr>
        <w:spacing w:after="0"/>
        <w:rPr>
          <w:sz w:val="20"/>
          <w:szCs w:val="20"/>
          <w:color w:val="auto"/>
        </w:rPr>
      </w:pPr>
      <w:r>
        <w:rPr>
          <w:rFonts w:ascii="Arial" w:cs="Arial" w:eastAsia="Arial" w:hAnsi="Arial"/>
          <w:sz w:val="13"/>
          <w:szCs w:val="13"/>
          <w:color w:val="auto"/>
        </w:rPr>
        <w:t>the Company and its stockholders to retain 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-4097020</wp:posOffset>
            </wp:positionH>
            <wp:positionV relativeFrom="paragraph">
              <wp:posOffset>-1905</wp:posOffset>
            </wp:positionV>
            <wp:extent cx="68160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6080" w:space="720"/>
            <w:col w:w="4280"/>
          </w:cols>
          <w:pgMar w:left="240" w:top="451" w:right="579" w:bottom="1440" w:gutter="0" w:footer="0" w:header="0"/>
          <w:type w:val="continuous"/>
        </w:sectPr>
      </w:pPr>
    </w:p>
    <w:p>
      <w:pPr>
        <w:ind w:left="340"/>
        <w:spacing w:after="0"/>
        <w:tabs>
          <w:tab w:leader="none" w:pos="560" w:val="left"/>
          <w:tab w:leader="none" w:pos="4040" w:val="left"/>
        </w:tabs>
        <w:rPr>
          <w:sz w:val="20"/>
          <w:szCs w:val="20"/>
          <w:color w:val="auto"/>
        </w:rPr>
      </w:pPr>
      <w:r>
        <w:rPr>
          <w:rFonts w:ascii="Arial" w:cs="Arial" w:eastAsia="Arial" w:hAnsi="Arial"/>
          <w:sz w:val="13"/>
          <w:szCs w:val="13"/>
          <w:color w:val="auto"/>
        </w:rPr>
        <w:t>3.</w:t>
        <w:tab/>
        <w:t>An advisory vote to approve the compensation of our</w:t>
      </w:r>
      <w:r>
        <w:rPr>
          <w:sz w:val="20"/>
          <w:szCs w:val="20"/>
          <w:color w:val="auto"/>
        </w:rPr>
        <w:tab/>
      </w:r>
      <w:r>
        <w:rPr>
          <w:rFonts w:ascii="Arial" w:cs="Arial" w:eastAsia="Arial" w:hAnsi="Arial"/>
          <w:sz w:val="13"/>
          <w:szCs w:val="13"/>
          <w:color w:val="auto"/>
        </w:rPr>
        <w:t>“FOR”</w:t>
      </w:r>
    </w:p>
    <w:p>
      <w:pPr>
        <w:ind w:left="620"/>
        <w:spacing w:after="0"/>
        <w:rPr>
          <w:sz w:val="20"/>
          <w:szCs w:val="20"/>
          <w:color w:val="auto"/>
        </w:rPr>
      </w:pPr>
      <w:r>
        <w:rPr>
          <w:rFonts w:ascii="Arial" w:cs="Arial" w:eastAsia="Arial" w:hAnsi="Arial"/>
          <w:sz w:val="13"/>
          <w:szCs w:val="13"/>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273050</wp:posOffset>
            </wp:positionV>
            <wp:extent cx="23139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500"/>
        <w:spacing w:after="0" w:line="237" w:lineRule="auto"/>
        <w:rPr>
          <w:sz w:val="20"/>
          <w:szCs w:val="20"/>
          <w:color w:val="auto"/>
        </w:rPr>
      </w:pPr>
      <w:r>
        <w:rPr>
          <w:rFonts w:ascii="Arial" w:cs="Arial" w:eastAsia="Arial" w:hAnsi="Arial"/>
          <w:sz w:val="13"/>
          <w:szCs w:val="13"/>
          <w:color w:val="auto"/>
        </w:rPr>
        <w:t>Our executive compensation program is designed to Page 38 attract and retain talented and highly experienced executives and to motivate our executives to achieve the goals that are important to the company’s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-4097020</wp:posOffset>
            </wp:positionH>
            <wp:positionV relativeFrom="paragraph">
              <wp:posOffset>-6350</wp:posOffset>
            </wp:positionV>
            <wp:extent cx="68160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6080" w:space="720"/>
            <w:col w:w="4280"/>
          </w:cols>
          <w:pgMar w:left="240" w:top="451" w:right="579" w:bottom="1440" w:gutter="0" w:footer="0" w:header="0"/>
          <w:type w:val="continuous"/>
        </w:sectPr>
      </w:pPr>
    </w:p>
    <w:p>
      <w:pPr>
        <w:ind w:left="340" w:right="320" w:firstLine="7"/>
        <w:spacing w:after="0" w:line="324" w:lineRule="auto"/>
        <w:tabs>
          <w:tab w:leader="none" w:pos="536" w:val="left"/>
        </w:tabs>
        <w:numPr>
          <w:ilvl w:val="0"/>
          <w:numId w:val="12"/>
        </w:numPr>
        <w:rPr>
          <w:rFonts w:ascii="Arial" w:cs="Arial" w:eastAsia="Arial" w:hAnsi="Arial"/>
          <w:sz w:val="14"/>
          <w:szCs w:val="14"/>
          <w:color w:val="auto"/>
        </w:rPr>
      </w:pPr>
      <w:r>
        <w:rPr>
          <w:rFonts w:ascii="Arial" w:cs="Arial" w:eastAsia="Arial" w:hAnsi="Arial"/>
          <w:sz w:val="16"/>
          <w:szCs w:val="16"/>
          <w:color w:val="auto"/>
        </w:rPr>
        <w:t>Adjusted EBITDA, Non-GAAP income and non-GAAP income per diluted share are non-GAAP financial measures. Refer to Appendix A in this proxy statement for a reconciliation of these non-GAAP financial measures to the corresponding GAAP measures.</w:t>
      </w:r>
    </w:p>
    <w:p>
      <w:pPr>
        <w:spacing w:after="0" w:line="6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240" w:top="451" w:right="579" w:bottom="1440" w:gutter="0" w:footer="0" w:header="0"/>
          <w:type w:val="continuous"/>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firstLine="429"/>
        <w:spacing w:after="0" w:line="248" w:lineRule="auto"/>
        <w:rPr>
          <w:sz w:val="20"/>
          <w:szCs w:val="20"/>
          <w:color w:val="auto"/>
        </w:rPr>
      </w:pPr>
      <w:r>
        <w:rPr>
          <w:rFonts w:ascii="Arial" w:cs="Arial" w:eastAsia="Arial" w:hAnsi="Arial"/>
          <w:sz w:val="18"/>
          <w:szCs w:val="18"/>
          <w:color w:val="auto"/>
        </w:rPr>
        <w:t>Other than the proposals described in this proxy statement, the board is not aware of any other matters to be presented for a vote at the annual meeting. If you grant a proxy by telephone, internet, or by signing and returning your proxy card, any of the persons appointed by the board as proxy holders will have the discretion to vote your shares on any additional matters properly presented for a vote at the meeting. If any of our nominees is unavailable as a candidate for director, the above-named proxy holders will vote your proxy for another candidate or candidates as may be nominated by the board of directors.</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240" w:top="451" w:right="59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76" w:lineRule="exact"/>
        <w:rPr>
          <w:sz w:val="20"/>
          <w:szCs w:val="20"/>
          <w:color w:val="auto"/>
        </w:rPr>
      </w:pPr>
    </w:p>
    <w:p>
      <w:pPr>
        <w:jc w:val="center"/>
        <w:ind w:left="640" w:right="200"/>
        <w:spacing w:after="0" w:line="280" w:lineRule="auto"/>
        <w:rPr>
          <w:sz w:val="20"/>
          <w:szCs w:val="20"/>
          <w:color w:val="auto"/>
        </w:rPr>
      </w:pPr>
      <w:r>
        <w:rPr>
          <w:rFonts w:ascii="Arial" w:cs="Arial" w:eastAsia="Arial" w:hAnsi="Arial"/>
          <w:sz w:val="35"/>
          <w:szCs w:val="35"/>
          <w:b w:val="1"/>
          <w:bCs w:val="1"/>
          <w:color w:val="00A1DF"/>
        </w:rPr>
        <w:t>QUESTIONS AND ANSWERS ABOUT THE ANNUAL MEETING AND VOTING</w:t>
      </w:r>
    </w:p>
    <w:p>
      <w:pPr>
        <w:spacing w:after="0" w:line="120" w:lineRule="exact"/>
        <w:rPr>
          <w:sz w:val="20"/>
          <w:szCs w:val="20"/>
          <w:color w:val="auto"/>
        </w:rPr>
      </w:pPr>
    </w:p>
    <w:p>
      <w:pPr>
        <w:ind w:left="340" w:right="60" w:firstLine="429"/>
        <w:spacing w:after="0" w:line="261" w:lineRule="auto"/>
        <w:rPr>
          <w:sz w:val="20"/>
          <w:szCs w:val="20"/>
          <w:color w:val="auto"/>
        </w:rPr>
      </w:pPr>
      <w:r>
        <w:rPr>
          <w:rFonts w:ascii="Arial" w:cs="Arial" w:eastAsia="Arial" w:hAnsi="Arial"/>
          <w:sz w:val="18"/>
          <w:szCs w:val="18"/>
          <w:color w:val="auto"/>
        </w:rPr>
        <w:t>The board of directors of SPS Commerce, Inc. is soliciting proxies for use at the annual meeting of stockholders to be held on May 31, 2018, and at any adjournment or postponement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231775</wp:posOffset>
            </wp:positionV>
            <wp:extent cx="68160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Purpose of the Annual Meeting</w:t>
      </w:r>
    </w:p>
    <w:p>
      <w:pPr>
        <w:spacing w:after="0" w:line="218" w:lineRule="exact"/>
        <w:rPr>
          <w:sz w:val="20"/>
          <w:szCs w:val="20"/>
          <w:color w:val="auto"/>
        </w:rPr>
      </w:pPr>
    </w:p>
    <w:p>
      <w:pPr>
        <w:ind w:left="340" w:right="160" w:firstLine="429"/>
        <w:spacing w:after="0" w:line="249" w:lineRule="auto"/>
        <w:rPr>
          <w:sz w:val="20"/>
          <w:szCs w:val="20"/>
          <w:color w:val="auto"/>
        </w:rPr>
      </w:pPr>
      <w:r>
        <w:rPr>
          <w:rFonts w:ascii="Arial" w:cs="Arial" w:eastAsia="Arial" w:hAnsi="Arial"/>
          <w:sz w:val="18"/>
          <w:szCs w:val="18"/>
          <w:color w:val="auto"/>
        </w:rPr>
        <w:t>At our annual meeting, stockholders will act upon the matters outlined in the Notice of Annual Meeting of Stockholders, and management will report on matters of current interest to our stockholders and respond to questions from our stockholders. The matters outlined in the notice include the election of directors, the ratification of the selection of our independent auditor for 2018, and an advisory vote to approve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155575</wp:posOffset>
            </wp:positionV>
            <wp:extent cx="68160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Annual Meeting Voting Rights and Attendance</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Who is entitled to vote at the meeting?</w:t>
      </w:r>
    </w:p>
    <w:p>
      <w:pPr>
        <w:spacing w:after="0" w:line="109" w:lineRule="exact"/>
        <w:rPr>
          <w:sz w:val="20"/>
          <w:szCs w:val="20"/>
          <w:color w:val="auto"/>
        </w:rPr>
      </w:pPr>
    </w:p>
    <w:p>
      <w:pPr>
        <w:jc w:val="both"/>
        <w:ind w:left="340" w:firstLine="429"/>
        <w:spacing w:after="0" w:line="252" w:lineRule="auto"/>
        <w:rPr>
          <w:sz w:val="20"/>
          <w:szCs w:val="20"/>
          <w:color w:val="auto"/>
        </w:rPr>
      </w:pPr>
      <w:r>
        <w:rPr>
          <w:rFonts w:ascii="Arial" w:cs="Arial" w:eastAsia="Arial" w:hAnsi="Arial"/>
          <w:sz w:val="18"/>
          <w:szCs w:val="18"/>
          <w:color w:val="auto"/>
        </w:rPr>
        <w:t>The board of directors has set April 2, 2018 as the record date for the annual meeting. If you were a stockholder of record at the close of business on April 2, 2018, you are entitled to vote at the meeting. As of the record date, 17,109,949 shares of common stock, representing all of our voting stock, were issued and outstanding and, therefore, eligible to vote at the meeting.</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What are my voting rights?</w:t>
      </w:r>
    </w:p>
    <w:p>
      <w:pPr>
        <w:spacing w:after="0" w:line="109" w:lineRule="exact"/>
        <w:rPr>
          <w:sz w:val="20"/>
          <w:szCs w:val="20"/>
          <w:color w:val="auto"/>
        </w:rPr>
      </w:pPr>
    </w:p>
    <w:p>
      <w:pPr>
        <w:jc w:val="both"/>
        <w:ind w:left="340" w:right="20" w:firstLine="429"/>
        <w:spacing w:after="0" w:line="261" w:lineRule="auto"/>
        <w:rPr>
          <w:sz w:val="20"/>
          <w:szCs w:val="20"/>
          <w:color w:val="auto"/>
        </w:rPr>
      </w:pPr>
      <w:r>
        <w:rPr>
          <w:rFonts w:ascii="Arial" w:cs="Arial" w:eastAsia="Arial" w:hAnsi="Arial"/>
          <w:sz w:val="18"/>
          <w:szCs w:val="18"/>
          <w:color w:val="auto"/>
        </w:rPr>
        <w:t>Holders of our common stock are entitled to one vote per share. Therefore, a total of 17,109,949 votes are entitled to be cast at the meeting. There is no cumulative voting.</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How many shares must be present to hold the meeting?</w:t>
      </w:r>
    </w:p>
    <w:p>
      <w:pPr>
        <w:spacing w:after="0" w:line="109" w:lineRule="exact"/>
        <w:rPr>
          <w:sz w:val="20"/>
          <w:szCs w:val="20"/>
          <w:color w:val="auto"/>
        </w:rPr>
      </w:pPr>
    </w:p>
    <w:p>
      <w:pPr>
        <w:ind w:left="340" w:right="40" w:firstLine="429"/>
        <w:spacing w:after="0" w:line="252" w:lineRule="auto"/>
        <w:rPr>
          <w:sz w:val="20"/>
          <w:szCs w:val="20"/>
          <w:color w:val="auto"/>
        </w:rPr>
      </w:pPr>
      <w:r>
        <w:rPr>
          <w:rFonts w:ascii="Arial" w:cs="Arial" w:eastAsia="Arial" w:hAnsi="Arial"/>
          <w:sz w:val="18"/>
          <w:szCs w:val="18"/>
          <w:color w:val="auto"/>
        </w:rPr>
        <w:t>In accordance with our bylaws, shares equal to a majority of the voting power of the outstanding shares of common stock entitled to vote generally in the election of directors as of the record date must be present at the annual meeting in order to hold the meeting and conduct business. This is called a quorum. Shares are counted as present at the meeting if:</w:t>
      </w:r>
    </w:p>
    <w:p>
      <w:pPr>
        <w:spacing w:after="0" w:line="58" w:lineRule="exact"/>
        <w:rPr>
          <w:sz w:val="20"/>
          <w:szCs w:val="20"/>
          <w:color w:val="auto"/>
        </w:rPr>
      </w:pPr>
    </w:p>
    <w:p>
      <w:pPr>
        <w:ind w:left="1080" w:hanging="31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are present and vote in person at the meeting; or</w:t>
      </w:r>
    </w:p>
    <w:p>
      <w:pPr>
        <w:spacing w:after="0" w:line="82" w:lineRule="exact"/>
        <w:rPr>
          <w:rFonts w:ascii="Arial" w:cs="Arial" w:eastAsia="Arial" w:hAnsi="Arial"/>
          <w:sz w:val="18"/>
          <w:szCs w:val="18"/>
          <w:color w:val="auto"/>
        </w:rPr>
      </w:pPr>
    </w:p>
    <w:p>
      <w:pPr>
        <w:ind w:left="1080" w:hanging="31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have properly and timely submitted your proxy as described below under “How do I submit my proxy?”</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What is the difference between a stockholder of record and a “street name” holder?</w:t>
      </w:r>
    </w:p>
    <w:p>
      <w:pPr>
        <w:spacing w:after="0" w:line="109" w:lineRule="exact"/>
        <w:rPr>
          <w:sz w:val="20"/>
          <w:szCs w:val="20"/>
          <w:color w:val="auto"/>
        </w:rPr>
      </w:pPr>
    </w:p>
    <w:p>
      <w:pPr>
        <w:ind w:left="340" w:right="80" w:firstLine="429"/>
        <w:spacing w:after="0" w:line="287" w:lineRule="auto"/>
        <w:rPr>
          <w:sz w:val="20"/>
          <w:szCs w:val="20"/>
          <w:color w:val="auto"/>
        </w:rPr>
      </w:pPr>
      <w:r>
        <w:rPr>
          <w:rFonts w:ascii="Arial" w:cs="Arial" w:eastAsia="Arial" w:hAnsi="Arial"/>
          <w:sz w:val="16"/>
          <w:szCs w:val="16"/>
          <w:color w:val="auto"/>
        </w:rPr>
        <w:t>If your shares are registered directly in your name, you are considered the stockholder of record with respect to those shares. If your shares are held in a stock brokerage account or by a bank, trust or other nominee, then the broker, bank, trust or other nominee is considered to be the stockholder of record with respect to those shares, while you are considered the beneficial owner of those shares. In that case, your shares are said to be held in “street name.” Street name holders generally cannot vote their shares directly and must instead instruct the broker, bank, trust or other nominee how to vote their shares using the method described below under “How do I submit my proxy?”</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How can I attend the meeting?</w:t>
      </w:r>
    </w:p>
    <w:p>
      <w:pPr>
        <w:spacing w:after="0" w:line="109" w:lineRule="exact"/>
        <w:rPr>
          <w:sz w:val="20"/>
          <w:szCs w:val="20"/>
          <w:color w:val="auto"/>
        </w:rPr>
      </w:pPr>
    </w:p>
    <w:p>
      <w:pPr>
        <w:ind w:left="340" w:right="60" w:firstLine="429"/>
        <w:spacing w:after="0" w:line="327" w:lineRule="auto"/>
        <w:rPr>
          <w:sz w:val="20"/>
          <w:szCs w:val="20"/>
          <w:color w:val="auto"/>
        </w:rPr>
      </w:pPr>
      <w:r>
        <w:rPr>
          <w:rFonts w:ascii="Arial" w:cs="Arial" w:eastAsia="Arial" w:hAnsi="Arial"/>
          <w:sz w:val="15"/>
          <w:szCs w:val="15"/>
          <w:color w:val="auto"/>
        </w:rPr>
        <w:t>All of our stockholders are invited to attend the annual meeting. You may be asked to present valid photo identification, such as a driver’s license or passport, before being admitted to the meeting. If you hold your shares in street name, you also may be asked to present proof of ownership to be admitted to the meeting. A brokerage statement or letter from your broker, bank, trust or other nominee are examples of proof of ownership.</w:t>
      </w:r>
    </w:p>
    <w:p>
      <w:pPr>
        <w:spacing w:after="0" w:line="7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1" w:right="6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220980</wp:posOffset>
            </wp:positionV>
            <wp:extent cx="68160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Information about the Notice and Proxy Materials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What is a proxy?</w:t>
      </w:r>
    </w:p>
    <w:p>
      <w:pPr>
        <w:spacing w:after="0" w:line="109" w:lineRule="exact"/>
        <w:rPr>
          <w:sz w:val="20"/>
          <w:szCs w:val="20"/>
          <w:color w:val="auto"/>
        </w:rPr>
      </w:pPr>
    </w:p>
    <w:p>
      <w:pPr>
        <w:jc w:val="both"/>
        <w:ind w:left="340" w:right="220" w:firstLine="429"/>
        <w:spacing w:after="0" w:line="249" w:lineRule="auto"/>
        <w:rPr>
          <w:sz w:val="20"/>
          <w:szCs w:val="20"/>
          <w:color w:val="auto"/>
        </w:rPr>
      </w:pPr>
      <w:r>
        <w:rPr>
          <w:rFonts w:ascii="Arial" w:cs="Arial" w:eastAsia="Arial" w:hAnsi="Arial"/>
          <w:sz w:val="18"/>
          <w:szCs w:val="18"/>
          <w:color w:val="auto"/>
        </w:rPr>
        <w:t>It is your designation of another person to vote stock you own. That other person is called a proxy. If you designate someone as your proxy in a written document, that document also is called a proxy or a proxy card. When you designate a proxy, you also may direct the proxy how to vote your shares. We refer to this as your “proxy vote.” Two executive officers have been designated as proxies for our 2018 annual meeting of stockholders. These executive officers are Archie C. Black and Kimberly K. Nelson.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00A1DF"/>
        </w:rPr>
        <w:t>If I received a one-page Notice of Internet Availability of Proxy Materials, how can I receive a full set of printed proxy materials?</w:t>
      </w:r>
    </w:p>
    <w:p>
      <w:pPr>
        <w:spacing w:after="0" w:line="132" w:lineRule="exact"/>
        <w:rPr>
          <w:sz w:val="20"/>
          <w:szCs w:val="20"/>
          <w:color w:val="auto"/>
        </w:rPr>
      </w:pPr>
    </w:p>
    <w:p>
      <w:pPr>
        <w:ind w:left="340" w:right="20" w:firstLine="429"/>
        <w:spacing w:after="0" w:line="291" w:lineRule="auto"/>
        <w:rPr>
          <w:sz w:val="20"/>
          <w:szCs w:val="20"/>
          <w:color w:val="auto"/>
        </w:rPr>
      </w:pPr>
      <w:r>
        <w:rPr>
          <w:rFonts w:ascii="Arial" w:cs="Arial" w:eastAsia="Arial" w:hAnsi="Arial"/>
          <w:sz w:val="16"/>
          <w:szCs w:val="16"/>
          <w:color w:val="auto"/>
        </w:rPr>
        <w:t>As permitted by SEC rules, we have elected to provide access to our proxy materials over the Internet to record owners and any beneficial owners of our stock who have not previously requested printed proxy materials, which reduces our costs and the environmental impact of our annual meeting. The Notice of Availability contains instructions on how to request a printed set of proxy materials, which we will provide to stockholders upon request at no cost to the requesting stockholder within three business days after receiving the request.</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How do I submit my proxy?</w:t>
      </w:r>
    </w:p>
    <w:p>
      <w:pPr>
        <w:spacing w:after="0" w:line="10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 you are a stockholder of record, you can submit a proxy to be voted at the meeting in any of the following ways:</w:t>
      </w:r>
    </w:p>
    <w:p>
      <w:pPr>
        <w:spacing w:after="0" w:line="82" w:lineRule="exact"/>
        <w:rPr>
          <w:sz w:val="20"/>
          <w:szCs w:val="20"/>
          <w:color w:val="auto"/>
        </w:rPr>
      </w:pPr>
    </w:p>
    <w:p>
      <w:pPr>
        <w:ind w:left="1080" w:hanging="31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over the internet using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left="1080" w:hanging="31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 the telephone by calling a toll-free number; or</w:t>
      </w:r>
    </w:p>
    <w:p>
      <w:pPr>
        <w:spacing w:after="0" w:line="82" w:lineRule="exact"/>
        <w:rPr>
          <w:rFonts w:ascii="Arial" w:cs="Arial" w:eastAsia="Arial" w:hAnsi="Arial"/>
          <w:sz w:val="18"/>
          <w:szCs w:val="18"/>
          <w:color w:val="auto"/>
        </w:rPr>
      </w:pPr>
    </w:p>
    <w:p>
      <w:pPr>
        <w:ind w:left="1080" w:hanging="31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signing, dating and mailing the proxy card in the envelope provided.</w:t>
      </w:r>
    </w:p>
    <w:p>
      <w:pPr>
        <w:spacing w:after="0" w:line="109" w:lineRule="exact"/>
        <w:rPr>
          <w:sz w:val="20"/>
          <w:szCs w:val="20"/>
          <w:color w:val="auto"/>
        </w:rPr>
      </w:pPr>
    </w:p>
    <w:p>
      <w:pPr>
        <w:ind w:left="340" w:right="80" w:firstLine="429"/>
        <w:spacing w:after="0" w:line="284" w:lineRule="auto"/>
        <w:rPr>
          <w:sz w:val="20"/>
          <w:szCs w:val="20"/>
          <w:color w:val="auto"/>
        </w:rPr>
      </w:pPr>
      <w:r>
        <w:rPr>
          <w:rFonts w:ascii="Arial" w:cs="Arial" w:eastAsia="Arial" w:hAnsi="Arial"/>
          <w:sz w:val="16"/>
          <w:szCs w:val="16"/>
          <w:color w:val="auto"/>
        </w:rPr>
        <w:t>To vote by telephone or the internet, you will need to use a control number that was provided to you by our vote tabulator, Broadridge Financial Solutions, and then follow the additional steps when prompted. The steps have been designed to authenticate your identity, allow you to give voting instructions, and confirm that those instructions have been recorded properly. If you hold your shares in street name, you must vote your shares in the manner prescribed by your broker, bank, trust or other nominee, which is similar to the voting procedures for stockholders of record. If you request the proxy materials by mail after receiving a Notice of Internet Availability of Proxy Material, you will receive a voting instruction form (not a proxy card) to use in directing the broker, bank, trust or other nominee how to vote your shares.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What does it mean if I receive more than one printed set of proxy materials?</w:t>
      </w:r>
    </w:p>
    <w:p>
      <w:pPr>
        <w:spacing w:after="0" w:line="109" w:lineRule="exact"/>
        <w:rPr>
          <w:sz w:val="20"/>
          <w:szCs w:val="20"/>
          <w:color w:val="auto"/>
        </w:rPr>
      </w:pPr>
    </w:p>
    <w:p>
      <w:pPr>
        <w:ind w:left="340" w:firstLine="429"/>
        <w:spacing w:after="0" w:line="252" w:lineRule="auto"/>
        <w:rPr>
          <w:sz w:val="20"/>
          <w:szCs w:val="20"/>
          <w:color w:val="auto"/>
        </w:rPr>
      </w:pPr>
      <w:r>
        <w:rPr>
          <w:rFonts w:ascii="Arial" w:cs="Arial" w:eastAsia="Arial" w:hAnsi="Arial"/>
          <w:sz w:val="18"/>
          <w:szCs w:val="18"/>
          <w:color w:val="auto"/>
        </w:rPr>
        <w:t>If you receive more than one Notice of Internet Availability of Proxy Materials or printed set of proxy materials, it means that you hold shares registered in more than one account. To ensure that all of your shares are voted, vote once for each control number you receive as described above under “How do I submit my proxy?”</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Who pays for the cost of proxy preparation and solicitation?</w:t>
      </w:r>
    </w:p>
    <w:p>
      <w:pPr>
        <w:spacing w:after="0" w:line="109" w:lineRule="exact"/>
        <w:rPr>
          <w:sz w:val="20"/>
          <w:szCs w:val="20"/>
          <w:color w:val="auto"/>
        </w:rPr>
      </w:pPr>
    </w:p>
    <w:p>
      <w:pPr>
        <w:jc w:val="both"/>
        <w:ind w:left="340" w:right="40" w:firstLine="429"/>
        <w:spacing w:after="0" w:line="291" w:lineRule="auto"/>
        <w:rPr>
          <w:sz w:val="20"/>
          <w:szCs w:val="20"/>
          <w:color w:val="auto"/>
        </w:rPr>
      </w:pPr>
      <w:r>
        <w:rPr>
          <w:rFonts w:ascii="Arial" w:cs="Arial" w:eastAsia="Arial" w:hAnsi="Arial"/>
          <w:sz w:val="16"/>
          <w:szCs w:val="16"/>
          <w:color w:val="auto"/>
        </w:rPr>
        <w:t>SPS Commerce pays for the cost of proxy preparation and solicitation, including the reasonable charges and expenses of brokerage firms, banks, trusts or other nominees for forwarding proxy materials to street name holders. We are soliciting proxies by mail. In addition, our directors, officers and regular employees may solicit proxies personally, telephonically, electronically or by other means of communication. Our directors, officers and regular employees will receive no additional compensation for their services other than their regular compensation.</w:t>
      </w:r>
    </w:p>
    <w:p>
      <w:pPr>
        <w:spacing w:after="0" w:line="9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1" w:right="61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220980</wp:posOffset>
            </wp:positionV>
            <wp:extent cx="68160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Voting</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How does the board of directors recommend that I vote?</w:t>
      </w:r>
    </w:p>
    <w:p>
      <w:pPr>
        <w:spacing w:after="0" w:line="16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board of directors recommends a vote:</w:t>
      </w:r>
    </w:p>
    <w:p>
      <w:pPr>
        <w:spacing w:after="0" w:line="76" w:lineRule="exact"/>
        <w:rPr>
          <w:sz w:val="20"/>
          <w:szCs w:val="20"/>
          <w:color w:val="auto"/>
        </w:rPr>
      </w:pPr>
    </w:p>
    <w:p>
      <w:pPr>
        <w:ind w:left="1080" w:hanging="31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nominees for director;</w:t>
      </w:r>
    </w:p>
    <w:p>
      <w:pPr>
        <w:spacing w:after="0" w:line="82" w:lineRule="exact"/>
        <w:rPr>
          <w:rFonts w:ascii="Arial" w:cs="Arial" w:eastAsia="Arial" w:hAnsi="Arial"/>
          <w:sz w:val="18"/>
          <w:szCs w:val="18"/>
          <w:color w:val="auto"/>
        </w:rPr>
      </w:pPr>
    </w:p>
    <w:p>
      <w:pPr>
        <w:ind w:left="1080" w:right="560" w:hanging="31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KPMG LLP (“KPMG”) as the independent auditor of SPS Commerce, Inc. for the year ending</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2018; and</w:t>
      </w:r>
    </w:p>
    <w:p>
      <w:pPr>
        <w:spacing w:after="0" w:line="37" w:lineRule="exact"/>
        <w:rPr>
          <w:rFonts w:ascii="Arial" w:cs="Arial" w:eastAsia="Arial" w:hAnsi="Arial"/>
          <w:sz w:val="18"/>
          <w:szCs w:val="18"/>
          <w:color w:val="auto"/>
        </w:rPr>
      </w:pPr>
    </w:p>
    <w:p>
      <w:pPr>
        <w:ind w:left="1080" w:hanging="31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advisory approval of the compensation of our named executive officers.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What if I do not specify how I want my shares voted?</w:t>
      </w:r>
    </w:p>
    <w:p>
      <w:pPr>
        <w:spacing w:after="0" w:line="109" w:lineRule="exact"/>
        <w:rPr>
          <w:sz w:val="20"/>
          <w:szCs w:val="20"/>
          <w:color w:val="auto"/>
        </w:rPr>
      </w:pPr>
    </w:p>
    <w:p>
      <w:pPr>
        <w:ind w:left="340" w:right="140" w:firstLine="429"/>
        <w:spacing w:after="0" w:line="261" w:lineRule="auto"/>
        <w:rPr>
          <w:sz w:val="20"/>
          <w:szCs w:val="20"/>
          <w:color w:val="auto"/>
        </w:rPr>
      </w:pPr>
      <w:r>
        <w:rPr>
          <w:rFonts w:ascii="Arial" w:cs="Arial" w:eastAsia="Arial" w:hAnsi="Arial"/>
          <w:sz w:val="18"/>
          <w:szCs w:val="18"/>
          <w:color w:val="auto"/>
        </w:rPr>
        <w:t>If you are a stockholder of record and submit a signed proxy card or submit your proxy by internet or telephone but do not specify how you want to vote your shares on a particular matter, we will vote your shares as follows:</w:t>
      </w:r>
    </w:p>
    <w:p>
      <w:pPr>
        <w:spacing w:after="0" w:line="44" w:lineRule="exact"/>
        <w:rPr>
          <w:sz w:val="20"/>
          <w:szCs w:val="20"/>
          <w:color w:val="auto"/>
        </w:rPr>
      </w:pPr>
    </w:p>
    <w:p>
      <w:pPr>
        <w:ind w:left="1080" w:hanging="31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nominees for director;</w:t>
      </w:r>
    </w:p>
    <w:p>
      <w:pPr>
        <w:spacing w:after="0" w:line="82" w:lineRule="exact"/>
        <w:rPr>
          <w:rFonts w:ascii="Arial" w:cs="Arial" w:eastAsia="Arial" w:hAnsi="Arial"/>
          <w:sz w:val="18"/>
          <w:szCs w:val="18"/>
          <w:color w:val="auto"/>
        </w:rPr>
      </w:pPr>
    </w:p>
    <w:p>
      <w:pPr>
        <w:ind w:left="1080" w:right="280" w:hanging="31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KPMG as the independent auditor of SPS Commerce, Inc. for the year ending December 31, 2018;</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37" w:lineRule="exact"/>
        <w:rPr>
          <w:rFonts w:ascii="Arial" w:cs="Arial" w:eastAsia="Arial" w:hAnsi="Arial"/>
          <w:sz w:val="18"/>
          <w:szCs w:val="18"/>
          <w:color w:val="auto"/>
        </w:rPr>
      </w:pPr>
    </w:p>
    <w:p>
      <w:pPr>
        <w:ind w:left="1080" w:hanging="31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advisory approval of the compensation of our named executive officers.</w:t>
      </w:r>
    </w:p>
    <w:p>
      <w:pPr>
        <w:spacing w:after="0" w:line="115" w:lineRule="exact"/>
        <w:rPr>
          <w:sz w:val="20"/>
          <w:szCs w:val="20"/>
          <w:color w:val="auto"/>
        </w:rPr>
      </w:pPr>
    </w:p>
    <w:p>
      <w:pPr>
        <w:ind w:left="340" w:firstLine="429"/>
        <w:spacing w:after="0" w:line="280" w:lineRule="auto"/>
        <w:rPr>
          <w:sz w:val="20"/>
          <w:szCs w:val="20"/>
          <w:color w:val="auto"/>
        </w:rPr>
      </w:pPr>
      <w:r>
        <w:rPr>
          <w:rFonts w:ascii="Arial" w:cs="Arial" w:eastAsia="Arial" w:hAnsi="Arial"/>
          <w:sz w:val="16"/>
          <w:szCs w:val="16"/>
          <w:color w:val="auto"/>
        </w:rPr>
        <w:t xml:space="preserve">Your vote is important. We urge you to vote, or to instruct your broker, bank, trust or other nominee how to vote, on all matters before the annual meeting. If you are a street name holder and fail to instruct the stockholder of record how you want to vote your shares on a particular matter, those shares are considered to be “uninstructed.” New York Stock Exchange rules determine the circumstances under which member brokers of the New York Stock Exchange may exercise discretion to vote “uninstructed” shares held by them on behalf of their clients who are street name holders. Other than the ratification of the selection of KPMG LLP as our independent auditor for the year ending December 31, 2018, the rules do </w:t>
      </w:r>
      <w:r>
        <w:rPr>
          <w:rFonts w:ascii="Arial" w:cs="Arial" w:eastAsia="Arial" w:hAnsi="Arial"/>
          <w:sz w:val="16"/>
          <w:szCs w:val="16"/>
          <w:i w:val="1"/>
          <w:iCs w:val="1"/>
          <w:color w:val="auto"/>
        </w:rPr>
        <w:t>not</w:t>
      </w:r>
      <w:r>
        <w:rPr>
          <w:rFonts w:ascii="Arial" w:cs="Arial" w:eastAsia="Arial" w:hAnsi="Arial"/>
          <w:sz w:val="16"/>
          <w:szCs w:val="16"/>
          <w:color w:val="auto"/>
        </w:rPr>
        <w:t xml:space="preserve"> permit member brokers to exercise voting discretion as to the uninstructed shares on any matter included in the notice of meeting. With respect to the ratification of the selection of KPMG LLP as our independent auditor for the year ending December 31, 2018, the rules permit member brokers to exercise voting discretion as to the uninstructed shares. For matters with respect to which the broker, bank or other nominee does not have voting discretion or has, but does not exercise, voting discretion, the uninstructed shares will be referred to as a “broker non-vote.” For more information regarding the effect of broker non-votes on the outcome of the vote, see below under “How are votes counted?”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Can I change my vote after submitting my proxy?</w:t>
      </w:r>
    </w:p>
    <w:p>
      <w:pPr>
        <w:spacing w:after="0" w:line="10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Yes. You may revoke your proxy and change your vote at any time before your proxy is voted at the annual meeting, in any of the following ways:</w:t>
      </w:r>
    </w:p>
    <w:p>
      <w:pPr>
        <w:spacing w:after="0" w:line="105" w:lineRule="exact"/>
        <w:rPr>
          <w:sz w:val="20"/>
          <w:szCs w:val="20"/>
          <w:color w:val="auto"/>
        </w:rPr>
      </w:pPr>
    </w:p>
    <w:p>
      <w:pPr>
        <w:ind w:left="1080" w:right="240" w:hanging="312"/>
        <w:spacing w:after="0" w:line="261"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submitting a later-dated proxy by telephone or the internet before 11:59 p.m. Eastern Time on Wednesday, May 30, 2018 for shares held directly and before 11:59 p.m. Eastern Time on Monday, May 28, 2018 for shares held in a Plan;</w:t>
      </w:r>
    </w:p>
    <w:p>
      <w:pPr>
        <w:spacing w:after="0" w:line="49" w:lineRule="exact"/>
        <w:rPr>
          <w:rFonts w:ascii="Arial" w:cs="Arial" w:eastAsia="Arial" w:hAnsi="Arial"/>
          <w:sz w:val="18"/>
          <w:szCs w:val="18"/>
          <w:color w:val="auto"/>
        </w:rPr>
      </w:pPr>
    </w:p>
    <w:p>
      <w:pPr>
        <w:ind w:left="1080" w:right="140" w:hanging="312"/>
        <w:spacing w:after="0" w:line="261"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submitting a later-dated proxy to the Chief Financial Officer of SPS Commerce, Inc., which must be received by us before the time of the annual meeting;</w:t>
      </w:r>
    </w:p>
    <w:p>
      <w:pPr>
        <w:spacing w:after="0" w:line="49" w:lineRule="exact"/>
        <w:rPr>
          <w:rFonts w:ascii="Arial" w:cs="Arial" w:eastAsia="Arial" w:hAnsi="Arial"/>
          <w:sz w:val="18"/>
          <w:szCs w:val="18"/>
          <w:color w:val="auto"/>
        </w:rPr>
      </w:pPr>
    </w:p>
    <w:p>
      <w:pPr>
        <w:ind w:left="1080" w:right="40" w:hanging="312"/>
        <w:spacing w:after="0" w:line="261"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sending a written notice of revocation to the Chief Financial Officer of SPS Commerce, Inc., which must be received by us before the time of the annual meeting; or</w:t>
      </w:r>
    </w:p>
    <w:p>
      <w:pPr>
        <w:spacing w:after="0" w:line="49" w:lineRule="exact"/>
        <w:rPr>
          <w:rFonts w:ascii="Arial" w:cs="Arial" w:eastAsia="Arial" w:hAnsi="Arial"/>
          <w:sz w:val="18"/>
          <w:szCs w:val="18"/>
          <w:color w:val="auto"/>
        </w:rPr>
      </w:pPr>
    </w:p>
    <w:p>
      <w:pPr>
        <w:ind w:left="1080" w:hanging="31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voting in person at the meeting.</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Can I vote my shares in person at the meeting?</w:t>
      </w:r>
    </w:p>
    <w:p>
      <w:pPr>
        <w:spacing w:after="0" w:line="109" w:lineRule="exact"/>
        <w:rPr>
          <w:sz w:val="20"/>
          <w:szCs w:val="20"/>
          <w:color w:val="auto"/>
        </w:rPr>
      </w:pPr>
    </w:p>
    <w:p>
      <w:pPr>
        <w:ind w:left="340" w:right="100" w:firstLine="429"/>
        <w:spacing w:after="0" w:line="261" w:lineRule="auto"/>
        <w:rPr>
          <w:sz w:val="20"/>
          <w:szCs w:val="20"/>
          <w:color w:val="auto"/>
        </w:rPr>
      </w:pPr>
      <w:r>
        <w:rPr>
          <w:rFonts w:ascii="Arial" w:cs="Arial" w:eastAsia="Arial" w:hAnsi="Arial"/>
          <w:sz w:val="18"/>
          <w:szCs w:val="18"/>
          <w:color w:val="auto"/>
        </w:rPr>
        <w:t>If you are a stockholder of record, you may vote your shares in person at the meeting by completing a ballot at the meeting. Even if you currently plan to attend the meeting, we recommend that you submit your proxy as</w:t>
      </w:r>
    </w:p>
    <w:p>
      <w:pPr>
        <w:spacing w:after="0" w:line="11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240" w:top="451" w:right="57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140"/>
        <w:spacing w:after="0" w:line="261" w:lineRule="auto"/>
        <w:rPr>
          <w:sz w:val="20"/>
          <w:szCs w:val="20"/>
          <w:color w:val="auto"/>
        </w:rPr>
      </w:pPr>
      <w:r>
        <w:rPr>
          <w:rFonts w:ascii="Arial" w:cs="Arial" w:eastAsia="Arial" w:hAnsi="Arial"/>
          <w:sz w:val="18"/>
          <w:szCs w:val="18"/>
          <w:color w:val="auto"/>
        </w:rPr>
        <w:t>described above so your vote will be counted if you later decide not to attend the meeting. If you submit your vote by proxy and later decide to vote in person at the annual meeting, the vote you submit at the meeting will override your proxy vote.</w:t>
      </w:r>
    </w:p>
    <w:p>
      <w:pPr>
        <w:spacing w:after="0" w:line="76" w:lineRule="exact"/>
        <w:rPr>
          <w:sz w:val="20"/>
          <w:szCs w:val="20"/>
          <w:color w:val="auto"/>
        </w:rPr>
      </w:pPr>
    </w:p>
    <w:p>
      <w:pPr>
        <w:ind w:left="340" w:right="240" w:firstLine="429"/>
        <w:spacing w:after="0" w:line="324" w:lineRule="auto"/>
        <w:rPr>
          <w:sz w:val="20"/>
          <w:szCs w:val="20"/>
          <w:color w:val="auto"/>
        </w:rPr>
      </w:pPr>
      <w:r>
        <w:rPr>
          <w:rFonts w:ascii="Arial" w:cs="Arial" w:eastAsia="Arial" w:hAnsi="Arial"/>
          <w:sz w:val="16"/>
          <w:szCs w:val="16"/>
          <w:color w:val="auto"/>
        </w:rPr>
        <w:t>If you are a street name holder, you may vote your shares in person at the meeting only if you obtain and bring to the meeting a signed letter or other form of proxy from your broker, bank, trust or other nominee giving you the right to vote the shares at the meeting.</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What vote is required to approve each item of business included in the notice of meeting?</w:t>
      </w:r>
    </w:p>
    <w:p>
      <w:pPr>
        <w:spacing w:after="0" w:line="109" w:lineRule="exact"/>
        <w:rPr>
          <w:sz w:val="20"/>
          <w:szCs w:val="20"/>
          <w:color w:val="auto"/>
        </w:rPr>
      </w:pPr>
    </w:p>
    <w:p>
      <w:pPr>
        <w:ind w:left="340" w:right="120" w:firstLine="429"/>
        <w:spacing w:after="0" w:line="291" w:lineRule="auto"/>
        <w:rPr>
          <w:sz w:val="20"/>
          <w:szCs w:val="20"/>
          <w:color w:val="auto"/>
        </w:rPr>
      </w:pPr>
      <w:r>
        <w:rPr>
          <w:rFonts w:ascii="Arial" w:cs="Arial" w:eastAsia="Arial" w:hAnsi="Arial"/>
          <w:sz w:val="16"/>
          <w:szCs w:val="16"/>
          <w:color w:val="auto"/>
        </w:rPr>
        <w:t>A director nominee will be elected if the number of votes cast “FOR” the nominee exceeds the number of votes cast “AGAINST” the nominee. Any incumbent director who does not receive a greater number of votes “FOR” than “AGAINST” his or her reelection in an uncontested election shall tender his or her resignation to the board of directors, subject to acceptance by the board of directors. The board of directors will determine whether to accept or reject the offer to resign within 90 days of certification of the stockholder vote.</w:t>
      </w:r>
    </w:p>
    <w:p>
      <w:pPr>
        <w:spacing w:after="0" w:line="55" w:lineRule="exact"/>
        <w:rPr>
          <w:sz w:val="20"/>
          <w:szCs w:val="20"/>
          <w:color w:val="auto"/>
        </w:rPr>
      </w:pPr>
    </w:p>
    <w:p>
      <w:pPr>
        <w:ind w:left="340" w:firstLine="429"/>
        <w:spacing w:after="0" w:line="261" w:lineRule="auto"/>
        <w:rPr>
          <w:sz w:val="20"/>
          <w:szCs w:val="20"/>
          <w:color w:val="auto"/>
        </w:rPr>
      </w:pPr>
      <w:r>
        <w:rPr>
          <w:rFonts w:ascii="Arial" w:cs="Arial" w:eastAsia="Arial" w:hAnsi="Arial"/>
          <w:sz w:val="18"/>
          <w:szCs w:val="18"/>
          <w:color w:val="auto"/>
        </w:rPr>
        <w:t>The affirmative vote of the holders of a majority of the outstanding shares of common stock present in person or represented by proxy and entitled to vote at the annual meeting is required to ratify the selection of our independent auditor.</w:t>
      </w:r>
    </w:p>
    <w:p>
      <w:pPr>
        <w:spacing w:after="0" w:line="76" w:lineRule="exact"/>
        <w:rPr>
          <w:sz w:val="20"/>
          <w:szCs w:val="20"/>
          <w:color w:val="auto"/>
        </w:rPr>
      </w:pPr>
    </w:p>
    <w:p>
      <w:pPr>
        <w:jc w:val="both"/>
        <w:ind w:left="340" w:right="280" w:firstLine="429"/>
        <w:spacing w:after="0" w:line="252" w:lineRule="auto"/>
        <w:rPr>
          <w:sz w:val="20"/>
          <w:szCs w:val="20"/>
          <w:color w:val="auto"/>
        </w:rPr>
      </w:pPr>
      <w:r>
        <w:rPr>
          <w:rFonts w:ascii="Arial" w:cs="Arial" w:eastAsia="Arial" w:hAnsi="Arial"/>
          <w:sz w:val="18"/>
          <w:szCs w:val="18"/>
          <w:color w:val="auto"/>
        </w:rPr>
        <w:t>For the advisory vote to approve the executive compensation of our named executive officers, there is no minimum approval necessary for the proposal since it is an advisory vote; however, the board of directors will consider the results of the advisory vote when considering future executive compensation decisions.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How are votes counted?</w:t>
      </w:r>
    </w:p>
    <w:p>
      <w:pPr>
        <w:spacing w:after="0" w:line="109" w:lineRule="exact"/>
        <w:rPr>
          <w:sz w:val="20"/>
          <w:szCs w:val="20"/>
          <w:color w:val="auto"/>
        </w:rPr>
      </w:pPr>
    </w:p>
    <w:p>
      <w:pPr>
        <w:ind w:left="340" w:firstLine="429"/>
        <w:spacing w:after="0" w:line="246" w:lineRule="auto"/>
        <w:rPr>
          <w:sz w:val="20"/>
          <w:szCs w:val="20"/>
          <w:color w:val="auto"/>
        </w:rPr>
      </w:pPr>
      <w:r>
        <w:rPr>
          <w:rFonts w:ascii="Arial" w:cs="Arial" w:eastAsia="Arial" w:hAnsi="Arial"/>
          <w:sz w:val="18"/>
          <w:szCs w:val="18"/>
          <w:color w:val="auto"/>
        </w:rPr>
        <w:t>You may vote “FOR,” “AGAINST” OR “ABSTAIN” for each director nominee and on the other proposals. If you properly submit your proxy but abstain from voting for a director nominee or on the other proposals, your shares will be counted as present at the meeting for the purpose of determining a quorum and for the purpose of calculating the vote on the particular matter(s) with respect to which you abstained from voting. If you do not submit your proxy or voting instructions and also do not vote by ballot at the annual meeting, your shares will not be counted as present at the meeting for the purpose of determining a quorum unless you hold your shares in street name and the broker, bank, trust or other nominee has discretion to vote your shares and does so. For more information regarding discretionary voting, see the information above under “What if I do not specify how I want my shares voted?”</w:t>
      </w:r>
    </w:p>
    <w:p>
      <w:pPr>
        <w:spacing w:after="0" w:line="93" w:lineRule="exact"/>
        <w:rPr>
          <w:sz w:val="20"/>
          <w:szCs w:val="20"/>
          <w:color w:val="auto"/>
        </w:rPr>
      </w:pPr>
    </w:p>
    <w:p>
      <w:pPr>
        <w:ind w:left="340" w:right="100" w:firstLine="429"/>
        <w:spacing w:after="0" w:line="284" w:lineRule="auto"/>
        <w:rPr>
          <w:sz w:val="20"/>
          <w:szCs w:val="20"/>
          <w:color w:val="auto"/>
        </w:rPr>
      </w:pPr>
      <w:r>
        <w:rPr>
          <w:rFonts w:ascii="Arial" w:cs="Arial" w:eastAsia="Arial" w:hAnsi="Arial"/>
          <w:sz w:val="16"/>
          <w:szCs w:val="16"/>
          <w:color w:val="auto"/>
        </w:rPr>
        <w:t>If you abstain from voting for one or more of the director nominees or you do not vote your shares on this matter (whether by broker non-vote or otherwise), this will have no effect on the outcome of the vote. With respect to the proposal to ratify the selection of KPMG LLP as our independent auditor, if you abstain from voting, doing so will have the same effect as a vote against the proposal, but if you do not vote your shares (or, for shares held in street name, if you do not submit voting instructions and your broker, bank, trust or other nominee does not or may not vote your shares), this will have no effect on the outcome of the vote. Abstentions and broker non-votes will have no effect on the advisory vote to approve the compensation of our named executive officers.</w:t>
      </w:r>
    </w:p>
    <w:p>
      <w:pPr>
        <w:spacing w:after="0" w:line="10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451" w:right="61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42" w:lineRule="exact"/>
        <w:rPr>
          <w:sz w:val="20"/>
          <w:szCs w:val="20"/>
          <w:color w:val="auto"/>
        </w:rPr>
      </w:pPr>
    </w:p>
    <w:p>
      <w:pPr>
        <w:jc w:val="center"/>
        <w:ind w:right="-339"/>
        <w:spacing w:after="0"/>
        <w:rPr>
          <w:sz w:val="20"/>
          <w:szCs w:val="20"/>
          <w:color w:val="auto"/>
        </w:rPr>
      </w:pPr>
      <w:r>
        <w:rPr>
          <w:rFonts w:ascii="Arial" w:cs="Arial" w:eastAsia="Arial" w:hAnsi="Arial"/>
          <w:sz w:val="35"/>
          <w:szCs w:val="35"/>
          <w:b w:val="1"/>
          <w:bCs w:val="1"/>
          <w:color w:val="00A1DF"/>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-250825</wp:posOffset>
            </wp:positionV>
            <wp:extent cx="68160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29" w:lineRule="exact"/>
        <w:rPr>
          <w:sz w:val="20"/>
          <w:szCs w:val="20"/>
          <w:color w:val="auto"/>
        </w:rPr>
      </w:pPr>
    </w:p>
    <w:p>
      <w:pPr>
        <w:ind w:left="340" w:right="20" w:firstLine="429"/>
        <w:spacing w:after="0" w:line="284" w:lineRule="auto"/>
        <w:rPr>
          <w:sz w:val="20"/>
          <w:szCs w:val="20"/>
          <w:color w:val="auto"/>
        </w:rPr>
      </w:pPr>
      <w:r>
        <w:rPr>
          <w:rFonts w:ascii="Arial" w:cs="Arial" w:eastAsia="Arial" w:hAnsi="Arial"/>
          <w:sz w:val="16"/>
          <w:szCs w:val="16"/>
          <w:color w:val="auto"/>
        </w:rPr>
        <w:t>Our Amended and Restated Bylaws provide that each member of our board of directors is elected annually by a majority of votes cast if the election is uncontested. The number of directors currently serving on our board of directors is ten. Mr. Smerklo will not be standing for re-election at our annual meeting, and the size of our board of directors will be decreased to nine on the date of the meeting. Upon recommendation of the governance and nominating committee, the board has nominated the nine directors set forth below for election at our annual meeting, and all have agreed to serve as directors if elected. Except for Messrs. Keating and McConnell and Ms. Reaume, all of the director nominees were elected by our stockholders at our 2017 annual meeting of stockholders.</w:t>
      </w:r>
    </w:p>
    <w:p>
      <w:pPr>
        <w:spacing w:after="0" w:line="167" w:lineRule="exact"/>
        <w:rPr>
          <w:sz w:val="20"/>
          <w:szCs w:val="20"/>
          <w:color w:val="auto"/>
        </w:rPr>
      </w:pPr>
    </w:p>
    <w:p>
      <w:pPr>
        <w:ind w:left="340" w:right="180" w:firstLine="429"/>
        <w:spacing w:after="0" w:line="287" w:lineRule="auto"/>
        <w:rPr>
          <w:sz w:val="20"/>
          <w:szCs w:val="20"/>
          <w:color w:val="auto"/>
        </w:rPr>
      </w:pPr>
      <w:r>
        <w:rPr>
          <w:rFonts w:ascii="Arial" w:cs="Arial" w:eastAsia="Arial" w:hAnsi="Arial"/>
          <w:sz w:val="16"/>
          <w:szCs w:val="16"/>
          <w:color w:val="auto"/>
        </w:rPr>
        <w:t>Messrs. Keating and McConnell were identified as director nominees by one of our stockholders, Legion Partners Holdings, LLC (“Legion Partners”). Ms. Reaume was initially identified as a potential director nominee by one of our non-employee directors. Messrs. Keating and McConnell were appointed to the Board effective March 16, 2018 pursuant to an agreement dated the same date with Legion Partners and Ancora Advisors LLC (“Ancora Advisors”). The agreement, including certain standstill commitments made by Legion Partners and Ancora Advisors, is described in a Form 8-K filed with the SEC on March 16, 2018. Ms. Reaume was also appointed to the Board effective March 16, 2018.</w:t>
      </w:r>
    </w:p>
    <w:p>
      <w:pPr>
        <w:spacing w:after="0" w:line="163" w:lineRule="exact"/>
        <w:rPr>
          <w:sz w:val="20"/>
          <w:szCs w:val="20"/>
          <w:color w:val="auto"/>
        </w:rPr>
      </w:pPr>
    </w:p>
    <w:p>
      <w:pPr>
        <w:jc w:val="both"/>
        <w:ind w:left="340" w:right="40" w:firstLine="429"/>
        <w:spacing w:after="0" w:line="252" w:lineRule="auto"/>
        <w:rPr>
          <w:sz w:val="20"/>
          <w:szCs w:val="20"/>
          <w:color w:val="auto"/>
        </w:rPr>
      </w:pPr>
      <w:r>
        <w:rPr>
          <w:rFonts w:ascii="Arial" w:cs="Arial" w:eastAsia="Arial" w:hAnsi="Arial"/>
          <w:sz w:val="18"/>
          <w:szCs w:val="18"/>
          <w:color w:val="auto"/>
        </w:rPr>
        <w:t>If, for any reason, any nominee becomes unable to serve before the annual meeting occurs, the persons named as proxies may vote your shares for a substitute nominee selected by our board of directors. The director nominees, if reelected, will serve until our 2019 annual meeting of stockholders or until their successors are elected and qualified.</w:t>
      </w:r>
    </w:p>
    <w:p>
      <w:pPr>
        <w:spacing w:after="0" w:line="184" w:lineRule="exact"/>
        <w:rPr>
          <w:sz w:val="20"/>
          <w:szCs w:val="20"/>
          <w:color w:val="auto"/>
        </w:rPr>
      </w:pPr>
    </w:p>
    <w:p>
      <w:pPr>
        <w:ind w:left="340" w:right="100" w:firstLine="429"/>
        <w:spacing w:after="0" w:line="268" w:lineRule="auto"/>
        <w:rPr>
          <w:sz w:val="20"/>
          <w:szCs w:val="20"/>
          <w:color w:val="auto"/>
        </w:rPr>
      </w:pPr>
      <w:r>
        <w:rPr>
          <w:rFonts w:ascii="Arial" w:cs="Arial" w:eastAsia="Arial" w:hAnsi="Arial"/>
          <w:sz w:val="18"/>
          <w:szCs w:val="18"/>
          <w:b w:val="1"/>
          <w:bCs w:val="1"/>
          <w:color w:val="auto"/>
        </w:rPr>
        <w:t>The board of directors recommends a vote FOR the election of each of the nine director nominees. Proxies will be voted FOR the election of each of the nominees unless otherwise specified.</w:t>
      </w:r>
    </w:p>
    <w:p>
      <w:pPr>
        <w:spacing w:after="0" w:line="175" w:lineRule="exact"/>
        <w:rPr>
          <w:sz w:val="20"/>
          <w:szCs w:val="20"/>
          <w:color w:val="auto"/>
        </w:rPr>
      </w:pPr>
    </w:p>
    <w:p>
      <w:pPr>
        <w:ind w:left="340" w:right="80" w:firstLine="429"/>
        <w:spacing w:after="0" w:line="324" w:lineRule="auto"/>
        <w:rPr>
          <w:sz w:val="20"/>
          <w:szCs w:val="20"/>
          <w:color w:val="auto"/>
        </w:rPr>
      </w:pPr>
      <w:r>
        <w:rPr>
          <w:rFonts w:ascii="Arial" w:cs="Arial" w:eastAsia="Arial" w:hAnsi="Arial"/>
          <w:sz w:val="16"/>
          <w:szCs w:val="16"/>
          <w:color w:val="auto"/>
        </w:rPr>
        <w:t>Set forth below is biographical information for each of the director nominees. The following includes certain information regarding our directors’ individual experience, qualifications, attributes and skills that led the board of directors to conclude that they should serve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127000</wp:posOffset>
            </wp:positionV>
            <wp:extent cx="68160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Nominees for Director</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00A1DF"/>
        </w:rPr>
        <w:t>Archie C. Black</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President, Chief Executive Officer of SPS Commerce, Inc.</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188"/>
        </w:trPr>
        <w:tc>
          <w:tcPr>
            <w:tcW w:w="3440" w:type="dxa"/>
            <w:vAlign w:val="bottom"/>
            <w:tcBorders>
              <w:top w:val="single" w:sz="8" w:color="00A1DF"/>
            </w:tcBorders>
          </w:tcPr>
          <w:p>
            <w:pPr>
              <w:spacing w:after="0" w:line="188" w:lineRule="exact"/>
              <w:rPr>
                <w:sz w:val="20"/>
                <w:szCs w:val="20"/>
                <w:color w:val="auto"/>
              </w:rPr>
            </w:pPr>
            <w:r>
              <w:rPr>
                <w:rFonts w:ascii="Arial" w:cs="Arial" w:eastAsia="Arial" w:hAnsi="Arial"/>
                <w:sz w:val="18"/>
                <w:szCs w:val="18"/>
                <w:b w:val="1"/>
                <w:bCs w:val="1"/>
                <w:color w:val="00A1DF"/>
              </w:rPr>
              <w:t>Age</w:t>
            </w:r>
          </w:p>
        </w:tc>
        <w:tc>
          <w:tcPr>
            <w:tcW w:w="7300" w:type="dxa"/>
            <w:vAlign w:val="bottom"/>
            <w:tcBorders>
              <w:top w:val="single" w:sz="8" w:color="00A1DF"/>
            </w:tcBorders>
          </w:tcPr>
          <w:p>
            <w:pPr>
              <w:ind w:left="2260"/>
              <w:spacing w:after="0" w:line="188" w:lineRule="exact"/>
              <w:rPr>
                <w:sz w:val="20"/>
                <w:szCs w:val="20"/>
                <w:color w:val="auto"/>
              </w:rPr>
            </w:pPr>
            <w:r>
              <w:rPr>
                <w:rFonts w:ascii="Arial" w:cs="Arial" w:eastAsia="Arial" w:hAnsi="Arial"/>
                <w:sz w:val="18"/>
                <w:szCs w:val="18"/>
                <w:color w:val="auto"/>
              </w:rPr>
              <w:t>56</w:t>
            </w:r>
          </w:p>
        </w:tc>
      </w:tr>
      <w:tr>
        <w:trPr>
          <w:trHeight w:val="197"/>
        </w:trPr>
        <w:tc>
          <w:tcPr>
            <w:tcW w:w="3440" w:type="dxa"/>
            <w:vAlign w:val="bottom"/>
          </w:tcPr>
          <w:p>
            <w:pPr>
              <w:spacing w:after="0" w:line="197" w:lineRule="exact"/>
              <w:rPr>
                <w:sz w:val="20"/>
                <w:szCs w:val="20"/>
                <w:color w:val="auto"/>
              </w:rPr>
            </w:pPr>
            <w:r>
              <w:rPr>
                <w:rFonts w:ascii="Arial" w:cs="Arial" w:eastAsia="Arial" w:hAnsi="Arial"/>
                <w:sz w:val="18"/>
                <w:szCs w:val="18"/>
                <w:b w:val="1"/>
                <w:bCs w:val="1"/>
                <w:color w:val="00A1DF"/>
              </w:rPr>
              <w:t>Director since</w:t>
            </w:r>
          </w:p>
        </w:tc>
        <w:tc>
          <w:tcPr>
            <w:tcW w:w="7300" w:type="dxa"/>
            <w:vAlign w:val="bottom"/>
          </w:tcPr>
          <w:p>
            <w:pPr>
              <w:ind w:left="2260"/>
              <w:spacing w:after="0" w:line="197" w:lineRule="exact"/>
              <w:rPr>
                <w:sz w:val="20"/>
                <w:szCs w:val="20"/>
                <w:color w:val="auto"/>
              </w:rPr>
            </w:pPr>
            <w:r>
              <w:rPr>
                <w:rFonts w:ascii="Arial" w:cs="Arial" w:eastAsia="Arial" w:hAnsi="Arial"/>
                <w:sz w:val="18"/>
                <w:szCs w:val="18"/>
                <w:color w:val="auto"/>
              </w:rPr>
              <w:t>2001</w:t>
            </w:r>
          </w:p>
        </w:tc>
      </w:tr>
      <w:tr>
        <w:trPr>
          <w:trHeight w:val="220"/>
        </w:trPr>
        <w:tc>
          <w:tcPr>
            <w:tcW w:w="3440" w:type="dxa"/>
            <w:vAlign w:val="bottom"/>
            <w:tcBorders>
              <w:bottom w:val="single" w:sz="8" w:color="00A1DF"/>
            </w:tcBorders>
          </w:tcPr>
          <w:p>
            <w:pPr>
              <w:spacing w:after="0"/>
              <w:rPr>
                <w:sz w:val="20"/>
                <w:szCs w:val="20"/>
                <w:color w:val="auto"/>
              </w:rPr>
            </w:pPr>
            <w:r>
              <w:rPr>
                <w:rFonts w:ascii="Arial" w:cs="Arial" w:eastAsia="Arial" w:hAnsi="Arial"/>
                <w:sz w:val="18"/>
                <w:szCs w:val="18"/>
                <w:b w:val="1"/>
                <w:bCs w:val="1"/>
                <w:color w:val="00A1DF"/>
              </w:rPr>
              <w:t>Independent</w:t>
            </w:r>
          </w:p>
        </w:tc>
        <w:tc>
          <w:tcPr>
            <w:tcW w:w="7300" w:type="dxa"/>
            <w:vAlign w:val="bottom"/>
            <w:tcBorders>
              <w:bottom w:val="single" w:sz="8" w:color="00A1DF"/>
            </w:tcBorders>
          </w:tcPr>
          <w:p>
            <w:pPr>
              <w:ind w:left="2260"/>
              <w:spacing w:after="0"/>
              <w:rPr>
                <w:sz w:val="20"/>
                <w:szCs w:val="20"/>
                <w:color w:val="auto"/>
              </w:rPr>
            </w:pPr>
            <w:r>
              <w:rPr>
                <w:rFonts w:ascii="Arial" w:cs="Arial" w:eastAsia="Arial" w:hAnsi="Arial"/>
                <w:sz w:val="18"/>
                <w:szCs w:val="18"/>
                <w:color w:val="auto"/>
              </w:rPr>
              <w:t>No</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00A1DF"/>
        </w:rPr>
        <w:t>Professional Highlights</w:t>
      </w:r>
    </w:p>
    <w:p>
      <w:pPr>
        <w:spacing w:after="0" w:line="84" w:lineRule="exact"/>
        <w:rPr>
          <w:sz w:val="20"/>
          <w:szCs w:val="20"/>
          <w:color w:val="auto"/>
        </w:rPr>
      </w:pPr>
    </w:p>
    <w:p>
      <w:pPr>
        <w:ind w:left="340" w:right="40" w:firstLine="429"/>
        <w:spacing w:after="0" w:line="282" w:lineRule="auto"/>
        <w:rPr>
          <w:sz w:val="20"/>
          <w:szCs w:val="20"/>
          <w:color w:val="auto"/>
        </w:rPr>
      </w:pPr>
      <w:r>
        <w:rPr>
          <w:rFonts w:ascii="Arial" w:cs="Arial" w:eastAsia="Arial" w:hAnsi="Arial"/>
          <w:sz w:val="16"/>
          <w:szCs w:val="16"/>
          <w:color w:val="auto"/>
        </w:rPr>
        <w:t>Mr. Black has served as President and Chief Executive Officer of SPS Commerce, Inc. since 2001. Mr. Black joined us in 1998 as our Senior Vice President and Chief Financial Officer and served in those capacities until becoming our President and Chief Executive Officer. Prior to joining us,</w:t>
      </w:r>
    </w:p>
    <w:p>
      <w:pPr>
        <w:ind w:left="340" w:right="160"/>
        <w:spacing w:after="0" w:line="246" w:lineRule="auto"/>
        <w:rPr>
          <w:sz w:val="20"/>
          <w:szCs w:val="20"/>
          <w:color w:val="auto"/>
        </w:rPr>
      </w:pPr>
      <w:r>
        <w:rPr>
          <w:rFonts w:ascii="Arial" w:cs="Arial" w:eastAsia="Arial" w:hAnsi="Arial"/>
          <w:sz w:val="18"/>
          <w:szCs w:val="18"/>
          <w:color w:val="auto"/>
        </w:rPr>
        <w:t>Mr. Black was a Senior Vice President and Chief Financial Officer at Investment Advisors, Inc. in Minneapolis, Minnesota, where he directed both the Minneapolis and London organizations. Prior to Investment Advisors, he spent three years at Price Waterhouse. Mr. Black serves on the board of directors of Proto Labs, Inc., a publicly traded internet-enabled manufacturer of custom parts.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00A1DF"/>
        </w:rPr>
        <w:t>Nominee Qualifications</w:t>
      </w:r>
    </w:p>
    <w:p>
      <w:pPr>
        <w:spacing w:after="0" w:line="84" w:lineRule="exact"/>
        <w:rPr>
          <w:sz w:val="20"/>
          <w:szCs w:val="20"/>
          <w:color w:val="auto"/>
        </w:rPr>
      </w:pPr>
    </w:p>
    <w:p>
      <w:pPr>
        <w:ind w:left="340" w:right="180" w:firstLine="429"/>
        <w:spacing w:after="0" w:line="261" w:lineRule="auto"/>
        <w:rPr>
          <w:sz w:val="20"/>
          <w:szCs w:val="20"/>
          <w:color w:val="auto"/>
        </w:rPr>
      </w:pPr>
      <w:r>
        <w:rPr>
          <w:rFonts w:ascii="Arial" w:cs="Arial" w:eastAsia="Arial" w:hAnsi="Arial"/>
          <w:sz w:val="18"/>
          <w:szCs w:val="18"/>
          <w:color w:val="auto"/>
        </w:rPr>
        <w:t>Mr. Black’s qualifications to serve on our board of directors include, among other skills and qualifications, his extensive management, financial, and operational experience as well as his experience with our company.</w:t>
      </w:r>
    </w:p>
    <w:p>
      <w:pPr>
        <w:spacing w:after="0" w:line="11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240" w:top="451" w:right="57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00A1DF"/>
        </w:rPr>
        <w:t>Melvin L. Keating</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Consultant</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188"/>
        </w:trPr>
        <w:tc>
          <w:tcPr>
            <w:tcW w:w="3440" w:type="dxa"/>
            <w:vAlign w:val="bottom"/>
            <w:tcBorders>
              <w:top w:val="single" w:sz="8" w:color="00A1DF"/>
            </w:tcBorders>
          </w:tcPr>
          <w:p>
            <w:pPr>
              <w:spacing w:after="0" w:line="188" w:lineRule="exact"/>
              <w:rPr>
                <w:sz w:val="20"/>
                <w:szCs w:val="20"/>
                <w:color w:val="auto"/>
              </w:rPr>
            </w:pPr>
            <w:r>
              <w:rPr>
                <w:rFonts w:ascii="Arial" w:cs="Arial" w:eastAsia="Arial" w:hAnsi="Arial"/>
                <w:sz w:val="18"/>
                <w:szCs w:val="18"/>
                <w:b w:val="1"/>
                <w:bCs w:val="1"/>
                <w:color w:val="00A1DF"/>
              </w:rPr>
              <w:t>Age</w:t>
            </w:r>
          </w:p>
        </w:tc>
        <w:tc>
          <w:tcPr>
            <w:tcW w:w="7300" w:type="dxa"/>
            <w:vAlign w:val="bottom"/>
            <w:tcBorders>
              <w:top w:val="single" w:sz="8" w:color="00A1DF"/>
            </w:tcBorders>
          </w:tcPr>
          <w:p>
            <w:pPr>
              <w:ind w:left="2260"/>
              <w:spacing w:after="0" w:line="188" w:lineRule="exact"/>
              <w:rPr>
                <w:sz w:val="20"/>
                <w:szCs w:val="20"/>
                <w:color w:val="auto"/>
              </w:rPr>
            </w:pPr>
            <w:r>
              <w:rPr>
                <w:rFonts w:ascii="Arial" w:cs="Arial" w:eastAsia="Arial" w:hAnsi="Arial"/>
                <w:sz w:val="18"/>
                <w:szCs w:val="18"/>
                <w:color w:val="auto"/>
              </w:rPr>
              <w:t>71</w:t>
            </w:r>
          </w:p>
        </w:tc>
      </w:tr>
      <w:tr>
        <w:trPr>
          <w:trHeight w:val="197"/>
        </w:trPr>
        <w:tc>
          <w:tcPr>
            <w:tcW w:w="3440" w:type="dxa"/>
            <w:vAlign w:val="bottom"/>
          </w:tcPr>
          <w:p>
            <w:pPr>
              <w:spacing w:after="0" w:line="197" w:lineRule="exact"/>
              <w:rPr>
                <w:sz w:val="20"/>
                <w:szCs w:val="20"/>
                <w:color w:val="auto"/>
              </w:rPr>
            </w:pPr>
            <w:r>
              <w:rPr>
                <w:rFonts w:ascii="Arial" w:cs="Arial" w:eastAsia="Arial" w:hAnsi="Arial"/>
                <w:sz w:val="18"/>
                <w:szCs w:val="18"/>
                <w:b w:val="1"/>
                <w:bCs w:val="1"/>
                <w:color w:val="00A1DF"/>
              </w:rPr>
              <w:t>Director since</w:t>
            </w:r>
          </w:p>
        </w:tc>
        <w:tc>
          <w:tcPr>
            <w:tcW w:w="7300" w:type="dxa"/>
            <w:vAlign w:val="bottom"/>
          </w:tcPr>
          <w:p>
            <w:pPr>
              <w:ind w:left="2260"/>
              <w:spacing w:after="0" w:line="197" w:lineRule="exact"/>
              <w:rPr>
                <w:sz w:val="20"/>
                <w:szCs w:val="20"/>
                <w:color w:val="auto"/>
              </w:rPr>
            </w:pPr>
            <w:r>
              <w:rPr>
                <w:rFonts w:ascii="Arial" w:cs="Arial" w:eastAsia="Arial" w:hAnsi="Arial"/>
                <w:sz w:val="18"/>
                <w:szCs w:val="18"/>
                <w:color w:val="auto"/>
              </w:rPr>
              <w:t>2018</w:t>
            </w:r>
          </w:p>
        </w:tc>
      </w:tr>
      <w:tr>
        <w:trPr>
          <w:trHeight w:val="220"/>
        </w:trPr>
        <w:tc>
          <w:tcPr>
            <w:tcW w:w="3440" w:type="dxa"/>
            <w:vAlign w:val="bottom"/>
            <w:tcBorders>
              <w:bottom w:val="single" w:sz="8" w:color="00A1DF"/>
            </w:tcBorders>
          </w:tcPr>
          <w:p>
            <w:pPr>
              <w:spacing w:after="0"/>
              <w:rPr>
                <w:sz w:val="20"/>
                <w:szCs w:val="20"/>
                <w:color w:val="auto"/>
              </w:rPr>
            </w:pPr>
            <w:r>
              <w:rPr>
                <w:rFonts w:ascii="Arial" w:cs="Arial" w:eastAsia="Arial" w:hAnsi="Arial"/>
                <w:sz w:val="18"/>
                <w:szCs w:val="18"/>
                <w:b w:val="1"/>
                <w:bCs w:val="1"/>
                <w:color w:val="00A1DF"/>
              </w:rPr>
              <w:t>Independent</w:t>
            </w:r>
          </w:p>
        </w:tc>
        <w:tc>
          <w:tcPr>
            <w:tcW w:w="7300" w:type="dxa"/>
            <w:vAlign w:val="bottom"/>
            <w:tcBorders>
              <w:bottom w:val="single" w:sz="8" w:color="00A1DF"/>
            </w:tcBorders>
          </w:tcPr>
          <w:p>
            <w:pPr>
              <w:ind w:left="2260"/>
              <w:spacing w:after="0"/>
              <w:rPr>
                <w:sz w:val="20"/>
                <w:szCs w:val="20"/>
                <w:color w:val="auto"/>
              </w:rPr>
            </w:pPr>
            <w:r>
              <w:rPr>
                <w:rFonts w:ascii="Arial" w:cs="Arial" w:eastAsia="Arial" w:hAnsi="Arial"/>
                <w:sz w:val="18"/>
                <w:szCs w:val="18"/>
                <w:color w:val="auto"/>
              </w:rPr>
              <w:t>Yes</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00A1DF"/>
        </w:rPr>
        <w:t>Professional Highlights</w:t>
      </w:r>
    </w:p>
    <w:p>
      <w:pPr>
        <w:spacing w:after="0" w:line="84" w:lineRule="exact"/>
        <w:rPr>
          <w:sz w:val="20"/>
          <w:szCs w:val="20"/>
          <w:color w:val="auto"/>
        </w:rPr>
      </w:pPr>
    </w:p>
    <w:p>
      <w:pPr>
        <w:ind w:left="340" w:right="20" w:firstLine="429"/>
        <w:spacing w:after="0" w:line="280" w:lineRule="auto"/>
        <w:rPr>
          <w:sz w:val="20"/>
          <w:szCs w:val="20"/>
          <w:color w:val="auto"/>
        </w:rPr>
      </w:pPr>
      <w:r>
        <w:rPr>
          <w:rFonts w:ascii="Arial" w:cs="Arial" w:eastAsia="Arial" w:hAnsi="Arial"/>
          <w:sz w:val="16"/>
          <w:szCs w:val="16"/>
          <w:color w:val="auto"/>
        </w:rPr>
        <w:t>Mr. Keating has been a consultant, providing investment advice and other services to public companies and private equity firms, since 2008. He has served as a director of Harte Hanks, Inc., a global marketing services firm, since July 2017, and as a director of MagnaChip Semiconductor Corporation, a designer and manufacturer of analog and mixed-signal semiconductor platform solutions, since August 2016. Mr. Keating has also served as a director of Agilysys Inc., a technology company providing solutions and services to the hospitality industry, since September 2015. From 2005 to 2008, Mr. Keating served as the Chief Executive Officer of Alliance Semiconductor Corporation, a worldwide manufacturer and seller of semiconductors, and he served as its President from 2006 to 2008. Prior to that, Mr. Keating served as a Strategy Consultant for Warburg Pincus Equity Partners for seven years, providing acquisition and transactional advice, and as President and Chief Executive Officer of Sunbelt Management, a billion dollar private company. Mr. Keating has served on numerous other company boards, including the following during the past five years: Red Lion Hotels Corporation, API Technologies Corp., Crown Crafts Inc. and ModSys International Ltd. (formerly BluePhoenix Solutions Ltd.).</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00A1DF"/>
        </w:rPr>
        <w:t>Nominee Qualifications</w:t>
      </w:r>
    </w:p>
    <w:p>
      <w:pPr>
        <w:spacing w:after="0" w:line="84" w:lineRule="exact"/>
        <w:rPr>
          <w:sz w:val="20"/>
          <w:szCs w:val="20"/>
          <w:color w:val="auto"/>
        </w:rPr>
      </w:pPr>
    </w:p>
    <w:p>
      <w:pPr>
        <w:ind w:left="340" w:right="100" w:firstLine="429"/>
        <w:spacing w:after="0" w:line="252" w:lineRule="auto"/>
        <w:rPr>
          <w:sz w:val="20"/>
          <w:szCs w:val="20"/>
          <w:color w:val="auto"/>
        </w:rPr>
      </w:pPr>
      <w:r>
        <w:rPr>
          <w:rFonts w:ascii="Arial" w:cs="Arial" w:eastAsia="Arial" w:hAnsi="Arial"/>
          <w:sz w:val="18"/>
          <w:szCs w:val="18"/>
          <w:color w:val="auto"/>
        </w:rPr>
        <w:t>Mr. Keating’s qualifications to serve on our board of directors include, among other skills and qualifications, his extensive business leadership skills and experience serving in senior executive positions and his significant corporate governance experience serving as a director of numerous public companies.</w:t>
      </w:r>
    </w:p>
    <w:p>
      <w:pPr>
        <w:spacing w:after="0" w:line="28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00A1DF"/>
        </w:rPr>
        <w:t>Martin J. Leestma</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Chairman of the board of directors of Forthright Solutions</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188"/>
        </w:trPr>
        <w:tc>
          <w:tcPr>
            <w:tcW w:w="3820" w:type="dxa"/>
            <w:vAlign w:val="bottom"/>
            <w:tcBorders>
              <w:top w:val="single" w:sz="8" w:color="00A1DF"/>
            </w:tcBorders>
          </w:tcPr>
          <w:p>
            <w:pPr>
              <w:spacing w:after="0" w:line="188" w:lineRule="exact"/>
              <w:rPr>
                <w:sz w:val="20"/>
                <w:szCs w:val="20"/>
                <w:color w:val="auto"/>
              </w:rPr>
            </w:pPr>
            <w:r>
              <w:rPr>
                <w:rFonts w:ascii="Arial" w:cs="Arial" w:eastAsia="Arial" w:hAnsi="Arial"/>
                <w:sz w:val="18"/>
                <w:szCs w:val="18"/>
                <w:b w:val="1"/>
                <w:bCs w:val="1"/>
                <w:color w:val="00A1DF"/>
              </w:rPr>
              <w:t>Age</w:t>
            </w:r>
          </w:p>
        </w:tc>
        <w:tc>
          <w:tcPr>
            <w:tcW w:w="6920" w:type="dxa"/>
            <w:vAlign w:val="bottom"/>
            <w:tcBorders>
              <w:top w:val="single" w:sz="8" w:color="00A1DF"/>
            </w:tcBorders>
          </w:tcPr>
          <w:p>
            <w:pPr>
              <w:ind w:left="1880"/>
              <w:spacing w:after="0" w:line="188" w:lineRule="exact"/>
              <w:rPr>
                <w:sz w:val="20"/>
                <w:szCs w:val="20"/>
                <w:color w:val="auto"/>
              </w:rPr>
            </w:pPr>
            <w:r>
              <w:rPr>
                <w:rFonts w:ascii="Arial" w:cs="Arial" w:eastAsia="Arial" w:hAnsi="Arial"/>
                <w:sz w:val="18"/>
                <w:szCs w:val="18"/>
                <w:color w:val="auto"/>
              </w:rPr>
              <w:t>59</w:t>
            </w:r>
          </w:p>
        </w:tc>
      </w:tr>
      <w:tr>
        <w:trPr>
          <w:trHeight w:val="197"/>
        </w:trPr>
        <w:tc>
          <w:tcPr>
            <w:tcW w:w="3820" w:type="dxa"/>
            <w:vAlign w:val="bottom"/>
          </w:tcPr>
          <w:p>
            <w:pPr>
              <w:spacing w:after="0" w:line="197" w:lineRule="exact"/>
              <w:rPr>
                <w:sz w:val="20"/>
                <w:szCs w:val="20"/>
                <w:color w:val="auto"/>
              </w:rPr>
            </w:pPr>
            <w:r>
              <w:rPr>
                <w:rFonts w:ascii="Arial" w:cs="Arial" w:eastAsia="Arial" w:hAnsi="Arial"/>
                <w:sz w:val="18"/>
                <w:szCs w:val="18"/>
                <w:b w:val="1"/>
                <w:bCs w:val="1"/>
                <w:color w:val="00A1DF"/>
              </w:rPr>
              <w:t>Director since</w:t>
            </w:r>
          </w:p>
        </w:tc>
        <w:tc>
          <w:tcPr>
            <w:tcW w:w="6920" w:type="dxa"/>
            <w:vAlign w:val="bottom"/>
          </w:tcPr>
          <w:p>
            <w:pPr>
              <w:ind w:left="1880"/>
              <w:spacing w:after="0" w:line="197" w:lineRule="exact"/>
              <w:rPr>
                <w:sz w:val="20"/>
                <w:szCs w:val="20"/>
                <w:color w:val="auto"/>
              </w:rPr>
            </w:pPr>
            <w:r>
              <w:rPr>
                <w:rFonts w:ascii="Arial" w:cs="Arial" w:eastAsia="Arial" w:hAnsi="Arial"/>
                <w:sz w:val="18"/>
                <w:szCs w:val="18"/>
                <w:color w:val="auto"/>
              </w:rPr>
              <w:t>2006</w:t>
            </w:r>
          </w:p>
        </w:tc>
      </w:tr>
      <w:tr>
        <w:trPr>
          <w:trHeight w:val="197"/>
        </w:trPr>
        <w:tc>
          <w:tcPr>
            <w:tcW w:w="3820" w:type="dxa"/>
            <w:vAlign w:val="bottom"/>
          </w:tcPr>
          <w:p>
            <w:pPr>
              <w:spacing w:after="0" w:line="197" w:lineRule="exact"/>
              <w:rPr>
                <w:sz w:val="20"/>
                <w:szCs w:val="20"/>
                <w:color w:val="auto"/>
              </w:rPr>
            </w:pPr>
            <w:r>
              <w:rPr>
                <w:rFonts w:ascii="Arial" w:cs="Arial" w:eastAsia="Arial" w:hAnsi="Arial"/>
                <w:sz w:val="18"/>
                <w:szCs w:val="18"/>
                <w:b w:val="1"/>
                <w:bCs w:val="1"/>
                <w:color w:val="00A1DF"/>
              </w:rPr>
              <w:t>SPS Board committees</w:t>
            </w:r>
          </w:p>
        </w:tc>
        <w:tc>
          <w:tcPr>
            <w:tcW w:w="6920" w:type="dxa"/>
            <w:vAlign w:val="bottom"/>
          </w:tcPr>
          <w:p>
            <w:pPr>
              <w:ind w:left="1880"/>
              <w:spacing w:after="0" w:line="197" w:lineRule="exact"/>
              <w:rPr>
                <w:sz w:val="20"/>
                <w:szCs w:val="20"/>
                <w:color w:val="auto"/>
              </w:rPr>
            </w:pPr>
            <w:r>
              <w:rPr>
                <w:rFonts w:ascii="Arial" w:cs="Arial" w:eastAsia="Arial" w:hAnsi="Arial"/>
                <w:sz w:val="18"/>
                <w:szCs w:val="18"/>
                <w:color w:val="auto"/>
              </w:rPr>
              <w:t>Audit; Compensation</w:t>
            </w:r>
          </w:p>
        </w:tc>
      </w:tr>
      <w:tr>
        <w:trPr>
          <w:trHeight w:val="220"/>
        </w:trPr>
        <w:tc>
          <w:tcPr>
            <w:tcW w:w="3820" w:type="dxa"/>
            <w:vAlign w:val="bottom"/>
            <w:tcBorders>
              <w:bottom w:val="single" w:sz="8" w:color="00A1DF"/>
            </w:tcBorders>
          </w:tcPr>
          <w:p>
            <w:pPr>
              <w:spacing w:after="0"/>
              <w:rPr>
                <w:sz w:val="20"/>
                <w:szCs w:val="20"/>
                <w:color w:val="auto"/>
              </w:rPr>
            </w:pPr>
            <w:r>
              <w:rPr>
                <w:rFonts w:ascii="Arial" w:cs="Arial" w:eastAsia="Arial" w:hAnsi="Arial"/>
                <w:sz w:val="18"/>
                <w:szCs w:val="18"/>
                <w:b w:val="1"/>
                <w:bCs w:val="1"/>
                <w:color w:val="00A1DF"/>
              </w:rPr>
              <w:t>Independent</w:t>
            </w:r>
          </w:p>
        </w:tc>
        <w:tc>
          <w:tcPr>
            <w:tcW w:w="6920" w:type="dxa"/>
            <w:vAlign w:val="bottom"/>
            <w:tcBorders>
              <w:bottom w:val="single" w:sz="8" w:color="00A1DF"/>
            </w:tcBorders>
          </w:tcPr>
          <w:p>
            <w:pPr>
              <w:ind w:left="1880"/>
              <w:spacing w:after="0"/>
              <w:rPr>
                <w:sz w:val="20"/>
                <w:szCs w:val="20"/>
                <w:color w:val="auto"/>
              </w:rPr>
            </w:pPr>
            <w:r>
              <w:rPr>
                <w:rFonts w:ascii="Arial" w:cs="Arial" w:eastAsia="Arial" w:hAnsi="Arial"/>
                <w:sz w:val="18"/>
                <w:szCs w:val="18"/>
                <w:color w:val="auto"/>
              </w:rPr>
              <w:t>Yes</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00A1DF"/>
        </w:rPr>
        <w:t>Professional Highlights</w:t>
      </w:r>
    </w:p>
    <w:p>
      <w:pPr>
        <w:spacing w:after="0" w:line="84" w:lineRule="exact"/>
        <w:rPr>
          <w:sz w:val="20"/>
          <w:szCs w:val="20"/>
          <w:color w:val="auto"/>
        </w:rPr>
      </w:pPr>
    </w:p>
    <w:p>
      <w:pPr>
        <w:ind w:left="340" w:right="60" w:firstLine="429"/>
        <w:spacing w:after="0" w:line="296" w:lineRule="auto"/>
        <w:rPr>
          <w:sz w:val="20"/>
          <w:szCs w:val="20"/>
          <w:color w:val="auto"/>
        </w:rPr>
      </w:pPr>
      <w:r>
        <w:rPr>
          <w:rFonts w:ascii="Arial" w:cs="Arial" w:eastAsia="Arial" w:hAnsi="Arial"/>
          <w:sz w:val="15"/>
          <w:szCs w:val="15"/>
          <w:color w:val="auto"/>
        </w:rPr>
        <w:t>Mr. Leestma has served as Chairman of the board of directors for Forthright Solutions, a solution provider for regulatory and legal compliance programs, since 2008. He served as Chief Executive Officer of Forthright from 2011 to 2014. Prior to Forthright, Mr. Leestma served as the President, Chief Executive Officer, and a member of the board of directors for Retek Information Systems, a software company, from 2003 to 2005, during which time Retek was a publicly traded company. Prior to joining Retek, Mr. Leestma was Global Managing Partner of Retail Technology at Accenture from 1996 to 1999 and Managing Partner of North American Consumer Goods &amp; Services from 1999 to 2002. He became Global Industry Managing Partner</w:t>
      </w:r>
    </w:p>
    <w:p>
      <w:pPr>
        <w:ind w:left="340" w:right="380"/>
        <w:spacing w:after="0" w:line="291" w:lineRule="auto"/>
        <w:rPr>
          <w:sz w:val="20"/>
          <w:szCs w:val="20"/>
          <w:color w:val="auto"/>
        </w:rPr>
      </w:pPr>
      <w:r>
        <w:rPr>
          <w:rFonts w:ascii="Arial" w:cs="Arial" w:eastAsia="Arial" w:hAnsi="Arial"/>
          <w:sz w:val="16"/>
          <w:szCs w:val="16"/>
          <w:color w:val="auto"/>
        </w:rPr>
        <w:t>— Retail &amp; CG&amp;S Industries in 2002 and served in this role until his departure in 2003. From 2005 to 2008, he served as an independent business consultant. Mr. Leestma also serves on the board of directors for Kipsu, a private texting and digital messaging company, and Xsell Technologies, a private digital dialogue company. Mr. Leestma was Chairman of the board of directors of SPS Commerce from March 2011 to May 2014.</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00A1DF"/>
        </w:rPr>
        <w:t>Nominee Qualifications</w:t>
      </w:r>
    </w:p>
    <w:p>
      <w:pPr>
        <w:spacing w:after="0" w:line="84" w:lineRule="exact"/>
        <w:rPr>
          <w:sz w:val="20"/>
          <w:szCs w:val="20"/>
          <w:color w:val="auto"/>
        </w:rPr>
      </w:pPr>
    </w:p>
    <w:p>
      <w:pPr>
        <w:ind w:left="340" w:right="100" w:firstLine="429"/>
        <w:spacing w:after="0" w:line="252" w:lineRule="auto"/>
        <w:rPr>
          <w:sz w:val="20"/>
          <w:szCs w:val="20"/>
          <w:color w:val="auto"/>
        </w:rPr>
      </w:pPr>
      <w:r>
        <w:rPr>
          <w:rFonts w:ascii="Arial" w:cs="Arial" w:eastAsia="Arial" w:hAnsi="Arial"/>
          <w:sz w:val="18"/>
          <w:szCs w:val="18"/>
          <w:color w:val="auto"/>
        </w:rPr>
        <w:t>Mr. Leestma’s qualifications to serve on our board of directors include, among other skills and qualifications, his general business experience due to his work as an independent business consultant and his experience with public companies as the Chief Executive Officer of Retek Information Systems from 2003 to 2005.</w:t>
      </w:r>
    </w:p>
    <w:p>
      <w:pPr>
        <w:spacing w:after="0" w:line="12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240" w:top="451" w:right="57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00A1DF"/>
        </w:rPr>
        <w:t>Michael J. McConnell</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Private Investor</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188"/>
        </w:trPr>
        <w:tc>
          <w:tcPr>
            <w:tcW w:w="3440" w:type="dxa"/>
            <w:vAlign w:val="bottom"/>
            <w:tcBorders>
              <w:top w:val="single" w:sz="8" w:color="00A1DF"/>
            </w:tcBorders>
          </w:tcPr>
          <w:p>
            <w:pPr>
              <w:spacing w:after="0" w:line="188" w:lineRule="exact"/>
              <w:rPr>
                <w:sz w:val="20"/>
                <w:szCs w:val="20"/>
                <w:color w:val="auto"/>
              </w:rPr>
            </w:pPr>
            <w:r>
              <w:rPr>
                <w:rFonts w:ascii="Arial" w:cs="Arial" w:eastAsia="Arial" w:hAnsi="Arial"/>
                <w:sz w:val="18"/>
                <w:szCs w:val="18"/>
                <w:b w:val="1"/>
                <w:bCs w:val="1"/>
                <w:color w:val="00A1DF"/>
              </w:rPr>
              <w:t>Age</w:t>
            </w:r>
          </w:p>
        </w:tc>
        <w:tc>
          <w:tcPr>
            <w:tcW w:w="7300" w:type="dxa"/>
            <w:vAlign w:val="bottom"/>
            <w:tcBorders>
              <w:top w:val="single" w:sz="8" w:color="00A1DF"/>
            </w:tcBorders>
          </w:tcPr>
          <w:p>
            <w:pPr>
              <w:ind w:left="2260"/>
              <w:spacing w:after="0" w:line="188" w:lineRule="exact"/>
              <w:rPr>
                <w:sz w:val="20"/>
                <w:szCs w:val="20"/>
                <w:color w:val="auto"/>
              </w:rPr>
            </w:pPr>
            <w:r>
              <w:rPr>
                <w:rFonts w:ascii="Arial" w:cs="Arial" w:eastAsia="Arial" w:hAnsi="Arial"/>
                <w:sz w:val="18"/>
                <w:szCs w:val="18"/>
                <w:color w:val="auto"/>
              </w:rPr>
              <w:t>52</w:t>
            </w:r>
          </w:p>
        </w:tc>
      </w:tr>
      <w:tr>
        <w:trPr>
          <w:trHeight w:val="197"/>
        </w:trPr>
        <w:tc>
          <w:tcPr>
            <w:tcW w:w="3440" w:type="dxa"/>
            <w:vAlign w:val="bottom"/>
          </w:tcPr>
          <w:p>
            <w:pPr>
              <w:spacing w:after="0" w:line="197" w:lineRule="exact"/>
              <w:rPr>
                <w:sz w:val="20"/>
                <w:szCs w:val="20"/>
                <w:color w:val="auto"/>
              </w:rPr>
            </w:pPr>
            <w:r>
              <w:rPr>
                <w:rFonts w:ascii="Arial" w:cs="Arial" w:eastAsia="Arial" w:hAnsi="Arial"/>
                <w:sz w:val="18"/>
                <w:szCs w:val="18"/>
                <w:b w:val="1"/>
                <w:bCs w:val="1"/>
                <w:color w:val="00A1DF"/>
              </w:rPr>
              <w:t>Director since</w:t>
            </w:r>
          </w:p>
        </w:tc>
        <w:tc>
          <w:tcPr>
            <w:tcW w:w="7300" w:type="dxa"/>
            <w:vAlign w:val="bottom"/>
          </w:tcPr>
          <w:p>
            <w:pPr>
              <w:ind w:left="2260"/>
              <w:spacing w:after="0" w:line="197" w:lineRule="exact"/>
              <w:rPr>
                <w:sz w:val="20"/>
                <w:szCs w:val="20"/>
                <w:color w:val="auto"/>
              </w:rPr>
            </w:pPr>
            <w:r>
              <w:rPr>
                <w:rFonts w:ascii="Arial" w:cs="Arial" w:eastAsia="Arial" w:hAnsi="Arial"/>
                <w:sz w:val="18"/>
                <w:szCs w:val="18"/>
                <w:color w:val="auto"/>
              </w:rPr>
              <w:t>2018</w:t>
            </w:r>
          </w:p>
        </w:tc>
      </w:tr>
      <w:tr>
        <w:trPr>
          <w:trHeight w:val="220"/>
        </w:trPr>
        <w:tc>
          <w:tcPr>
            <w:tcW w:w="3440" w:type="dxa"/>
            <w:vAlign w:val="bottom"/>
            <w:tcBorders>
              <w:bottom w:val="single" w:sz="8" w:color="00A1DF"/>
            </w:tcBorders>
          </w:tcPr>
          <w:p>
            <w:pPr>
              <w:spacing w:after="0"/>
              <w:rPr>
                <w:sz w:val="20"/>
                <w:szCs w:val="20"/>
                <w:color w:val="auto"/>
              </w:rPr>
            </w:pPr>
            <w:r>
              <w:rPr>
                <w:rFonts w:ascii="Arial" w:cs="Arial" w:eastAsia="Arial" w:hAnsi="Arial"/>
                <w:sz w:val="18"/>
                <w:szCs w:val="18"/>
                <w:b w:val="1"/>
                <w:bCs w:val="1"/>
                <w:color w:val="00A1DF"/>
              </w:rPr>
              <w:t>Independent</w:t>
            </w:r>
          </w:p>
        </w:tc>
        <w:tc>
          <w:tcPr>
            <w:tcW w:w="7300" w:type="dxa"/>
            <w:vAlign w:val="bottom"/>
            <w:tcBorders>
              <w:bottom w:val="single" w:sz="8" w:color="00A1DF"/>
            </w:tcBorders>
          </w:tcPr>
          <w:p>
            <w:pPr>
              <w:ind w:left="2260"/>
              <w:spacing w:after="0"/>
              <w:rPr>
                <w:sz w:val="20"/>
                <w:szCs w:val="20"/>
                <w:color w:val="auto"/>
              </w:rPr>
            </w:pPr>
            <w:r>
              <w:rPr>
                <w:rFonts w:ascii="Arial" w:cs="Arial" w:eastAsia="Arial" w:hAnsi="Arial"/>
                <w:sz w:val="18"/>
                <w:szCs w:val="18"/>
                <w:color w:val="auto"/>
              </w:rPr>
              <w:t>Yes</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00A1DF"/>
        </w:rPr>
        <w:t>Professional Highlights</w:t>
      </w:r>
    </w:p>
    <w:p>
      <w:pPr>
        <w:spacing w:after="0" w:line="84" w:lineRule="exact"/>
        <w:rPr>
          <w:sz w:val="20"/>
          <w:szCs w:val="20"/>
          <w:color w:val="auto"/>
        </w:rPr>
      </w:pPr>
    </w:p>
    <w:p>
      <w:pPr>
        <w:ind w:left="340" w:right="100" w:firstLine="429"/>
        <w:spacing w:after="0" w:line="279" w:lineRule="auto"/>
        <w:rPr>
          <w:sz w:val="20"/>
          <w:szCs w:val="20"/>
          <w:color w:val="auto"/>
        </w:rPr>
      </w:pPr>
      <w:r>
        <w:rPr>
          <w:rFonts w:ascii="Arial" w:cs="Arial" w:eastAsia="Arial" w:hAnsi="Arial"/>
          <w:sz w:val="16"/>
          <w:szCs w:val="16"/>
          <w:color w:val="auto"/>
        </w:rPr>
        <w:t>Mr. McConnell is a private investor and has served as a director of Adacel Technologies, a developer of operational air traffic management systems, speech recognition applications and advanced air traffic control simulation and training solutions, since May 2017. From April 2016 until the company was sold in September 2017, Mr. McConnell served as a director of Guidance Software Inc., a provider of forensic security and risk management applications. Previously he served as a director of Spark Networks, Inc., a global, on-line dating company, from July 2014 until the company was sold in November 2017, as Chairman of its board from January 2015 until June 2017 and as Interim Executive Chairman and Chief Executive Officer from August 2014 through December 2014. From 2009 to 2012, Mr. McConnell served as the Chief Executive Officer of Collectors Universe, Inc., a provider of third-party authentication and grading of high value collectibles, and served as a director from 2007 to 2013. From 1994 to 2007, Mr. McConnell served as a Managing Director of Shamrock Capital Advisors, an investment manager of domestic and international alternative asset funds, where he was a member of the firm’s Executive Committee. Over the course of his career, Mr. McConnell has served on numerous other public and private company boards in the United States, Australia, New Zealand and Ireland. During the past five years, Mr. McConnell served on the following boards in addition to those listed above: Redflex Holdings Limited, Vitacost.com and Best International Limited.</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00A1DF"/>
        </w:rPr>
        <w:t>Nominee Qualifications</w:t>
      </w:r>
    </w:p>
    <w:p>
      <w:pPr>
        <w:spacing w:after="0" w:line="84" w:lineRule="exact"/>
        <w:rPr>
          <w:sz w:val="20"/>
          <w:szCs w:val="20"/>
          <w:color w:val="auto"/>
        </w:rPr>
      </w:pPr>
    </w:p>
    <w:p>
      <w:pPr>
        <w:ind w:left="340" w:right="60" w:firstLine="429"/>
        <w:spacing w:after="0" w:line="261" w:lineRule="auto"/>
        <w:rPr>
          <w:sz w:val="20"/>
          <w:szCs w:val="20"/>
          <w:color w:val="auto"/>
        </w:rPr>
      </w:pPr>
      <w:r>
        <w:rPr>
          <w:rFonts w:ascii="Arial" w:cs="Arial" w:eastAsia="Arial" w:hAnsi="Arial"/>
          <w:sz w:val="18"/>
          <w:szCs w:val="18"/>
          <w:color w:val="auto"/>
        </w:rPr>
        <w:t>Mr. McConnell’s qualifications to serve on our board of directors include, among other skills and qualifications, his considerable experience as an operating executive, investment professional and public company board member.</w:t>
      </w:r>
    </w:p>
    <w:p>
      <w:pPr>
        <w:spacing w:after="0" w:line="271"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00A1DF"/>
        </w:rPr>
        <w:t>James B. Ramsey</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Co-founder and board member, Vlocity Inc.</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188"/>
        </w:trPr>
        <w:tc>
          <w:tcPr>
            <w:tcW w:w="3820" w:type="dxa"/>
            <w:vAlign w:val="bottom"/>
            <w:tcBorders>
              <w:top w:val="single" w:sz="8" w:color="00A1DF"/>
            </w:tcBorders>
          </w:tcPr>
          <w:p>
            <w:pPr>
              <w:spacing w:after="0" w:line="188" w:lineRule="exact"/>
              <w:rPr>
                <w:sz w:val="20"/>
                <w:szCs w:val="20"/>
                <w:color w:val="auto"/>
              </w:rPr>
            </w:pPr>
            <w:r>
              <w:rPr>
                <w:rFonts w:ascii="Arial" w:cs="Arial" w:eastAsia="Arial" w:hAnsi="Arial"/>
                <w:sz w:val="18"/>
                <w:szCs w:val="18"/>
                <w:b w:val="1"/>
                <w:bCs w:val="1"/>
                <w:color w:val="00A1DF"/>
              </w:rPr>
              <w:t>Age</w:t>
            </w:r>
          </w:p>
        </w:tc>
        <w:tc>
          <w:tcPr>
            <w:tcW w:w="6920" w:type="dxa"/>
            <w:vAlign w:val="bottom"/>
            <w:tcBorders>
              <w:top w:val="single" w:sz="8" w:color="00A1DF"/>
            </w:tcBorders>
          </w:tcPr>
          <w:p>
            <w:pPr>
              <w:ind w:left="1880"/>
              <w:spacing w:after="0" w:line="188" w:lineRule="exact"/>
              <w:rPr>
                <w:sz w:val="20"/>
                <w:szCs w:val="20"/>
                <w:color w:val="auto"/>
              </w:rPr>
            </w:pPr>
            <w:r>
              <w:rPr>
                <w:rFonts w:ascii="Arial" w:cs="Arial" w:eastAsia="Arial" w:hAnsi="Arial"/>
                <w:sz w:val="18"/>
                <w:szCs w:val="18"/>
                <w:color w:val="auto"/>
              </w:rPr>
              <w:t>45</w:t>
            </w:r>
          </w:p>
        </w:tc>
      </w:tr>
      <w:tr>
        <w:trPr>
          <w:trHeight w:val="197"/>
        </w:trPr>
        <w:tc>
          <w:tcPr>
            <w:tcW w:w="3820" w:type="dxa"/>
            <w:vAlign w:val="bottom"/>
          </w:tcPr>
          <w:p>
            <w:pPr>
              <w:spacing w:after="0" w:line="197" w:lineRule="exact"/>
              <w:rPr>
                <w:sz w:val="20"/>
                <w:szCs w:val="20"/>
                <w:color w:val="auto"/>
              </w:rPr>
            </w:pPr>
            <w:r>
              <w:rPr>
                <w:rFonts w:ascii="Arial" w:cs="Arial" w:eastAsia="Arial" w:hAnsi="Arial"/>
                <w:sz w:val="18"/>
                <w:szCs w:val="18"/>
                <w:b w:val="1"/>
                <w:bCs w:val="1"/>
                <w:color w:val="00A1DF"/>
              </w:rPr>
              <w:t>Director since</w:t>
            </w:r>
          </w:p>
        </w:tc>
        <w:tc>
          <w:tcPr>
            <w:tcW w:w="6920" w:type="dxa"/>
            <w:vAlign w:val="bottom"/>
          </w:tcPr>
          <w:p>
            <w:pPr>
              <w:ind w:left="1880"/>
              <w:spacing w:after="0" w:line="197" w:lineRule="exact"/>
              <w:rPr>
                <w:sz w:val="20"/>
                <w:szCs w:val="20"/>
                <w:color w:val="auto"/>
              </w:rPr>
            </w:pPr>
            <w:r>
              <w:rPr>
                <w:rFonts w:ascii="Arial" w:cs="Arial" w:eastAsia="Arial" w:hAnsi="Arial"/>
                <w:sz w:val="18"/>
                <w:szCs w:val="18"/>
                <w:color w:val="auto"/>
              </w:rPr>
              <w:t>2014</w:t>
            </w:r>
          </w:p>
        </w:tc>
      </w:tr>
      <w:tr>
        <w:trPr>
          <w:trHeight w:val="197"/>
        </w:trPr>
        <w:tc>
          <w:tcPr>
            <w:tcW w:w="3820" w:type="dxa"/>
            <w:vAlign w:val="bottom"/>
          </w:tcPr>
          <w:p>
            <w:pPr>
              <w:spacing w:after="0" w:line="197" w:lineRule="exact"/>
              <w:rPr>
                <w:sz w:val="20"/>
                <w:szCs w:val="20"/>
                <w:color w:val="auto"/>
              </w:rPr>
            </w:pPr>
            <w:r>
              <w:rPr>
                <w:rFonts w:ascii="Arial" w:cs="Arial" w:eastAsia="Arial" w:hAnsi="Arial"/>
                <w:sz w:val="18"/>
                <w:szCs w:val="18"/>
                <w:b w:val="1"/>
                <w:bCs w:val="1"/>
                <w:color w:val="00A1DF"/>
              </w:rPr>
              <w:t>SPS Board committees</w:t>
            </w:r>
          </w:p>
        </w:tc>
        <w:tc>
          <w:tcPr>
            <w:tcW w:w="6920" w:type="dxa"/>
            <w:vAlign w:val="bottom"/>
          </w:tcPr>
          <w:p>
            <w:pPr>
              <w:ind w:left="1880"/>
              <w:spacing w:after="0" w:line="197" w:lineRule="exact"/>
              <w:rPr>
                <w:sz w:val="20"/>
                <w:szCs w:val="20"/>
                <w:color w:val="auto"/>
              </w:rPr>
            </w:pPr>
            <w:r>
              <w:rPr>
                <w:rFonts w:ascii="Arial" w:cs="Arial" w:eastAsia="Arial" w:hAnsi="Arial"/>
                <w:sz w:val="18"/>
                <w:szCs w:val="18"/>
                <w:color w:val="auto"/>
              </w:rPr>
              <w:t>Compensation; Governance and Nominating</w:t>
            </w:r>
          </w:p>
        </w:tc>
      </w:tr>
      <w:tr>
        <w:trPr>
          <w:trHeight w:val="220"/>
        </w:trPr>
        <w:tc>
          <w:tcPr>
            <w:tcW w:w="3820" w:type="dxa"/>
            <w:vAlign w:val="bottom"/>
            <w:tcBorders>
              <w:bottom w:val="single" w:sz="8" w:color="00A1DF"/>
            </w:tcBorders>
          </w:tcPr>
          <w:p>
            <w:pPr>
              <w:spacing w:after="0"/>
              <w:rPr>
                <w:sz w:val="20"/>
                <w:szCs w:val="20"/>
                <w:color w:val="auto"/>
              </w:rPr>
            </w:pPr>
            <w:r>
              <w:rPr>
                <w:rFonts w:ascii="Arial" w:cs="Arial" w:eastAsia="Arial" w:hAnsi="Arial"/>
                <w:sz w:val="18"/>
                <w:szCs w:val="18"/>
                <w:b w:val="1"/>
                <w:bCs w:val="1"/>
                <w:color w:val="00A1DF"/>
              </w:rPr>
              <w:t>Independent</w:t>
            </w:r>
          </w:p>
        </w:tc>
        <w:tc>
          <w:tcPr>
            <w:tcW w:w="6920" w:type="dxa"/>
            <w:vAlign w:val="bottom"/>
            <w:tcBorders>
              <w:bottom w:val="single" w:sz="8" w:color="00A1DF"/>
            </w:tcBorders>
          </w:tcPr>
          <w:p>
            <w:pPr>
              <w:ind w:left="1880"/>
              <w:spacing w:after="0"/>
              <w:rPr>
                <w:sz w:val="20"/>
                <w:szCs w:val="20"/>
                <w:color w:val="auto"/>
              </w:rPr>
            </w:pPr>
            <w:r>
              <w:rPr>
                <w:rFonts w:ascii="Arial" w:cs="Arial" w:eastAsia="Arial" w:hAnsi="Arial"/>
                <w:sz w:val="18"/>
                <w:szCs w:val="18"/>
                <w:color w:val="auto"/>
              </w:rPr>
              <w:t>Yes</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00A1DF"/>
        </w:rPr>
        <w:t>Professional Highlights</w:t>
      </w:r>
    </w:p>
    <w:p>
      <w:pPr>
        <w:spacing w:after="0" w:line="84" w:lineRule="exact"/>
        <w:rPr>
          <w:sz w:val="20"/>
          <w:szCs w:val="20"/>
          <w:color w:val="auto"/>
        </w:rPr>
      </w:pPr>
    </w:p>
    <w:p>
      <w:pPr>
        <w:ind w:left="340" w:right="340" w:firstLine="429"/>
        <w:spacing w:after="0" w:line="282" w:lineRule="auto"/>
        <w:rPr>
          <w:sz w:val="20"/>
          <w:szCs w:val="20"/>
          <w:color w:val="auto"/>
        </w:rPr>
      </w:pPr>
      <w:r>
        <w:rPr>
          <w:rFonts w:ascii="Arial" w:cs="Arial" w:eastAsia="Arial" w:hAnsi="Arial"/>
          <w:sz w:val="16"/>
          <w:szCs w:val="16"/>
          <w:color w:val="auto"/>
        </w:rPr>
        <w:t>Mr. Ramsey co-founded and has served as board member of Vlocity Inc., a provider of industry-specific cloud CRM applications, since 2014. Mr. Ramsey also serves on the boards of Ambra Health (formerly DicomGrid) and Flipgrid, Inc., each a privately-held company. Previously,</w:t>
      </w:r>
    </w:p>
    <w:p>
      <w:pPr>
        <w:ind w:left="340" w:right="140"/>
        <w:spacing w:after="0" w:line="245" w:lineRule="auto"/>
        <w:rPr>
          <w:sz w:val="20"/>
          <w:szCs w:val="20"/>
          <w:color w:val="auto"/>
        </w:rPr>
      </w:pPr>
      <w:r>
        <w:rPr>
          <w:rFonts w:ascii="Arial" w:cs="Arial" w:eastAsia="Arial" w:hAnsi="Arial"/>
          <w:sz w:val="18"/>
          <w:szCs w:val="18"/>
          <w:color w:val="auto"/>
        </w:rPr>
        <w:t>Mr. Ramsey served as the Executive Vice President of Worldwide Sales and Distribution at NetSuite Inc., a publicly traded provider of cloud-based business management software, from 2011 to 2013. Prior to his positon as Executive Vice President, Mr. Ramsey held several senior executive roles at NetSuite, including Vice President of the Americas and Senior Vice President of Worldwide Sales and Distribution. Prior to NetSuite Inc., Mr. Ramsey served in various sales management roles at Oracle Corporation.</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00A1DF"/>
        </w:rPr>
        <w:t>Nominee Qualifications</w:t>
      </w:r>
    </w:p>
    <w:p>
      <w:pPr>
        <w:spacing w:after="0" w:line="84" w:lineRule="exact"/>
        <w:rPr>
          <w:sz w:val="20"/>
          <w:szCs w:val="20"/>
          <w:color w:val="auto"/>
        </w:rPr>
      </w:pPr>
    </w:p>
    <w:p>
      <w:pPr>
        <w:ind w:left="340" w:right="100" w:firstLine="429"/>
        <w:spacing w:after="0" w:line="261" w:lineRule="auto"/>
        <w:rPr>
          <w:sz w:val="20"/>
          <w:szCs w:val="20"/>
          <w:color w:val="auto"/>
        </w:rPr>
      </w:pPr>
      <w:r>
        <w:rPr>
          <w:rFonts w:ascii="Arial" w:cs="Arial" w:eastAsia="Arial" w:hAnsi="Arial"/>
          <w:sz w:val="18"/>
          <w:szCs w:val="18"/>
          <w:color w:val="auto"/>
        </w:rPr>
        <w:t>Mr. Ramsey’s qualifications to serve on our board of directors include, among other skills and qualifications, his experience in software sales and in rapidly scaling sales organizations with NetSuite Inc. and Oracle Corporation.</w:t>
      </w:r>
    </w:p>
    <w:p>
      <w:pPr>
        <w:spacing w:after="0" w:line="11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240" w:top="451" w:right="57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00A1DF"/>
        </w:rPr>
        <w:t>Marty M. Reaume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Chief People Officer, Twilio, Inc.</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188"/>
        </w:trPr>
        <w:tc>
          <w:tcPr>
            <w:tcW w:w="3440" w:type="dxa"/>
            <w:vAlign w:val="bottom"/>
            <w:tcBorders>
              <w:top w:val="single" w:sz="8" w:color="00A1DF"/>
            </w:tcBorders>
          </w:tcPr>
          <w:p>
            <w:pPr>
              <w:spacing w:after="0" w:line="188" w:lineRule="exact"/>
              <w:rPr>
                <w:sz w:val="20"/>
                <w:szCs w:val="20"/>
                <w:color w:val="auto"/>
              </w:rPr>
            </w:pPr>
            <w:r>
              <w:rPr>
                <w:rFonts w:ascii="Arial" w:cs="Arial" w:eastAsia="Arial" w:hAnsi="Arial"/>
                <w:sz w:val="18"/>
                <w:szCs w:val="18"/>
                <w:b w:val="1"/>
                <w:bCs w:val="1"/>
                <w:color w:val="00A1DF"/>
              </w:rPr>
              <w:t>Age</w:t>
            </w:r>
          </w:p>
        </w:tc>
        <w:tc>
          <w:tcPr>
            <w:tcW w:w="7300" w:type="dxa"/>
            <w:vAlign w:val="bottom"/>
            <w:tcBorders>
              <w:top w:val="single" w:sz="8" w:color="00A1DF"/>
            </w:tcBorders>
          </w:tcPr>
          <w:p>
            <w:pPr>
              <w:ind w:left="2260"/>
              <w:spacing w:after="0" w:line="188" w:lineRule="exact"/>
              <w:rPr>
                <w:sz w:val="20"/>
                <w:szCs w:val="20"/>
                <w:color w:val="auto"/>
              </w:rPr>
            </w:pPr>
            <w:r>
              <w:rPr>
                <w:rFonts w:ascii="Arial" w:cs="Arial" w:eastAsia="Arial" w:hAnsi="Arial"/>
                <w:sz w:val="18"/>
                <w:szCs w:val="18"/>
                <w:color w:val="auto"/>
              </w:rPr>
              <w:t>52</w:t>
            </w:r>
          </w:p>
        </w:tc>
      </w:tr>
      <w:tr>
        <w:trPr>
          <w:trHeight w:val="197"/>
        </w:trPr>
        <w:tc>
          <w:tcPr>
            <w:tcW w:w="3440" w:type="dxa"/>
            <w:vAlign w:val="bottom"/>
          </w:tcPr>
          <w:p>
            <w:pPr>
              <w:spacing w:after="0" w:line="197" w:lineRule="exact"/>
              <w:rPr>
                <w:sz w:val="20"/>
                <w:szCs w:val="20"/>
                <w:color w:val="auto"/>
              </w:rPr>
            </w:pPr>
            <w:r>
              <w:rPr>
                <w:rFonts w:ascii="Arial" w:cs="Arial" w:eastAsia="Arial" w:hAnsi="Arial"/>
                <w:sz w:val="18"/>
                <w:szCs w:val="18"/>
                <w:b w:val="1"/>
                <w:bCs w:val="1"/>
                <w:color w:val="00A1DF"/>
              </w:rPr>
              <w:t>Director since</w:t>
            </w:r>
          </w:p>
        </w:tc>
        <w:tc>
          <w:tcPr>
            <w:tcW w:w="7300" w:type="dxa"/>
            <w:vAlign w:val="bottom"/>
          </w:tcPr>
          <w:p>
            <w:pPr>
              <w:ind w:left="2260"/>
              <w:spacing w:after="0" w:line="197" w:lineRule="exact"/>
              <w:rPr>
                <w:sz w:val="20"/>
                <w:szCs w:val="20"/>
                <w:color w:val="auto"/>
              </w:rPr>
            </w:pPr>
            <w:r>
              <w:rPr>
                <w:rFonts w:ascii="Arial" w:cs="Arial" w:eastAsia="Arial" w:hAnsi="Arial"/>
                <w:sz w:val="18"/>
                <w:szCs w:val="18"/>
                <w:color w:val="auto"/>
              </w:rPr>
              <w:t>2018</w:t>
            </w:r>
          </w:p>
        </w:tc>
      </w:tr>
      <w:tr>
        <w:trPr>
          <w:trHeight w:val="220"/>
        </w:trPr>
        <w:tc>
          <w:tcPr>
            <w:tcW w:w="3440" w:type="dxa"/>
            <w:vAlign w:val="bottom"/>
            <w:tcBorders>
              <w:bottom w:val="single" w:sz="8" w:color="00A1DF"/>
            </w:tcBorders>
          </w:tcPr>
          <w:p>
            <w:pPr>
              <w:spacing w:after="0"/>
              <w:rPr>
                <w:sz w:val="20"/>
                <w:szCs w:val="20"/>
                <w:color w:val="auto"/>
              </w:rPr>
            </w:pPr>
            <w:r>
              <w:rPr>
                <w:rFonts w:ascii="Arial" w:cs="Arial" w:eastAsia="Arial" w:hAnsi="Arial"/>
                <w:sz w:val="18"/>
                <w:szCs w:val="18"/>
                <w:b w:val="1"/>
                <w:bCs w:val="1"/>
                <w:color w:val="00A1DF"/>
              </w:rPr>
              <w:t>Independent</w:t>
            </w:r>
          </w:p>
        </w:tc>
        <w:tc>
          <w:tcPr>
            <w:tcW w:w="7300" w:type="dxa"/>
            <w:vAlign w:val="bottom"/>
            <w:tcBorders>
              <w:bottom w:val="single" w:sz="8" w:color="00A1DF"/>
            </w:tcBorders>
          </w:tcPr>
          <w:p>
            <w:pPr>
              <w:ind w:left="2260"/>
              <w:spacing w:after="0"/>
              <w:rPr>
                <w:sz w:val="20"/>
                <w:szCs w:val="20"/>
                <w:color w:val="auto"/>
              </w:rPr>
            </w:pPr>
            <w:r>
              <w:rPr>
                <w:rFonts w:ascii="Arial" w:cs="Arial" w:eastAsia="Arial" w:hAnsi="Arial"/>
                <w:sz w:val="18"/>
                <w:szCs w:val="18"/>
                <w:color w:val="auto"/>
              </w:rPr>
              <w:t>Yes</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00A1DF"/>
        </w:rPr>
        <w:t>Professional Highlights</w:t>
      </w:r>
    </w:p>
    <w:p>
      <w:pPr>
        <w:spacing w:after="0" w:line="84" w:lineRule="exact"/>
        <w:rPr>
          <w:sz w:val="20"/>
          <w:szCs w:val="20"/>
          <w:color w:val="auto"/>
        </w:rPr>
      </w:pPr>
    </w:p>
    <w:p>
      <w:pPr>
        <w:ind w:left="340" w:right="60" w:firstLine="429"/>
        <w:spacing w:after="0" w:line="284" w:lineRule="auto"/>
        <w:rPr>
          <w:sz w:val="20"/>
          <w:szCs w:val="20"/>
          <w:color w:val="auto"/>
        </w:rPr>
      </w:pPr>
      <w:r>
        <w:rPr>
          <w:rFonts w:ascii="Arial" w:cs="Arial" w:eastAsia="Arial" w:hAnsi="Arial"/>
          <w:sz w:val="16"/>
          <w:szCs w:val="16"/>
          <w:color w:val="auto"/>
        </w:rPr>
        <w:t>Ms. Reaume has served since 2017 as Chief People Officer of Twilio Inc., a publicly traded developer and provider of a cloud-based platform enabling organizations to integrate voice, messaging and video communications capabilities into their software applications. From 2015 to 2017, she served as Chief People Officer of Fitbit, Inc., a publicly traded technology company focused on delivering health solutions that impact health outcomes. Ms. Reaume served as Chief People Officer of NetSuite, Inc., a publicly traded provider of cloud-based business management software, from 2009 to 2014, and served as its head of human resources from 2006 to 2009. Prior to that, Ms. Reaume served as director of human resources at Royal &amp; Sunalliance, a multinational insurance company, from 2001 to 2005.</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00A1DF"/>
        </w:rPr>
        <w:t>Nominee Qualifications</w:t>
      </w:r>
    </w:p>
    <w:p>
      <w:pPr>
        <w:spacing w:after="0" w:line="109" w:lineRule="exact"/>
        <w:rPr>
          <w:sz w:val="20"/>
          <w:szCs w:val="20"/>
          <w:color w:val="auto"/>
        </w:rPr>
      </w:pPr>
    </w:p>
    <w:p>
      <w:pPr>
        <w:ind w:left="340" w:right="180" w:firstLine="429"/>
        <w:spacing w:after="0" w:line="261" w:lineRule="auto"/>
        <w:rPr>
          <w:sz w:val="20"/>
          <w:szCs w:val="20"/>
          <w:color w:val="auto"/>
        </w:rPr>
      </w:pPr>
      <w:r>
        <w:rPr>
          <w:rFonts w:ascii="Arial" w:cs="Arial" w:eastAsia="Arial" w:hAnsi="Arial"/>
          <w:sz w:val="18"/>
          <w:szCs w:val="18"/>
          <w:color w:val="auto"/>
        </w:rPr>
        <w:t>Ms. Reaume’s qualifications to serve on our board of directors include, among other skills and qualifications, her strong human resources, talent acquisition and talent development expertise.</w:t>
      </w:r>
    </w:p>
    <w:p>
      <w:pPr>
        <w:spacing w:after="0" w:line="271"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00A1DF"/>
        </w:rPr>
        <w:t>Tami L. Reller</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Executive Vice President and Chief Marketing and Experience Officer at UnitedHealthcare, a division of UnitedHealth Group</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188"/>
        </w:trPr>
        <w:tc>
          <w:tcPr>
            <w:tcW w:w="3780" w:type="dxa"/>
            <w:vAlign w:val="bottom"/>
            <w:tcBorders>
              <w:top w:val="single" w:sz="8" w:color="00A1DF"/>
            </w:tcBorders>
          </w:tcPr>
          <w:p>
            <w:pPr>
              <w:spacing w:after="0" w:line="188" w:lineRule="exact"/>
              <w:rPr>
                <w:sz w:val="20"/>
                <w:szCs w:val="20"/>
                <w:color w:val="auto"/>
              </w:rPr>
            </w:pPr>
            <w:r>
              <w:rPr>
                <w:rFonts w:ascii="Arial" w:cs="Arial" w:eastAsia="Arial" w:hAnsi="Arial"/>
                <w:sz w:val="18"/>
                <w:szCs w:val="18"/>
                <w:b w:val="1"/>
                <w:bCs w:val="1"/>
                <w:color w:val="00A1DF"/>
              </w:rPr>
              <w:t>Age</w:t>
            </w:r>
          </w:p>
        </w:tc>
        <w:tc>
          <w:tcPr>
            <w:tcW w:w="6960" w:type="dxa"/>
            <w:vAlign w:val="bottom"/>
            <w:tcBorders>
              <w:top w:val="single" w:sz="8" w:color="00A1DF"/>
            </w:tcBorders>
          </w:tcPr>
          <w:p>
            <w:pPr>
              <w:ind w:left="1920"/>
              <w:spacing w:after="0" w:line="188" w:lineRule="exact"/>
              <w:rPr>
                <w:sz w:val="20"/>
                <w:szCs w:val="20"/>
                <w:color w:val="auto"/>
              </w:rPr>
            </w:pPr>
            <w:r>
              <w:rPr>
                <w:rFonts w:ascii="Arial" w:cs="Arial" w:eastAsia="Arial" w:hAnsi="Arial"/>
                <w:sz w:val="18"/>
                <w:szCs w:val="18"/>
                <w:color w:val="auto"/>
              </w:rPr>
              <w:t>53</w:t>
            </w:r>
          </w:p>
        </w:tc>
      </w:tr>
      <w:tr>
        <w:trPr>
          <w:trHeight w:val="197"/>
        </w:trPr>
        <w:tc>
          <w:tcPr>
            <w:tcW w:w="3780" w:type="dxa"/>
            <w:vAlign w:val="bottom"/>
          </w:tcPr>
          <w:p>
            <w:pPr>
              <w:spacing w:after="0" w:line="197" w:lineRule="exact"/>
              <w:rPr>
                <w:sz w:val="20"/>
                <w:szCs w:val="20"/>
                <w:color w:val="auto"/>
              </w:rPr>
            </w:pPr>
            <w:r>
              <w:rPr>
                <w:rFonts w:ascii="Arial" w:cs="Arial" w:eastAsia="Arial" w:hAnsi="Arial"/>
                <w:sz w:val="18"/>
                <w:szCs w:val="18"/>
                <w:b w:val="1"/>
                <w:bCs w:val="1"/>
                <w:color w:val="00A1DF"/>
              </w:rPr>
              <w:t>Director since</w:t>
            </w:r>
          </w:p>
        </w:tc>
        <w:tc>
          <w:tcPr>
            <w:tcW w:w="6960" w:type="dxa"/>
            <w:vAlign w:val="bottom"/>
          </w:tcPr>
          <w:p>
            <w:pPr>
              <w:ind w:left="1920"/>
              <w:spacing w:after="0" w:line="197" w:lineRule="exact"/>
              <w:rPr>
                <w:sz w:val="20"/>
                <w:szCs w:val="20"/>
                <w:color w:val="auto"/>
              </w:rPr>
            </w:pPr>
            <w:r>
              <w:rPr>
                <w:rFonts w:ascii="Arial" w:cs="Arial" w:eastAsia="Arial" w:hAnsi="Arial"/>
                <w:sz w:val="18"/>
                <w:szCs w:val="18"/>
                <w:color w:val="auto"/>
              </w:rPr>
              <w:t>2016</w:t>
            </w:r>
          </w:p>
        </w:tc>
      </w:tr>
      <w:tr>
        <w:trPr>
          <w:trHeight w:val="197"/>
        </w:trPr>
        <w:tc>
          <w:tcPr>
            <w:tcW w:w="3780" w:type="dxa"/>
            <w:vAlign w:val="bottom"/>
          </w:tcPr>
          <w:p>
            <w:pPr>
              <w:spacing w:after="0" w:line="197" w:lineRule="exact"/>
              <w:rPr>
                <w:sz w:val="20"/>
                <w:szCs w:val="20"/>
                <w:color w:val="auto"/>
              </w:rPr>
            </w:pPr>
            <w:r>
              <w:rPr>
                <w:rFonts w:ascii="Arial" w:cs="Arial" w:eastAsia="Arial" w:hAnsi="Arial"/>
                <w:sz w:val="18"/>
                <w:szCs w:val="18"/>
                <w:b w:val="1"/>
                <w:bCs w:val="1"/>
                <w:color w:val="00A1DF"/>
              </w:rPr>
              <w:t>SPS Board committee</w:t>
            </w:r>
          </w:p>
        </w:tc>
        <w:tc>
          <w:tcPr>
            <w:tcW w:w="6960" w:type="dxa"/>
            <w:vAlign w:val="bottom"/>
          </w:tcPr>
          <w:p>
            <w:pPr>
              <w:ind w:left="1920"/>
              <w:spacing w:after="0" w:line="197" w:lineRule="exact"/>
              <w:rPr>
                <w:sz w:val="20"/>
                <w:szCs w:val="20"/>
                <w:color w:val="auto"/>
              </w:rPr>
            </w:pPr>
            <w:r>
              <w:rPr>
                <w:rFonts w:ascii="Arial" w:cs="Arial" w:eastAsia="Arial" w:hAnsi="Arial"/>
                <w:sz w:val="18"/>
                <w:szCs w:val="18"/>
                <w:color w:val="auto"/>
              </w:rPr>
              <w:t>Audit</w:t>
            </w:r>
          </w:p>
        </w:tc>
      </w:tr>
      <w:tr>
        <w:trPr>
          <w:trHeight w:val="220"/>
        </w:trPr>
        <w:tc>
          <w:tcPr>
            <w:tcW w:w="3780" w:type="dxa"/>
            <w:vAlign w:val="bottom"/>
            <w:tcBorders>
              <w:bottom w:val="single" w:sz="8" w:color="00A1DF"/>
            </w:tcBorders>
          </w:tcPr>
          <w:p>
            <w:pPr>
              <w:spacing w:after="0"/>
              <w:rPr>
                <w:sz w:val="20"/>
                <w:szCs w:val="20"/>
                <w:color w:val="auto"/>
              </w:rPr>
            </w:pPr>
            <w:r>
              <w:rPr>
                <w:rFonts w:ascii="Arial" w:cs="Arial" w:eastAsia="Arial" w:hAnsi="Arial"/>
                <w:sz w:val="18"/>
                <w:szCs w:val="18"/>
                <w:b w:val="1"/>
                <w:bCs w:val="1"/>
                <w:color w:val="00A1DF"/>
              </w:rPr>
              <w:t>Independent</w:t>
            </w:r>
          </w:p>
        </w:tc>
        <w:tc>
          <w:tcPr>
            <w:tcW w:w="6960" w:type="dxa"/>
            <w:vAlign w:val="bottom"/>
            <w:tcBorders>
              <w:bottom w:val="single" w:sz="8" w:color="00A1DF"/>
            </w:tcBorders>
          </w:tcPr>
          <w:p>
            <w:pPr>
              <w:ind w:left="1920"/>
              <w:spacing w:after="0"/>
              <w:rPr>
                <w:sz w:val="20"/>
                <w:szCs w:val="20"/>
                <w:color w:val="auto"/>
              </w:rPr>
            </w:pPr>
            <w:r>
              <w:rPr>
                <w:rFonts w:ascii="Arial" w:cs="Arial" w:eastAsia="Arial" w:hAnsi="Arial"/>
                <w:sz w:val="18"/>
                <w:szCs w:val="18"/>
                <w:color w:val="auto"/>
              </w:rPr>
              <w:t>Yes</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00A1DF"/>
        </w:rPr>
        <w:t>Professional Highlights</w:t>
      </w:r>
    </w:p>
    <w:p>
      <w:pPr>
        <w:spacing w:after="0" w:line="84" w:lineRule="exact"/>
        <w:rPr>
          <w:sz w:val="20"/>
          <w:szCs w:val="20"/>
          <w:color w:val="auto"/>
        </w:rPr>
      </w:pPr>
    </w:p>
    <w:p>
      <w:pPr>
        <w:ind w:left="340" w:right="80" w:firstLine="429"/>
        <w:spacing w:after="0" w:line="284" w:lineRule="auto"/>
        <w:rPr>
          <w:sz w:val="20"/>
          <w:szCs w:val="20"/>
          <w:color w:val="auto"/>
        </w:rPr>
      </w:pPr>
      <w:r>
        <w:rPr>
          <w:rFonts w:ascii="Arial" w:cs="Arial" w:eastAsia="Arial" w:hAnsi="Arial"/>
          <w:sz w:val="16"/>
          <w:szCs w:val="16"/>
          <w:color w:val="auto"/>
        </w:rPr>
        <w:t>Ms. Reller has served as Executive Vice President and Chief Marketing and Experience Officer of UnitedHealthcare, the health benefits platform of UnitedHealth Group, since September 2017. From April 2017 to September 2017, Ms. Reller served as Chief Sales &amp; Marketing Officer of Optum, and from June 2016 to April 2017 she served as Chief Financial Officer of Optum, the health service platform of UnitedHealth Group. From April 2001 until September 2014, Ms. Reller served in several executive roles with Microsoft Corporation including Executive Vice President of Marketing, Windows Chief Financial Officer and Chief Marketing Officer, Divisional Chief Financial Officer and Corporate Vice President of Dynamics. She was also the Chief Financial Officer of Great Plains Software from 1999 to 2001, until the company was acquired by Microsoft Corporation.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00A1DF"/>
        </w:rPr>
        <w:t>Nominee Qualifications</w:t>
      </w:r>
    </w:p>
    <w:p>
      <w:pPr>
        <w:spacing w:after="0" w:line="84" w:lineRule="exact"/>
        <w:rPr>
          <w:sz w:val="20"/>
          <w:szCs w:val="20"/>
          <w:color w:val="auto"/>
        </w:rPr>
      </w:pPr>
    </w:p>
    <w:p>
      <w:pPr>
        <w:ind w:left="340" w:right="100" w:firstLine="429"/>
        <w:spacing w:after="0" w:line="324" w:lineRule="auto"/>
        <w:rPr>
          <w:sz w:val="20"/>
          <w:szCs w:val="20"/>
          <w:color w:val="auto"/>
        </w:rPr>
      </w:pPr>
      <w:r>
        <w:rPr>
          <w:rFonts w:ascii="Arial" w:cs="Arial" w:eastAsia="Arial" w:hAnsi="Arial"/>
          <w:sz w:val="16"/>
          <w:szCs w:val="16"/>
          <w:color w:val="auto"/>
        </w:rPr>
        <w:t>Ms. Reller’s qualifications to serve on our board of directors include, among other skills and qualifications, her extensive experience steering and managing software companies, her capabilities in financial understanding and auditing review, and her general business knowledge.</w:t>
      </w:r>
    </w:p>
    <w:p>
      <w:pPr>
        <w:spacing w:after="0" w:line="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240" w:top="451" w:right="57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00A1DF"/>
        </w:rPr>
        <w:t>Philip E. Soran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Director of and former Executive Chairman of Flipgrid, Inc.</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188"/>
        </w:trPr>
        <w:tc>
          <w:tcPr>
            <w:tcW w:w="3820" w:type="dxa"/>
            <w:vAlign w:val="bottom"/>
            <w:tcBorders>
              <w:top w:val="single" w:sz="8" w:color="00A1DF"/>
            </w:tcBorders>
          </w:tcPr>
          <w:p>
            <w:pPr>
              <w:spacing w:after="0" w:line="188" w:lineRule="exact"/>
              <w:rPr>
                <w:sz w:val="20"/>
                <w:szCs w:val="20"/>
                <w:color w:val="auto"/>
              </w:rPr>
            </w:pPr>
            <w:r>
              <w:rPr>
                <w:rFonts w:ascii="Arial" w:cs="Arial" w:eastAsia="Arial" w:hAnsi="Arial"/>
                <w:sz w:val="18"/>
                <w:szCs w:val="18"/>
                <w:b w:val="1"/>
                <w:bCs w:val="1"/>
                <w:color w:val="00A1DF"/>
              </w:rPr>
              <w:t>Age</w:t>
            </w:r>
          </w:p>
        </w:tc>
        <w:tc>
          <w:tcPr>
            <w:tcW w:w="6920" w:type="dxa"/>
            <w:vAlign w:val="bottom"/>
            <w:tcBorders>
              <w:top w:val="single" w:sz="8" w:color="00A1DF"/>
            </w:tcBorders>
          </w:tcPr>
          <w:p>
            <w:pPr>
              <w:ind w:left="1880"/>
              <w:spacing w:after="0" w:line="188" w:lineRule="exact"/>
              <w:rPr>
                <w:sz w:val="20"/>
                <w:szCs w:val="20"/>
                <w:color w:val="auto"/>
              </w:rPr>
            </w:pPr>
            <w:r>
              <w:rPr>
                <w:rFonts w:ascii="Arial" w:cs="Arial" w:eastAsia="Arial" w:hAnsi="Arial"/>
                <w:sz w:val="18"/>
                <w:szCs w:val="18"/>
                <w:color w:val="auto"/>
              </w:rPr>
              <w:t>61</w:t>
            </w:r>
          </w:p>
        </w:tc>
      </w:tr>
      <w:tr>
        <w:trPr>
          <w:trHeight w:val="197"/>
        </w:trPr>
        <w:tc>
          <w:tcPr>
            <w:tcW w:w="3820" w:type="dxa"/>
            <w:vAlign w:val="bottom"/>
          </w:tcPr>
          <w:p>
            <w:pPr>
              <w:spacing w:after="0" w:line="197" w:lineRule="exact"/>
              <w:rPr>
                <w:sz w:val="20"/>
                <w:szCs w:val="20"/>
                <w:color w:val="auto"/>
              </w:rPr>
            </w:pPr>
            <w:r>
              <w:rPr>
                <w:rFonts w:ascii="Arial" w:cs="Arial" w:eastAsia="Arial" w:hAnsi="Arial"/>
                <w:sz w:val="18"/>
                <w:szCs w:val="18"/>
                <w:b w:val="1"/>
                <w:bCs w:val="1"/>
                <w:color w:val="00A1DF"/>
              </w:rPr>
              <w:t>Director since</w:t>
            </w:r>
          </w:p>
        </w:tc>
        <w:tc>
          <w:tcPr>
            <w:tcW w:w="6920" w:type="dxa"/>
            <w:vAlign w:val="bottom"/>
          </w:tcPr>
          <w:p>
            <w:pPr>
              <w:ind w:left="1880"/>
              <w:spacing w:after="0" w:line="197" w:lineRule="exact"/>
              <w:rPr>
                <w:sz w:val="20"/>
                <w:szCs w:val="20"/>
                <w:color w:val="auto"/>
              </w:rPr>
            </w:pPr>
            <w:r>
              <w:rPr>
                <w:rFonts w:ascii="Arial" w:cs="Arial" w:eastAsia="Arial" w:hAnsi="Arial"/>
                <w:sz w:val="18"/>
                <w:szCs w:val="18"/>
                <w:color w:val="auto"/>
              </w:rPr>
              <w:t>2010</w:t>
            </w:r>
          </w:p>
        </w:tc>
      </w:tr>
      <w:tr>
        <w:trPr>
          <w:trHeight w:val="197"/>
        </w:trPr>
        <w:tc>
          <w:tcPr>
            <w:tcW w:w="3820" w:type="dxa"/>
            <w:vAlign w:val="bottom"/>
          </w:tcPr>
          <w:p>
            <w:pPr>
              <w:spacing w:after="0" w:line="197" w:lineRule="exact"/>
              <w:rPr>
                <w:sz w:val="20"/>
                <w:szCs w:val="20"/>
                <w:color w:val="auto"/>
              </w:rPr>
            </w:pPr>
            <w:r>
              <w:rPr>
                <w:rFonts w:ascii="Arial" w:cs="Arial" w:eastAsia="Arial" w:hAnsi="Arial"/>
                <w:sz w:val="18"/>
                <w:szCs w:val="18"/>
                <w:b w:val="1"/>
                <w:bCs w:val="1"/>
                <w:color w:val="00A1DF"/>
              </w:rPr>
              <w:t>SPS Board committees</w:t>
            </w:r>
          </w:p>
        </w:tc>
        <w:tc>
          <w:tcPr>
            <w:tcW w:w="6920" w:type="dxa"/>
            <w:vAlign w:val="bottom"/>
          </w:tcPr>
          <w:p>
            <w:pPr>
              <w:ind w:left="1880"/>
              <w:spacing w:after="0" w:line="197" w:lineRule="exact"/>
              <w:rPr>
                <w:sz w:val="20"/>
                <w:szCs w:val="20"/>
                <w:color w:val="auto"/>
              </w:rPr>
            </w:pPr>
            <w:r>
              <w:rPr>
                <w:rFonts w:ascii="Arial" w:cs="Arial" w:eastAsia="Arial" w:hAnsi="Arial"/>
                <w:sz w:val="18"/>
                <w:szCs w:val="18"/>
                <w:color w:val="auto"/>
              </w:rPr>
              <w:t>Compensation; Governance and Nominating</w:t>
            </w:r>
          </w:p>
        </w:tc>
      </w:tr>
      <w:tr>
        <w:trPr>
          <w:trHeight w:val="220"/>
        </w:trPr>
        <w:tc>
          <w:tcPr>
            <w:tcW w:w="3820" w:type="dxa"/>
            <w:vAlign w:val="bottom"/>
            <w:tcBorders>
              <w:bottom w:val="single" w:sz="8" w:color="00A1DF"/>
            </w:tcBorders>
          </w:tcPr>
          <w:p>
            <w:pPr>
              <w:spacing w:after="0"/>
              <w:rPr>
                <w:sz w:val="20"/>
                <w:szCs w:val="20"/>
                <w:color w:val="auto"/>
              </w:rPr>
            </w:pPr>
            <w:r>
              <w:rPr>
                <w:rFonts w:ascii="Arial" w:cs="Arial" w:eastAsia="Arial" w:hAnsi="Arial"/>
                <w:sz w:val="18"/>
                <w:szCs w:val="18"/>
                <w:b w:val="1"/>
                <w:bCs w:val="1"/>
                <w:color w:val="00A1DF"/>
              </w:rPr>
              <w:t>Independent</w:t>
            </w:r>
          </w:p>
        </w:tc>
        <w:tc>
          <w:tcPr>
            <w:tcW w:w="6920" w:type="dxa"/>
            <w:vAlign w:val="bottom"/>
            <w:tcBorders>
              <w:bottom w:val="single" w:sz="8" w:color="00A1DF"/>
            </w:tcBorders>
          </w:tcPr>
          <w:p>
            <w:pPr>
              <w:ind w:left="1880"/>
              <w:spacing w:after="0"/>
              <w:rPr>
                <w:sz w:val="20"/>
                <w:szCs w:val="20"/>
                <w:color w:val="auto"/>
              </w:rPr>
            </w:pPr>
            <w:r>
              <w:rPr>
                <w:rFonts w:ascii="Arial" w:cs="Arial" w:eastAsia="Arial" w:hAnsi="Arial"/>
                <w:sz w:val="18"/>
                <w:szCs w:val="18"/>
                <w:color w:val="auto"/>
              </w:rPr>
              <w:t>Yes</w:t>
            </w: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00A1DF"/>
        </w:rPr>
        <w:t>Professional Highlights</w:t>
      </w:r>
    </w:p>
    <w:p>
      <w:pPr>
        <w:spacing w:after="0" w:line="84" w:lineRule="exact"/>
        <w:rPr>
          <w:sz w:val="20"/>
          <w:szCs w:val="20"/>
          <w:color w:val="auto"/>
        </w:rPr>
      </w:pPr>
    </w:p>
    <w:p>
      <w:pPr>
        <w:ind w:left="340" w:right="20" w:firstLine="429"/>
        <w:spacing w:after="0" w:line="279" w:lineRule="auto"/>
        <w:rPr>
          <w:sz w:val="20"/>
          <w:szCs w:val="20"/>
          <w:color w:val="auto"/>
        </w:rPr>
      </w:pPr>
      <w:r>
        <w:rPr>
          <w:rFonts w:ascii="Arial" w:cs="Arial" w:eastAsia="Arial" w:hAnsi="Arial"/>
          <w:sz w:val="16"/>
          <w:szCs w:val="16"/>
          <w:color w:val="auto"/>
        </w:rPr>
        <w:t>Mr. Soran is currently the Director and co-founder of Flipgrid, Inc., a privately-held education technology software company. Mr. Soran served as President, Chief Executive Officer, and a director of Compellent Technologies, Inc., a publicly traded software company which he co-founded in March 2002, until its acquisition by Dell Inc. in February 2011, after which he served as the President of Dell Compellent from February 2011 to March 2012. Mr. Soran also serves as Lead Director on the board of directors of Piper Jaffray Companies, a publicly traded investment bank and asset management firm, and as director on the board of directors for Foodsby, a privately-held food delivery service. He previously served on the board of directors of Help Systems, LLC, a privately-held software company, prior to its sale in March 2018. From July 1995 to August 2001, Mr. Soran served as President, Chief Executive Officer and a member of the board of directors of Xiotech, which Mr. Soran co-founded in July 1995. Xiotech was acquired by Seagate in January 2000. From October 1993 to April 1995, Mr. Soran served as Executive Vice President of Prodea Software Corporation, a data warehousing software company. Mr. Soran also held a variety of management, sales, marketing, and technical positions with IBM, and served on the board of directors of Hutchinson Technology Incorporated, a public manufacturing company, from 2011 until its acquisition by TDK Corporation in 2016. Mr. Soran served as Chairman of our board of directors from May 2014 to May 2017.</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color w:val="00A1DF"/>
        </w:rPr>
        <w:t>Nominee Qualifications</w:t>
      </w:r>
    </w:p>
    <w:p>
      <w:pPr>
        <w:spacing w:after="0" w:line="84" w:lineRule="exact"/>
        <w:rPr>
          <w:sz w:val="20"/>
          <w:szCs w:val="20"/>
          <w:color w:val="auto"/>
        </w:rPr>
      </w:pPr>
    </w:p>
    <w:p>
      <w:pPr>
        <w:ind w:left="340" w:right="360" w:firstLine="429"/>
        <w:spacing w:after="0" w:line="299" w:lineRule="auto"/>
        <w:rPr>
          <w:sz w:val="20"/>
          <w:szCs w:val="20"/>
          <w:color w:val="auto"/>
        </w:rPr>
      </w:pPr>
      <w:r>
        <w:rPr>
          <w:rFonts w:ascii="Arial" w:cs="Arial" w:eastAsia="Arial" w:hAnsi="Arial"/>
          <w:sz w:val="16"/>
          <w:szCs w:val="16"/>
          <w:color w:val="auto"/>
        </w:rPr>
        <w:t>Mr. Soran’s qualifications to serve on our board of directors include, among other skills and qualifications, his experience as a chief executive officer of a publicly traded company, service on a variety of technology-related company boards, and his experience in founding and building technology companies as well as his corporate vision and operational knowledge, which provide strategic guidance to the board.</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00A1DF"/>
        </w:rPr>
        <w:t>Sven A. Wehrwein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Independent financial consultant to emerging companies</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188"/>
        </w:trPr>
        <w:tc>
          <w:tcPr>
            <w:tcW w:w="3820" w:type="dxa"/>
            <w:vAlign w:val="bottom"/>
            <w:tcBorders>
              <w:top w:val="single" w:sz="8" w:color="00A1DF"/>
            </w:tcBorders>
          </w:tcPr>
          <w:p>
            <w:pPr>
              <w:spacing w:after="0" w:line="188" w:lineRule="exact"/>
              <w:rPr>
                <w:sz w:val="20"/>
                <w:szCs w:val="20"/>
                <w:color w:val="auto"/>
              </w:rPr>
            </w:pPr>
            <w:r>
              <w:rPr>
                <w:rFonts w:ascii="Arial" w:cs="Arial" w:eastAsia="Arial" w:hAnsi="Arial"/>
                <w:sz w:val="18"/>
                <w:szCs w:val="18"/>
                <w:b w:val="1"/>
                <w:bCs w:val="1"/>
                <w:color w:val="00A1DF"/>
              </w:rPr>
              <w:t>Age</w:t>
            </w:r>
          </w:p>
        </w:tc>
        <w:tc>
          <w:tcPr>
            <w:tcW w:w="6920" w:type="dxa"/>
            <w:vAlign w:val="bottom"/>
            <w:tcBorders>
              <w:top w:val="single" w:sz="8" w:color="00A1DF"/>
            </w:tcBorders>
          </w:tcPr>
          <w:p>
            <w:pPr>
              <w:ind w:left="1880"/>
              <w:spacing w:after="0" w:line="188" w:lineRule="exact"/>
              <w:rPr>
                <w:sz w:val="20"/>
                <w:szCs w:val="20"/>
                <w:color w:val="auto"/>
              </w:rPr>
            </w:pPr>
            <w:r>
              <w:rPr>
                <w:rFonts w:ascii="Arial" w:cs="Arial" w:eastAsia="Arial" w:hAnsi="Arial"/>
                <w:sz w:val="18"/>
                <w:szCs w:val="18"/>
                <w:color w:val="auto"/>
              </w:rPr>
              <w:t>67</w:t>
            </w:r>
          </w:p>
        </w:tc>
      </w:tr>
      <w:tr>
        <w:trPr>
          <w:trHeight w:val="197"/>
        </w:trPr>
        <w:tc>
          <w:tcPr>
            <w:tcW w:w="3820" w:type="dxa"/>
            <w:vAlign w:val="bottom"/>
          </w:tcPr>
          <w:p>
            <w:pPr>
              <w:spacing w:after="0" w:line="197" w:lineRule="exact"/>
              <w:rPr>
                <w:sz w:val="20"/>
                <w:szCs w:val="20"/>
                <w:color w:val="auto"/>
              </w:rPr>
            </w:pPr>
            <w:r>
              <w:rPr>
                <w:rFonts w:ascii="Arial" w:cs="Arial" w:eastAsia="Arial" w:hAnsi="Arial"/>
                <w:sz w:val="18"/>
                <w:szCs w:val="18"/>
                <w:b w:val="1"/>
                <w:bCs w:val="1"/>
                <w:color w:val="00A1DF"/>
              </w:rPr>
              <w:t>Director since</w:t>
            </w:r>
          </w:p>
        </w:tc>
        <w:tc>
          <w:tcPr>
            <w:tcW w:w="6920" w:type="dxa"/>
            <w:vAlign w:val="bottom"/>
          </w:tcPr>
          <w:p>
            <w:pPr>
              <w:ind w:left="1880"/>
              <w:spacing w:after="0" w:line="197" w:lineRule="exact"/>
              <w:rPr>
                <w:sz w:val="20"/>
                <w:szCs w:val="20"/>
                <w:color w:val="auto"/>
              </w:rPr>
            </w:pPr>
            <w:r>
              <w:rPr>
                <w:rFonts w:ascii="Arial" w:cs="Arial" w:eastAsia="Arial" w:hAnsi="Arial"/>
                <w:sz w:val="18"/>
                <w:szCs w:val="18"/>
                <w:color w:val="auto"/>
              </w:rPr>
              <w:t>2008</w:t>
            </w:r>
          </w:p>
        </w:tc>
      </w:tr>
      <w:tr>
        <w:trPr>
          <w:trHeight w:val="197"/>
        </w:trPr>
        <w:tc>
          <w:tcPr>
            <w:tcW w:w="3820" w:type="dxa"/>
            <w:vAlign w:val="bottom"/>
          </w:tcPr>
          <w:p>
            <w:pPr>
              <w:spacing w:after="0" w:line="197" w:lineRule="exact"/>
              <w:rPr>
                <w:sz w:val="20"/>
                <w:szCs w:val="20"/>
                <w:color w:val="auto"/>
              </w:rPr>
            </w:pPr>
            <w:r>
              <w:rPr>
                <w:rFonts w:ascii="Arial" w:cs="Arial" w:eastAsia="Arial" w:hAnsi="Arial"/>
                <w:sz w:val="18"/>
                <w:szCs w:val="18"/>
                <w:b w:val="1"/>
                <w:bCs w:val="1"/>
                <w:color w:val="00A1DF"/>
              </w:rPr>
              <w:t>SPS Board committees</w:t>
            </w:r>
          </w:p>
        </w:tc>
        <w:tc>
          <w:tcPr>
            <w:tcW w:w="6920" w:type="dxa"/>
            <w:vAlign w:val="bottom"/>
          </w:tcPr>
          <w:p>
            <w:pPr>
              <w:ind w:left="1880"/>
              <w:spacing w:after="0" w:line="197" w:lineRule="exact"/>
              <w:rPr>
                <w:sz w:val="20"/>
                <w:szCs w:val="20"/>
                <w:color w:val="auto"/>
              </w:rPr>
            </w:pPr>
            <w:r>
              <w:rPr>
                <w:rFonts w:ascii="Arial" w:cs="Arial" w:eastAsia="Arial" w:hAnsi="Arial"/>
                <w:sz w:val="18"/>
                <w:szCs w:val="18"/>
                <w:color w:val="auto"/>
              </w:rPr>
              <w:t>Audit; Governance and Nominating</w:t>
            </w:r>
          </w:p>
        </w:tc>
      </w:tr>
      <w:tr>
        <w:trPr>
          <w:trHeight w:val="220"/>
        </w:trPr>
        <w:tc>
          <w:tcPr>
            <w:tcW w:w="3820" w:type="dxa"/>
            <w:vAlign w:val="bottom"/>
            <w:tcBorders>
              <w:bottom w:val="single" w:sz="8" w:color="00A1DF"/>
            </w:tcBorders>
          </w:tcPr>
          <w:p>
            <w:pPr>
              <w:spacing w:after="0"/>
              <w:rPr>
                <w:sz w:val="20"/>
                <w:szCs w:val="20"/>
                <w:color w:val="auto"/>
              </w:rPr>
            </w:pPr>
            <w:r>
              <w:rPr>
                <w:rFonts w:ascii="Arial" w:cs="Arial" w:eastAsia="Arial" w:hAnsi="Arial"/>
                <w:sz w:val="18"/>
                <w:szCs w:val="18"/>
                <w:b w:val="1"/>
                <w:bCs w:val="1"/>
                <w:color w:val="00A1DF"/>
              </w:rPr>
              <w:t>Independent</w:t>
            </w:r>
          </w:p>
        </w:tc>
        <w:tc>
          <w:tcPr>
            <w:tcW w:w="6920" w:type="dxa"/>
            <w:vAlign w:val="bottom"/>
            <w:tcBorders>
              <w:bottom w:val="single" w:sz="8" w:color="00A1DF"/>
            </w:tcBorders>
          </w:tcPr>
          <w:p>
            <w:pPr>
              <w:ind w:left="1880"/>
              <w:spacing w:after="0"/>
              <w:rPr>
                <w:sz w:val="20"/>
                <w:szCs w:val="20"/>
                <w:color w:val="auto"/>
              </w:rPr>
            </w:pPr>
            <w:r>
              <w:rPr>
                <w:rFonts w:ascii="Arial" w:cs="Arial" w:eastAsia="Arial" w:hAnsi="Arial"/>
                <w:sz w:val="18"/>
                <w:szCs w:val="18"/>
                <w:color w:val="auto"/>
              </w:rPr>
              <w:t>Yes</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00A1DF"/>
        </w:rPr>
        <w:t>Professional Highlights</w:t>
      </w:r>
    </w:p>
    <w:p>
      <w:pPr>
        <w:spacing w:after="0" w:line="84" w:lineRule="exact"/>
        <w:rPr>
          <w:sz w:val="20"/>
          <w:szCs w:val="20"/>
          <w:color w:val="auto"/>
        </w:rPr>
      </w:pPr>
    </w:p>
    <w:p>
      <w:pPr>
        <w:ind w:left="340" w:right="180" w:firstLine="429"/>
        <w:spacing w:after="0" w:line="246" w:lineRule="auto"/>
        <w:rPr>
          <w:sz w:val="20"/>
          <w:szCs w:val="20"/>
          <w:color w:val="auto"/>
        </w:rPr>
      </w:pPr>
      <w:r>
        <w:rPr>
          <w:rFonts w:ascii="Arial" w:cs="Arial" w:eastAsia="Arial" w:hAnsi="Arial"/>
          <w:sz w:val="18"/>
          <w:szCs w:val="18"/>
          <w:color w:val="auto"/>
        </w:rPr>
        <w:t>Mr. Wehrwein has been an independent financial consultant to emerging companies since 1999. During his 35-plus years in accounting and finance, Mr. Wehrwein has experience as a certified public accountant (inactive), investment banker to emerging growth companies, chief financial officer, and audit committee chair. He currently serves on the board of directors of Atricure, Inc., a publicly traded medical device company, and Proto Labs, Inc., a publicly traded internet-enabled manufacturer of custom parts. Mr. Wehrwein also served on the board of directors of Compellent Technologies, Inc. from 2007 until its acquisition by Dell Inc. in 2011, on the board of Vital Images, Inc. from 1997 until its acquisition by Toshiba Medical in 2011, on the board of Synovis Life Technologies, Inc. from 2004 until its acquisition by Baxter International, Inc. in 2012, on the board of Cogentix Medical, Inc. from 2006 to 2016, and on the board of Image Sensing Systems, Inc. from 2006 to 2012, all of which were publicly traded companies.</w:t>
      </w:r>
    </w:p>
    <w:p>
      <w:pPr>
        <w:spacing w:after="0" w:line="13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240" w:top="451" w:right="57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color w:val="00A1DF"/>
        </w:rPr>
        <w:t>Nominee Qualifications</w:t>
      </w:r>
    </w:p>
    <w:p>
      <w:pPr>
        <w:spacing w:after="0" w:line="84" w:lineRule="exact"/>
        <w:rPr>
          <w:sz w:val="20"/>
          <w:szCs w:val="20"/>
          <w:color w:val="auto"/>
        </w:rPr>
      </w:pPr>
    </w:p>
    <w:p>
      <w:pPr>
        <w:ind w:left="340" w:firstLine="429"/>
        <w:spacing w:after="0" w:line="249" w:lineRule="auto"/>
        <w:rPr>
          <w:sz w:val="20"/>
          <w:szCs w:val="20"/>
          <w:color w:val="auto"/>
        </w:rPr>
      </w:pPr>
      <w:r>
        <w:rPr>
          <w:rFonts w:ascii="Arial" w:cs="Arial" w:eastAsia="Arial" w:hAnsi="Arial"/>
          <w:sz w:val="18"/>
          <w:szCs w:val="18"/>
          <w:color w:val="auto"/>
        </w:rPr>
        <w:t>Mr. Wehrwein’s qualifications to serve on our board of directors include, among other skills and qualifications, his capabilities in financial understanding, strategic planning, and auditing expertise, given his experiences in investment banking and in financial leadership positions. As chairman of the audit committee, Mr. Wehrwein also keeps the board abreast of current audit issues and collaborates with our independent auditors and senior management team.</w:t>
      </w:r>
    </w:p>
    <w:p>
      <w:pPr>
        <w:spacing w:after="0" w:line="12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240" w:top="451" w:right="59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76" w:lineRule="exact"/>
        <w:rPr>
          <w:sz w:val="20"/>
          <w:szCs w:val="20"/>
          <w:color w:val="auto"/>
        </w:rPr>
      </w:pPr>
    </w:p>
    <w:p>
      <w:pPr>
        <w:jc w:val="center"/>
        <w:ind w:left="580" w:right="140"/>
        <w:spacing w:after="0" w:line="280" w:lineRule="auto"/>
        <w:rPr>
          <w:sz w:val="20"/>
          <w:szCs w:val="20"/>
          <w:color w:val="auto"/>
        </w:rPr>
      </w:pPr>
      <w:r>
        <w:rPr>
          <w:rFonts w:ascii="Arial" w:cs="Arial" w:eastAsia="Arial" w:hAnsi="Arial"/>
          <w:sz w:val="35"/>
          <w:szCs w:val="35"/>
          <w:b w:val="1"/>
          <w:bCs w:val="1"/>
          <w:color w:val="00A1DF"/>
        </w:rPr>
        <w:t>INFORMATION REGARDING THE BOARD OF DIRECTORS AND CORPORATE GOVERNANCE</w:t>
      </w:r>
    </w:p>
    <w:p>
      <w:pPr>
        <w:spacing w:after="0" w:line="120" w:lineRule="exact"/>
        <w:rPr>
          <w:sz w:val="20"/>
          <w:szCs w:val="20"/>
          <w:color w:val="auto"/>
        </w:rPr>
      </w:pPr>
    </w:p>
    <w:p>
      <w:pPr>
        <w:ind w:left="340" w:right="40" w:firstLine="429"/>
        <w:spacing w:after="0" w:line="315" w:lineRule="auto"/>
        <w:rPr>
          <w:sz w:val="20"/>
          <w:szCs w:val="20"/>
          <w:color w:val="auto"/>
        </w:rPr>
      </w:pPr>
      <w:r>
        <w:rPr>
          <w:rFonts w:ascii="Arial" w:cs="Arial" w:eastAsia="Arial" w:hAnsi="Arial"/>
          <w:sz w:val="15"/>
          <w:szCs w:val="15"/>
          <w:color w:val="auto"/>
        </w:rPr>
        <w:t xml:space="preserve">The board of directors conducts its business through meetings of the board and the following standing committees: audit, compensation, and governance and nominating. Each of the standing committees has adopted and operates under a written charter, all of which are available on our website at </w:t>
      </w:r>
      <w:r>
        <w:rPr>
          <w:rFonts w:ascii="Arial" w:cs="Arial" w:eastAsia="Arial" w:hAnsi="Arial"/>
          <w:sz w:val="15"/>
          <w:szCs w:val="15"/>
          <w:i w:val="1"/>
          <w:iCs w:val="1"/>
          <w:color w:val="auto"/>
        </w:rPr>
        <w:t>www.spscommerce.com</w:t>
      </w:r>
      <w:r>
        <w:rPr>
          <w:rFonts w:ascii="Arial" w:cs="Arial" w:eastAsia="Arial" w:hAnsi="Arial"/>
          <w:sz w:val="15"/>
          <w:szCs w:val="15"/>
          <w:color w:val="auto"/>
        </w:rPr>
        <w:t xml:space="preserve">. We have adopted a code of business conduct and ethics relating to the conduct of our business by our directors, officers and employees, which is posted on our website at </w:t>
      </w:r>
      <w:r>
        <w:rPr>
          <w:rFonts w:ascii="Arial" w:cs="Arial" w:eastAsia="Arial" w:hAnsi="Arial"/>
          <w:sz w:val="15"/>
          <w:szCs w:val="15"/>
          <w:i w:val="1"/>
          <w:iCs w:val="1"/>
          <w:u w:val="single" w:color="auto"/>
          <w:color w:val="auto"/>
        </w:rPr>
        <w:t>www.spscommerce.com</w:t>
      </w:r>
      <w:r>
        <w:rPr>
          <w:rFonts w:ascii="Arial" w:cs="Arial" w:eastAsia="Arial" w:hAnsi="Arial"/>
          <w:sz w:val="15"/>
          <w:szCs w:val="15"/>
          <w:color w:val="auto"/>
        </w:rPr>
        <w:t>. Our Corporate Governance Guidelines are also available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134620</wp:posOffset>
            </wp:positionV>
            <wp:extent cx="68160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Director Independence</w:t>
      </w:r>
    </w:p>
    <w:p>
      <w:pPr>
        <w:spacing w:after="0" w:line="112" w:lineRule="exact"/>
        <w:rPr>
          <w:sz w:val="20"/>
          <w:szCs w:val="20"/>
          <w:color w:val="auto"/>
        </w:rPr>
      </w:pPr>
    </w:p>
    <w:p>
      <w:pPr>
        <w:ind w:left="340" w:right="260" w:firstLine="429"/>
        <w:spacing w:after="0" w:line="291" w:lineRule="auto"/>
        <w:rPr>
          <w:sz w:val="20"/>
          <w:szCs w:val="20"/>
          <w:color w:val="auto"/>
        </w:rPr>
      </w:pPr>
      <w:r>
        <w:rPr>
          <w:rFonts w:ascii="Arial" w:cs="Arial" w:eastAsia="Arial" w:hAnsi="Arial"/>
          <w:sz w:val="16"/>
          <w:szCs w:val="16"/>
          <w:color w:val="auto"/>
        </w:rPr>
        <w:t>As required under the Nasdaq Global Market rules and regulations, a majority of the members of a listed company’s board of directors must qualify as “independent,” as affirmatively determined by the board. The board of directors consults with our counsel to ensure that the board’s determinations are consistent with all relevant securities and other laws and regulations regarding the definition of “independent,” including those set forth in pertinent listing standards of the Nasdaq Global Market, as in effect from time to time.</w:t>
      </w:r>
    </w:p>
    <w:p>
      <w:pPr>
        <w:spacing w:after="0" w:line="160" w:lineRule="exact"/>
        <w:rPr>
          <w:sz w:val="20"/>
          <w:szCs w:val="20"/>
          <w:color w:val="auto"/>
        </w:rPr>
      </w:pPr>
    </w:p>
    <w:p>
      <w:pPr>
        <w:ind w:left="340" w:right="280" w:firstLine="429"/>
        <w:spacing w:after="0" w:line="249" w:lineRule="auto"/>
        <w:rPr>
          <w:sz w:val="20"/>
          <w:szCs w:val="20"/>
          <w:color w:val="auto"/>
        </w:rPr>
      </w:pPr>
      <w:r>
        <w:rPr>
          <w:rFonts w:ascii="Arial" w:cs="Arial" w:eastAsia="Arial" w:hAnsi="Arial"/>
          <w:sz w:val="18"/>
          <w:szCs w:val="18"/>
          <w:color w:val="auto"/>
        </w:rPr>
        <w:t>Consistent with these considerations, after review of all relevant transactions or relationships between each director, or any of his or her family members, and our Company, our management and our independent registered public accounting firm, the board of directors has affirmatively determined that all of our Company’s directors are independent directors within the meaning of the applicable listing standards of the Nasdaq Global Market, except for Mr. Black, our current President and Chief Executive Officer.</w:t>
      </w:r>
    </w:p>
    <w:p>
      <w:pPr>
        <w:spacing w:after="0" w:line="193" w:lineRule="exact"/>
        <w:rPr>
          <w:sz w:val="20"/>
          <w:szCs w:val="20"/>
          <w:color w:val="auto"/>
        </w:rPr>
      </w:pPr>
    </w:p>
    <w:p>
      <w:pPr>
        <w:ind w:left="340" w:firstLine="429"/>
        <w:spacing w:after="0" w:line="252" w:lineRule="auto"/>
        <w:rPr>
          <w:sz w:val="20"/>
          <w:szCs w:val="20"/>
          <w:color w:val="auto"/>
        </w:rPr>
      </w:pPr>
      <w:r>
        <w:rPr>
          <w:rFonts w:ascii="Arial" w:cs="Arial" w:eastAsia="Arial" w:hAnsi="Arial"/>
          <w:sz w:val="18"/>
          <w:szCs w:val="18"/>
          <w:color w:val="auto"/>
        </w:rPr>
        <w:t>As required under the Nasdaq Global Market rules and regulations, our independent directors meet in regularly scheduled executive sessions at which only independent directors are present. All of the committees of our board of directors are comprised entirely of directors determined by the board to be independent within the meaning of the Nasdaq Global Market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161925</wp:posOffset>
            </wp:positionV>
            <wp:extent cx="68160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Board Leadership Structure</w:t>
      </w:r>
    </w:p>
    <w:p>
      <w:pPr>
        <w:spacing w:after="0" w:line="112" w:lineRule="exact"/>
        <w:rPr>
          <w:sz w:val="20"/>
          <w:szCs w:val="20"/>
          <w:color w:val="auto"/>
        </w:rPr>
      </w:pPr>
    </w:p>
    <w:p>
      <w:pPr>
        <w:ind w:left="340" w:right="20" w:firstLine="429"/>
        <w:spacing w:after="0" w:line="281" w:lineRule="auto"/>
        <w:rPr>
          <w:sz w:val="20"/>
          <w:szCs w:val="20"/>
          <w:color w:val="auto"/>
        </w:rPr>
      </w:pPr>
      <w:r>
        <w:rPr>
          <w:rFonts w:ascii="Arial" w:cs="Arial" w:eastAsia="Arial" w:hAnsi="Arial"/>
          <w:sz w:val="16"/>
          <w:szCs w:val="16"/>
          <w:color w:val="auto"/>
        </w:rPr>
        <w:t>Mr. Smerklo, a non-employee independent director, has served as our chairman of the board of directors since May 2017, while Mr. Black serves as our President and Chief Executive Officer. When Mr. Smerklo retires from the board at the annual meeting, a non-employee independent director will be appointed to serve as chairman of the board. Separating these positions allows our Chief Executive Officer to focus on our day-to-day business, while allowing the chairman of the board to lead the board in its fundamental role of providing advice to, and independent oversight of, management. The board of directors recognizes the time, effort and energy that the Chief Executive Officer is required to devote to his position in the current business environment, as well as the commitment required to serve as our chairman. Our Corporate Governance Guidelines require our chairman and Chief Executive Officer positions to be separate because the board of directors believes that having separate positions and having an independent director serve as chairman of the board is the appropriate leadership structure for us and demonstrates our commitment to good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149860</wp:posOffset>
            </wp:positionV>
            <wp:extent cx="68160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Board Involvement in Risk Oversight</w:t>
      </w:r>
    </w:p>
    <w:p>
      <w:pPr>
        <w:spacing w:after="0" w:line="112" w:lineRule="exact"/>
        <w:rPr>
          <w:sz w:val="20"/>
          <w:szCs w:val="20"/>
          <w:color w:val="auto"/>
        </w:rPr>
      </w:pPr>
    </w:p>
    <w:p>
      <w:pPr>
        <w:ind w:left="340" w:right="220" w:firstLine="429"/>
        <w:spacing w:after="0" w:line="247" w:lineRule="auto"/>
        <w:rPr>
          <w:sz w:val="20"/>
          <w:szCs w:val="20"/>
          <w:color w:val="auto"/>
        </w:rPr>
      </w:pPr>
      <w:r>
        <w:rPr>
          <w:rFonts w:ascii="Arial" w:cs="Arial" w:eastAsia="Arial" w:hAnsi="Arial"/>
          <w:sz w:val="18"/>
          <w:szCs w:val="18"/>
          <w:color w:val="auto"/>
        </w:rPr>
        <w:t>Our management is responsible for identifying the various risks facing us, formulating risk management policies and procedures, and managing our risk exposures on a day-to-day basis. The board of directors’ responsibility is to monitor our risk management processes by informing itself concerning our material risks and evaluating whether management has reasonable controls in place to address the material risks; the board is not responsible, however, for identifying or managing our various risks. The audit committee of the board of directors is primarily responsible for monitoring management’s responsibility in the area of financial risk oversight and the board of directors is primarily responsible for monitoring management’s responsibility in our</w:t>
      </w:r>
    </w:p>
    <w:p>
      <w:pPr>
        <w:spacing w:after="0" w:line="1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240" w:top="451" w:right="57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80"/>
        <w:spacing w:after="0" w:line="306" w:lineRule="auto"/>
        <w:rPr>
          <w:sz w:val="20"/>
          <w:szCs w:val="20"/>
          <w:color w:val="auto"/>
        </w:rPr>
      </w:pPr>
      <w:r>
        <w:rPr>
          <w:rFonts w:ascii="Arial" w:cs="Arial" w:eastAsia="Arial" w:hAnsi="Arial"/>
          <w:sz w:val="15"/>
          <w:szCs w:val="15"/>
          <w:color w:val="auto"/>
        </w:rPr>
        <w:t>other areas of risk management. Accordingly, management regularly reported to the audit committee and the board of directors on risk management during 2017. The audit committee, in turn, reports on the matters discussed at the committee level to the full board. The audit committee and the full board focus on the material risks facing us, including financial, operational, market, credit, liquidity, legal and regulatory risks, to assess whether management has reasonable controls in place to address these risks. In addition, the compensation committee is charged with reviewing and discussing with management whether our compensation arrangements are administered consistent with effective internal controls and sound risk management. The board of directors believes this division of responsibilities provides an effective and efficient approach for addressing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139065</wp:posOffset>
            </wp:positionV>
            <wp:extent cx="68160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Board Committees</w:t>
      </w:r>
    </w:p>
    <w:p>
      <w:pPr>
        <w:spacing w:after="0" w:line="112" w:lineRule="exact"/>
        <w:rPr>
          <w:sz w:val="20"/>
          <w:szCs w:val="20"/>
          <w:color w:val="auto"/>
        </w:rPr>
      </w:pPr>
    </w:p>
    <w:p>
      <w:pPr>
        <w:ind w:left="340" w:firstLine="429"/>
        <w:spacing w:after="0" w:line="261" w:lineRule="auto"/>
        <w:rPr>
          <w:sz w:val="20"/>
          <w:szCs w:val="20"/>
          <w:color w:val="auto"/>
        </w:rPr>
      </w:pPr>
      <w:r>
        <w:rPr>
          <w:rFonts w:ascii="Arial" w:cs="Arial" w:eastAsia="Arial" w:hAnsi="Arial"/>
          <w:sz w:val="18"/>
          <w:szCs w:val="18"/>
          <w:color w:val="auto"/>
        </w:rPr>
        <w:t>The board of directors has established an audit committee, a compensation committee and a governance and nominating committee. The following sets forth the membership of each of our committees as of April 2, 2018.</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600" w:type="dxa"/>
            <w:vAlign w:val="bottom"/>
            <w:tcBorders>
              <w:bottom w:val="single" w:sz="8" w:color="00A1DF"/>
            </w:tcBorders>
          </w:tcPr>
          <w:p>
            <w:pPr>
              <w:spacing w:after="0"/>
              <w:rPr>
                <w:sz w:val="14"/>
                <w:szCs w:val="14"/>
                <w:color w:val="auto"/>
              </w:rPr>
            </w:pPr>
          </w:p>
        </w:tc>
        <w:tc>
          <w:tcPr>
            <w:tcW w:w="2740" w:type="dxa"/>
            <w:vAlign w:val="bottom"/>
            <w:tcBorders>
              <w:bottom w:val="single" w:sz="8" w:color="00A1DF"/>
            </w:tcBorders>
          </w:tcPr>
          <w:p>
            <w:pPr>
              <w:ind w:left="940"/>
              <w:spacing w:after="0"/>
              <w:rPr>
                <w:sz w:val="20"/>
                <w:szCs w:val="20"/>
                <w:color w:val="auto"/>
              </w:rPr>
            </w:pPr>
            <w:r>
              <w:rPr>
                <w:rFonts w:ascii="Arial" w:cs="Arial" w:eastAsia="Arial" w:hAnsi="Arial"/>
                <w:sz w:val="14"/>
                <w:szCs w:val="14"/>
                <w:color w:val="00A1DF"/>
              </w:rPr>
              <w:t>SPS COMMITTEES</w:t>
            </w:r>
          </w:p>
        </w:tc>
        <w:tc>
          <w:tcPr>
            <w:tcW w:w="2660" w:type="dxa"/>
            <w:vAlign w:val="bottom"/>
            <w:tcBorders>
              <w:bottom w:val="single" w:sz="8" w:color="00A1DF"/>
            </w:tcBorders>
          </w:tcPr>
          <w:p>
            <w:pPr>
              <w:spacing w:after="0"/>
              <w:rPr>
                <w:sz w:val="14"/>
                <w:szCs w:val="14"/>
                <w:color w:val="auto"/>
              </w:rPr>
            </w:pPr>
          </w:p>
        </w:tc>
      </w:tr>
      <w:tr>
        <w:trPr>
          <w:trHeight w:val="151"/>
        </w:trPr>
        <w:tc>
          <w:tcPr>
            <w:tcW w:w="2740" w:type="dxa"/>
            <w:vAlign w:val="bottom"/>
            <w:tcBorders>
              <w:bottom w:val="single" w:sz="8" w:color="00A1DF"/>
            </w:tcBorders>
          </w:tcPr>
          <w:p>
            <w:pPr>
              <w:spacing w:after="0" w:line="151" w:lineRule="exact"/>
              <w:rPr>
                <w:sz w:val="20"/>
                <w:szCs w:val="20"/>
                <w:color w:val="auto"/>
              </w:rPr>
            </w:pPr>
            <w:r>
              <w:rPr>
                <w:rFonts w:ascii="Arial" w:cs="Arial" w:eastAsia="Arial" w:hAnsi="Arial"/>
                <w:sz w:val="14"/>
                <w:szCs w:val="14"/>
                <w:color w:val="00A1DF"/>
              </w:rPr>
              <w:t>DIRECTOR</w:t>
            </w:r>
          </w:p>
        </w:tc>
        <w:tc>
          <w:tcPr>
            <w:tcW w:w="2600" w:type="dxa"/>
            <w:vAlign w:val="bottom"/>
            <w:tcBorders>
              <w:bottom w:val="single" w:sz="8" w:color="00A1DF"/>
            </w:tcBorders>
          </w:tcPr>
          <w:p>
            <w:pPr>
              <w:ind w:left="1360"/>
              <w:spacing w:after="0" w:line="151" w:lineRule="exact"/>
              <w:rPr>
                <w:sz w:val="20"/>
                <w:szCs w:val="20"/>
                <w:color w:val="auto"/>
              </w:rPr>
            </w:pPr>
            <w:r>
              <w:rPr>
                <w:rFonts w:ascii="Arial" w:cs="Arial" w:eastAsia="Arial" w:hAnsi="Arial"/>
                <w:sz w:val="14"/>
                <w:szCs w:val="14"/>
                <w:color w:val="00A1DF"/>
              </w:rPr>
              <w:t>Audit</w:t>
            </w:r>
          </w:p>
        </w:tc>
        <w:tc>
          <w:tcPr>
            <w:tcW w:w="2740" w:type="dxa"/>
            <w:vAlign w:val="bottom"/>
            <w:tcBorders>
              <w:bottom w:val="single" w:sz="8" w:color="00A1DF"/>
            </w:tcBorders>
          </w:tcPr>
          <w:p>
            <w:pPr>
              <w:ind w:left="1200"/>
              <w:spacing w:after="0" w:line="151" w:lineRule="exact"/>
              <w:rPr>
                <w:sz w:val="20"/>
                <w:szCs w:val="20"/>
                <w:color w:val="auto"/>
              </w:rPr>
            </w:pPr>
            <w:r>
              <w:rPr>
                <w:rFonts w:ascii="Arial" w:cs="Arial" w:eastAsia="Arial" w:hAnsi="Arial"/>
                <w:sz w:val="14"/>
                <w:szCs w:val="14"/>
                <w:color w:val="00A1DF"/>
              </w:rPr>
              <w:t>Compensation</w:t>
            </w:r>
          </w:p>
        </w:tc>
        <w:tc>
          <w:tcPr>
            <w:tcW w:w="2660" w:type="dxa"/>
            <w:vAlign w:val="bottom"/>
            <w:tcBorders>
              <w:bottom w:val="single" w:sz="8" w:color="00A1DF"/>
            </w:tcBorders>
          </w:tcPr>
          <w:p>
            <w:pPr>
              <w:ind w:left="560"/>
              <w:spacing w:after="0" w:line="151" w:lineRule="exact"/>
              <w:rPr>
                <w:sz w:val="20"/>
                <w:szCs w:val="20"/>
                <w:color w:val="auto"/>
              </w:rPr>
            </w:pPr>
            <w:r>
              <w:rPr>
                <w:rFonts w:ascii="Arial" w:cs="Arial" w:eastAsia="Arial" w:hAnsi="Arial"/>
                <w:sz w:val="14"/>
                <w:szCs w:val="14"/>
                <w:color w:val="00A1DF"/>
              </w:rPr>
              <w:t>Governance and Nominating</w:t>
            </w:r>
          </w:p>
        </w:tc>
      </w:tr>
      <w:tr>
        <w:trPr>
          <w:trHeight w:val="151"/>
        </w:trPr>
        <w:tc>
          <w:tcPr>
            <w:tcW w:w="2740" w:type="dxa"/>
            <w:vAlign w:val="bottom"/>
            <w:tcBorders>
              <w:bottom w:val="single" w:sz="8" w:color="7F7F7F"/>
            </w:tcBorders>
          </w:tcPr>
          <w:p>
            <w:pPr>
              <w:spacing w:after="0" w:line="151" w:lineRule="exact"/>
              <w:rPr>
                <w:sz w:val="20"/>
                <w:szCs w:val="20"/>
                <w:color w:val="auto"/>
              </w:rPr>
            </w:pPr>
            <w:r>
              <w:rPr>
                <w:rFonts w:ascii="Arial" w:cs="Arial" w:eastAsia="Arial" w:hAnsi="Arial"/>
                <w:sz w:val="14"/>
                <w:szCs w:val="14"/>
                <w:color w:val="00A1DF"/>
              </w:rPr>
              <w:t>Archie C. Black</w:t>
            </w:r>
          </w:p>
        </w:tc>
        <w:tc>
          <w:tcPr>
            <w:tcW w:w="2600" w:type="dxa"/>
            <w:vAlign w:val="bottom"/>
            <w:tcBorders>
              <w:bottom w:val="single" w:sz="8" w:color="7F7F7F"/>
            </w:tcBorders>
          </w:tcPr>
          <w:p>
            <w:pPr>
              <w:spacing w:after="0"/>
              <w:rPr>
                <w:sz w:val="13"/>
                <w:szCs w:val="13"/>
                <w:color w:val="auto"/>
              </w:rPr>
            </w:pPr>
          </w:p>
        </w:tc>
        <w:tc>
          <w:tcPr>
            <w:tcW w:w="2740" w:type="dxa"/>
            <w:vAlign w:val="bottom"/>
            <w:tcBorders>
              <w:bottom w:val="single" w:sz="8" w:color="7F7F7F"/>
            </w:tcBorders>
          </w:tcPr>
          <w:p>
            <w:pPr>
              <w:spacing w:after="0"/>
              <w:rPr>
                <w:sz w:val="13"/>
                <w:szCs w:val="13"/>
                <w:color w:val="auto"/>
              </w:rPr>
            </w:pPr>
          </w:p>
        </w:tc>
        <w:tc>
          <w:tcPr>
            <w:tcW w:w="2660" w:type="dxa"/>
            <w:vAlign w:val="bottom"/>
            <w:tcBorders>
              <w:bottom w:val="single" w:sz="8" w:color="7F7F7F"/>
            </w:tcBorders>
          </w:tcPr>
          <w:p>
            <w:pPr>
              <w:spacing w:after="0"/>
              <w:rPr>
                <w:sz w:val="13"/>
                <w:szCs w:val="13"/>
                <w:color w:val="auto"/>
              </w:rPr>
            </w:pPr>
          </w:p>
        </w:tc>
      </w:tr>
      <w:tr>
        <w:trPr>
          <w:trHeight w:val="151"/>
        </w:trPr>
        <w:tc>
          <w:tcPr>
            <w:tcW w:w="2740" w:type="dxa"/>
            <w:vAlign w:val="bottom"/>
            <w:tcBorders>
              <w:bottom w:val="single" w:sz="8" w:color="7F7F7F"/>
            </w:tcBorders>
          </w:tcPr>
          <w:p>
            <w:pPr>
              <w:spacing w:after="0" w:line="151" w:lineRule="exact"/>
              <w:rPr>
                <w:sz w:val="20"/>
                <w:szCs w:val="20"/>
                <w:color w:val="auto"/>
              </w:rPr>
            </w:pPr>
            <w:r>
              <w:rPr>
                <w:rFonts w:ascii="Arial" w:cs="Arial" w:eastAsia="Arial" w:hAnsi="Arial"/>
                <w:sz w:val="14"/>
                <w:szCs w:val="14"/>
                <w:color w:val="00A1DF"/>
              </w:rPr>
              <w:t>Melvin L. Keating</w:t>
            </w:r>
          </w:p>
        </w:tc>
        <w:tc>
          <w:tcPr>
            <w:tcW w:w="2600" w:type="dxa"/>
            <w:vAlign w:val="bottom"/>
            <w:tcBorders>
              <w:bottom w:val="single" w:sz="8" w:color="7F7F7F"/>
            </w:tcBorders>
          </w:tcPr>
          <w:p>
            <w:pPr>
              <w:spacing w:after="0"/>
              <w:rPr>
                <w:sz w:val="13"/>
                <w:szCs w:val="13"/>
                <w:color w:val="auto"/>
              </w:rPr>
            </w:pPr>
          </w:p>
        </w:tc>
        <w:tc>
          <w:tcPr>
            <w:tcW w:w="2740" w:type="dxa"/>
            <w:vAlign w:val="bottom"/>
            <w:tcBorders>
              <w:bottom w:val="single" w:sz="8" w:color="7F7F7F"/>
            </w:tcBorders>
          </w:tcPr>
          <w:p>
            <w:pPr>
              <w:spacing w:after="0"/>
              <w:rPr>
                <w:sz w:val="13"/>
                <w:szCs w:val="13"/>
                <w:color w:val="auto"/>
              </w:rPr>
            </w:pPr>
          </w:p>
        </w:tc>
        <w:tc>
          <w:tcPr>
            <w:tcW w:w="2660" w:type="dxa"/>
            <w:vAlign w:val="bottom"/>
            <w:tcBorders>
              <w:bottom w:val="single" w:sz="8" w:color="7F7F7F"/>
            </w:tcBorders>
          </w:tcPr>
          <w:p>
            <w:pPr>
              <w:spacing w:after="0"/>
              <w:rPr>
                <w:sz w:val="13"/>
                <w:szCs w:val="13"/>
                <w:color w:val="auto"/>
              </w:rPr>
            </w:pPr>
          </w:p>
        </w:tc>
      </w:tr>
      <w:tr>
        <w:trPr>
          <w:trHeight w:val="167"/>
        </w:trPr>
        <w:tc>
          <w:tcPr>
            <w:tcW w:w="2740" w:type="dxa"/>
            <w:vAlign w:val="bottom"/>
          </w:tcPr>
          <w:p>
            <w:pPr>
              <w:spacing w:after="0"/>
              <w:rPr>
                <w:sz w:val="20"/>
                <w:szCs w:val="20"/>
                <w:color w:val="auto"/>
              </w:rPr>
            </w:pPr>
            <w:r>
              <w:rPr>
                <w:rFonts w:ascii="Arial" w:cs="Arial" w:eastAsia="Arial" w:hAnsi="Arial"/>
                <w:sz w:val="14"/>
                <w:szCs w:val="14"/>
                <w:color w:val="00A1DF"/>
              </w:rPr>
              <w:t>Martin J. Leestma</w:t>
            </w:r>
          </w:p>
        </w:tc>
        <w:tc>
          <w:tcPr>
            <w:tcW w:w="26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24"/>
        </w:trPr>
        <w:tc>
          <w:tcPr>
            <w:tcW w:w="2740" w:type="dxa"/>
            <w:vAlign w:val="bottom"/>
            <w:tcBorders>
              <w:bottom w:val="single" w:sz="8" w:color="7F7F7F"/>
            </w:tcBorders>
          </w:tcPr>
          <w:p>
            <w:pPr>
              <w:spacing w:after="0"/>
              <w:rPr>
                <w:sz w:val="2"/>
                <w:szCs w:val="2"/>
                <w:color w:val="auto"/>
              </w:rPr>
            </w:pPr>
          </w:p>
        </w:tc>
        <w:tc>
          <w:tcPr>
            <w:tcW w:w="2600" w:type="dxa"/>
            <w:vAlign w:val="bottom"/>
            <w:tcBorders>
              <w:bottom w:val="single" w:sz="8" w:color="7F7F7F"/>
            </w:tcBorders>
          </w:tcPr>
          <w:p>
            <w:pPr>
              <w:spacing w:after="0"/>
              <w:rPr>
                <w:sz w:val="2"/>
                <w:szCs w:val="2"/>
                <w:color w:val="auto"/>
              </w:rPr>
            </w:pPr>
          </w:p>
        </w:tc>
        <w:tc>
          <w:tcPr>
            <w:tcW w:w="2740" w:type="dxa"/>
            <w:vAlign w:val="bottom"/>
            <w:tcBorders>
              <w:bottom w:val="single" w:sz="8" w:color="7F7F7F"/>
            </w:tcBorders>
          </w:tcPr>
          <w:p>
            <w:pPr>
              <w:spacing w:after="0"/>
              <w:rPr>
                <w:sz w:val="2"/>
                <w:szCs w:val="2"/>
                <w:color w:val="auto"/>
              </w:rPr>
            </w:pPr>
          </w:p>
        </w:tc>
        <w:tc>
          <w:tcPr>
            <w:tcW w:w="2660" w:type="dxa"/>
            <w:vAlign w:val="bottom"/>
            <w:tcBorders>
              <w:bottom w:val="single" w:sz="8" w:color="7F7F7F"/>
            </w:tcBorders>
          </w:tcPr>
          <w:p>
            <w:pPr>
              <w:spacing w:after="0"/>
              <w:rPr>
                <w:sz w:val="2"/>
                <w:szCs w:val="2"/>
                <w:color w:val="auto"/>
              </w:rPr>
            </w:pPr>
          </w:p>
        </w:tc>
      </w:tr>
      <w:tr>
        <w:trPr>
          <w:trHeight w:val="151"/>
        </w:trPr>
        <w:tc>
          <w:tcPr>
            <w:tcW w:w="2740" w:type="dxa"/>
            <w:vAlign w:val="bottom"/>
            <w:tcBorders>
              <w:bottom w:val="single" w:sz="8" w:color="7F7F7F"/>
            </w:tcBorders>
          </w:tcPr>
          <w:p>
            <w:pPr>
              <w:spacing w:after="0" w:line="151" w:lineRule="exact"/>
              <w:rPr>
                <w:sz w:val="20"/>
                <w:szCs w:val="20"/>
                <w:color w:val="auto"/>
              </w:rPr>
            </w:pPr>
            <w:r>
              <w:rPr>
                <w:rFonts w:ascii="Arial" w:cs="Arial" w:eastAsia="Arial" w:hAnsi="Arial"/>
                <w:sz w:val="14"/>
                <w:szCs w:val="14"/>
                <w:color w:val="00A1DF"/>
              </w:rPr>
              <w:t>Michael J. McConnell</w:t>
            </w:r>
          </w:p>
        </w:tc>
        <w:tc>
          <w:tcPr>
            <w:tcW w:w="2600" w:type="dxa"/>
            <w:vAlign w:val="bottom"/>
            <w:tcBorders>
              <w:bottom w:val="single" w:sz="8" w:color="7F7F7F"/>
            </w:tcBorders>
          </w:tcPr>
          <w:p>
            <w:pPr>
              <w:spacing w:after="0"/>
              <w:rPr>
                <w:sz w:val="13"/>
                <w:szCs w:val="13"/>
                <w:color w:val="auto"/>
              </w:rPr>
            </w:pPr>
          </w:p>
        </w:tc>
        <w:tc>
          <w:tcPr>
            <w:tcW w:w="2740" w:type="dxa"/>
            <w:vAlign w:val="bottom"/>
            <w:tcBorders>
              <w:bottom w:val="single" w:sz="8" w:color="7F7F7F"/>
            </w:tcBorders>
          </w:tcPr>
          <w:p>
            <w:pPr>
              <w:spacing w:after="0"/>
              <w:rPr>
                <w:sz w:val="13"/>
                <w:szCs w:val="13"/>
                <w:color w:val="auto"/>
              </w:rPr>
            </w:pPr>
          </w:p>
        </w:tc>
        <w:tc>
          <w:tcPr>
            <w:tcW w:w="2660" w:type="dxa"/>
            <w:vAlign w:val="bottom"/>
            <w:tcBorders>
              <w:bottom w:val="single" w:sz="8" w:color="7F7F7F"/>
            </w:tcBorders>
          </w:tcPr>
          <w:p>
            <w:pPr>
              <w:spacing w:after="0"/>
              <w:rPr>
                <w:sz w:val="13"/>
                <w:szCs w:val="13"/>
                <w:color w:val="auto"/>
              </w:rPr>
            </w:pPr>
          </w:p>
        </w:tc>
      </w:tr>
      <w:tr>
        <w:trPr>
          <w:trHeight w:val="167"/>
        </w:trPr>
        <w:tc>
          <w:tcPr>
            <w:tcW w:w="2740" w:type="dxa"/>
            <w:vAlign w:val="bottom"/>
          </w:tcPr>
          <w:p>
            <w:pPr>
              <w:spacing w:after="0"/>
              <w:rPr>
                <w:sz w:val="20"/>
                <w:szCs w:val="20"/>
                <w:color w:val="auto"/>
              </w:rPr>
            </w:pPr>
            <w:r>
              <w:rPr>
                <w:rFonts w:ascii="Arial" w:cs="Arial" w:eastAsia="Arial" w:hAnsi="Arial"/>
                <w:sz w:val="14"/>
                <w:szCs w:val="14"/>
                <w:color w:val="00A1DF"/>
              </w:rPr>
              <w:t>James B. Ramsey</w:t>
            </w:r>
          </w:p>
        </w:tc>
        <w:tc>
          <w:tcPr>
            <w:tcW w:w="26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6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2884805</wp:posOffset>
            </wp:positionH>
            <wp:positionV relativeFrom="paragraph">
              <wp:posOffset>-351790</wp:posOffset>
            </wp:positionV>
            <wp:extent cx="74930" cy="1250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4930" cy="125095"/>
                    </a:xfrm>
                    <a:prstGeom prst="rect">
                      <a:avLst/>
                    </a:prstGeom>
                    <a:noFill/>
                  </pic:spPr>
                </pic:pic>
              </a:graphicData>
            </a:graphic>
          </wp:anchor>
        </w:drawing>
        <w:drawing>
          <wp:anchor simplePos="0" relativeHeight="251657728" behindDoc="1" locked="0" layoutInCell="0" allowOverlap="1">
            <wp:simplePos x="0" y="0"/>
            <wp:positionH relativeFrom="column">
              <wp:posOffset>4622165</wp:posOffset>
            </wp:positionH>
            <wp:positionV relativeFrom="paragraph">
              <wp:posOffset>-351790</wp:posOffset>
            </wp:positionV>
            <wp:extent cx="74930" cy="1250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4930" cy="125095"/>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-109855</wp:posOffset>
            </wp:positionV>
            <wp:extent cx="6816090" cy="142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16090" cy="142240"/>
                    </a:xfrm>
                    <a:prstGeom prst="rect">
                      <a:avLst/>
                    </a:prstGeom>
                    <a:noFill/>
                  </pic:spPr>
                </pic:pic>
              </a:graphicData>
            </a:graphic>
          </wp:anchor>
        </w:drawing>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4"/>
          <w:szCs w:val="14"/>
          <w:color w:val="00A1DF"/>
        </w:rPr>
        <w:t>Marty M. Reaume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-4445</wp:posOffset>
            </wp:positionV>
            <wp:extent cx="6816090" cy="142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16090" cy="14224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color w:val="00A1DF"/>
        </w:rPr>
        <w:t>Tami L. Reller</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4"/>
          <w:szCs w:val="14"/>
          <w:color w:val="00A1DF"/>
        </w:rPr>
        <w:t>Michael A. Smerklo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-4445</wp:posOffset>
            </wp:positionV>
            <wp:extent cx="6816090" cy="292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16090" cy="29210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color w:val="00A1DF"/>
        </w:rPr>
        <w:t>Philip E. Soran</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4"/>
          <w:szCs w:val="14"/>
          <w:color w:val="00A1DF"/>
        </w:rPr>
        <w:t>Sven A. Wehrwein</w:t>
      </w:r>
    </w:p>
    <w:p>
      <w:pPr>
        <w:spacing w:after="0" w:line="268" w:lineRule="exact"/>
        <w:rPr>
          <w:sz w:val="20"/>
          <w:szCs w:val="20"/>
          <w:color w:val="auto"/>
        </w:rPr>
      </w:pPr>
    </w:p>
    <w:p>
      <w:pPr>
        <w:ind w:left="660"/>
        <w:spacing w:after="0"/>
        <w:rPr>
          <w:sz w:val="20"/>
          <w:szCs w:val="20"/>
          <w:color w:val="auto"/>
        </w:rPr>
      </w:pPr>
      <w:r>
        <w:rPr>
          <w:sz w:val="1"/>
          <w:szCs w:val="1"/>
          <w:color w:val="auto"/>
        </w:rPr>
        <w:drawing>
          <wp:inline distT="0" distB="0" distL="0" distR="0">
            <wp:extent cx="92075" cy="1333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2075" cy="133350"/>
                    </a:xfrm>
                    <a:prstGeom prst="rect">
                      <a:avLst/>
                    </a:prstGeom>
                    <a:noFill/>
                    <a:ln>
                      <a:noFill/>
                    </a:ln>
                  </pic:spPr>
                </pic:pic>
              </a:graphicData>
            </a:graphic>
          </wp:inline>
        </w:drawing>
      </w:r>
      <w:r>
        <w:rPr>
          <w:rFonts w:ascii="Arial" w:cs="Arial" w:eastAsia="Arial" w:hAnsi="Arial"/>
          <w:sz w:val="13"/>
          <w:szCs w:val="13"/>
          <w:color w:val="auto"/>
        </w:rPr>
        <w:t xml:space="preserve"> Chair    </w:t>
      </w:r>
      <w:r>
        <w:rPr>
          <w:sz w:val="1"/>
          <w:szCs w:val="1"/>
          <w:color w:val="auto"/>
        </w:rPr>
        <w:drawing>
          <wp:inline distT="0" distB="0" distL="0" distR="0">
            <wp:extent cx="74930" cy="12509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4930" cy="125095"/>
                    </a:xfrm>
                    <a:prstGeom prst="rect">
                      <a:avLst/>
                    </a:prstGeom>
                    <a:noFill/>
                    <a:ln>
                      <a:noFill/>
                    </a:ln>
                  </pic:spPr>
                </pic:pic>
              </a:graphicData>
            </a:graphic>
          </wp:inline>
        </w:drawing>
      </w:r>
      <w:r>
        <w:rPr>
          <w:rFonts w:ascii="Arial" w:cs="Arial" w:eastAsia="Arial" w:hAnsi="Arial"/>
          <w:sz w:val="13"/>
          <w:szCs w:val="13"/>
          <w:color w:val="auto"/>
        </w:rPr>
        <w:t xml:space="preserve"> Member</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primary responsibilities of each board committee are discussed in turn below.</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Audit Committee</w:t>
      </w:r>
    </w:p>
    <w:p>
      <w:pPr>
        <w:spacing w:after="0" w:line="10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Among other matters, our audit committee:</w:t>
      </w:r>
    </w:p>
    <w:p>
      <w:pPr>
        <w:spacing w:after="0" w:line="82" w:lineRule="exact"/>
        <w:rPr>
          <w:sz w:val="20"/>
          <w:szCs w:val="20"/>
          <w:color w:val="auto"/>
        </w:rPr>
      </w:pPr>
    </w:p>
    <w:p>
      <w:pPr>
        <w:ind w:left="1080" w:right="280" w:hanging="312"/>
        <w:spacing w:after="0" w:line="261"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evaluates the qualifications, performance and independence of our independent auditor and reviews and approves both audit and non-audit services to be provided by the independent auditor;</w:t>
      </w:r>
    </w:p>
    <w:p>
      <w:pPr>
        <w:spacing w:after="0" w:line="49" w:lineRule="exact"/>
        <w:rPr>
          <w:rFonts w:ascii="Arial" w:cs="Arial" w:eastAsia="Arial" w:hAnsi="Arial"/>
          <w:sz w:val="18"/>
          <w:szCs w:val="18"/>
          <w:color w:val="auto"/>
        </w:rPr>
      </w:pPr>
    </w:p>
    <w:p>
      <w:pPr>
        <w:ind w:left="1080" w:right="60" w:hanging="312"/>
        <w:spacing w:after="0" w:line="252"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discusses with management and our independent auditors any major issues as to the adequacy of our internal controls, any actions to be taken in light of significant or material control deficiencies and the adequacy of disclosures about changes in internal control over financial reporting;</w:t>
      </w:r>
    </w:p>
    <w:p>
      <w:pPr>
        <w:spacing w:after="0" w:line="58" w:lineRule="exact"/>
        <w:rPr>
          <w:rFonts w:ascii="Arial" w:cs="Arial" w:eastAsia="Arial" w:hAnsi="Arial"/>
          <w:sz w:val="18"/>
          <w:szCs w:val="18"/>
          <w:color w:val="auto"/>
        </w:rPr>
      </w:pPr>
    </w:p>
    <w:p>
      <w:pPr>
        <w:ind w:left="1080" w:right="300" w:hanging="312"/>
        <w:spacing w:after="0" w:line="324"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establishes procedures for the receipt, retention and treatment of complaints regarding accounting, internal accounting controls or auditing matters, including the confidential, anonymous submission by employees of concerns regarding accounting or auditing matters;</w:t>
      </w:r>
    </w:p>
    <w:p>
      <w:pPr>
        <w:spacing w:after="0" w:line="3" w:lineRule="exact"/>
        <w:rPr>
          <w:rFonts w:ascii="Arial" w:cs="Arial" w:eastAsia="Arial" w:hAnsi="Arial"/>
          <w:sz w:val="16"/>
          <w:szCs w:val="16"/>
          <w:color w:val="auto"/>
        </w:rPr>
      </w:pPr>
    </w:p>
    <w:p>
      <w:pPr>
        <w:ind w:left="1080" w:hanging="31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oversees our investment policy; and</w:t>
      </w:r>
    </w:p>
    <w:p>
      <w:pPr>
        <w:spacing w:after="0" w:line="82" w:lineRule="exact"/>
        <w:rPr>
          <w:rFonts w:ascii="Arial" w:cs="Arial" w:eastAsia="Arial" w:hAnsi="Arial"/>
          <w:sz w:val="18"/>
          <w:szCs w:val="18"/>
          <w:color w:val="auto"/>
        </w:rPr>
      </w:pPr>
    </w:p>
    <w:p>
      <w:pPr>
        <w:ind w:left="1080" w:hanging="31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prepares the audit committee report that SEC rules require to be included in our annual proxy statement.</w:t>
      </w:r>
    </w:p>
    <w:p>
      <w:pPr>
        <w:spacing w:after="0" w:line="109" w:lineRule="exact"/>
        <w:rPr>
          <w:sz w:val="20"/>
          <w:szCs w:val="20"/>
          <w:color w:val="auto"/>
        </w:rPr>
      </w:pPr>
    </w:p>
    <w:p>
      <w:pPr>
        <w:jc w:val="both"/>
        <w:ind w:left="340" w:right="240" w:firstLine="429"/>
        <w:spacing w:after="0" w:line="291" w:lineRule="auto"/>
        <w:rPr>
          <w:sz w:val="20"/>
          <w:szCs w:val="20"/>
          <w:color w:val="auto"/>
        </w:rPr>
      </w:pPr>
      <w:r>
        <w:rPr>
          <w:rFonts w:ascii="Arial" w:cs="Arial" w:eastAsia="Arial" w:hAnsi="Arial"/>
          <w:sz w:val="16"/>
          <w:szCs w:val="16"/>
          <w:color w:val="auto"/>
        </w:rPr>
        <w:t>Each of the members of our audit committee meets the requirements for financial literacy under the applicable rules and regulations of the SEC and the Nasdaq Global Market. Our board of directors has determined that Mr. Wehrwein is an audit committee financial expert, as defined under the applicable rules of the SEC. Each member of our audit committee satisfies the Nasdaq Global Market independence standards and the independence standards of Rule 10A-3(b)(1) of the Securities Exchange Act.</w:t>
      </w:r>
    </w:p>
    <w:p>
      <w:pPr>
        <w:spacing w:after="0" w:line="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240" w:top="451" w:right="57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Compensation Committee</w:t>
      </w:r>
    </w:p>
    <w:p>
      <w:pPr>
        <w:spacing w:after="0" w:line="109" w:lineRule="exact"/>
        <w:rPr>
          <w:sz w:val="20"/>
          <w:szCs w:val="20"/>
          <w:color w:val="auto"/>
        </w:rPr>
      </w:pPr>
    </w:p>
    <w:p>
      <w:pPr>
        <w:ind w:left="340" w:right="260" w:firstLine="429"/>
        <w:spacing w:after="0" w:line="310" w:lineRule="auto"/>
        <w:rPr>
          <w:sz w:val="20"/>
          <w:szCs w:val="20"/>
          <w:color w:val="auto"/>
        </w:rPr>
      </w:pPr>
      <w:r>
        <w:rPr>
          <w:rFonts w:ascii="Arial" w:cs="Arial" w:eastAsia="Arial" w:hAnsi="Arial"/>
          <w:sz w:val="15"/>
          <w:szCs w:val="15"/>
          <w:color w:val="auto"/>
        </w:rPr>
        <w:t>Our compensation committee reviews and approves on an annual basis the goals and objectives relevant to our Chief Executive Officer’s compensation. Our compensation committee consults the annual performance reviews of our Chief Executive Officer and other executive officers to assess and approve their annual compensation, including salary, bonus, incentive and equity-based compensation. Our compensation committee administers the issuance of stock options and other awards under our 2010 Equity Incentive Plan. Our compensation committee also periodically reviews the compensation paid to our non-employee directors and recommends any adjustments in director compensation to our board of directors.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Governance and Nominating Committee</w:t>
      </w:r>
    </w:p>
    <w:p>
      <w:pPr>
        <w:spacing w:after="0" w:line="109" w:lineRule="exact"/>
        <w:rPr>
          <w:sz w:val="20"/>
          <w:szCs w:val="20"/>
          <w:color w:val="auto"/>
        </w:rPr>
      </w:pPr>
    </w:p>
    <w:p>
      <w:pPr>
        <w:ind w:left="340" w:firstLine="429"/>
        <w:spacing w:after="0" w:line="324" w:lineRule="auto"/>
        <w:rPr>
          <w:sz w:val="20"/>
          <w:szCs w:val="20"/>
          <w:color w:val="auto"/>
        </w:rPr>
      </w:pPr>
      <w:r>
        <w:rPr>
          <w:rFonts w:ascii="Arial" w:cs="Arial" w:eastAsia="Arial" w:hAnsi="Arial"/>
          <w:sz w:val="16"/>
          <w:szCs w:val="16"/>
          <w:color w:val="auto"/>
        </w:rPr>
        <w:t>Our governance and nominating committee identifies individuals qualified to become members of the board of directors, recommends individuals to the board for nomination as members of the board and board committees and oversees the evaluation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127000</wp:posOffset>
            </wp:positionV>
            <wp:extent cx="68160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Meeting Attendance</w:t>
      </w:r>
    </w:p>
    <w:p>
      <w:pPr>
        <w:spacing w:after="0" w:line="112" w:lineRule="exact"/>
        <w:rPr>
          <w:sz w:val="20"/>
          <w:szCs w:val="20"/>
          <w:color w:val="auto"/>
        </w:rPr>
      </w:pPr>
    </w:p>
    <w:p>
      <w:pPr>
        <w:ind w:left="340" w:right="40" w:firstLine="429"/>
        <w:spacing w:after="0" w:line="284" w:lineRule="auto"/>
        <w:rPr>
          <w:sz w:val="20"/>
          <w:szCs w:val="20"/>
          <w:color w:val="auto"/>
        </w:rPr>
      </w:pPr>
      <w:r>
        <w:rPr>
          <w:rFonts w:ascii="Arial" w:cs="Arial" w:eastAsia="Arial" w:hAnsi="Arial"/>
          <w:sz w:val="16"/>
          <w:szCs w:val="16"/>
          <w:color w:val="auto"/>
        </w:rPr>
        <w:t>Our Corporate Governance Guidelines provide that our directors are expected to attend meetings of the board of directors and of the committees on which they serve, as well as our annual meeting of stockholders. Our board of directors held 10 meetings during 2017 and acted by written consent one time. The audit committee of the board met seven times, the compensation committee of the board met nine times and acted by written consent one time (including any subcommittee written consents), and the governance and nominating committee of the board met six times. Each of our directors attended at least 75% of the meetings of the board of directors and the committees on which he or she served during 2017, and each of our then serving directors attended our 2017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147320</wp:posOffset>
            </wp:positionV>
            <wp:extent cx="68160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Procedures for Contacting the Board of Directors</w:t>
      </w:r>
    </w:p>
    <w:p>
      <w:pPr>
        <w:spacing w:after="0" w:line="112" w:lineRule="exact"/>
        <w:rPr>
          <w:sz w:val="20"/>
          <w:szCs w:val="20"/>
          <w:color w:val="auto"/>
        </w:rPr>
      </w:pPr>
    </w:p>
    <w:p>
      <w:pPr>
        <w:ind w:left="340" w:right="40" w:firstLine="429"/>
        <w:spacing w:after="0" w:line="284" w:lineRule="auto"/>
        <w:rPr>
          <w:sz w:val="20"/>
          <w:szCs w:val="20"/>
          <w:color w:val="auto"/>
        </w:rPr>
      </w:pPr>
      <w:r>
        <w:rPr>
          <w:rFonts w:ascii="Arial" w:cs="Arial" w:eastAsia="Arial" w:hAnsi="Arial"/>
          <w:sz w:val="16"/>
          <w:szCs w:val="16"/>
          <w:color w:val="auto"/>
        </w:rPr>
        <w:t>Stockholders who wish to communicate with the board of directors may do so by writing to the board or a particular director in care of the Secretary of the Company. All communications will initially be received and processed by the Secretary of the Company, who will then refer the communication to the appropriate board member (either the director named in the communication, the chairperson of the board committee having authority over the matter raised in the communication, or the chairperson of the board in all other cases). The director to whom a communication is referred will determine, in consultation with our counsel, whether a copy or summary of the communication will be provided to the other directors. The board of directors will respond to communications if and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147320</wp:posOffset>
            </wp:positionV>
            <wp:extent cx="68160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Procedures for Selecting and Nominating Director Candidates</w:t>
      </w:r>
    </w:p>
    <w:p>
      <w:pPr>
        <w:spacing w:after="0" w:line="112" w:lineRule="exact"/>
        <w:rPr>
          <w:sz w:val="20"/>
          <w:szCs w:val="20"/>
          <w:color w:val="auto"/>
        </w:rPr>
      </w:pPr>
    </w:p>
    <w:p>
      <w:pPr>
        <w:ind w:left="340" w:firstLine="429"/>
        <w:spacing w:after="0" w:line="280" w:lineRule="auto"/>
        <w:rPr>
          <w:sz w:val="20"/>
          <w:szCs w:val="20"/>
          <w:color w:val="auto"/>
        </w:rPr>
      </w:pPr>
      <w:r>
        <w:rPr>
          <w:rFonts w:ascii="Arial" w:cs="Arial" w:eastAsia="Arial" w:hAnsi="Arial"/>
          <w:sz w:val="16"/>
          <w:szCs w:val="16"/>
          <w:color w:val="auto"/>
        </w:rPr>
        <w:t>Stockholders may directly nominate a person for election to our board of directors by complying with the procedures set forth in Article II, Section 2.4(a)(2) of our bylaws, and with the rules and regulations of the SEC. Under our bylaws, only persons nominated in accordance with the procedures set forth in the bylaws will be eligible to serve as directors. In order to nominate a candidate for service as a director, you must be a stockholder at the time you give the board notice of your nomination, and you must be entitled to vote for the election of directors at the meeting at which your nominee will be considered. In accordance with our bylaws, director nominations generally must be made pursuant to notice delivered to, or mailed and received at, our principal executive offices at the address above, not later than the 90th day (March 2, 2019), nor earlier than the 120th day (January 31, 2019), prior to the first anniversary of the prior year’s annual meeting of stockholders. Your notice must set forth all information relating to the nominee that is required to be disclosed in solicitations of proxies for the election of directors in an election contest, or is otherwise required, in each case pursuant to Regulation 14A under the Securities Exchange Act of 1934 (including the nominee’s written consent to being named in the proxy statement as a nominee and to serving as a director if elected).</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240" w:top="451" w:right="6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40" w:firstLine="429"/>
        <w:spacing w:after="0" w:line="281" w:lineRule="auto"/>
        <w:rPr>
          <w:sz w:val="20"/>
          <w:szCs w:val="20"/>
          <w:color w:val="auto"/>
        </w:rPr>
      </w:pPr>
      <w:r>
        <w:rPr>
          <w:rFonts w:ascii="Arial" w:cs="Arial" w:eastAsia="Arial" w:hAnsi="Arial"/>
          <w:sz w:val="16"/>
          <w:szCs w:val="16"/>
          <w:color w:val="auto"/>
        </w:rPr>
        <w:t>Your notice also must set forth the following information for you and any beneficial owner on whose behalf you make a nomination: (i) the name and address of the stockholder, as they appear on our books; (ii) the class and number of shares of our capital stock which are owned beneficially and of record, as well as a description of all securities or contracts, with a value derived in whole or in part from the value of any shares of our capital stock, held by you and such beneficial owner or to which either is a party; (iii) a description of all arrangements or understandings between you and any such beneficial owner and any other person or persons (including their names) regarding the nomination; (iv) a representation that you intend to appear in person or by proxy at the meeting to nominate the persons named in your notice; and (v) a description of any other information relating to you and any such beneficial owner that would be required to be disclosed in a proxy statement or other filing required to be made in connection with the solicitation of proxies pursuant to Regulation 14A under the Securities Exchange Act of 1934.</w:t>
      </w:r>
    </w:p>
    <w:p>
      <w:pPr>
        <w:spacing w:after="0" w:line="171" w:lineRule="exact"/>
        <w:rPr>
          <w:sz w:val="20"/>
          <w:szCs w:val="20"/>
          <w:color w:val="auto"/>
        </w:rPr>
      </w:pPr>
    </w:p>
    <w:p>
      <w:pPr>
        <w:ind w:left="340" w:firstLine="429"/>
        <w:spacing w:after="0" w:line="279" w:lineRule="auto"/>
        <w:rPr>
          <w:sz w:val="20"/>
          <w:szCs w:val="20"/>
          <w:color w:val="auto"/>
        </w:rPr>
      </w:pPr>
      <w:r>
        <w:rPr>
          <w:rFonts w:ascii="Arial" w:cs="Arial" w:eastAsia="Arial" w:hAnsi="Arial"/>
          <w:sz w:val="16"/>
          <w:szCs w:val="16"/>
          <w:color w:val="auto"/>
        </w:rPr>
        <w:t>As required by our Corporate Governance Guidelines, when evaluating the appropriate characteristics of candidates for service as a director, the governance and nominating committee takes into account many factors. The board of directors selects and recommends to stockholders qualified individuals who, if added to the board, would provide the mix of director characteristics and diverse experiences, perspectives and skills appropriate for us. Board candidates are considered based on various criteria, including breadth and depth of relevant business and board skills and experiences, judgment and integrity, reputation in their profession, diversity of background, education, leadership ability, concern for the interests of stockholders and relevant regulatory guidelines. These considerations are made in the context of an assessment of the perceived needs of the board of directors at the particular point in time. We do not have a formal policy with respect to diversity, however, the board of directors seeks to have a board that represents diversity as to gender, race, ethnicity and background experiences. We are committed to inclusiveness and as such, when searching for director nominees, the governance and nominating committee endeavors to include highly qualified diverse candidates (including gender, race and ethnicity) in the pool from which nominees are chosen. Directors must be willing and able to devote sufficient time to carrying out their duties and responsibilities effectively, and should be committed to serving on the board for an extended period of time.</w:t>
      </w:r>
    </w:p>
    <w:p>
      <w:pPr>
        <w:spacing w:after="0" w:line="173" w:lineRule="exact"/>
        <w:rPr>
          <w:sz w:val="20"/>
          <w:szCs w:val="20"/>
          <w:color w:val="auto"/>
        </w:rPr>
      </w:pPr>
    </w:p>
    <w:p>
      <w:pPr>
        <w:ind w:left="340" w:right="160" w:firstLine="429"/>
        <w:spacing w:after="0" w:line="301" w:lineRule="auto"/>
        <w:rPr>
          <w:sz w:val="20"/>
          <w:szCs w:val="20"/>
          <w:color w:val="auto"/>
        </w:rPr>
      </w:pPr>
      <w:r>
        <w:rPr>
          <w:rFonts w:ascii="Arial" w:cs="Arial" w:eastAsia="Arial" w:hAnsi="Arial"/>
          <w:sz w:val="15"/>
          <w:szCs w:val="15"/>
          <w:color w:val="auto"/>
        </w:rPr>
        <w:t>The governance and nominating committee will consider director candidates recommended by stockholders in the same manner that it considers all director candidates. Stockholders who wish to suggest qualified candidates should write to SPS Commerce, Inc., 333 South Seventh Street,</w:t>
      </w:r>
    </w:p>
    <w:p>
      <w:pPr>
        <w:ind w:left="340" w:right="320"/>
        <w:spacing w:after="0" w:line="248" w:lineRule="auto"/>
        <w:rPr>
          <w:sz w:val="20"/>
          <w:szCs w:val="20"/>
          <w:color w:val="auto"/>
        </w:rPr>
      </w:pPr>
      <w:r>
        <w:rPr>
          <w:rFonts w:ascii="Arial" w:cs="Arial" w:eastAsia="Arial" w:hAnsi="Arial"/>
          <w:sz w:val="18"/>
          <w:szCs w:val="18"/>
          <w:color w:val="auto"/>
        </w:rPr>
        <w:t>Suite 1000, Minneapolis, Minnesota 55402, Attention: Chief Financial Officer, stating in detail the characteristics that make the candidate a suitable person to serve on our board of directors in light of our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163195</wp:posOffset>
            </wp:positionV>
            <wp:extent cx="68160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Director Compensation</w:t>
      </w:r>
    </w:p>
    <w:p>
      <w:pPr>
        <w:spacing w:after="0" w:line="112" w:lineRule="exact"/>
        <w:rPr>
          <w:sz w:val="20"/>
          <w:szCs w:val="20"/>
          <w:color w:val="auto"/>
        </w:rPr>
      </w:pPr>
    </w:p>
    <w:p>
      <w:pPr>
        <w:ind w:left="340" w:right="60" w:firstLine="429"/>
        <w:spacing w:after="0" w:line="302" w:lineRule="auto"/>
        <w:rPr>
          <w:sz w:val="20"/>
          <w:szCs w:val="20"/>
          <w:color w:val="auto"/>
        </w:rPr>
      </w:pPr>
      <w:r>
        <w:rPr>
          <w:rFonts w:ascii="Arial" w:cs="Arial" w:eastAsia="Arial" w:hAnsi="Arial"/>
          <w:sz w:val="15"/>
          <w:szCs w:val="15"/>
          <w:color w:val="auto"/>
        </w:rPr>
        <w:t>Our director compensation program is designed to compensate our non-employee directors fairly for work required for a company of our size and scope and to align their interests with the long-term interests of our stockholders. Director compensation reflects our desire to attract, retain and use the expertise of highly qualified individuals serving on our board of directors. The compensation committee periodically reviews the compensation arrangements for our non-employee directors and makes recommendations to our board of directors. In December 2015, the compensation committee, with the advice of its compensation consultant, conducted a review of our director compensation program. This review analyzed the structure and the overall level and mix of compensation delivered by our director compensation program as compared to our peer group. Following this review, the compensation committee recommended, and the Board approved, changes to our director compensation program that were described in our 2016 and 2017 proxy statements. The compensation committee is currently reviewing our director compensation program with its compensation consultant.</w:t>
      </w:r>
    </w:p>
    <w:p>
      <w:pPr>
        <w:spacing w:after="0" w:line="158" w:lineRule="exact"/>
        <w:rPr>
          <w:sz w:val="20"/>
          <w:szCs w:val="20"/>
          <w:color w:val="auto"/>
        </w:rPr>
      </w:pPr>
    </w:p>
    <w:p>
      <w:pPr>
        <w:jc w:val="both"/>
        <w:ind w:left="340" w:firstLine="429"/>
        <w:spacing w:after="0" w:line="299" w:lineRule="auto"/>
        <w:rPr>
          <w:sz w:val="20"/>
          <w:szCs w:val="20"/>
          <w:color w:val="auto"/>
        </w:rPr>
      </w:pPr>
      <w:r>
        <w:rPr>
          <w:rFonts w:ascii="Arial" w:cs="Arial" w:eastAsia="Arial" w:hAnsi="Arial"/>
          <w:sz w:val="16"/>
          <w:szCs w:val="16"/>
          <w:color w:val="auto"/>
        </w:rPr>
        <w:t>For 2017, our director compensation program provided that each non-employee director receive a stock option to purchase up to $53,000 of shares of our common stock on the date of the annual meeting of stockholders at which the director was elected to the board or continued to serve as a director, calculated as the grant date fair value of the option computed in accordance with Financial Accounting Standards Board</w:t>
      </w:r>
    </w:p>
    <w:p>
      <w:pPr>
        <w:spacing w:after="0" w:line="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240" w:top="451" w:right="59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40"/>
        <w:spacing w:after="0" w:line="282" w:lineRule="auto"/>
        <w:rPr>
          <w:sz w:val="20"/>
          <w:szCs w:val="20"/>
          <w:color w:val="auto"/>
        </w:rPr>
      </w:pPr>
      <w:r>
        <w:rPr>
          <w:rFonts w:ascii="Arial" w:cs="Arial" w:eastAsia="Arial" w:hAnsi="Arial"/>
          <w:sz w:val="16"/>
          <w:szCs w:val="16"/>
          <w:color w:val="auto"/>
        </w:rPr>
        <w:t xml:space="preserve">Accounting Standards Codification Topic 718, </w:t>
      </w:r>
      <w:r>
        <w:rPr>
          <w:rFonts w:ascii="Arial" w:cs="Arial" w:eastAsia="Arial" w:hAnsi="Arial"/>
          <w:sz w:val="16"/>
          <w:szCs w:val="16"/>
          <w:i w:val="1"/>
          <w:iCs w:val="1"/>
          <w:color w:val="auto"/>
        </w:rPr>
        <w:t>Stock Compensation</w:t>
      </w:r>
      <w:r>
        <w:rPr>
          <w:rFonts w:ascii="Arial" w:cs="Arial" w:eastAsia="Arial" w:hAnsi="Arial"/>
          <w:sz w:val="16"/>
          <w:szCs w:val="16"/>
          <w:color w:val="auto"/>
        </w:rPr>
        <w:t xml:space="preserve"> (“ASC Topic 718”). These awards vest in four equal installments on the last day of each fiscal quarter with the first vesting date occurring on June 30, 2017, provided the recipient remains a member of the board as of the vesting date. In addition, each non-employee director receives an initial stock option grant to purchase up to $111,000 of shares of our common stock in connection with initial appointment to the board, calculated as the grant date fair value of the option computed in accordance with ASC Topic 718. These awards vest in equal monthly installments over three years commencing on the first day of the calendar month following the initial appointment to the board, provided the recipient remains a member of the board as of the vesting date. All stock options granted under the program have an exercise price equal to the fair market value of our common stock on the date of grant in accordance with our 2010 Equity Incentive Plan.</w:t>
      </w:r>
    </w:p>
    <w:p>
      <w:pPr>
        <w:spacing w:after="0" w:line="170" w:lineRule="exact"/>
        <w:rPr>
          <w:sz w:val="20"/>
          <w:szCs w:val="20"/>
          <w:color w:val="auto"/>
        </w:rPr>
      </w:pPr>
    </w:p>
    <w:p>
      <w:pPr>
        <w:jc w:val="both"/>
        <w:ind w:left="340" w:right="60" w:firstLine="429"/>
        <w:spacing w:after="0" w:line="248" w:lineRule="auto"/>
        <w:rPr>
          <w:sz w:val="20"/>
          <w:szCs w:val="20"/>
          <w:color w:val="auto"/>
        </w:rPr>
      </w:pPr>
      <w:r>
        <w:rPr>
          <w:rFonts w:ascii="Arial" w:cs="Arial" w:eastAsia="Arial" w:hAnsi="Arial"/>
          <w:sz w:val="18"/>
          <w:szCs w:val="18"/>
          <w:color w:val="auto"/>
        </w:rPr>
        <w:t>Our director compensation program for 2017 also provided that each non-employee director receive a restricted stock award of $53,000 of shares of our common stock on the date of the annual meeting of stockholders at which the director was elected to the board or continued to serve as a director, calculated as the grant date fair value of the award computed in accordance with FASB ASC Topic 718. These restricted stock awards vest in four equal installments on the last day of each fiscal quarter with the first vesting date occurring on June 30, 2017, provided the recipient remains a member of the board as of the vesting date.</w:t>
      </w:r>
    </w:p>
    <w:p>
      <w:pPr>
        <w:spacing w:after="0" w:line="193" w:lineRule="exact"/>
        <w:rPr>
          <w:sz w:val="20"/>
          <w:szCs w:val="20"/>
          <w:color w:val="auto"/>
        </w:rPr>
      </w:pPr>
    </w:p>
    <w:p>
      <w:pPr>
        <w:ind w:left="340" w:right="60" w:firstLine="429"/>
        <w:spacing w:after="0" w:line="252" w:lineRule="auto"/>
        <w:rPr>
          <w:sz w:val="20"/>
          <w:szCs w:val="20"/>
          <w:color w:val="auto"/>
        </w:rPr>
      </w:pPr>
      <w:r>
        <w:rPr>
          <w:rFonts w:ascii="Arial" w:cs="Arial" w:eastAsia="Arial" w:hAnsi="Arial"/>
          <w:sz w:val="18"/>
          <w:szCs w:val="18"/>
          <w:color w:val="auto"/>
        </w:rPr>
        <w:t>Non-employee directors receive cash fees in addition to the equity awards described above. In 2017, each non-employee director received an annual cash retainer of $31,000 and the chair of our board of directors received an additional annual cash fee of $14,000. In addition, for 2017, the chair of each committee received an annual cash fee as follows:</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178"/>
        </w:trPr>
        <w:tc>
          <w:tcPr>
            <w:tcW w:w="9540" w:type="dxa"/>
            <w:vAlign w:val="bottom"/>
            <w:gridSpan w:val="3"/>
          </w:tcPr>
          <w:p>
            <w:pPr>
              <w:spacing w:after="0"/>
              <w:rPr>
                <w:sz w:val="20"/>
                <w:szCs w:val="20"/>
                <w:color w:val="auto"/>
              </w:rPr>
            </w:pPr>
            <w:r>
              <w:rPr>
                <w:rFonts w:ascii="Arial" w:cs="Arial" w:eastAsia="Arial" w:hAnsi="Arial"/>
                <w:sz w:val="13"/>
                <w:szCs w:val="13"/>
                <w:b w:val="1"/>
                <w:bCs w:val="1"/>
                <w:color w:val="auto"/>
              </w:rPr>
              <w:t>Committee Chair</w:t>
            </w:r>
          </w:p>
        </w:tc>
        <w:tc>
          <w:tcPr>
            <w:tcW w:w="1200" w:type="dxa"/>
            <w:vAlign w:val="bottom"/>
            <w:gridSpan w:val="3"/>
          </w:tcPr>
          <w:p>
            <w:pPr>
              <w:ind w:left="80"/>
              <w:spacing w:after="0"/>
              <w:rPr>
                <w:sz w:val="20"/>
                <w:szCs w:val="20"/>
                <w:color w:val="auto"/>
              </w:rPr>
            </w:pPr>
            <w:r>
              <w:rPr>
                <w:rFonts w:ascii="Arial" w:cs="Arial" w:eastAsia="Arial" w:hAnsi="Arial"/>
                <w:sz w:val="13"/>
                <w:szCs w:val="13"/>
                <w:b w:val="1"/>
                <w:bCs w:val="1"/>
                <w:color w:val="auto"/>
              </w:rPr>
              <w:t>Annual Cash Fee</w:t>
            </w:r>
          </w:p>
        </w:tc>
      </w:tr>
      <w:tr>
        <w:trPr>
          <w:trHeight w:val="184"/>
        </w:trPr>
        <w:tc>
          <w:tcPr>
            <w:tcW w:w="1200" w:type="dxa"/>
            <w:vAlign w:val="bottom"/>
            <w:tcBorders>
              <w:top w:val="single" w:sz="8" w:color="auto"/>
            </w:tcBorders>
            <w:shd w:val="clear" w:color="auto" w:fill="CCECF8"/>
          </w:tcPr>
          <w:p>
            <w:pPr>
              <w:spacing w:after="0" w:line="183" w:lineRule="exact"/>
              <w:rPr>
                <w:sz w:val="20"/>
                <w:szCs w:val="20"/>
                <w:color w:val="auto"/>
              </w:rPr>
            </w:pPr>
            <w:r>
              <w:rPr>
                <w:rFonts w:ascii="Arial" w:cs="Arial" w:eastAsia="Arial" w:hAnsi="Arial"/>
                <w:sz w:val="18"/>
                <w:szCs w:val="18"/>
                <w:color w:val="auto"/>
              </w:rPr>
              <w:t>Audit</w:t>
            </w:r>
          </w:p>
        </w:tc>
        <w:tc>
          <w:tcPr>
            <w:tcW w:w="840" w:type="dxa"/>
            <w:vAlign w:val="bottom"/>
            <w:tcBorders>
              <w:top w:val="single" w:sz="8" w:color="CCECF8"/>
            </w:tcBorders>
            <w:shd w:val="clear" w:color="auto" w:fill="CCECF8"/>
          </w:tcPr>
          <w:p>
            <w:pPr>
              <w:spacing w:after="0"/>
              <w:rPr>
                <w:sz w:val="15"/>
                <w:szCs w:val="15"/>
                <w:color w:val="auto"/>
              </w:rPr>
            </w:pPr>
          </w:p>
        </w:tc>
        <w:tc>
          <w:tcPr>
            <w:tcW w:w="7500" w:type="dxa"/>
            <w:vAlign w:val="bottom"/>
            <w:tcBorders>
              <w:top w:val="single" w:sz="8" w:color="CCECF8"/>
            </w:tcBorders>
            <w:shd w:val="clear" w:color="auto" w:fill="CCECF8"/>
          </w:tcPr>
          <w:p>
            <w:pPr>
              <w:spacing w:after="0"/>
              <w:rPr>
                <w:sz w:val="15"/>
                <w:szCs w:val="15"/>
                <w:color w:val="auto"/>
              </w:rPr>
            </w:pPr>
          </w:p>
        </w:tc>
        <w:tc>
          <w:tcPr>
            <w:tcW w:w="380" w:type="dxa"/>
            <w:vAlign w:val="bottom"/>
            <w:tcBorders>
              <w:top w:val="single" w:sz="8" w:color="auto"/>
            </w:tcBorders>
            <w:shd w:val="clear" w:color="auto" w:fill="CCECF8"/>
          </w:tcPr>
          <w:p>
            <w:pPr>
              <w:jc w:val="right"/>
              <w:ind w:right="198"/>
              <w:spacing w:after="0" w:line="18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CF8"/>
          </w:tcPr>
          <w:p>
            <w:pPr>
              <w:jc w:val="right"/>
              <w:spacing w:after="0" w:line="183" w:lineRule="exact"/>
              <w:rPr>
                <w:sz w:val="20"/>
                <w:szCs w:val="20"/>
                <w:color w:val="auto"/>
              </w:rPr>
            </w:pPr>
            <w:r>
              <w:rPr>
                <w:rFonts w:ascii="Arial" w:cs="Arial" w:eastAsia="Arial" w:hAnsi="Arial"/>
                <w:sz w:val="18"/>
                <w:szCs w:val="18"/>
                <w:color w:val="auto"/>
              </w:rPr>
              <w:t>17,000</w:t>
            </w:r>
          </w:p>
        </w:tc>
        <w:tc>
          <w:tcPr>
            <w:tcW w:w="60" w:type="dxa"/>
            <w:vAlign w:val="bottom"/>
            <w:tcBorders>
              <w:top w:val="single" w:sz="8" w:color="CCECF8"/>
            </w:tcBorders>
            <w:shd w:val="clear" w:color="auto" w:fill="CCECF8"/>
          </w:tcPr>
          <w:p>
            <w:pPr>
              <w:spacing w:after="0"/>
              <w:rPr>
                <w:sz w:val="15"/>
                <w:szCs w:val="15"/>
                <w:color w:val="auto"/>
              </w:rPr>
            </w:pPr>
          </w:p>
        </w:tc>
      </w:tr>
      <w:tr>
        <w:trPr>
          <w:trHeight w:val="210"/>
        </w:trPr>
        <w:tc>
          <w:tcPr>
            <w:tcW w:w="9540" w:type="dxa"/>
            <w:vAlign w:val="bottom"/>
            <w:gridSpan w:val="3"/>
          </w:tcPr>
          <w:p>
            <w:pPr>
              <w:spacing w:after="0"/>
              <w:rPr>
                <w:sz w:val="20"/>
                <w:szCs w:val="20"/>
                <w:color w:val="auto"/>
              </w:rPr>
            </w:pPr>
            <w:r>
              <w:rPr>
                <w:rFonts w:ascii="Arial" w:cs="Arial" w:eastAsia="Arial" w:hAnsi="Arial"/>
                <w:sz w:val="18"/>
                <w:szCs w:val="18"/>
                <w:color w:val="auto"/>
              </w:rPr>
              <w:t>Compensation</w:t>
            </w:r>
          </w:p>
        </w:tc>
        <w:tc>
          <w:tcPr>
            <w:tcW w:w="380" w:type="dxa"/>
            <w:vAlign w:val="bottom"/>
          </w:tcPr>
          <w:p>
            <w:pPr>
              <w:jc w:val="right"/>
              <w:ind w:right="198"/>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r>
      <w:tr>
        <w:trPr>
          <w:trHeight w:val="210"/>
        </w:trPr>
        <w:tc>
          <w:tcPr>
            <w:tcW w:w="9540" w:type="dxa"/>
            <w:vAlign w:val="bottom"/>
            <w:gridSpan w:val="3"/>
            <w:shd w:val="clear" w:color="auto" w:fill="CCECF8"/>
          </w:tcPr>
          <w:p>
            <w:pPr>
              <w:spacing w:after="0"/>
              <w:rPr>
                <w:sz w:val="20"/>
                <w:szCs w:val="20"/>
                <w:color w:val="auto"/>
              </w:rPr>
            </w:pPr>
            <w:r>
              <w:rPr>
                <w:rFonts w:ascii="Arial" w:cs="Arial" w:eastAsia="Arial" w:hAnsi="Arial"/>
                <w:sz w:val="18"/>
                <w:szCs w:val="18"/>
                <w:color w:val="auto"/>
              </w:rPr>
              <w:t>Governance and Nominating</w:t>
            </w:r>
          </w:p>
        </w:tc>
        <w:tc>
          <w:tcPr>
            <w:tcW w:w="380" w:type="dxa"/>
            <w:vAlign w:val="bottom"/>
            <w:shd w:val="clear" w:color="auto" w:fill="CCECF8"/>
          </w:tcPr>
          <w:p>
            <w:pPr>
              <w:jc w:val="right"/>
              <w:ind w:right="198"/>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CF8"/>
          </w:tcPr>
          <w:p>
            <w:pPr>
              <w:jc w:val="right"/>
              <w:ind w:right="60"/>
              <w:spacing w:after="0"/>
              <w:rPr>
                <w:sz w:val="20"/>
                <w:szCs w:val="20"/>
                <w:color w:val="auto"/>
              </w:rPr>
            </w:pPr>
            <w:r>
              <w:rPr>
                <w:rFonts w:ascii="Arial" w:cs="Arial" w:eastAsia="Arial" w:hAnsi="Arial"/>
                <w:sz w:val="18"/>
                <w:szCs w:val="18"/>
                <w:color w:val="auto"/>
              </w:rPr>
              <w:t>7,000</w:t>
            </w:r>
          </w:p>
        </w:tc>
      </w:tr>
      <w:tr>
        <w:trPr>
          <w:trHeight w:val="315"/>
        </w:trPr>
        <w:tc>
          <w:tcPr>
            <w:tcW w:w="9540" w:type="dxa"/>
            <w:vAlign w:val="bottom"/>
            <w:gridSpan w:val="3"/>
          </w:tcPr>
          <w:p>
            <w:pPr>
              <w:ind w:left="440"/>
              <w:spacing w:after="0"/>
              <w:rPr>
                <w:sz w:val="20"/>
                <w:szCs w:val="20"/>
                <w:color w:val="auto"/>
              </w:rPr>
            </w:pPr>
            <w:r>
              <w:rPr>
                <w:rFonts w:ascii="Arial" w:cs="Arial" w:eastAsia="Arial" w:hAnsi="Arial"/>
                <w:sz w:val="18"/>
                <w:szCs w:val="18"/>
                <w:color w:val="auto"/>
              </w:rPr>
              <w:t>The annual cash fee for each committee member, other than the chair, was as follows:</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2"/>
        </w:trPr>
        <w:tc>
          <w:tcPr>
            <w:tcW w:w="9540" w:type="dxa"/>
            <w:vAlign w:val="bottom"/>
            <w:gridSpan w:val="3"/>
          </w:tcPr>
          <w:p>
            <w:pPr>
              <w:spacing w:after="0"/>
              <w:rPr>
                <w:sz w:val="20"/>
                <w:szCs w:val="20"/>
                <w:color w:val="auto"/>
              </w:rPr>
            </w:pPr>
            <w:r>
              <w:rPr>
                <w:rFonts w:ascii="Arial" w:cs="Arial" w:eastAsia="Arial" w:hAnsi="Arial"/>
                <w:sz w:val="13"/>
                <w:szCs w:val="13"/>
                <w:b w:val="1"/>
                <w:bCs w:val="1"/>
                <w:color w:val="auto"/>
              </w:rPr>
              <w:t>Non-Chair Committee Members</w:t>
            </w:r>
          </w:p>
        </w:tc>
        <w:tc>
          <w:tcPr>
            <w:tcW w:w="1200" w:type="dxa"/>
            <w:vAlign w:val="bottom"/>
            <w:gridSpan w:val="3"/>
          </w:tcPr>
          <w:p>
            <w:pPr>
              <w:ind w:left="80"/>
              <w:spacing w:after="0"/>
              <w:rPr>
                <w:sz w:val="20"/>
                <w:szCs w:val="20"/>
                <w:color w:val="auto"/>
              </w:rPr>
            </w:pPr>
            <w:r>
              <w:rPr>
                <w:rFonts w:ascii="Arial" w:cs="Arial" w:eastAsia="Arial" w:hAnsi="Arial"/>
                <w:sz w:val="13"/>
                <w:szCs w:val="13"/>
                <w:b w:val="1"/>
                <w:bCs w:val="1"/>
                <w:color w:val="auto"/>
              </w:rPr>
              <w:t>Annual Cash Fee</w:t>
            </w:r>
          </w:p>
        </w:tc>
      </w:tr>
      <w:tr>
        <w:trPr>
          <w:trHeight w:val="184"/>
        </w:trPr>
        <w:tc>
          <w:tcPr>
            <w:tcW w:w="2040" w:type="dxa"/>
            <w:vAlign w:val="bottom"/>
            <w:tcBorders>
              <w:top w:val="single" w:sz="8" w:color="auto"/>
            </w:tcBorders>
            <w:gridSpan w:val="2"/>
            <w:shd w:val="clear" w:color="auto" w:fill="CCECF8"/>
          </w:tcPr>
          <w:p>
            <w:pPr>
              <w:spacing w:after="0" w:line="183" w:lineRule="exact"/>
              <w:rPr>
                <w:sz w:val="20"/>
                <w:szCs w:val="20"/>
                <w:color w:val="auto"/>
              </w:rPr>
            </w:pPr>
            <w:r>
              <w:rPr>
                <w:rFonts w:ascii="Arial" w:cs="Arial" w:eastAsia="Arial" w:hAnsi="Arial"/>
                <w:sz w:val="18"/>
                <w:szCs w:val="18"/>
                <w:color w:val="auto"/>
              </w:rPr>
              <w:t>Audit</w:t>
            </w:r>
          </w:p>
        </w:tc>
        <w:tc>
          <w:tcPr>
            <w:tcW w:w="7500" w:type="dxa"/>
            <w:vAlign w:val="bottom"/>
            <w:tcBorders>
              <w:top w:val="single" w:sz="8" w:color="CCECF8"/>
            </w:tcBorders>
            <w:shd w:val="clear" w:color="auto" w:fill="CCECF8"/>
          </w:tcPr>
          <w:p>
            <w:pPr>
              <w:spacing w:after="0"/>
              <w:rPr>
                <w:sz w:val="15"/>
                <w:szCs w:val="15"/>
                <w:color w:val="auto"/>
              </w:rPr>
            </w:pPr>
          </w:p>
        </w:tc>
        <w:tc>
          <w:tcPr>
            <w:tcW w:w="380" w:type="dxa"/>
            <w:vAlign w:val="bottom"/>
            <w:tcBorders>
              <w:top w:val="single" w:sz="8" w:color="auto"/>
            </w:tcBorders>
            <w:shd w:val="clear" w:color="auto" w:fill="CCECF8"/>
          </w:tcPr>
          <w:p>
            <w:pPr>
              <w:jc w:val="right"/>
              <w:ind w:right="198"/>
              <w:spacing w:after="0" w:line="18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CF8"/>
          </w:tcPr>
          <w:p>
            <w:pPr>
              <w:jc w:val="right"/>
              <w:spacing w:after="0" w:line="183" w:lineRule="exact"/>
              <w:rPr>
                <w:sz w:val="20"/>
                <w:szCs w:val="20"/>
                <w:color w:val="auto"/>
              </w:rPr>
            </w:pPr>
            <w:r>
              <w:rPr>
                <w:rFonts w:ascii="Arial" w:cs="Arial" w:eastAsia="Arial" w:hAnsi="Arial"/>
                <w:sz w:val="18"/>
                <w:szCs w:val="18"/>
                <w:color w:val="auto"/>
              </w:rPr>
              <w:t>7,000</w:t>
            </w:r>
          </w:p>
        </w:tc>
        <w:tc>
          <w:tcPr>
            <w:tcW w:w="60" w:type="dxa"/>
            <w:vAlign w:val="bottom"/>
            <w:tcBorders>
              <w:top w:val="single" w:sz="8" w:color="CCECF8"/>
            </w:tcBorders>
            <w:shd w:val="clear" w:color="auto" w:fill="CCECF8"/>
          </w:tcPr>
          <w:p>
            <w:pPr>
              <w:spacing w:after="0"/>
              <w:rPr>
                <w:sz w:val="15"/>
                <w:szCs w:val="15"/>
                <w:color w:val="auto"/>
              </w:rPr>
            </w:pPr>
          </w:p>
        </w:tc>
      </w:tr>
      <w:tr>
        <w:trPr>
          <w:trHeight w:val="210"/>
        </w:trPr>
        <w:tc>
          <w:tcPr>
            <w:tcW w:w="9540" w:type="dxa"/>
            <w:vAlign w:val="bottom"/>
            <w:gridSpan w:val="3"/>
          </w:tcPr>
          <w:p>
            <w:pPr>
              <w:spacing w:after="0"/>
              <w:rPr>
                <w:sz w:val="20"/>
                <w:szCs w:val="20"/>
                <w:color w:val="auto"/>
              </w:rPr>
            </w:pPr>
            <w:r>
              <w:rPr>
                <w:rFonts w:ascii="Arial" w:cs="Arial" w:eastAsia="Arial" w:hAnsi="Arial"/>
                <w:sz w:val="18"/>
                <w:szCs w:val="18"/>
                <w:color w:val="auto"/>
              </w:rPr>
              <w:t>Compensation</w:t>
            </w:r>
          </w:p>
        </w:tc>
        <w:tc>
          <w:tcPr>
            <w:tcW w:w="380" w:type="dxa"/>
            <w:vAlign w:val="bottom"/>
          </w:tcPr>
          <w:p>
            <w:pPr>
              <w:jc w:val="right"/>
              <w:ind w:right="198"/>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r>
      <w:tr>
        <w:trPr>
          <w:trHeight w:val="210"/>
        </w:trPr>
        <w:tc>
          <w:tcPr>
            <w:tcW w:w="9540" w:type="dxa"/>
            <w:vAlign w:val="bottom"/>
            <w:gridSpan w:val="3"/>
            <w:shd w:val="clear" w:color="auto" w:fill="CCECF8"/>
          </w:tcPr>
          <w:p>
            <w:pPr>
              <w:spacing w:after="0"/>
              <w:rPr>
                <w:sz w:val="20"/>
                <w:szCs w:val="20"/>
                <w:color w:val="auto"/>
              </w:rPr>
            </w:pPr>
            <w:r>
              <w:rPr>
                <w:rFonts w:ascii="Arial" w:cs="Arial" w:eastAsia="Arial" w:hAnsi="Arial"/>
                <w:sz w:val="18"/>
                <w:szCs w:val="18"/>
                <w:color w:val="auto"/>
              </w:rPr>
              <w:t>Governance and Nominating</w:t>
            </w:r>
          </w:p>
        </w:tc>
        <w:tc>
          <w:tcPr>
            <w:tcW w:w="380" w:type="dxa"/>
            <w:vAlign w:val="bottom"/>
            <w:shd w:val="clear" w:color="auto" w:fill="CCECF8"/>
          </w:tcPr>
          <w:p>
            <w:pPr>
              <w:jc w:val="right"/>
              <w:ind w:right="198"/>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CF8"/>
          </w:tcPr>
          <w:p>
            <w:pPr>
              <w:jc w:val="right"/>
              <w:ind w:right="60"/>
              <w:spacing w:after="0"/>
              <w:rPr>
                <w:sz w:val="20"/>
                <w:szCs w:val="20"/>
                <w:color w:val="auto"/>
              </w:rPr>
            </w:pPr>
            <w:r>
              <w:rPr>
                <w:rFonts w:ascii="Arial" w:cs="Arial" w:eastAsia="Arial" w:hAnsi="Arial"/>
                <w:sz w:val="18"/>
                <w:szCs w:val="18"/>
                <w:color w:val="auto"/>
              </w:rPr>
              <w:t>3,000</w:t>
            </w:r>
          </w:p>
        </w:tc>
      </w:tr>
    </w:tbl>
    <w:p>
      <w:pPr>
        <w:spacing w:after="0" w:line="198" w:lineRule="exact"/>
        <w:rPr>
          <w:sz w:val="20"/>
          <w:szCs w:val="20"/>
          <w:color w:val="auto"/>
        </w:rPr>
      </w:pPr>
    </w:p>
    <w:p>
      <w:pPr>
        <w:ind w:left="340" w:right="540" w:firstLine="429"/>
        <w:spacing w:after="0" w:line="261" w:lineRule="auto"/>
        <w:rPr>
          <w:sz w:val="20"/>
          <w:szCs w:val="20"/>
          <w:color w:val="auto"/>
        </w:rPr>
      </w:pPr>
      <w:r>
        <w:rPr>
          <w:rFonts w:ascii="Arial" w:cs="Arial" w:eastAsia="Arial" w:hAnsi="Arial"/>
          <w:sz w:val="18"/>
          <w:szCs w:val="18"/>
          <w:color w:val="auto"/>
        </w:rPr>
        <w:t>We also reimbursed our non-employee directors for out-of-pocket expenses incurred in connection with attending our board and committee meetings.</w:t>
      </w:r>
    </w:p>
    <w:p>
      <w:pPr>
        <w:spacing w:after="0" w:line="11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240" w:top="451" w:right="57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100" w:firstLine="429"/>
        <w:spacing w:after="0" w:line="249" w:lineRule="auto"/>
        <w:rPr>
          <w:sz w:val="20"/>
          <w:szCs w:val="20"/>
          <w:color w:val="auto"/>
        </w:rPr>
      </w:pPr>
      <w:r>
        <w:rPr>
          <w:rFonts w:ascii="Arial" w:cs="Arial" w:eastAsia="Arial" w:hAnsi="Arial"/>
          <w:sz w:val="18"/>
          <w:szCs w:val="18"/>
          <w:color w:val="auto"/>
        </w:rPr>
        <w:t>The table below sets forth the compensation provided to our non-employee directors during 2017. Mr. Black’s compensation is set forth under “– 2017 Summary Compensation Table” because he served as our President and Chief Executive Officer during that year. Mr. Black did not receive any separate compensation for his service as a director. Messrs. Keating and McConnell and Ms. Reaume did not begin serving on our board until 2018 and therefore received no director compensation in 2017.</w:t>
      </w:r>
    </w:p>
    <w:p>
      <w:pPr>
        <w:spacing w:after="0" w:line="178" w:lineRule="exact"/>
        <w:rPr>
          <w:sz w:val="20"/>
          <w:szCs w:val="20"/>
          <w:color w:val="auto"/>
        </w:rPr>
      </w:pPr>
    </w:p>
    <w:p>
      <w:pPr>
        <w:jc w:val="center"/>
        <w:ind w:right="-339"/>
        <w:spacing w:after="0"/>
        <w:rPr>
          <w:sz w:val="20"/>
          <w:szCs w:val="20"/>
          <w:color w:val="auto"/>
        </w:rPr>
      </w:pPr>
      <w:r>
        <w:rPr>
          <w:rFonts w:ascii="Arial" w:cs="Arial" w:eastAsia="Arial" w:hAnsi="Arial"/>
          <w:sz w:val="19"/>
          <w:szCs w:val="19"/>
          <w:b w:val="1"/>
          <w:bCs w:val="1"/>
          <w:color w:val="00A1DF"/>
        </w:rPr>
        <w:t>2017 Director Compensation Table</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68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89"/>
              </w:rPr>
              <w:t>Fees Earned or</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80" w:type="dxa"/>
            <w:vAlign w:val="bottom"/>
            <w:gridSpan w:val="2"/>
          </w:tcPr>
          <w:p>
            <w:pPr>
              <w:jc w:val="center"/>
              <w:ind w:right="680"/>
              <w:spacing w:after="0" w:line="145" w:lineRule="exact"/>
              <w:rPr>
                <w:sz w:val="20"/>
                <w:szCs w:val="20"/>
                <w:color w:val="auto"/>
              </w:rPr>
            </w:pPr>
            <w:r>
              <w:rPr>
                <w:rFonts w:ascii="Arial" w:cs="Arial" w:eastAsia="Arial" w:hAnsi="Arial"/>
                <w:sz w:val="13"/>
                <w:szCs w:val="13"/>
                <w:b w:val="1"/>
                <w:bCs w:val="1"/>
                <w:color w:val="auto"/>
                <w:w w:val="92"/>
              </w:rPr>
              <w:t>Paid in Cash</w:t>
            </w:r>
          </w:p>
        </w:tc>
        <w:tc>
          <w:tcPr>
            <w:tcW w:w="1760" w:type="dxa"/>
            <w:vAlign w:val="bottom"/>
            <w:gridSpan w:val="2"/>
          </w:tcPr>
          <w:p>
            <w:pPr>
              <w:ind w:left="80"/>
              <w:spacing w:after="0" w:line="145" w:lineRule="exact"/>
              <w:rPr>
                <w:sz w:val="20"/>
                <w:szCs w:val="20"/>
                <w:color w:val="auto"/>
              </w:rPr>
            </w:pPr>
            <w:r>
              <w:rPr>
                <w:rFonts w:ascii="Arial" w:cs="Arial" w:eastAsia="Arial" w:hAnsi="Arial"/>
                <w:sz w:val="13"/>
                <w:szCs w:val="13"/>
                <w:b w:val="1"/>
                <w:bCs w:val="1"/>
                <w:color w:val="auto"/>
              </w:rPr>
              <w:t>Stock Awards(1)</w:t>
            </w:r>
          </w:p>
        </w:tc>
        <w:tc>
          <w:tcPr>
            <w:tcW w:w="1480" w:type="dxa"/>
            <w:vAlign w:val="bottom"/>
            <w:gridSpan w:val="2"/>
          </w:tcPr>
          <w:p>
            <w:pPr>
              <w:ind w:left="100"/>
              <w:spacing w:after="0" w:line="145" w:lineRule="exact"/>
              <w:rPr>
                <w:sz w:val="20"/>
                <w:szCs w:val="20"/>
                <w:color w:val="auto"/>
              </w:rPr>
            </w:pPr>
            <w:r>
              <w:rPr>
                <w:rFonts w:ascii="Arial" w:cs="Arial" w:eastAsia="Arial" w:hAnsi="Arial"/>
                <w:sz w:val="13"/>
                <w:szCs w:val="13"/>
                <w:b w:val="1"/>
                <w:bCs w:val="1"/>
                <w:color w:val="auto"/>
              </w:rPr>
              <w:t>Option Awards(1)</w:t>
            </w:r>
          </w:p>
        </w:tc>
        <w:tc>
          <w:tcPr>
            <w:tcW w:w="1000" w:type="dxa"/>
            <w:vAlign w:val="bottom"/>
            <w:gridSpan w:val="2"/>
          </w:tcPr>
          <w:p>
            <w:pPr>
              <w:ind w:left="320"/>
              <w:spacing w:after="0" w:line="145" w:lineRule="exact"/>
              <w:rPr>
                <w:sz w:val="20"/>
                <w:szCs w:val="20"/>
                <w:color w:val="auto"/>
              </w:rPr>
            </w:pPr>
            <w:r>
              <w:rPr>
                <w:rFonts w:ascii="Arial" w:cs="Arial" w:eastAsia="Arial" w:hAnsi="Arial"/>
                <w:sz w:val="13"/>
                <w:szCs w:val="13"/>
                <w:b w:val="1"/>
                <w:bCs w:val="1"/>
                <w:color w:val="auto"/>
              </w:rPr>
              <w:t>Total</w:t>
            </w:r>
          </w:p>
        </w:tc>
      </w:tr>
      <w:tr>
        <w:trPr>
          <w:trHeight w:val="178"/>
        </w:trPr>
        <w:tc>
          <w:tcPr>
            <w:tcW w:w="482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5"/>
                <w:szCs w:val="15"/>
                <w:color w:val="auto"/>
              </w:rPr>
            </w:pP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5"/>
                <w:szCs w:val="15"/>
                <w:color w:val="auto"/>
              </w:rPr>
            </w:pPr>
          </w:p>
        </w:tc>
        <w:tc>
          <w:tcPr>
            <w:tcW w:w="1220" w:type="dxa"/>
            <w:vAlign w:val="bottom"/>
            <w:tcBorders>
              <w:bottom w:val="single" w:sz="8" w:color="auto"/>
            </w:tcBorders>
          </w:tcPr>
          <w:p>
            <w:pPr>
              <w:jc w:val="right"/>
              <w:ind w:right="458"/>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5"/>
                <w:szCs w:val="15"/>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380" w:type="dxa"/>
            <w:vAlign w:val="bottom"/>
            <w:tcBorders>
              <w:top w:val="single" w:sz="8" w:color="auto"/>
            </w:tcBorders>
          </w:tcPr>
          <w:p>
            <w:pPr>
              <w:spacing w:after="0" w:line="183" w:lineRule="exact"/>
              <w:rPr>
                <w:sz w:val="20"/>
                <w:szCs w:val="20"/>
                <w:color w:val="auto"/>
              </w:rPr>
            </w:pPr>
            <w:r>
              <w:rPr>
                <w:rFonts w:ascii="Arial" w:cs="Arial" w:eastAsia="Arial" w:hAnsi="Arial"/>
                <w:sz w:val="18"/>
                <w:szCs w:val="18"/>
                <w:color w:val="auto"/>
                <w:w w:val="71"/>
              </w:rPr>
              <w:t>Martin</w:t>
            </w:r>
          </w:p>
        </w:tc>
        <w:tc>
          <w:tcPr>
            <w:tcW w:w="4420" w:type="dxa"/>
            <w:vAlign w:val="bottom"/>
          </w:tcPr>
          <w:p>
            <w:pPr>
              <w:ind w:left="120"/>
              <w:spacing w:after="0" w:line="182" w:lineRule="exact"/>
              <w:rPr>
                <w:sz w:val="20"/>
                <w:szCs w:val="20"/>
                <w:color w:val="auto"/>
              </w:rPr>
            </w:pPr>
            <w:r>
              <w:rPr>
                <w:rFonts w:ascii="Arial" w:cs="Arial" w:eastAsia="Arial" w:hAnsi="Arial"/>
                <w:sz w:val="18"/>
                <w:szCs w:val="18"/>
                <w:color w:val="auto"/>
              </w:rPr>
              <w:t>J. Leestma(2)</w:t>
            </w:r>
          </w:p>
        </w:tc>
        <w:tc>
          <w:tcPr>
            <w:tcW w:w="1000" w:type="dxa"/>
            <w:vAlign w:val="bottom"/>
          </w:tcPr>
          <w:p>
            <w:pPr>
              <w:jc w:val="right"/>
              <w:spacing w:after="0" w:line="183" w:lineRule="exact"/>
              <w:rPr>
                <w:sz w:val="20"/>
                <w:szCs w:val="20"/>
                <w:color w:val="auto"/>
              </w:rPr>
            </w:pPr>
            <w:r>
              <w:rPr>
                <w:rFonts w:ascii="Arial" w:cs="Arial" w:eastAsia="Arial" w:hAnsi="Arial"/>
                <w:sz w:val="18"/>
                <w:szCs w:val="18"/>
                <w:color w:val="auto"/>
              </w:rPr>
              <w:t>44,967</w:t>
            </w:r>
          </w:p>
        </w:tc>
        <w:tc>
          <w:tcPr>
            <w:tcW w:w="68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8"/>
                <w:szCs w:val="18"/>
                <w:color w:val="auto"/>
              </w:rPr>
              <w:t>52,986</w:t>
            </w:r>
          </w:p>
        </w:tc>
        <w:tc>
          <w:tcPr>
            <w:tcW w:w="68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8"/>
                <w:szCs w:val="18"/>
                <w:color w:val="auto"/>
              </w:rPr>
              <w:t>52,985</w:t>
            </w:r>
          </w:p>
        </w:tc>
        <w:tc>
          <w:tcPr>
            <w:tcW w:w="26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8"/>
                <w:szCs w:val="18"/>
                <w:color w:val="auto"/>
              </w:rPr>
              <w:t>150,938</w:t>
            </w:r>
          </w:p>
        </w:tc>
        <w:tc>
          <w:tcPr>
            <w:tcW w:w="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800" w:type="dxa"/>
            <w:vAlign w:val="bottom"/>
            <w:gridSpan w:val="2"/>
            <w:shd w:val="clear" w:color="auto" w:fill="CCECF8"/>
          </w:tcPr>
          <w:p>
            <w:pPr>
              <w:spacing w:after="0"/>
              <w:rPr>
                <w:sz w:val="20"/>
                <w:szCs w:val="20"/>
                <w:color w:val="auto"/>
              </w:rPr>
            </w:pPr>
            <w:r>
              <w:rPr>
                <w:rFonts w:ascii="Arial" w:cs="Arial" w:eastAsia="Arial" w:hAnsi="Arial"/>
                <w:sz w:val="18"/>
                <w:szCs w:val="18"/>
                <w:color w:val="auto"/>
              </w:rPr>
              <w:t>James B. Ramsey(3)</w:t>
            </w:r>
          </w:p>
        </w:tc>
        <w:tc>
          <w:tcPr>
            <w:tcW w:w="1680" w:type="dxa"/>
            <w:vAlign w:val="bottom"/>
            <w:gridSpan w:val="2"/>
            <w:shd w:val="clear" w:color="auto" w:fill="CCECF8"/>
          </w:tcPr>
          <w:p>
            <w:pPr>
              <w:jc w:val="right"/>
              <w:ind w:right="680"/>
              <w:spacing w:after="0"/>
              <w:rPr>
                <w:sz w:val="20"/>
                <w:szCs w:val="20"/>
                <w:color w:val="auto"/>
              </w:rPr>
            </w:pPr>
            <w:r>
              <w:rPr>
                <w:rFonts w:ascii="Arial" w:cs="Arial" w:eastAsia="Arial" w:hAnsi="Arial"/>
                <w:sz w:val="18"/>
                <w:szCs w:val="18"/>
                <w:color w:val="auto"/>
              </w:rPr>
              <w:t>43,000</w:t>
            </w:r>
          </w:p>
        </w:tc>
        <w:tc>
          <w:tcPr>
            <w:tcW w:w="1760" w:type="dxa"/>
            <w:vAlign w:val="bottom"/>
            <w:gridSpan w:val="2"/>
            <w:shd w:val="clear" w:color="auto" w:fill="CCECF8"/>
          </w:tcPr>
          <w:p>
            <w:pPr>
              <w:jc w:val="right"/>
              <w:ind w:right="680"/>
              <w:spacing w:after="0"/>
              <w:rPr>
                <w:sz w:val="20"/>
                <w:szCs w:val="20"/>
                <w:color w:val="auto"/>
              </w:rPr>
            </w:pPr>
            <w:r>
              <w:rPr>
                <w:rFonts w:ascii="Arial" w:cs="Arial" w:eastAsia="Arial" w:hAnsi="Arial"/>
                <w:sz w:val="18"/>
                <w:szCs w:val="18"/>
                <w:color w:val="auto"/>
              </w:rPr>
              <w:t>52,986</w:t>
            </w:r>
          </w:p>
        </w:tc>
        <w:tc>
          <w:tcPr>
            <w:tcW w:w="148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rPr>
              <w:t>52,985</w:t>
            </w:r>
          </w:p>
        </w:tc>
        <w:tc>
          <w:tcPr>
            <w:tcW w:w="1000" w:type="dxa"/>
            <w:vAlign w:val="bottom"/>
            <w:gridSpan w:val="2"/>
            <w:shd w:val="clear" w:color="auto" w:fill="CCECF8"/>
          </w:tcPr>
          <w:p>
            <w:pPr>
              <w:jc w:val="right"/>
              <w:ind w:right="60"/>
              <w:spacing w:after="0"/>
              <w:rPr>
                <w:sz w:val="20"/>
                <w:szCs w:val="20"/>
                <w:color w:val="auto"/>
              </w:rPr>
            </w:pPr>
            <w:r>
              <w:rPr>
                <w:rFonts w:ascii="Arial" w:cs="Arial" w:eastAsia="Arial" w:hAnsi="Arial"/>
                <w:sz w:val="18"/>
                <w:szCs w:val="18"/>
                <w:color w:val="auto"/>
              </w:rPr>
              <w:t>148,971</w:t>
            </w:r>
          </w:p>
        </w:tc>
      </w:tr>
      <w:tr>
        <w:trPr>
          <w:trHeight w:val="210"/>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Tami L. Reller(4)</w:t>
            </w:r>
          </w:p>
        </w:tc>
        <w:tc>
          <w:tcPr>
            <w:tcW w:w="1680" w:type="dxa"/>
            <w:vAlign w:val="bottom"/>
            <w:gridSpan w:val="2"/>
          </w:tcPr>
          <w:p>
            <w:pPr>
              <w:jc w:val="right"/>
              <w:ind w:right="680"/>
              <w:spacing w:after="0"/>
              <w:rPr>
                <w:sz w:val="20"/>
                <w:szCs w:val="20"/>
                <w:color w:val="auto"/>
              </w:rPr>
            </w:pPr>
            <w:r>
              <w:rPr>
                <w:rFonts w:ascii="Arial" w:cs="Arial" w:eastAsia="Arial" w:hAnsi="Arial"/>
                <w:sz w:val="18"/>
                <w:szCs w:val="18"/>
                <w:color w:val="auto"/>
              </w:rPr>
              <w:t>36,872</w:t>
            </w: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52,986</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52,985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142,843</w:t>
            </w:r>
          </w:p>
        </w:tc>
      </w:tr>
      <w:tr>
        <w:trPr>
          <w:trHeight w:val="210"/>
        </w:trPr>
        <w:tc>
          <w:tcPr>
            <w:tcW w:w="20" w:type="dxa"/>
            <w:vAlign w:val="bottom"/>
          </w:tcPr>
          <w:p>
            <w:pPr>
              <w:spacing w:after="0"/>
              <w:rPr>
                <w:sz w:val="18"/>
                <w:szCs w:val="18"/>
                <w:color w:val="auto"/>
              </w:rPr>
            </w:pPr>
          </w:p>
        </w:tc>
        <w:tc>
          <w:tcPr>
            <w:tcW w:w="4800" w:type="dxa"/>
            <w:vAlign w:val="bottom"/>
            <w:gridSpan w:val="2"/>
            <w:shd w:val="clear" w:color="auto" w:fill="CCECF8"/>
          </w:tcPr>
          <w:p>
            <w:pPr>
              <w:spacing w:after="0"/>
              <w:rPr>
                <w:sz w:val="20"/>
                <w:szCs w:val="20"/>
                <w:color w:val="auto"/>
              </w:rPr>
            </w:pPr>
            <w:r>
              <w:rPr>
                <w:rFonts w:ascii="Arial" w:cs="Arial" w:eastAsia="Arial" w:hAnsi="Arial"/>
                <w:sz w:val="18"/>
                <w:szCs w:val="18"/>
                <w:color w:val="auto"/>
              </w:rPr>
              <w:t>Michael A. Smerklo(5)</w:t>
            </w:r>
          </w:p>
        </w:tc>
        <w:tc>
          <w:tcPr>
            <w:tcW w:w="1680" w:type="dxa"/>
            <w:vAlign w:val="bottom"/>
            <w:gridSpan w:val="2"/>
            <w:shd w:val="clear" w:color="auto" w:fill="CCECF8"/>
          </w:tcPr>
          <w:p>
            <w:pPr>
              <w:jc w:val="right"/>
              <w:ind w:right="680"/>
              <w:spacing w:after="0"/>
              <w:rPr>
                <w:sz w:val="20"/>
                <w:szCs w:val="20"/>
                <w:color w:val="auto"/>
              </w:rPr>
            </w:pPr>
            <w:r>
              <w:rPr>
                <w:rFonts w:ascii="Arial" w:cs="Arial" w:eastAsia="Arial" w:hAnsi="Arial"/>
                <w:sz w:val="18"/>
                <w:szCs w:val="18"/>
                <w:color w:val="auto"/>
              </w:rPr>
              <w:t>41,461</w:t>
            </w:r>
          </w:p>
        </w:tc>
        <w:tc>
          <w:tcPr>
            <w:tcW w:w="1760" w:type="dxa"/>
            <w:vAlign w:val="bottom"/>
            <w:gridSpan w:val="2"/>
            <w:shd w:val="clear" w:color="auto" w:fill="CCECF8"/>
          </w:tcPr>
          <w:p>
            <w:pPr>
              <w:jc w:val="right"/>
              <w:ind w:right="680"/>
              <w:spacing w:after="0"/>
              <w:rPr>
                <w:sz w:val="20"/>
                <w:szCs w:val="20"/>
                <w:color w:val="auto"/>
              </w:rPr>
            </w:pPr>
            <w:r>
              <w:rPr>
                <w:rFonts w:ascii="Arial" w:cs="Arial" w:eastAsia="Arial" w:hAnsi="Arial"/>
                <w:sz w:val="18"/>
                <w:szCs w:val="18"/>
                <w:color w:val="auto"/>
              </w:rPr>
              <w:t>52,986</w:t>
            </w:r>
          </w:p>
        </w:tc>
        <w:tc>
          <w:tcPr>
            <w:tcW w:w="148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rPr>
              <w:t>52,985</w:t>
            </w:r>
          </w:p>
        </w:tc>
        <w:tc>
          <w:tcPr>
            <w:tcW w:w="1000" w:type="dxa"/>
            <w:vAlign w:val="bottom"/>
            <w:gridSpan w:val="2"/>
            <w:shd w:val="clear" w:color="auto" w:fill="CCECF8"/>
          </w:tcPr>
          <w:p>
            <w:pPr>
              <w:jc w:val="right"/>
              <w:ind w:right="60"/>
              <w:spacing w:after="0"/>
              <w:rPr>
                <w:sz w:val="20"/>
                <w:szCs w:val="20"/>
                <w:color w:val="auto"/>
              </w:rPr>
            </w:pPr>
            <w:r>
              <w:rPr>
                <w:rFonts w:ascii="Arial" w:cs="Arial" w:eastAsia="Arial" w:hAnsi="Arial"/>
                <w:sz w:val="18"/>
                <w:szCs w:val="18"/>
                <w:color w:val="auto"/>
              </w:rPr>
              <w:t>147,432</w:t>
            </w:r>
          </w:p>
        </w:tc>
      </w:tr>
      <w:tr>
        <w:trPr>
          <w:trHeight w:val="210"/>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Philip E. Soran(6)</w:t>
            </w:r>
          </w:p>
        </w:tc>
        <w:tc>
          <w:tcPr>
            <w:tcW w:w="1680" w:type="dxa"/>
            <w:vAlign w:val="bottom"/>
            <w:gridSpan w:val="2"/>
          </w:tcPr>
          <w:p>
            <w:pPr>
              <w:jc w:val="right"/>
              <w:ind w:right="680"/>
              <w:spacing w:after="0"/>
              <w:rPr>
                <w:sz w:val="20"/>
                <w:szCs w:val="20"/>
                <w:color w:val="auto"/>
              </w:rPr>
            </w:pPr>
            <w:r>
              <w:rPr>
                <w:rFonts w:ascii="Arial" w:cs="Arial" w:eastAsia="Arial" w:hAnsi="Arial"/>
                <w:sz w:val="18"/>
                <w:szCs w:val="18"/>
                <w:color w:val="auto"/>
              </w:rPr>
              <w:t>48,326</w:t>
            </w: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52,986</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52,985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154,297</w:t>
            </w:r>
          </w:p>
        </w:tc>
      </w:tr>
      <w:tr>
        <w:trPr>
          <w:trHeight w:val="210"/>
        </w:trPr>
        <w:tc>
          <w:tcPr>
            <w:tcW w:w="20" w:type="dxa"/>
            <w:vAlign w:val="bottom"/>
          </w:tcPr>
          <w:p>
            <w:pPr>
              <w:spacing w:after="0"/>
              <w:rPr>
                <w:sz w:val="18"/>
                <w:szCs w:val="18"/>
                <w:color w:val="auto"/>
              </w:rPr>
            </w:pPr>
          </w:p>
        </w:tc>
        <w:tc>
          <w:tcPr>
            <w:tcW w:w="4800" w:type="dxa"/>
            <w:vAlign w:val="bottom"/>
            <w:gridSpan w:val="2"/>
            <w:shd w:val="clear" w:color="auto" w:fill="CCECF8"/>
          </w:tcPr>
          <w:p>
            <w:pPr>
              <w:spacing w:after="0"/>
              <w:rPr>
                <w:sz w:val="20"/>
                <w:szCs w:val="20"/>
                <w:color w:val="auto"/>
              </w:rPr>
            </w:pPr>
            <w:r>
              <w:rPr>
                <w:rFonts w:ascii="Arial" w:cs="Arial" w:eastAsia="Arial" w:hAnsi="Arial"/>
                <w:sz w:val="18"/>
                <w:szCs w:val="18"/>
                <w:color w:val="auto"/>
              </w:rPr>
              <w:t>Sven A. Wehrwein(7)</w:t>
            </w:r>
          </w:p>
        </w:tc>
        <w:tc>
          <w:tcPr>
            <w:tcW w:w="1680" w:type="dxa"/>
            <w:vAlign w:val="bottom"/>
            <w:gridSpan w:val="2"/>
            <w:shd w:val="clear" w:color="auto" w:fill="CCECF8"/>
          </w:tcPr>
          <w:p>
            <w:pPr>
              <w:jc w:val="right"/>
              <w:ind w:right="680"/>
              <w:spacing w:after="0"/>
              <w:rPr>
                <w:sz w:val="20"/>
                <w:szCs w:val="20"/>
                <w:color w:val="auto"/>
              </w:rPr>
            </w:pPr>
            <w:r>
              <w:rPr>
                <w:rFonts w:ascii="Arial" w:cs="Arial" w:eastAsia="Arial" w:hAnsi="Arial"/>
                <w:sz w:val="18"/>
                <w:szCs w:val="18"/>
                <w:color w:val="auto"/>
              </w:rPr>
              <w:t>51,000</w:t>
            </w:r>
          </w:p>
        </w:tc>
        <w:tc>
          <w:tcPr>
            <w:tcW w:w="1760" w:type="dxa"/>
            <w:vAlign w:val="bottom"/>
            <w:gridSpan w:val="2"/>
            <w:shd w:val="clear" w:color="auto" w:fill="CCECF8"/>
          </w:tcPr>
          <w:p>
            <w:pPr>
              <w:jc w:val="right"/>
              <w:ind w:right="680"/>
              <w:spacing w:after="0"/>
              <w:rPr>
                <w:sz w:val="20"/>
                <w:szCs w:val="20"/>
                <w:color w:val="auto"/>
              </w:rPr>
            </w:pPr>
            <w:r>
              <w:rPr>
                <w:rFonts w:ascii="Arial" w:cs="Arial" w:eastAsia="Arial" w:hAnsi="Arial"/>
                <w:sz w:val="18"/>
                <w:szCs w:val="18"/>
                <w:color w:val="auto"/>
              </w:rPr>
              <w:t>52,986</w:t>
            </w:r>
          </w:p>
        </w:tc>
        <w:tc>
          <w:tcPr>
            <w:tcW w:w="148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rPr>
              <w:t>52,985</w:t>
            </w:r>
          </w:p>
        </w:tc>
        <w:tc>
          <w:tcPr>
            <w:tcW w:w="1000" w:type="dxa"/>
            <w:vAlign w:val="bottom"/>
            <w:gridSpan w:val="2"/>
            <w:shd w:val="clear" w:color="auto" w:fill="CCECF8"/>
          </w:tcPr>
          <w:p>
            <w:pPr>
              <w:jc w:val="right"/>
              <w:ind w:right="60"/>
              <w:spacing w:after="0"/>
              <w:rPr>
                <w:sz w:val="20"/>
                <w:szCs w:val="20"/>
                <w:color w:val="auto"/>
              </w:rPr>
            </w:pPr>
            <w:r>
              <w:rPr>
                <w:rFonts w:ascii="Arial" w:cs="Arial" w:eastAsia="Arial" w:hAnsi="Arial"/>
                <w:sz w:val="18"/>
                <w:szCs w:val="18"/>
                <w:color w:val="auto"/>
              </w:rPr>
              <w:t>156,971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83820</wp:posOffset>
            </wp:positionV>
            <wp:extent cx="12280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52" w:lineRule="exact"/>
        <w:rPr>
          <w:sz w:val="20"/>
          <w:szCs w:val="20"/>
          <w:color w:val="auto"/>
        </w:rPr>
      </w:pPr>
    </w:p>
    <w:p>
      <w:pPr>
        <w:ind w:left="760" w:right="80" w:hanging="413"/>
        <w:spacing w:after="0" w:line="299"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the grant date fair value of the stock and option awards granted during the year computed in accordance with ASC Topic 718. For a discussion of the relevant assumptions used to determine the valuation of our option awards for financial reporting purposes please refer to Note I to the Notes to Consolidated Financial Statements included in our Annual Report on Form 10-K filed with the SEC on February 26, 2018.</w:t>
      </w:r>
    </w:p>
    <w:p>
      <w:pPr>
        <w:spacing w:after="0" w:line="62" w:lineRule="exact"/>
        <w:rPr>
          <w:rFonts w:ascii="Arial" w:cs="Arial" w:eastAsia="Arial" w:hAnsi="Arial"/>
          <w:sz w:val="16"/>
          <w:szCs w:val="16"/>
          <w:color w:val="auto"/>
        </w:rPr>
      </w:pPr>
    </w:p>
    <w:p>
      <w:pPr>
        <w:ind w:left="760" w:right="120" w:hanging="413"/>
        <w:spacing w:after="0" w:line="261"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December 31, 2017, Mr. Leestma held 228 shares of unvested restricted stock and options to purchase an aggregate of 38,161 shares of our common stock, 37,404 of which were exercisable.</w:t>
      </w:r>
    </w:p>
    <w:p>
      <w:pPr>
        <w:spacing w:after="0" w:line="89" w:lineRule="exact"/>
        <w:rPr>
          <w:rFonts w:ascii="Arial" w:cs="Arial" w:eastAsia="Arial" w:hAnsi="Arial"/>
          <w:sz w:val="18"/>
          <w:szCs w:val="18"/>
          <w:color w:val="auto"/>
        </w:rPr>
      </w:pPr>
    </w:p>
    <w:p>
      <w:pPr>
        <w:ind w:left="760" w:right="160" w:hanging="413"/>
        <w:spacing w:after="0" w:line="261"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December 31, 2017, Mr. Ramsey held 228 shares of unvested restricted stock and options to purchase an aggregate of 17,386 shares of our common stock, 16,629 of which were exercisable.</w:t>
      </w:r>
    </w:p>
    <w:p>
      <w:pPr>
        <w:spacing w:after="0" w:line="89" w:lineRule="exact"/>
        <w:rPr>
          <w:rFonts w:ascii="Arial" w:cs="Arial" w:eastAsia="Arial" w:hAnsi="Arial"/>
          <w:sz w:val="18"/>
          <w:szCs w:val="18"/>
          <w:color w:val="auto"/>
        </w:rPr>
      </w:pPr>
    </w:p>
    <w:p>
      <w:pPr>
        <w:ind w:left="760" w:right="280" w:hanging="413"/>
        <w:spacing w:after="0" w:line="261"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December 31, 2017, Ms. Reller held 228 shares of unvested restricted stock and options to purchase an aggregate of 12,993 shares of our common stock, 9,133 of which were exercisable.</w:t>
      </w:r>
    </w:p>
    <w:p>
      <w:pPr>
        <w:spacing w:after="0" w:line="89" w:lineRule="exact"/>
        <w:rPr>
          <w:rFonts w:ascii="Arial" w:cs="Arial" w:eastAsia="Arial" w:hAnsi="Arial"/>
          <w:sz w:val="18"/>
          <w:szCs w:val="18"/>
          <w:color w:val="auto"/>
        </w:rPr>
      </w:pPr>
    </w:p>
    <w:p>
      <w:pPr>
        <w:ind w:left="760" w:right="120" w:hanging="413"/>
        <w:spacing w:after="0" w:line="261"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December 31, 2017, Mr. Smerklo held 228 shares of unvested restricted stock and options to purchase an aggregate of 15,715 shares of our common stock, 14,958 of which were exercisable.</w:t>
      </w:r>
    </w:p>
    <w:p>
      <w:pPr>
        <w:spacing w:after="0" w:line="89" w:lineRule="exact"/>
        <w:rPr>
          <w:rFonts w:ascii="Arial" w:cs="Arial" w:eastAsia="Arial" w:hAnsi="Arial"/>
          <w:sz w:val="18"/>
          <w:szCs w:val="18"/>
          <w:color w:val="auto"/>
        </w:rPr>
      </w:pPr>
    </w:p>
    <w:p>
      <w:pPr>
        <w:ind w:left="760" w:right="320" w:hanging="413"/>
        <w:spacing w:after="0" w:line="261"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December 31, 2017, Mr. Soran held 228 shares of unvested restricted stock and options to purchase an aggregate of 35,489 shares of our common stock, 34,732 of which were exercisable.</w:t>
      </w:r>
    </w:p>
    <w:p>
      <w:pPr>
        <w:spacing w:after="0" w:line="89" w:lineRule="exact"/>
        <w:rPr>
          <w:rFonts w:ascii="Arial" w:cs="Arial" w:eastAsia="Arial" w:hAnsi="Arial"/>
          <w:sz w:val="18"/>
          <w:szCs w:val="18"/>
          <w:color w:val="auto"/>
        </w:rPr>
      </w:pPr>
    </w:p>
    <w:p>
      <w:pPr>
        <w:ind w:left="760" w:hanging="413"/>
        <w:spacing w:after="0" w:line="261"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December 31, 2017, Mr. Wehrwein held 228 shares of unvested restricted stock and options to purchase an aggregate of 24,896 shares of our common stock, 24,139 of which were exercisable.</w:t>
      </w:r>
    </w:p>
    <w:p>
      <w:pPr>
        <w:spacing w:after="0" w:line="11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240" w:top="451" w:right="57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42" w:lineRule="exact"/>
        <w:rPr>
          <w:sz w:val="20"/>
          <w:szCs w:val="20"/>
          <w:color w:val="auto"/>
        </w:rPr>
      </w:pPr>
    </w:p>
    <w:p>
      <w:pPr>
        <w:ind w:left="3260"/>
        <w:spacing w:after="0"/>
        <w:rPr>
          <w:sz w:val="20"/>
          <w:szCs w:val="20"/>
          <w:color w:val="auto"/>
        </w:rPr>
      </w:pPr>
      <w:r>
        <w:rPr>
          <w:rFonts w:ascii="Arial" w:cs="Arial" w:eastAsia="Arial" w:hAnsi="Arial"/>
          <w:sz w:val="35"/>
          <w:szCs w:val="35"/>
          <w:b w:val="1"/>
          <w:bCs w:val="1"/>
          <w:color w:val="00A1D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-250825</wp:posOffset>
            </wp:positionV>
            <wp:extent cx="68160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Compensation Discussion and Analysis</w:t>
      </w:r>
    </w:p>
    <w:p>
      <w:pPr>
        <w:spacing w:after="0" w:line="112" w:lineRule="exact"/>
        <w:rPr>
          <w:sz w:val="20"/>
          <w:szCs w:val="20"/>
          <w:color w:val="auto"/>
        </w:rPr>
      </w:pPr>
    </w:p>
    <w:p>
      <w:pPr>
        <w:ind w:left="340" w:right="40" w:firstLine="429"/>
        <w:spacing w:after="0" w:line="261" w:lineRule="auto"/>
        <w:rPr>
          <w:sz w:val="20"/>
          <w:szCs w:val="20"/>
          <w:color w:val="auto"/>
        </w:rPr>
      </w:pPr>
      <w:r>
        <w:rPr>
          <w:rFonts w:ascii="Arial" w:cs="Arial" w:eastAsia="Arial" w:hAnsi="Arial"/>
          <w:sz w:val="18"/>
          <w:szCs w:val="18"/>
          <w:color w:val="auto"/>
        </w:rPr>
        <w:t>The following is a discussion and analysis of compensation arrangements of our named executive officers for 2017. Our named executive officers for 2017 were:</w:t>
      </w:r>
    </w:p>
    <w:p>
      <w:pPr>
        <w:spacing w:after="0" w:line="50" w:lineRule="exact"/>
        <w:rPr>
          <w:sz w:val="20"/>
          <w:szCs w:val="20"/>
          <w:color w:val="auto"/>
        </w:rPr>
      </w:pPr>
    </w:p>
    <w:p>
      <w:pPr>
        <w:ind w:left="1080" w:hanging="31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Archie C. Black, our President and Chief Executive Officer,</w:t>
      </w:r>
    </w:p>
    <w:p>
      <w:pPr>
        <w:spacing w:after="0" w:line="82" w:lineRule="exact"/>
        <w:rPr>
          <w:rFonts w:ascii="Arial" w:cs="Arial" w:eastAsia="Arial" w:hAnsi="Arial"/>
          <w:sz w:val="18"/>
          <w:szCs w:val="18"/>
          <w:color w:val="auto"/>
        </w:rPr>
      </w:pPr>
    </w:p>
    <w:p>
      <w:pPr>
        <w:ind w:left="1080" w:hanging="31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Kimberly K. Nelson, our Executive Vice President and Chief Financial Officer, and</w:t>
      </w:r>
    </w:p>
    <w:p>
      <w:pPr>
        <w:spacing w:after="0" w:line="82" w:lineRule="exact"/>
        <w:rPr>
          <w:rFonts w:ascii="Arial" w:cs="Arial" w:eastAsia="Arial" w:hAnsi="Arial"/>
          <w:sz w:val="18"/>
          <w:szCs w:val="18"/>
          <w:color w:val="auto"/>
        </w:rPr>
      </w:pPr>
    </w:p>
    <w:p>
      <w:pPr>
        <w:ind w:left="1080" w:hanging="31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James J. Frome, our Executive Vice President and Chief Operating Officer.</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Executive Summary</w:t>
      </w:r>
    </w:p>
    <w:p>
      <w:pPr>
        <w:spacing w:after="0" w:line="109" w:lineRule="exact"/>
        <w:rPr>
          <w:sz w:val="20"/>
          <w:szCs w:val="20"/>
          <w:color w:val="auto"/>
        </w:rPr>
      </w:pPr>
    </w:p>
    <w:p>
      <w:pPr>
        <w:ind w:left="340" w:right="20" w:firstLine="429"/>
        <w:spacing w:after="0" w:line="249" w:lineRule="auto"/>
        <w:rPr>
          <w:sz w:val="20"/>
          <w:szCs w:val="20"/>
          <w:color w:val="auto"/>
        </w:rPr>
      </w:pPr>
      <w:r>
        <w:rPr>
          <w:rFonts w:ascii="Arial" w:cs="Arial" w:eastAsia="Arial" w:hAnsi="Arial"/>
          <w:sz w:val="18"/>
          <w:szCs w:val="18"/>
          <w:color w:val="auto"/>
        </w:rPr>
        <w:t>As reflected in our compensation philosophy, we set the compensation of our executive officers, including our named executive officers, based on their ability to create sustainable long-term stockholder value in a cost-effective manner. Our executive compensation philosophy is to align executive compensation decisions with our desired business direction, strategy and performance. The primary objectives and priorities of our executive compensation program are the following:</w:t>
      </w:r>
    </w:p>
    <w:p>
      <w:pPr>
        <w:spacing w:after="0" w:line="62" w:lineRule="exact"/>
        <w:rPr>
          <w:sz w:val="20"/>
          <w:szCs w:val="20"/>
          <w:color w:val="auto"/>
        </w:rPr>
      </w:pPr>
    </w:p>
    <w:p>
      <w:pPr>
        <w:ind w:left="1080" w:right="140" w:hanging="312"/>
        <w:spacing w:after="0" w:line="261"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Pay for Performance</w:t>
      </w:r>
      <w:r>
        <w:rPr>
          <w:rFonts w:ascii="Arial" w:cs="Arial" w:eastAsia="Arial" w:hAnsi="Arial"/>
          <w:sz w:val="18"/>
          <w:szCs w:val="18"/>
          <w:color w:val="auto"/>
        </w:rPr>
        <w:t>: Emphasize variable compensation that is tied to our financial and stock price performance in an effort to generate and</w:t>
      </w:r>
      <w:r>
        <w:rPr>
          <w:rFonts w:ascii="Arial" w:cs="Arial" w:eastAsia="Arial" w:hAnsi="Arial"/>
          <w:sz w:val="18"/>
          <w:szCs w:val="18"/>
          <w:i w:val="1"/>
          <w:iCs w:val="1"/>
          <w:color w:val="auto"/>
        </w:rPr>
        <w:t xml:space="preserve"> </w:t>
      </w:r>
      <w:r>
        <w:rPr>
          <w:rFonts w:ascii="Arial" w:cs="Arial" w:eastAsia="Arial" w:hAnsi="Arial"/>
          <w:sz w:val="18"/>
          <w:szCs w:val="18"/>
          <w:color w:val="auto"/>
        </w:rPr>
        <w:t>reward superior individual and collective performance;</w:t>
      </w:r>
    </w:p>
    <w:p>
      <w:pPr>
        <w:spacing w:after="0" w:line="49" w:lineRule="exact"/>
        <w:rPr>
          <w:rFonts w:ascii="Arial" w:cs="Arial" w:eastAsia="Arial" w:hAnsi="Arial"/>
          <w:sz w:val="18"/>
          <w:szCs w:val="18"/>
          <w:color w:val="auto"/>
        </w:rPr>
      </w:pPr>
    </w:p>
    <w:p>
      <w:pPr>
        <w:ind w:left="1080" w:right="480" w:hanging="312"/>
        <w:spacing w:after="0" w:line="347" w:lineRule="auto"/>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Stockholder Alignment</w:t>
      </w:r>
      <w:r>
        <w:rPr>
          <w:rFonts w:ascii="Arial" w:cs="Arial" w:eastAsia="Arial" w:hAnsi="Arial"/>
          <w:sz w:val="15"/>
          <w:szCs w:val="15"/>
          <w:color w:val="auto"/>
        </w:rPr>
        <w:t>: Link our executives’ incentive goals with the interests of our stockholders, provide equity-based forms of</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and establish specific stock ownership guidelines for employees in key management positions throughout our Company;</w:t>
      </w:r>
    </w:p>
    <w:p>
      <w:pPr>
        <w:spacing w:after="0" w:line="1" w:lineRule="exact"/>
        <w:rPr>
          <w:rFonts w:ascii="Arial" w:cs="Arial" w:eastAsia="Arial" w:hAnsi="Arial"/>
          <w:sz w:val="15"/>
          <w:szCs w:val="15"/>
          <w:color w:val="auto"/>
        </w:rPr>
      </w:pPr>
    </w:p>
    <w:p>
      <w:pPr>
        <w:ind w:left="1080" w:right="360" w:hanging="312"/>
        <w:spacing w:after="0" w:line="261"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Long-Term Success</w:t>
      </w:r>
      <w:r>
        <w:rPr>
          <w:rFonts w:ascii="Arial" w:cs="Arial" w:eastAsia="Arial" w:hAnsi="Arial"/>
          <w:sz w:val="18"/>
          <w:szCs w:val="18"/>
          <w:color w:val="auto"/>
        </w:rPr>
        <w:t>: Support and reward our executives for consistent performance over time and achievement of our long-term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goals; and</w:t>
      </w:r>
    </w:p>
    <w:p>
      <w:pPr>
        <w:spacing w:after="0" w:line="49" w:lineRule="exact"/>
        <w:rPr>
          <w:rFonts w:ascii="Arial" w:cs="Arial" w:eastAsia="Arial" w:hAnsi="Arial"/>
          <w:sz w:val="18"/>
          <w:szCs w:val="18"/>
          <w:color w:val="auto"/>
        </w:rPr>
      </w:pPr>
    </w:p>
    <w:p>
      <w:pPr>
        <w:ind w:left="1080" w:hanging="31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Attraction and Retention</w:t>
      </w:r>
      <w:r>
        <w:rPr>
          <w:rFonts w:ascii="Arial" w:cs="Arial" w:eastAsia="Arial" w:hAnsi="Arial"/>
          <w:sz w:val="16"/>
          <w:szCs w:val="16"/>
          <w:color w:val="auto"/>
        </w:rPr>
        <w:t>: Attract and retain highly qualified executives whose abilities are critical to our success and competitive advantage.</w:t>
      </w:r>
    </w:p>
    <w:p>
      <w:pPr>
        <w:spacing w:after="0" w:line="132" w:lineRule="exact"/>
        <w:rPr>
          <w:sz w:val="20"/>
          <w:szCs w:val="20"/>
          <w:color w:val="auto"/>
        </w:rPr>
      </w:pPr>
    </w:p>
    <w:p>
      <w:pPr>
        <w:ind w:left="340" w:right="100" w:firstLine="429"/>
        <w:spacing w:after="0" w:line="248" w:lineRule="auto"/>
        <w:rPr>
          <w:sz w:val="20"/>
          <w:szCs w:val="20"/>
          <w:color w:val="auto"/>
        </w:rPr>
      </w:pPr>
      <w:r>
        <w:rPr>
          <w:rFonts w:ascii="Arial" w:cs="Arial" w:eastAsia="Arial" w:hAnsi="Arial"/>
          <w:sz w:val="18"/>
          <w:szCs w:val="18"/>
          <w:color w:val="auto"/>
        </w:rPr>
        <w:t>To achieve these objectives, we have designed an executive compensation program that is significantly weighted towards long-term goals. This approach aids us in the retention of executive officers and assures that the interests of our executive officers and stockholders are aligned. While our program emphasizes performance-based and equity-based compensation as a percentage of total direct compensation (base salary and annual and long-term incentives), we do not have specific policies governing the allocation of the target total direct compensation opportunity among its various components.</w:t>
      </w:r>
    </w:p>
    <w:p>
      <w:pPr>
        <w:spacing w:after="0" w:line="193" w:lineRule="exact"/>
        <w:rPr>
          <w:sz w:val="20"/>
          <w:szCs w:val="20"/>
          <w:color w:val="auto"/>
        </w:rPr>
      </w:pPr>
    </w:p>
    <w:p>
      <w:pPr>
        <w:ind w:left="340" w:right="80" w:firstLine="429"/>
        <w:spacing w:after="0" w:line="315" w:lineRule="auto"/>
        <w:rPr>
          <w:sz w:val="20"/>
          <w:szCs w:val="20"/>
          <w:color w:val="auto"/>
        </w:rPr>
      </w:pPr>
      <w:r>
        <w:rPr>
          <w:rFonts w:ascii="Arial" w:cs="Arial" w:eastAsia="Arial" w:hAnsi="Arial"/>
          <w:sz w:val="15"/>
          <w:szCs w:val="15"/>
          <w:color w:val="auto"/>
        </w:rPr>
        <w:t>Each of the primary elements of our executive compensation program is discussed in more detail below. While we have identified particular compensation objectives that each element of executive compensation serves, our compensation program is designed to be flexible and complementary and to collectively serve all of the executive compensation objectives described above. Accordingly, whether or not specifically mentioned below, we believe that, as a part of our overall executive compensation policy, each individual element, to a greater or lesser extent, serves each of our objectives.</w:t>
      </w:r>
    </w:p>
    <w:p>
      <w:pPr>
        <w:spacing w:after="0" w:line="147" w:lineRule="exact"/>
        <w:rPr>
          <w:sz w:val="20"/>
          <w:szCs w:val="20"/>
          <w:color w:val="auto"/>
        </w:rPr>
      </w:pPr>
    </w:p>
    <w:p>
      <w:pPr>
        <w:ind w:left="780"/>
        <w:spacing w:after="0"/>
        <w:rPr>
          <w:sz w:val="20"/>
          <w:szCs w:val="20"/>
          <w:color w:val="auto"/>
        </w:rPr>
      </w:pPr>
      <w:r>
        <w:rPr>
          <w:rFonts w:ascii="Arial" w:cs="Arial" w:eastAsia="Arial" w:hAnsi="Arial"/>
          <w:sz w:val="15"/>
          <w:szCs w:val="15"/>
          <w:color w:val="auto"/>
        </w:rPr>
        <w:t>Our compensation committee considers the results of the stockholders’ advisory vote on the compensation of our named executive officers. At our</w:t>
      </w:r>
    </w:p>
    <w:p>
      <w:pPr>
        <w:spacing w:after="0" w:line="50" w:lineRule="exact"/>
        <w:rPr>
          <w:sz w:val="20"/>
          <w:szCs w:val="20"/>
          <w:color w:val="auto"/>
        </w:rPr>
      </w:pPr>
    </w:p>
    <w:p>
      <w:pPr>
        <w:ind w:left="340" w:right="60"/>
        <w:spacing w:after="0" w:line="283" w:lineRule="auto"/>
        <w:rPr>
          <w:sz w:val="20"/>
          <w:szCs w:val="20"/>
          <w:color w:val="auto"/>
        </w:rPr>
      </w:pPr>
      <w:r>
        <w:rPr>
          <w:rFonts w:ascii="Arial" w:cs="Arial" w:eastAsia="Arial" w:hAnsi="Arial"/>
          <w:sz w:val="16"/>
          <w:szCs w:val="16"/>
          <w:color w:val="auto"/>
        </w:rPr>
        <w:t>2017 Annual Meeting of Stockholders, our say-on-pay proposal received “for” votes that represented approximately 94.2% of the shares voted on this proposal. The compensation committee considered the results of the say-on-pay vote when evaluating our compensation practices and policies in 2017 and when setting the compensation of our named executive officers for 2018 and decided not to make any significant changes to our executive compensation program. The compensation committee believes that the significant support for the 2017 say-on-pay proposal demonstrates stockholders’ support of our compensation program, policies and practices.</w:t>
      </w:r>
    </w:p>
    <w:p>
      <w:pPr>
        <w:spacing w:after="0" w:line="10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240" w:top="451" w:right="61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In 2017, the compensation committee took the following actions with respect to the compensation of our named executive officers:</w:t>
      </w:r>
    </w:p>
    <w:p>
      <w:pPr>
        <w:spacing w:after="0" w:line="105" w:lineRule="exact"/>
        <w:rPr>
          <w:sz w:val="20"/>
          <w:szCs w:val="20"/>
          <w:color w:val="auto"/>
        </w:rPr>
      </w:pPr>
    </w:p>
    <w:p>
      <w:pPr>
        <w:ind w:left="1080" w:hanging="31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awarded formula-based bonuses at 65% of the target bonus opportunity established at the beginning of the year;</w:t>
      </w:r>
    </w:p>
    <w:p>
      <w:pPr>
        <w:spacing w:after="0" w:line="82" w:lineRule="exact"/>
        <w:rPr>
          <w:rFonts w:ascii="Arial" w:cs="Arial" w:eastAsia="Arial" w:hAnsi="Arial"/>
          <w:sz w:val="18"/>
          <w:szCs w:val="18"/>
          <w:color w:val="auto"/>
        </w:rPr>
      </w:pPr>
    </w:p>
    <w:p>
      <w:pPr>
        <w:ind w:left="1080" w:right="140" w:hanging="312"/>
        <w:spacing w:after="0" w:line="261"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approved stock option and restricted stock unit awards (“RSUs”) to satisfy competitive market concerns, satisfy our retention objectives and reward individual performance for 2017;</w:t>
      </w:r>
    </w:p>
    <w:p>
      <w:pPr>
        <w:spacing w:after="0" w:line="49" w:lineRule="exact"/>
        <w:rPr>
          <w:rFonts w:ascii="Arial" w:cs="Arial" w:eastAsia="Arial" w:hAnsi="Arial"/>
          <w:sz w:val="18"/>
          <w:szCs w:val="18"/>
          <w:color w:val="auto"/>
        </w:rPr>
      </w:pPr>
    </w:p>
    <w:p>
      <w:pPr>
        <w:ind w:left="1080" w:right="860" w:hanging="312"/>
        <w:spacing w:after="0" w:line="261"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approved performance stock unit awards (“PSUs”) for the first time to further our retention objectives and our focus on rewarding performance; and</w:t>
      </w:r>
    </w:p>
    <w:p>
      <w:pPr>
        <w:spacing w:after="0" w:line="49" w:lineRule="exact"/>
        <w:rPr>
          <w:rFonts w:ascii="Arial" w:cs="Arial" w:eastAsia="Arial" w:hAnsi="Arial"/>
          <w:sz w:val="18"/>
          <w:szCs w:val="18"/>
          <w:color w:val="auto"/>
        </w:rPr>
      </w:pPr>
    </w:p>
    <w:p>
      <w:pPr>
        <w:ind w:left="1080" w:hanging="31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entered into a new severance and change in control agreement with our CEO as discussed further on page 29.</w:t>
      </w:r>
    </w:p>
    <w:p>
      <w:pPr>
        <w:spacing w:after="0" w:line="10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In addition to the compensation actions and decisions noted above, we maintained the following compensation policies and practices in 2017:</w:t>
      </w:r>
    </w:p>
    <w:p>
      <w:pPr>
        <w:spacing w:after="0" w:line="105" w:lineRule="exact"/>
        <w:rPr>
          <w:sz w:val="20"/>
          <w:szCs w:val="20"/>
          <w:color w:val="auto"/>
        </w:rPr>
      </w:pPr>
    </w:p>
    <w:p>
      <w:pPr>
        <w:ind w:left="1080" w:right="460" w:hanging="312"/>
        <w:spacing w:after="0" w:line="261"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No Tax Gross-Up Provisions</w:t>
      </w:r>
      <w:r>
        <w:rPr>
          <w:rFonts w:ascii="Arial" w:cs="Arial" w:eastAsia="Arial" w:hAnsi="Arial"/>
          <w:sz w:val="18"/>
          <w:szCs w:val="18"/>
          <w:color w:val="auto"/>
        </w:rPr>
        <w:t>. Our named executive officers are not entitled to any tax gross-up treatment on any severance or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benefits.</w:t>
      </w:r>
    </w:p>
    <w:p>
      <w:pPr>
        <w:spacing w:after="0" w:line="49" w:lineRule="exact"/>
        <w:rPr>
          <w:rFonts w:ascii="Arial" w:cs="Arial" w:eastAsia="Arial" w:hAnsi="Arial"/>
          <w:sz w:val="18"/>
          <w:szCs w:val="18"/>
          <w:color w:val="auto"/>
        </w:rPr>
      </w:pPr>
    </w:p>
    <w:p>
      <w:pPr>
        <w:ind w:left="1080" w:right="200" w:hanging="312"/>
        <w:spacing w:after="0" w:line="252"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Compensation Programs Create No Excessive Risk</w:t>
      </w:r>
      <w:r>
        <w:rPr>
          <w:rFonts w:ascii="Arial" w:cs="Arial" w:eastAsia="Arial" w:hAnsi="Arial"/>
          <w:sz w:val="18"/>
          <w:szCs w:val="18"/>
          <w:color w:val="auto"/>
        </w:rPr>
        <w:t>. Our compensation programs are reviewed regularly by our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which has determined that our compensation programs do not create inappropriate or excessive risk that is likely to have a material adverse effect on our Company.</w:t>
      </w:r>
    </w:p>
    <w:p>
      <w:pPr>
        <w:spacing w:after="0" w:line="58" w:lineRule="exact"/>
        <w:rPr>
          <w:rFonts w:ascii="Arial" w:cs="Arial" w:eastAsia="Arial" w:hAnsi="Arial"/>
          <w:sz w:val="18"/>
          <w:szCs w:val="18"/>
          <w:color w:val="auto"/>
        </w:rPr>
      </w:pPr>
    </w:p>
    <w:p>
      <w:pPr>
        <w:ind w:left="1080" w:right="200" w:hanging="312"/>
        <w:spacing w:after="0" w:line="252"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Independent Compensation Consultant Engaged</w:t>
      </w:r>
      <w:r>
        <w:rPr>
          <w:rFonts w:ascii="Arial" w:cs="Arial" w:eastAsia="Arial" w:hAnsi="Arial"/>
          <w:sz w:val="18"/>
          <w:szCs w:val="18"/>
          <w:color w:val="auto"/>
        </w:rPr>
        <w:t>. Our compensation committee engaged an independent compensation 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Compensia, to assist the committee with determining compensation for our named executive officers as well as provide the committee with market data and guidance on best practices.</w:t>
      </w:r>
    </w:p>
    <w:p>
      <w:pPr>
        <w:spacing w:after="0" w:line="58" w:lineRule="exact"/>
        <w:rPr>
          <w:rFonts w:ascii="Arial" w:cs="Arial" w:eastAsia="Arial" w:hAnsi="Arial"/>
          <w:sz w:val="18"/>
          <w:szCs w:val="18"/>
          <w:color w:val="auto"/>
        </w:rPr>
      </w:pPr>
    </w:p>
    <w:p>
      <w:pPr>
        <w:ind w:left="1080" w:right="140" w:hanging="312"/>
        <w:spacing w:after="0" w:line="261"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Hedging Transactions Prohibited</w:t>
      </w:r>
      <w:r>
        <w:rPr>
          <w:rFonts w:ascii="Arial" w:cs="Arial" w:eastAsia="Arial" w:hAnsi="Arial"/>
          <w:sz w:val="18"/>
          <w:szCs w:val="18"/>
          <w:color w:val="auto"/>
        </w:rPr>
        <w:t>. Our insider trading policy prohibits our directors and executive officers from purchasing our securities on</w:t>
      </w:r>
      <w:r>
        <w:rPr>
          <w:rFonts w:ascii="Arial" w:cs="Arial" w:eastAsia="Arial" w:hAnsi="Arial"/>
          <w:sz w:val="18"/>
          <w:szCs w:val="18"/>
          <w:i w:val="1"/>
          <w:iCs w:val="1"/>
          <w:color w:val="auto"/>
        </w:rPr>
        <w:t xml:space="preserve"> </w:t>
      </w:r>
      <w:r>
        <w:rPr>
          <w:rFonts w:ascii="Arial" w:cs="Arial" w:eastAsia="Arial" w:hAnsi="Arial"/>
          <w:sz w:val="18"/>
          <w:szCs w:val="18"/>
          <w:color w:val="auto"/>
        </w:rPr>
        <w:t>margin, or otherwise pledging or hedging our securities.</w:t>
      </w:r>
    </w:p>
    <w:p>
      <w:pPr>
        <w:spacing w:after="0" w:line="49" w:lineRule="exact"/>
        <w:rPr>
          <w:rFonts w:ascii="Arial" w:cs="Arial" w:eastAsia="Arial" w:hAnsi="Arial"/>
          <w:sz w:val="18"/>
          <w:szCs w:val="18"/>
          <w:color w:val="auto"/>
        </w:rPr>
      </w:pPr>
    </w:p>
    <w:p>
      <w:pPr>
        <w:ind w:left="1080" w:right="220" w:hanging="312"/>
        <w:spacing w:after="0" w:line="347" w:lineRule="auto"/>
        <w:tabs>
          <w:tab w:leader="none" w:pos="1080" w:val="left"/>
        </w:tabs>
        <w:numPr>
          <w:ilvl w:val="0"/>
          <w:numId w:val="24"/>
        </w:numPr>
        <w:rPr>
          <w:rFonts w:ascii="Arial" w:cs="Arial" w:eastAsia="Arial" w:hAnsi="Arial"/>
          <w:sz w:val="15"/>
          <w:szCs w:val="15"/>
          <w:color w:val="auto"/>
        </w:rPr>
      </w:pPr>
      <w:r>
        <w:rPr>
          <w:rFonts w:ascii="Arial" w:cs="Arial" w:eastAsia="Arial" w:hAnsi="Arial"/>
          <w:sz w:val="15"/>
          <w:szCs w:val="15"/>
          <w:i w:val="1"/>
          <w:iCs w:val="1"/>
          <w:color w:val="auto"/>
        </w:rPr>
        <w:t>Compensation is Performance-Based</w:t>
      </w:r>
      <w:r>
        <w:rPr>
          <w:rFonts w:ascii="Arial" w:cs="Arial" w:eastAsia="Arial" w:hAnsi="Arial"/>
          <w:sz w:val="15"/>
          <w:szCs w:val="15"/>
          <w:color w:val="auto"/>
        </w:rPr>
        <w:t>. Our executive compensation program is designed so that a significant portion of compensation is “at</w:t>
      </w:r>
      <w:r>
        <w:rPr>
          <w:rFonts w:ascii="Arial" w:cs="Arial" w:eastAsia="Arial" w:hAnsi="Arial"/>
          <w:sz w:val="15"/>
          <w:szCs w:val="15"/>
          <w:i w:val="1"/>
          <w:iCs w:val="1"/>
          <w:color w:val="auto"/>
        </w:rPr>
        <w:t xml:space="preserve"> </w:t>
      </w:r>
      <w:r>
        <w:rPr>
          <w:rFonts w:ascii="Arial" w:cs="Arial" w:eastAsia="Arial" w:hAnsi="Arial"/>
          <w:sz w:val="15"/>
          <w:szCs w:val="15"/>
          <w:color w:val="auto"/>
        </w:rPr>
        <w:t>risk” based on corporate performance, as well as equity-based, to align the interest of our named executive officers and our stockholders.</w:t>
      </w:r>
    </w:p>
    <w:p>
      <w:pPr>
        <w:spacing w:after="0" w:line="1" w:lineRule="exact"/>
        <w:rPr>
          <w:rFonts w:ascii="Arial" w:cs="Arial" w:eastAsia="Arial" w:hAnsi="Arial"/>
          <w:sz w:val="15"/>
          <w:szCs w:val="15"/>
          <w:color w:val="auto"/>
        </w:rPr>
      </w:pPr>
    </w:p>
    <w:p>
      <w:pPr>
        <w:ind w:left="1080" w:hanging="312"/>
        <w:spacing w:after="0" w:line="261"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Multi-year Performance Periods for Equity Awards</w:t>
      </w:r>
      <w:r>
        <w:rPr>
          <w:rFonts w:ascii="Arial" w:cs="Arial" w:eastAsia="Arial" w:hAnsi="Arial"/>
          <w:sz w:val="18"/>
          <w:szCs w:val="18"/>
          <w:color w:val="auto"/>
        </w:rPr>
        <w:t>. The annual equity awards granted to our named executive officers vest or are earned over</w:t>
      </w:r>
      <w:r>
        <w:rPr>
          <w:rFonts w:ascii="Arial" w:cs="Arial" w:eastAsia="Arial" w:hAnsi="Arial"/>
          <w:sz w:val="18"/>
          <w:szCs w:val="18"/>
          <w:i w:val="1"/>
          <w:iCs w:val="1"/>
          <w:color w:val="auto"/>
        </w:rPr>
        <w:t xml:space="preserve"> </w:t>
      </w:r>
      <w:r>
        <w:rPr>
          <w:rFonts w:ascii="Arial" w:cs="Arial" w:eastAsia="Arial" w:hAnsi="Arial"/>
          <w:sz w:val="18"/>
          <w:szCs w:val="18"/>
          <w:color w:val="auto"/>
        </w:rPr>
        <w:t>a multi-year period, consistent with market practice and our retention objectives.</w:t>
      </w:r>
    </w:p>
    <w:p>
      <w:pPr>
        <w:spacing w:after="0" w:line="49" w:lineRule="exact"/>
        <w:rPr>
          <w:rFonts w:ascii="Arial" w:cs="Arial" w:eastAsia="Arial" w:hAnsi="Arial"/>
          <w:sz w:val="18"/>
          <w:szCs w:val="18"/>
          <w:color w:val="auto"/>
        </w:rPr>
      </w:pPr>
    </w:p>
    <w:p>
      <w:pPr>
        <w:ind w:left="1080" w:right="80" w:hanging="312"/>
        <w:spacing w:after="0" w:line="261"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Stock Ownership Guidelines</w:t>
      </w:r>
      <w:r>
        <w:rPr>
          <w:rFonts w:ascii="Arial" w:cs="Arial" w:eastAsia="Arial" w:hAnsi="Arial"/>
          <w:sz w:val="18"/>
          <w:szCs w:val="18"/>
          <w:color w:val="auto"/>
        </w:rPr>
        <w:t>. We maintain stock ownership guidelines which require our chief executive officer to beneficially own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with a value equal to at least three times his base salary.</w:t>
      </w:r>
    </w:p>
    <w:p>
      <w:pPr>
        <w:spacing w:after="0" w:line="49" w:lineRule="exact"/>
        <w:rPr>
          <w:rFonts w:ascii="Arial" w:cs="Arial" w:eastAsia="Arial" w:hAnsi="Arial"/>
          <w:sz w:val="18"/>
          <w:szCs w:val="18"/>
          <w:color w:val="auto"/>
        </w:rPr>
      </w:pPr>
    </w:p>
    <w:p>
      <w:pPr>
        <w:ind w:left="1080" w:right="40" w:hanging="312"/>
        <w:spacing w:after="0" w:line="261"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No Perquisites</w:t>
      </w:r>
      <w:r>
        <w:rPr>
          <w:rFonts w:ascii="Arial" w:cs="Arial" w:eastAsia="Arial" w:hAnsi="Arial"/>
          <w:sz w:val="18"/>
          <w:szCs w:val="18"/>
          <w:color w:val="auto"/>
        </w:rPr>
        <w:t>. We do not provide perquisites or other personal benefits to our named executive officers beyond what is provided to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Compensation Objectives and Process</w:t>
      </w:r>
    </w:p>
    <w:p>
      <w:pPr>
        <w:spacing w:after="0" w:line="109" w:lineRule="exact"/>
        <w:rPr>
          <w:sz w:val="20"/>
          <w:szCs w:val="20"/>
          <w:color w:val="auto"/>
        </w:rPr>
      </w:pPr>
    </w:p>
    <w:p>
      <w:pPr>
        <w:ind w:left="340" w:right="60" w:firstLine="429"/>
        <w:spacing w:after="0" w:line="287" w:lineRule="auto"/>
        <w:rPr>
          <w:sz w:val="20"/>
          <w:szCs w:val="20"/>
          <w:color w:val="auto"/>
        </w:rPr>
      </w:pPr>
      <w:r>
        <w:rPr>
          <w:rFonts w:ascii="Arial" w:cs="Arial" w:eastAsia="Arial" w:hAnsi="Arial"/>
          <w:sz w:val="16"/>
          <w:szCs w:val="16"/>
          <w:color w:val="auto"/>
        </w:rPr>
        <w:t>We have designed the compensation arrangements for our named executive officers to provide compensation in overall amounts and in forms that attract and retain talented and experienced individuals and motivate our executives to achieve the goals that are important to our growth. We typically provide compensation to our named executive officers through a combination of base salary, annual cash bonuses and equity awards, which help align the incentives of our named executive officers with the interests of our stockholders. During 2017, our compensation primarily consisted of base salary, annual cash incentive awards, stock option grants, RSUs and PSUs.</w:t>
      </w:r>
    </w:p>
    <w:p>
      <w:pPr>
        <w:spacing w:after="0" w:line="57" w:lineRule="exact"/>
        <w:rPr>
          <w:sz w:val="20"/>
          <w:szCs w:val="20"/>
          <w:color w:val="auto"/>
        </w:rPr>
      </w:pPr>
    </w:p>
    <w:p>
      <w:pPr>
        <w:ind w:left="340" w:right="140" w:firstLine="429"/>
        <w:spacing w:after="0" w:line="291" w:lineRule="auto"/>
        <w:rPr>
          <w:sz w:val="20"/>
          <w:szCs w:val="20"/>
          <w:color w:val="auto"/>
        </w:rPr>
      </w:pPr>
      <w:r>
        <w:rPr>
          <w:rFonts w:ascii="Arial" w:cs="Arial" w:eastAsia="Arial" w:hAnsi="Arial"/>
          <w:sz w:val="16"/>
          <w:szCs w:val="16"/>
          <w:color w:val="auto"/>
        </w:rPr>
        <w:t>Historically, our compensation committee has determined all elements of compensation for our named executive officers. Generally, prior to making its compensation determinations, our Chief Executive Officer provides his review of our other named executive officers to the compensation committee. Our compensation committee engages Compensia, Inc., a national compensation consultant, to help evaluate our compensation philosophy and provide guidance in administering our compensation program. Our compensation committee has</w:t>
      </w:r>
    </w:p>
    <w:p>
      <w:pPr>
        <w:spacing w:after="0" w:line="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240" w:top="451" w:right="59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520"/>
        <w:spacing w:after="0" w:line="261" w:lineRule="auto"/>
        <w:rPr>
          <w:sz w:val="20"/>
          <w:szCs w:val="20"/>
          <w:color w:val="auto"/>
        </w:rPr>
      </w:pPr>
      <w:r>
        <w:rPr>
          <w:rFonts w:ascii="Arial" w:cs="Arial" w:eastAsia="Arial" w:hAnsi="Arial"/>
          <w:sz w:val="18"/>
          <w:szCs w:val="18"/>
          <w:color w:val="auto"/>
        </w:rPr>
        <w:t>determined that Compensia is independent and the services provided by Compensia currently do not and during 2017 did not raise any conflict of interests.</w:t>
      </w:r>
    </w:p>
    <w:p>
      <w:pPr>
        <w:spacing w:after="0" w:line="76" w:lineRule="exact"/>
        <w:rPr>
          <w:sz w:val="20"/>
          <w:szCs w:val="20"/>
          <w:color w:val="auto"/>
        </w:rPr>
      </w:pPr>
    </w:p>
    <w:p>
      <w:pPr>
        <w:ind w:left="340" w:firstLine="429"/>
        <w:spacing w:after="0" w:line="248" w:lineRule="auto"/>
        <w:rPr>
          <w:sz w:val="20"/>
          <w:szCs w:val="20"/>
          <w:color w:val="auto"/>
        </w:rPr>
      </w:pPr>
      <w:r>
        <w:rPr>
          <w:rFonts w:ascii="Arial" w:cs="Arial" w:eastAsia="Arial" w:hAnsi="Arial"/>
          <w:sz w:val="18"/>
          <w:szCs w:val="18"/>
          <w:color w:val="auto"/>
        </w:rPr>
        <w:t>Our compensation committee determines executive compensation, in part, by reference to the compensation information for the executives of a peer group of comparable companies. For 2017, our compensation committee reviewed an updated version of the formal compensation study and executive compensation market assessment prepared in 2016 by Compensia, its independent compensation consultant. The competitive market data used in the Compensia study was gathered from our compensation peer group, which consisted in 2017 of the following US-based technology companies of similar size:</w:t>
      </w:r>
    </w:p>
    <w:p>
      <w:pPr>
        <w:spacing w:after="0" w:line="101" w:lineRule="exact"/>
        <w:rPr>
          <w:sz w:val="20"/>
          <w:szCs w:val="20"/>
          <w:color w:val="auto"/>
        </w:rPr>
      </w:pPr>
    </w:p>
    <w:tbl>
      <w:tblPr>
        <w:tblLayout w:type="fixed"/>
        <w:tblInd w:w="1840" w:type="dxa"/>
        <w:tblCellMar>
          <w:top w:w="0" w:type="dxa"/>
          <w:left w:w="0" w:type="dxa"/>
          <w:bottom w:w="0" w:type="dxa"/>
          <w:right w:w="0" w:type="dxa"/>
        </w:tblCellMar>
      </w:tblPr>
      <w:tr>
        <w:trPr>
          <w:trHeight w:val="21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ind w:left="80"/>
              <w:spacing w:after="0"/>
              <w:rPr>
                <w:sz w:val="20"/>
                <w:szCs w:val="20"/>
                <w:color w:val="auto"/>
              </w:rPr>
            </w:pPr>
            <w:r>
              <w:rPr>
                <w:rFonts w:ascii="Arial" w:cs="Arial" w:eastAsia="Arial" w:hAnsi="Arial"/>
                <w:sz w:val="18"/>
                <w:szCs w:val="18"/>
                <w:color w:val="auto"/>
              </w:rPr>
              <w:t>Benefitfocus</w:t>
            </w:r>
          </w:p>
        </w:tc>
        <w:tc>
          <w:tcPr>
            <w:tcW w:w="2240" w:type="dxa"/>
            <w:vAlign w:val="bottom"/>
          </w:tcPr>
          <w:p>
            <w:pPr>
              <w:ind w:left="2100"/>
              <w:spacing w:after="0"/>
              <w:rPr>
                <w:sz w:val="20"/>
                <w:szCs w:val="20"/>
                <w:color w:val="auto"/>
              </w:rPr>
            </w:pPr>
            <w:r>
              <w:rPr>
                <w:rFonts w:ascii="Arial" w:cs="Arial" w:eastAsia="Arial" w:hAnsi="Arial"/>
                <w:sz w:val="18"/>
                <w:szCs w:val="18"/>
                <w:color w:val="auto"/>
              </w:rPr>
              <w:t>•</w:t>
            </w:r>
          </w:p>
        </w:tc>
        <w:tc>
          <w:tcPr>
            <w:tcW w:w="1460" w:type="dxa"/>
            <w:vAlign w:val="bottom"/>
          </w:tcPr>
          <w:p>
            <w:pPr>
              <w:ind w:left="100"/>
              <w:spacing w:after="0"/>
              <w:rPr>
                <w:sz w:val="20"/>
                <w:szCs w:val="20"/>
                <w:color w:val="auto"/>
              </w:rPr>
            </w:pPr>
            <w:r>
              <w:rPr>
                <w:rFonts w:ascii="Arial" w:cs="Arial" w:eastAsia="Arial" w:hAnsi="Arial"/>
                <w:sz w:val="18"/>
                <w:szCs w:val="18"/>
                <w:color w:val="auto"/>
              </w:rPr>
              <w:t>Jive Software</w:t>
            </w:r>
          </w:p>
        </w:tc>
      </w:tr>
      <w:tr>
        <w:trPr>
          <w:trHeight w:val="21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ind w:left="80"/>
              <w:spacing w:after="0"/>
              <w:rPr>
                <w:sz w:val="20"/>
                <w:szCs w:val="20"/>
                <w:color w:val="auto"/>
              </w:rPr>
            </w:pPr>
            <w:r>
              <w:rPr>
                <w:rFonts w:ascii="Arial" w:cs="Arial" w:eastAsia="Arial" w:hAnsi="Arial"/>
                <w:sz w:val="18"/>
                <w:szCs w:val="18"/>
                <w:color w:val="auto"/>
              </w:rPr>
              <w:t>BroadSoft</w:t>
            </w:r>
          </w:p>
        </w:tc>
        <w:tc>
          <w:tcPr>
            <w:tcW w:w="2240" w:type="dxa"/>
            <w:vAlign w:val="bottom"/>
          </w:tcPr>
          <w:p>
            <w:pPr>
              <w:ind w:left="2100"/>
              <w:spacing w:after="0"/>
              <w:rPr>
                <w:sz w:val="20"/>
                <w:szCs w:val="20"/>
                <w:color w:val="auto"/>
              </w:rPr>
            </w:pPr>
            <w:r>
              <w:rPr>
                <w:rFonts w:ascii="Arial" w:cs="Arial" w:eastAsia="Arial" w:hAnsi="Arial"/>
                <w:sz w:val="18"/>
                <w:szCs w:val="18"/>
                <w:color w:val="auto"/>
              </w:rPr>
              <w:t>•</w:t>
            </w:r>
          </w:p>
        </w:tc>
        <w:tc>
          <w:tcPr>
            <w:tcW w:w="1460" w:type="dxa"/>
            <w:vAlign w:val="bottom"/>
          </w:tcPr>
          <w:p>
            <w:pPr>
              <w:ind w:left="100"/>
              <w:spacing w:after="0"/>
              <w:rPr>
                <w:sz w:val="20"/>
                <w:szCs w:val="20"/>
                <w:color w:val="auto"/>
              </w:rPr>
            </w:pPr>
            <w:r>
              <w:rPr>
                <w:rFonts w:ascii="Arial" w:cs="Arial" w:eastAsia="Arial" w:hAnsi="Arial"/>
                <w:sz w:val="18"/>
                <w:szCs w:val="18"/>
                <w:color w:val="auto"/>
              </w:rPr>
              <w:t>LivePerson</w:t>
            </w:r>
          </w:p>
        </w:tc>
      </w:tr>
      <w:tr>
        <w:trPr>
          <w:trHeight w:val="21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ind w:left="80"/>
              <w:spacing w:after="0"/>
              <w:rPr>
                <w:sz w:val="20"/>
                <w:szCs w:val="20"/>
                <w:color w:val="auto"/>
              </w:rPr>
            </w:pPr>
            <w:r>
              <w:rPr>
                <w:rFonts w:ascii="Arial" w:cs="Arial" w:eastAsia="Arial" w:hAnsi="Arial"/>
                <w:sz w:val="18"/>
                <w:szCs w:val="18"/>
                <w:color w:val="auto"/>
              </w:rPr>
              <w:t>Callidus Software</w:t>
            </w:r>
          </w:p>
        </w:tc>
        <w:tc>
          <w:tcPr>
            <w:tcW w:w="2240" w:type="dxa"/>
            <w:vAlign w:val="bottom"/>
          </w:tcPr>
          <w:p>
            <w:pPr>
              <w:ind w:left="2100"/>
              <w:spacing w:after="0"/>
              <w:rPr>
                <w:sz w:val="20"/>
                <w:szCs w:val="20"/>
                <w:color w:val="auto"/>
              </w:rPr>
            </w:pPr>
            <w:r>
              <w:rPr>
                <w:rFonts w:ascii="Arial" w:cs="Arial" w:eastAsia="Arial" w:hAnsi="Arial"/>
                <w:sz w:val="18"/>
                <w:szCs w:val="18"/>
                <w:color w:val="auto"/>
              </w:rPr>
              <w:t>•</w:t>
            </w:r>
          </w:p>
        </w:tc>
        <w:tc>
          <w:tcPr>
            <w:tcW w:w="1460" w:type="dxa"/>
            <w:vAlign w:val="bottom"/>
          </w:tcPr>
          <w:p>
            <w:pPr>
              <w:ind w:left="100"/>
              <w:spacing w:after="0"/>
              <w:rPr>
                <w:sz w:val="20"/>
                <w:szCs w:val="20"/>
                <w:color w:val="auto"/>
              </w:rPr>
            </w:pPr>
            <w:r>
              <w:rPr>
                <w:rFonts w:ascii="Arial" w:cs="Arial" w:eastAsia="Arial" w:hAnsi="Arial"/>
                <w:sz w:val="18"/>
                <w:szCs w:val="18"/>
                <w:color w:val="auto"/>
              </w:rPr>
              <w:t>LogMeIn</w:t>
            </w:r>
          </w:p>
        </w:tc>
      </w:tr>
      <w:tr>
        <w:trPr>
          <w:trHeight w:val="21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ind w:left="80"/>
              <w:spacing w:after="0"/>
              <w:rPr>
                <w:sz w:val="20"/>
                <w:szCs w:val="20"/>
                <w:color w:val="auto"/>
              </w:rPr>
            </w:pPr>
            <w:r>
              <w:rPr>
                <w:rFonts w:ascii="Arial" w:cs="Arial" w:eastAsia="Arial" w:hAnsi="Arial"/>
                <w:sz w:val="18"/>
                <w:szCs w:val="18"/>
                <w:color w:val="auto"/>
              </w:rPr>
              <w:t>Carbonite</w:t>
            </w:r>
          </w:p>
        </w:tc>
        <w:tc>
          <w:tcPr>
            <w:tcW w:w="2240" w:type="dxa"/>
            <w:vAlign w:val="bottom"/>
          </w:tcPr>
          <w:p>
            <w:pPr>
              <w:ind w:left="2100"/>
              <w:spacing w:after="0"/>
              <w:rPr>
                <w:sz w:val="20"/>
                <w:szCs w:val="20"/>
                <w:color w:val="auto"/>
              </w:rPr>
            </w:pPr>
            <w:r>
              <w:rPr>
                <w:rFonts w:ascii="Arial" w:cs="Arial" w:eastAsia="Arial" w:hAnsi="Arial"/>
                <w:sz w:val="18"/>
                <w:szCs w:val="18"/>
                <w:color w:val="auto"/>
              </w:rPr>
              <w:t>•</w:t>
            </w:r>
          </w:p>
        </w:tc>
        <w:tc>
          <w:tcPr>
            <w:tcW w:w="1460" w:type="dxa"/>
            <w:vAlign w:val="bottom"/>
          </w:tcPr>
          <w:p>
            <w:pPr>
              <w:ind w:left="100"/>
              <w:spacing w:after="0"/>
              <w:rPr>
                <w:sz w:val="20"/>
                <w:szCs w:val="20"/>
                <w:color w:val="auto"/>
              </w:rPr>
            </w:pPr>
            <w:r>
              <w:rPr>
                <w:rFonts w:ascii="Arial" w:cs="Arial" w:eastAsia="Arial" w:hAnsi="Arial"/>
                <w:sz w:val="18"/>
                <w:szCs w:val="18"/>
                <w:color w:val="auto"/>
              </w:rPr>
              <w:t>Marketo</w:t>
            </w:r>
          </w:p>
        </w:tc>
      </w:tr>
      <w:tr>
        <w:trPr>
          <w:trHeight w:val="21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ind w:left="80"/>
              <w:spacing w:after="0"/>
              <w:rPr>
                <w:sz w:val="20"/>
                <w:szCs w:val="20"/>
                <w:color w:val="auto"/>
              </w:rPr>
            </w:pPr>
            <w:r>
              <w:rPr>
                <w:rFonts w:ascii="Arial" w:cs="Arial" w:eastAsia="Arial" w:hAnsi="Arial"/>
                <w:sz w:val="18"/>
                <w:szCs w:val="18"/>
                <w:color w:val="auto"/>
              </w:rPr>
              <w:t>Cvent</w:t>
            </w:r>
          </w:p>
        </w:tc>
        <w:tc>
          <w:tcPr>
            <w:tcW w:w="2240" w:type="dxa"/>
            <w:vAlign w:val="bottom"/>
          </w:tcPr>
          <w:p>
            <w:pPr>
              <w:ind w:left="2100"/>
              <w:spacing w:after="0"/>
              <w:rPr>
                <w:sz w:val="20"/>
                <w:szCs w:val="20"/>
                <w:color w:val="auto"/>
              </w:rPr>
            </w:pPr>
            <w:r>
              <w:rPr>
                <w:rFonts w:ascii="Arial" w:cs="Arial" w:eastAsia="Arial" w:hAnsi="Arial"/>
                <w:sz w:val="18"/>
                <w:szCs w:val="18"/>
                <w:color w:val="auto"/>
              </w:rPr>
              <w:t>•</w:t>
            </w:r>
          </w:p>
        </w:tc>
        <w:tc>
          <w:tcPr>
            <w:tcW w:w="1460" w:type="dxa"/>
            <w:vAlign w:val="bottom"/>
          </w:tcPr>
          <w:p>
            <w:pPr>
              <w:ind w:left="100"/>
              <w:spacing w:after="0"/>
              <w:rPr>
                <w:sz w:val="20"/>
                <w:szCs w:val="20"/>
                <w:color w:val="auto"/>
              </w:rPr>
            </w:pPr>
            <w:r>
              <w:rPr>
                <w:rFonts w:ascii="Arial" w:cs="Arial" w:eastAsia="Arial" w:hAnsi="Arial"/>
                <w:sz w:val="18"/>
                <w:szCs w:val="18"/>
                <w:color w:val="auto"/>
                <w:w w:val="90"/>
              </w:rPr>
              <w:t>Monotype Imaging</w:t>
            </w:r>
          </w:p>
        </w:tc>
      </w:tr>
      <w:tr>
        <w:trPr>
          <w:trHeight w:val="21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ind w:left="80"/>
              <w:spacing w:after="0"/>
              <w:rPr>
                <w:sz w:val="20"/>
                <w:szCs w:val="20"/>
                <w:color w:val="auto"/>
              </w:rPr>
            </w:pPr>
            <w:r>
              <w:rPr>
                <w:rFonts w:ascii="Arial" w:cs="Arial" w:eastAsia="Arial" w:hAnsi="Arial"/>
                <w:sz w:val="18"/>
                <w:szCs w:val="18"/>
                <w:color w:val="auto"/>
              </w:rPr>
              <w:t>Demandware</w:t>
            </w:r>
          </w:p>
        </w:tc>
        <w:tc>
          <w:tcPr>
            <w:tcW w:w="2240" w:type="dxa"/>
            <w:vAlign w:val="bottom"/>
          </w:tcPr>
          <w:p>
            <w:pPr>
              <w:ind w:left="2100"/>
              <w:spacing w:after="0"/>
              <w:rPr>
                <w:sz w:val="20"/>
                <w:szCs w:val="20"/>
                <w:color w:val="auto"/>
              </w:rPr>
            </w:pPr>
            <w:r>
              <w:rPr>
                <w:rFonts w:ascii="Arial" w:cs="Arial" w:eastAsia="Arial" w:hAnsi="Arial"/>
                <w:sz w:val="18"/>
                <w:szCs w:val="18"/>
                <w:color w:val="auto"/>
              </w:rPr>
              <w:t>•</w:t>
            </w:r>
          </w:p>
        </w:tc>
        <w:tc>
          <w:tcPr>
            <w:tcW w:w="1460" w:type="dxa"/>
            <w:vAlign w:val="bottom"/>
          </w:tcPr>
          <w:p>
            <w:pPr>
              <w:ind w:left="100"/>
              <w:spacing w:after="0"/>
              <w:rPr>
                <w:sz w:val="20"/>
                <w:szCs w:val="20"/>
                <w:color w:val="auto"/>
              </w:rPr>
            </w:pPr>
            <w:r>
              <w:rPr>
                <w:rFonts w:ascii="Arial" w:cs="Arial" w:eastAsia="Arial" w:hAnsi="Arial"/>
                <w:sz w:val="18"/>
                <w:szCs w:val="18"/>
                <w:color w:val="auto"/>
              </w:rPr>
              <w:t>PROS Holdings</w:t>
            </w:r>
          </w:p>
        </w:tc>
      </w:tr>
      <w:tr>
        <w:trPr>
          <w:trHeight w:val="21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ind w:left="80"/>
              <w:spacing w:after="0"/>
              <w:rPr>
                <w:sz w:val="20"/>
                <w:szCs w:val="20"/>
                <w:color w:val="auto"/>
              </w:rPr>
            </w:pPr>
            <w:r>
              <w:rPr>
                <w:rFonts w:ascii="Arial" w:cs="Arial" w:eastAsia="Arial" w:hAnsi="Arial"/>
                <w:sz w:val="18"/>
                <w:szCs w:val="18"/>
                <w:color w:val="auto"/>
              </w:rPr>
              <w:t>Envestnet</w:t>
            </w:r>
          </w:p>
        </w:tc>
        <w:tc>
          <w:tcPr>
            <w:tcW w:w="2240" w:type="dxa"/>
            <w:vAlign w:val="bottom"/>
          </w:tcPr>
          <w:p>
            <w:pPr>
              <w:ind w:left="2100"/>
              <w:spacing w:after="0"/>
              <w:rPr>
                <w:sz w:val="20"/>
                <w:szCs w:val="20"/>
                <w:color w:val="auto"/>
              </w:rPr>
            </w:pPr>
            <w:r>
              <w:rPr>
                <w:rFonts w:ascii="Arial" w:cs="Arial" w:eastAsia="Arial" w:hAnsi="Arial"/>
                <w:sz w:val="18"/>
                <w:szCs w:val="18"/>
                <w:color w:val="auto"/>
              </w:rPr>
              <w:t>•</w:t>
            </w:r>
          </w:p>
        </w:tc>
        <w:tc>
          <w:tcPr>
            <w:tcW w:w="1460" w:type="dxa"/>
            <w:vAlign w:val="bottom"/>
          </w:tcPr>
          <w:p>
            <w:pPr>
              <w:ind w:left="100"/>
              <w:spacing w:after="0"/>
              <w:rPr>
                <w:sz w:val="20"/>
                <w:szCs w:val="20"/>
                <w:color w:val="auto"/>
              </w:rPr>
            </w:pPr>
            <w:r>
              <w:rPr>
                <w:rFonts w:ascii="Arial" w:cs="Arial" w:eastAsia="Arial" w:hAnsi="Arial"/>
                <w:sz w:val="18"/>
                <w:szCs w:val="18"/>
                <w:color w:val="auto"/>
              </w:rPr>
              <w:t>Proto Labs</w:t>
            </w:r>
          </w:p>
        </w:tc>
      </w:tr>
      <w:tr>
        <w:trPr>
          <w:trHeight w:val="21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ind w:left="80"/>
              <w:spacing w:after="0"/>
              <w:rPr>
                <w:sz w:val="20"/>
                <w:szCs w:val="20"/>
                <w:color w:val="auto"/>
              </w:rPr>
            </w:pPr>
            <w:r>
              <w:rPr>
                <w:rFonts w:ascii="Arial" w:cs="Arial" w:eastAsia="Arial" w:hAnsi="Arial"/>
                <w:sz w:val="18"/>
                <w:szCs w:val="18"/>
                <w:color w:val="auto"/>
              </w:rPr>
              <w:t>HealthStream</w:t>
            </w:r>
          </w:p>
        </w:tc>
        <w:tc>
          <w:tcPr>
            <w:tcW w:w="2240" w:type="dxa"/>
            <w:vAlign w:val="bottom"/>
          </w:tcPr>
          <w:p>
            <w:pPr>
              <w:ind w:left="2100"/>
              <w:spacing w:after="0"/>
              <w:rPr>
                <w:sz w:val="20"/>
                <w:szCs w:val="20"/>
                <w:color w:val="auto"/>
              </w:rPr>
            </w:pPr>
            <w:r>
              <w:rPr>
                <w:rFonts w:ascii="Arial" w:cs="Arial" w:eastAsia="Arial" w:hAnsi="Arial"/>
                <w:sz w:val="18"/>
                <w:szCs w:val="18"/>
                <w:color w:val="auto"/>
              </w:rPr>
              <w:t>•</w:t>
            </w:r>
          </w:p>
        </w:tc>
        <w:tc>
          <w:tcPr>
            <w:tcW w:w="1460" w:type="dxa"/>
            <w:vAlign w:val="bottom"/>
          </w:tcPr>
          <w:p>
            <w:pPr>
              <w:ind w:left="100"/>
              <w:spacing w:after="0"/>
              <w:rPr>
                <w:sz w:val="20"/>
                <w:szCs w:val="20"/>
                <w:color w:val="auto"/>
              </w:rPr>
            </w:pPr>
            <w:r>
              <w:rPr>
                <w:rFonts w:ascii="Arial" w:cs="Arial" w:eastAsia="Arial" w:hAnsi="Arial"/>
                <w:sz w:val="18"/>
                <w:szCs w:val="18"/>
                <w:color w:val="auto"/>
              </w:rPr>
              <w:t>Qualys</w:t>
            </w:r>
          </w:p>
        </w:tc>
      </w:tr>
      <w:tr>
        <w:trPr>
          <w:trHeight w:val="222"/>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ind w:left="80"/>
              <w:spacing w:after="0"/>
              <w:rPr>
                <w:sz w:val="20"/>
                <w:szCs w:val="20"/>
                <w:color w:val="auto"/>
              </w:rPr>
            </w:pPr>
            <w:r>
              <w:rPr>
                <w:rFonts w:ascii="Arial" w:cs="Arial" w:eastAsia="Arial" w:hAnsi="Arial"/>
                <w:sz w:val="18"/>
                <w:szCs w:val="18"/>
                <w:color w:val="auto"/>
              </w:rPr>
              <w:t>Imperva</w:t>
            </w:r>
          </w:p>
        </w:tc>
        <w:tc>
          <w:tcPr>
            <w:tcW w:w="2240" w:type="dxa"/>
            <w:vAlign w:val="bottom"/>
          </w:tcPr>
          <w:p>
            <w:pPr>
              <w:ind w:left="2100"/>
              <w:spacing w:after="0"/>
              <w:rPr>
                <w:sz w:val="20"/>
                <w:szCs w:val="20"/>
                <w:color w:val="auto"/>
              </w:rPr>
            </w:pPr>
            <w:r>
              <w:rPr>
                <w:rFonts w:ascii="Arial" w:cs="Arial" w:eastAsia="Arial" w:hAnsi="Arial"/>
                <w:sz w:val="18"/>
                <w:szCs w:val="18"/>
                <w:color w:val="auto"/>
              </w:rPr>
              <w:t>•</w:t>
            </w:r>
          </w:p>
        </w:tc>
        <w:tc>
          <w:tcPr>
            <w:tcW w:w="1460" w:type="dxa"/>
            <w:vAlign w:val="bottom"/>
          </w:tcPr>
          <w:p>
            <w:pPr>
              <w:ind w:left="100"/>
              <w:spacing w:after="0"/>
              <w:rPr>
                <w:sz w:val="20"/>
                <w:szCs w:val="20"/>
                <w:color w:val="auto"/>
              </w:rPr>
            </w:pPr>
            <w:r>
              <w:rPr>
                <w:rFonts w:ascii="Arial" w:cs="Arial" w:eastAsia="Arial" w:hAnsi="Arial"/>
                <w:sz w:val="18"/>
                <w:szCs w:val="18"/>
                <w:color w:val="auto"/>
              </w:rPr>
              <w:t>Stamps.com</w:t>
            </w:r>
          </w:p>
        </w:tc>
      </w:tr>
    </w:tbl>
    <w:p>
      <w:pPr>
        <w:spacing w:after="0" w:line="93" w:lineRule="exact"/>
        <w:rPr>
          <w:sz w:val="20"/>
          <w:szCs w:val="20"/>
          <w:color w:val="auto"/>
        </w:rPr>
      </w:pPr>
    </w:p>
    <w:p>
      <w:pPr>
        <w:ind w:left="340" w:right="160" w:firstLine="429"/>
        <w:spacing w:after="0" w:line="261" w:lineRule="auto"/>
        <w:rPr>
          <w:sz w:val="20"/>
          <w:szCs w:val="20"/>
          <w:color w:val="auto"/>
        </w:rPr>
      </w:pPr>
      <w:r>
        <w:rPr>
          <w:rFonts w:ascii="Arial" w:cs="Arial" w:eastAsia="Arial" w:hAnsi="Arial"/>
          <w:sz w:val="18"/>
          <w:szCs w:val="18"/>
          <w:color w:val="auto"/>
        </w:rPr>
        <w:t>Data from the compensation peer group is valuable to the compensation committee because it provides insight into competitive pay practices for each of the elements of total compensation as well as confirms the reasonableness of its compensation decisions.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Base Salary</w:t>
      </w:r>
    </w:p>
    <w:p>
      <w:pPr>
        <w:spacing w:after="0" w:line="109" w:lineRule="exact"/>
        <w:rPr>
          <w:sz w:val="20"/>
          <w:szCs w:val="20"/>
          <w:color w:val="auto"/>
        </w:rPr>
      </w:pPr>
    </w:p>
    <w:p>
      <w:pPr>
        <w:ind w:left="340" w:right="60" w:firstLine="429"/>
        <w:spacing w:after="0" w:line="284" w:lineRule="auto"/>
        <w:rPr>
          <w:sz w:val="20"/>
          <w:szCs w:val="20"/>
          <w:color w:val="auto"/>
        </w:rPr>
      </w:pPr>
      <w:r>
        <w:rPr>
          <w:rFonts w:ascii="Arial" w:cs="Arial" w:eastAsia="Arial" w:hAnsi="Arial"/>
          <w:sz w:val="16"/>
          <w:szCs w:val="16"/>
          <w:color w:val="auto"/>
        </w:rPr>
        <w:t>Base salaries are used to recognize the experience, skills, knowledge and responsibilities required of all our employees, including our named executive officers. Base salaries for each of our named executive officers are initially established based on arm’s-length negotiations between us and the executive. Our compensation committee reviews the base salaries of our named executive officers annually at the beginning of each year. When negotiating or reviewing base salaries, the compensation committee considers market competitiveness based on their experience, the executive’s expected future contribution to our success and the relative base salaries and responsibilities of our other executives. Our named executive officers received no base salary increases in 2017.</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Annual Cash Bonus – 2017 Management Incentive Plan</w:t>
      </w:r>
    </w:p>
    <w:p>
      <w:pPr>
        <w:spacing w:after="0" w:line="109" w:lineRule="exact"/>
        <w:rPr>
          <w:sz w:val="20"/>
          <w:szCs w:val="20"/>
          <w:color w:val="auto"/>
        </w:rPr>
      </w:pPr>
    </w:p>
    <w:p>
      <w:pPr>
        <w:jc w:val="both"/>
        <w:ind w:left="340" w:right="80" w:firstLine="429"/>
        <w:spacing w:after="0" w:line="252" w:lineRule="auto"/>
        <w:rPr>
          <w:sz w:val="20"/>
          <w:szCs w:val="20"/>
          <w:color w:val="auto"/>
        </w:rPr>
      </w:pPr>
      <w:r>
        <w:rPr>
          <w:rFonts w:ascii="Arial" w:cs="Arial" w:eastAsia="Arial" w:hAnsi="Arial"/>
          <w:sz w:val="18"/>
          <w:szCs w:val="18"/>
          <w:color w:val="auto"/>
        </w:rPr>
        <w:t>Our named executive officers participate in our management incentive plan, which provides them with an opportunity to receive a formula-based cash bonus. The formula-based bonus is intended to motivate our executives to achieve specific financial goals that will drive the growth and success of our business.</w:t>
      </w:r>
    </w:p>
    <w:p>
      <w:pPr>
        <w:spacing w:after="0" w:line="190" w:lineRule="exact"/>
        <w:rPr>
          <w:sz w:val="20"/>
          <w:szCs w:val="20"/>
          <w:color w:val="auto"/>
        </w:rPr>
      </w:pPr>
    </w:p>
    <w:p>
      <w:pPr>
        <w:ind w:left="340" w:right="20" w:firstLine="429"/>
        <w:spacing w:after="0" w:line="281" w:lineRule="auto"/>
        <w:rPr>
          <w:sz w:val="20"/>
          <w:szCs w:val="20"/>
          <w:color w:val="auto"/>
        </w:rPr>
      </w:pPr>
      <w:r>
        <w:rPr>
          <w:rFonts w:ascii="Arial" w:cs="Arial" w:eastAsia="Arial" w:hAnsi="Arial"/>
          <w:sz w:val="16"/>
          <w:szCs w:val="16"/>
          <w:color w:val="auto"/>
        </w:rPr>
        <w:t>The formula-based bonus is based on a target bonus opportunity for each named executive officer established by the compensation committee at the beginning of each year. The compensation committee established the target bonus opportunity at an amount it believes is necessary to provide a competitive overall compensation package in light of each named executive officer’s base salary and to motivate our executives to achieve an aggressive level of growth. The target bonus opportunity was set at $445,000 for Mr. Black, $260,000 for Ms. Nelson and $270,000 for Mr. Frome. The amount of the formula-based bonus, if any, actually paid to executives after the end of the year is determined by a matrix approved by the compensation committee at the beginning of the year that takes into account our revenues and earnings before interest, taxes, depreciation and amortization and stock-based compensation, and other adjustments (“Adjusted EBITDA”).</w:t>
      </w:r>
      <w:r>
        <w:rPr>
          <w:rFonts w:ascii="Arial" w:cs="Arial" w:eastAsia="Arial" w:hAnsi="Arial"/>
          <w:sz w:val="13"/>
          <w:szCs w:val="13"/>
          <w:color w:val="auto"/>
        </w:rPr>
        <w:t>2</w:t>
      </w:r>
      <w:r>
        <w:rPr>
          <w:rFonts w:ascii="Arial" w:cs="Arial" w:eastAsia="Arial" w:hAnsi="Arial"/>
          <w:sz w:val="16"/>
          <w:szCs w:val="16"/>
          <w:color w:val="auto"/>
        </w:rPr>
        <w:t xml:space="preserve"> The formula-based bonus is based in part on revenues because, given the scalability of our current core business, the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66040</wp:posOffset>
            </wp:positionV>
            <wp:extent cx="23139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spacing w:after="0" w:line="125" w:lineRule="exact"/>
        <w:rPr>
          <w:sz w:val="20"/>
          <w:szCs w:val="20"/>
          <w:color w:val="auto"/>
        </w:rPr>
      </w:pPr>
    </w:p>
    <w:p>
      <w:pPr>
        <w:ind w:left="340" w:right="240" w:firstLine="7"/>
        <w:spacing w:after="0" w:line="261" w:lineRule="auto"/>
        <w:tabs>
          <w:tab w:leader="none" w:pos="536" w:val="left"/>
        </w:tabs>
        <w:numPr>
          <w:ilvl w:val="0"/>
          <w:numId w:val="25"/>
        </w:numPr>
        <w:rPr>
          <w:rFonts w:ascii="Arial" w:cs="Arial" w:eastAsia="Arial" w:hAnsi="Arial"/>
          <w:sz w:val="15"/>
          <w:szCs w:val="15"/>
          <w:color w:val="auto"/>
        </w:rPr>
      </w:pPr>
      <w:r>
        <w:rPr>
          <w:rFonts w:ascii="Arial" w:cs="Arial" w:eastAsia="Arial" w:hAnsi="Arial"/>
          <w:sz w:val="18"/>
          <w:szCs w:val="18"/>
          <w:color w:val="auto"/>
        </w:rPr>
        <w:t>Adjusted EBITDA is a non-GAAP financial measure. Refer to Appendix A in this proxy statement for a reconciliation of this non-GAAP financial measure to the corresponding GAAP measure.</w:t>
      </w:r>
    </w:p>
    <w:p>
      <w:pPr>
        <w:spacing w:after="0" w:line="11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240" w:top="451" w:right="57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80"/>
        <w:spacing w:after="0" w:line="324" w:lineRule="auto"/>
        <w:rPr>
          <w:sz w:val="20"/>
          <w:szCs w:val="20"/>
          <w:color w:val="auto"/>
        </w:rPr>
      </w:pPr>
      <w:r>
        <w:rPr>
          <w:rFonts w:ascii="Arial" w:cs="Arial" w:eastAsia="Arial" w:hAnsi="Arial"/>
          <w:sz w:val="16"/>
          <w:szCs w:val="16"/>
          <w:color w:val="auto"/>
        </w:rPr>
        <w:t>committee believes our financial results are driven most significantly by the revenues we generate. The compensation committee also believes formula-based bonuses should be based in part on Adjusted EBITDA because Adjusted EBITDA is a useful measure of our operating performance.</w:t>
      </w:r>
    </w:p>
    <w:p>
      <w:pPr>
        <w:spacing w:after="0" w:line="135" w:lineRule="exact"/>
        <w:rPr>
          <w:sz w:val="20"/>
          <w:szCs w:val="20"/>
          <w:color w:val="auto"/>
        </w:rPr>
      </w:pPr>
    </w:p>
    <w:p>
      <w:pPr>
        <w:ind w:left="340" w:right="60" w:firstLine="429"/>
        <w:spacing w:after="0" w:line="284" w:lineRule="auto"/>
        <w:rPr>
          <w:sz w:val="20"/>
          <w:szCs w:val="20"/>
          <w:color w:val="auto"/>
        </w:rPr>
      </w:pPr>
      <w:r>
        <w:rPr>
          <w:rFonts w:ascii="Arial" w:cs="Arial" w:eastAsia="Arial" w:hAnsi="Arial"/>
          <w:sz w:val="16"/>
          <w:szCs w:val="16"/>
          <w:color w:val="auto"/>
        </w:rPr>
        <w:t>The matrix approved for 2017 provided that each executive would receive a percentage of his or her target formula-based bonus, between 0% and 163%, based on our actual revenues and Adjusted EBITDA performance for the year. For example, to be paid out at the maximum 163% bonus level, we needed to generate $227 million in revenue and at least $32.55 million of Adjusted EBITDA. For our named executive officers to earn their target bonuses for 2017, we needed to generate revenues of approximately $223 million and Adjusted EBITDA of approximately $32.55 million. If we failed to achieve both revenues of approximately $219 million and Adjusted EBITDA of approximately $32.55 million, our named executive officers would not receive a formula-based bonus for the year.</w:t>
      </w:r>
    </w:p>
    <w:p>
      <w:pPr>
        <w:spacing w:after="0" w:line="62" w:lineRule="exact"/>
        <w:rPr>
          <w:sz w:val="20"/>
          <w:szCs w:val="20"/>
          <w:color w:val="auto"/>
        </w:rPr>
      </w:pPr>
    </w:p>
    <w:p>
      <w:pPr>
        <w:ind w:left="340" w:right="340" w:firstLine="429"/>
        <w:spacing w:after="0" w:line="324" w:lineRule="auto"/>
        <w:rPr>
          <w:sz w:val="20"/>
          <w:szCs w:val="20"/>
          <w:color w:val="auto"/>
        </w:rPr>
      </w:pPr>
      <w:r>
        <w:rPr>
          <w:rFonts w:ascii="Arial" w:cs="Arial" w:eastAsia="Arial" w:hAnsi="Arial"/>
          <w:sz w:val="16"/>
          <w:szCs w:val="16"/>
          <w:color w:val="auto"/>
        </w:rPr>
        <w:t>The compensation committee had the discretion to adjust the pre-established target levels for revenues and Adjusted EBITDA in the event we completed one or more acquisitions during the year. The compensation committee did not exercise such discretion for 2017.</w:t>
      </w:r>
    </w:p>
    <w:p>
      <w:pPr>
        <w:spacing w:after="0" w:line="29" w:lineRule="exact"/>
        <w:rPr>
          <w:sz w:val="20"/>
          <w:szCs w:val="20"/>
          <w:color w:val="auto"/>
        </w:rPr>
      </w:pPr>
    </w:p>
    <w:p>
      <w:pPr>
        <w:jc w:val="both"/>
        <w:ind w:left="340" w:right="100" w:firstLine="429"/>
        <w:spacing w:after="0" w:line="291" w:lineRule="auto"/>
        <w:rPr>
          <w:sz w:val="20"/>
          <w:szCs w:val="20"/>
          <w:color w:val="auto"/>
        </w:rPr>
      </w:pPr>
      <w:r>
        <w:rPr>
          <w:rFonts w:ascii="Arial" w:cs="Arial" w:eastAsia="Arial" w:hAnsi="Arial"/>
          <w:sz w:val="16"/>
          <w:szCs w:val="16"/>
          <w:color w:val="auto"/>
        </w:rPr>
        <w:t>The compensation committee established the intervals for the matrix with the intent that achieving 100% of an executive’s target bonus will be a difficult but achievable goal in light of the prior year’s results of operations and anticipated growth for 2017. For 2017, we delivered $220.6 million in revenues and $32.6 million of Adjusted EBITDA. We met the target for Adjusted EBITDA but did not meet the target for revenue for 100% payout. As a result, the formula-based bonus for each named executive officer was determined to be 65% of the target amount, resulting in the following payouts:</w:t>
      </w:r>
    </w:p>
    <w:p>
      <w:pPr>
        <w:spacing w:after="0" w:line="68" w:lineRule="exact"/>
        <w:rPr>
          <w:sz w:val="20"/>
          <w:szCs w:val="20"/>
          <w:color w:val="auto"/>
        </w:rPr>
      </w:pPr>
    </w:p>
    <w:p>
      <w:pPr>
        <w:ind w:left="1080" w:hanging="31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Black — $289,250</w:t>
      </w:r>
    </w:p>
    <w:p>
      <w:pPr>
        <w:spacing w:after="0" w:line="121" w:lineRule="exact"/>
        <w:rPr>
          <w:rFonts w:ascii="Arial" w:cs="Arial" w:eastAsia="Arial" w:hAnsi="Arial"/>
          <w:sz w:val="18"/>
          <w:szCs w:val="18"/>
          <w:color w:val="auto"/>
        </w:rPr>
      </w:pPr>
    </w:p>
    <w:p>
      <w:pPr>
        <w:ind w:left="1080" w:hanging="31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Ms. Nelson — $169,000</w:t>
      </w:r>
    </w:p>
    <w:p>
      <w:pPr>
        <w:spacing w:after="0" w:line="121" w:lineRule="exact"/>
        <w:rPr>
          <w:rFonts w:ascii="Arial" w:cs="Arial" w:eastAsia="Arial" w:hAnsi="Arial"/>
          <w:sz w:val="18"/>
          <w:szCs w:val="18"/>
          <w:color w:val="auto"/>
        </w:rPr>
      </w:pPr>
    </w:p>
    <w:p>
      <w:pPr>
        <w:ind w:left="1080" w:hanging="31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Frome — $175,500</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Equity Awards</w:t>
      </w:r>
    </w:p>
    <w:p>
      <w:pPr>
        <w:spacing w:after="0" w:line="109" w:lineRule="exact"/>
        <w:rPr>
          <w:sz w:val="20"/>
          <w:szCs w:val="20"/>
          <w:color w:val="auto"/>
        </w:rPr>
      </w:pPr>
    </w:p>
    <w:p>
      <w:pPr>
        <w:ind w:left="340" w:firstLine="429"/>
        <w:spacing w:after="0" w:line="287" w:lineRule="auto"/>
        <w:rPr>
          <w:sz w:val="20"/>
          <w:szCs w:val="20"/>
          <w:color w:val="auto"/>
        </w:rPr>
      </w:pPr>
      <w:r>
        <w:rPr>
          <w:rFonts w:ascii="Arial" w:cs="Arial" w:eastAsia="Arial" w:hAnsi="Arial"/>
          <w:sz w:val="16"/>
          <w:szCs w:val="16"/>
          <w:color w:val="auto"/>
        </w:rPr>
        <w:t>Historically, we have granted our named executive officers stock options and RSUs. In 2017, we also began granting our named executive officers PSUs. We believe equity awards are an important element of compensation because they provide our executives a potential ownership interest in our company, which helps align their interests with those of other stockholders. When determining the size of the equity award for our named executive officers, our compensation committee considers the executive’s position and responsibilities, the equity holdings of our other executives, competitive market data, CEO recommendations, and the anticipated future contribution the executive will make to our success.</w:t>
      </w:r>
    </w:p>
    <w:p>
      <w:pPr>
        <w:spacing w:after="0" w:line="57" w:lineRule="exact"/>
        <w:rPr>
          <w:sz w:val="20"/>
          <w:szCs w:val="20"/>
          <w:color w:val="auto"/>
        </w:rPr>
      </w:pPr>
    </w:p>
    <w:p>
      <w:pPr>
        <w:ind w:left="340" w:right="100" w:firstLine="429"/>
        <w:spacing w:after="0" w:line="299" w:lineRule="auto"/>
        <w:rPr>
          <w:sz w:val="20"/>
          <w:szCs w:val="20"/>
          <w:color w:val="auto"/>
        </w:rPr>
      </w:pPr>
      <w:r>
        <w:rPr>
          <w:rFonts w:ascii="Arial" w:cs="Arial" w:eastAsia="Arial" w:hAnsi="Arial"/>
          <w:sz w:val="16"/>
          <w:szCs w:val="16"/>
          <w:color w:val="auto"/>
        </w:rPr>
        <w:t>We believe stock options further align the interest of our executives and stockholders because the executives profit from stock options only if our stock price increases relative to the option’s exercise price. We believe stock options also help retain our executives because the awards vest over a specific period of time, and vesting depends on the executive’s continued employment with us.</w:t>
      </w:r>
    </w:p>
    <w:p>
      <w:pPr>
        <w:spacing w:after="0" w:line="49" w:lineRule="exact"/>
        <w:rPr>
          <w:sz w:val="20"/>
          <w:szCs w:val="20"/>
          <w:color w:val="auto"/>
        </w:rPr>
      </w:pPr>
    </w:p>
    <w:p>
      <w:pPr>
        <w:ind w:left="340" w:right="40" w:firstLine="429"/>
        <w:spacing w:after="0" w:line="249" w:lineRule="auto"/>
        <w:rPr>
          <w:sz w:val="20"/>
          <w:szCs w:val="20"/>
          <w:color w:val="auto"/>
        </w:rPr>
      </w:pPr>
      <w:r>
        <w:rPr>
          <w:rFonts w:ascii="Arial" w:cs="Arial" w:eastAsia="Arial" w:hAnsi="Arial"/>
          <w:sz w:val="18"/>
          <w:szCs w:val="18"/>
          <w:color w:val="auto"/>
        </w:rPr>
        <w:t>RSUs vest over several years and have immediate value to the executives upon vesting, while requiring the executives to maintain continuous employment with us in order for the awards to vest. Typically, our stock options and RSUs vest over a period of four years. The vesting of the stock options and RSUs in the event of a termination or change in control is described in more detail below under “– Potential Payments Upon Termination or Change in Control.”</w:t>
      </w:r>
    </w:p>
    <w:p>
      <w:pPr>
        <w:spacing w:after="0" w:line="88" w:lineRule="exact"/>
        <w:rPr>
          <w:sz w:val="20"/>
          <w:szCs w:val="20"/>
          <w:color w:val="auto"/>
        </w:rPr>
      </w:pPr>
    </w:p>
    <w:p>
      <w:pPr>
        <w:ind w:left="340" w:right="120" w:firstLine="429"/>
        <w:spacing w:after="0" w:line="291" w:lineRule="auto"/>
        <w:rPr>
          <w:sz w:val="20"/>
          <w:szCs w:val="20"/>
          <w:color w:val="auto"/>
        </w:rPr>
      </w:pPr>
      <w:r>
        <w:rPr>
          <w:rFonts w:ascii="Arial" w:cs="Arial" w:eastAsia="Arial" w:hAnsi="Arial"/>
          <w:sz w:val="16"/>
          <w:szCs w:val="16"/>
          <w:color w:val="auto"/>
        </w:rPr>
        <w:t>PSUs are earned over a specified performance period depending on the Company’s performance during such performance period and the award recipient’s continued employment. We believe PSUs further align our executives’ interests with those of our stockholders because the executives profit from PSUs only if certain performance goals are achieved. Consequently, we believe PSUs also help retain our executives. The PSUs awarded in 2017 are to be earned contingent upon successful attainment of pre-determined revenue goals over</w:t>
      </w:r>
    </w:p>
    <w:p>
      <w:pPr>
        <w:spacing w:after="0" w:line="9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60"/>
          </w:cols>
          <w:pgMar w:left="240" w:top="450" w:right="59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60"/>
        <w:spacing w:after="0" w:line="324" w:lineRule="auto"/>
        <w:rPr>
          <w:sz w:val="20"/>
          <w:szCs w:val="20"/>
          <w:color w:val="auto"/>
        </w:rPr>
      </w:pPr>
      <w:r>
        <w:rPr>
          <w:rFonts w:ascii="Arial" w:cs="Arial" w:eastAsia="Arial" w:hAnsi="Arial"/>
          <w:sz w:val="16"/>
          <w:szCs w:val="16"/>
          <w:color w:val="auto"/>
        </w:rPr>
        <w:t>the course of a three-year performance period and the award recipient’s continued employment. The vesting of the PSUs in the event of a termination or change in control is described in more detail below under “– Potential Payments Upon Termination or Change in Control.”</w:t>
      </w:r>
    </w:p>
    <w:p>
      <w:pPr>
        <w:spacing w:after="0" w:line="29" w:lineRule="exact"/>
        <w:rPr>
          <w:sz w:val="20"/>
          <w:szCs w:val="20"/>
          <w:color w:val="auto"/>
        </w:rPr>
      </w:pPr>
    </w:p>
    <w:p>
      <w:pPr>
        <w:ind w:left="340" w:right="40" w:firstLine="429"/>
        <w:spacing w:after="0" w:line="302" w:lineRule="auto"/>
        <w:rPr>
          <w:sz w:val="20"/>
          <w:szCs w:val="20"/>
          <w:color w:val="auto"/>
        </w:rPr>
      </w:pPr>
      <w:r>
        <w:rPr>
          <w:rFonts w:ascii="Arial" w:cs="Arial" w:eastAsia="Arial" w:hAnsi="Arial"/>
          <w:sz w:val="15"/>
          <w:szCs w:val="15"/>
          <w:color w:val="auto"/>
        </w:rPr>
        <w:t>At the beginning of each year, our compensation committee grants annual equity awards to our named executive officers. In 2017, Mr. Black received a stock option to purchase 39,343 shares of our common stock, Ms. Nelson received a stock option to purchase 16,065 shares of common stock, and Mr. Frome received a stock option to purchase 16,327 shares of common stock. Our policy is to grant annual stock options with an exercise price equal to the fair market value of our common stock on the date of grant. In addition, Mr. Black was granted 26,929 RSUs, Ms. Nelson was granted 10,996 RSUs, and Mr. Frome was granted 11,175 RSUs. The target number of PSUs granted to our named executive officers in 2017 was 40,394 PSUs for Mr. Black, 16,494 PSUs for Ms. Nelson and 16,763 PSUs for Mr. Frome. The threshold and maximum number of PSUs is set forth in the Grants of Plan-Based Awards Table on page 26. These equity awards to our named executive officers reflect the pay levels our compensation committee believed were appropriate relative to the market data, each executive’s individual performance, and maintaining an overall competitive compensation package.</w:t>
      </w:r>
    </w:p>
    <w:p>
      <w:pPr>
        <w:spacing w:after="0" w:line="53" w:lineRule="exact"/>
        <w:rPr>
          <w:sz w:val="20"/>
          <w:szCs w:val="20"/>
          <w:color w:val="auto"/>
        </w:rPr>
      </w:pPr>
    </w:p>
    <w:p>
      <w:pPr>
        <w:ind w:left="340" w:right="200" w:firstLine="429"/>
        <w:spacing w:after="0" w:line="252" w:lineRule="auto"/>
        <w:rPr>
          <w:sz w:val="20"/>
          <w:szCs w:val="20"/>
          <w:color w:val="auto"/>
        </w:rPr>
      </w:pPr>
      <w:r>
        <w:rPr>
          <w:rFonts w:ascii="Arial" w:cs="Arial" w:eastAsia="Arial" w:hAnsi="Arial"/>
          <w:sz w:val="18"/>
          <w:szCs w:val="18"/>
          <w:color w:val="auto"/>
        </w:rPr>
        <w:t>In the future, we anticipate that equity compensation, whether in the form of restricted stock, stock options, RSUs, PSUs or other stock-based awards, will remain a significant part of our executive compensation program and will continue to be granted on an annual basis to ensure a continued unvested equity component to the executive compensation package.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Stock Ownership Guidelines</w:t>
      </w:r>
    </w:p>
    <w:p>
      <w:pPr>
        <w:spacing w:after="0" w:line="109" w:lineRule="exact"/>
        <w:rPr>
          <w:sz w:val="20"/>
          <w:szCs w:val="20"/>
          <w:color w:val="auto"/>
        </w:rPr>
      </w:pPr>
    </w:p>
    <w:p>
      <w:pPr>
        <w:ind w:left="340" w:right="160" w:firstLine="429"/>
        <w:spacing w:after="0" w:line="252" w:lineRule="auto"/>
        <w:rPr>
          <w:sz w:val="20"/>
          <w:szCs w:val="20"/>
          <w:color w:val="auto"/>
        </w:rPr>
      </w:pPr>
      <w:r>
        <w:rPr>
          <w:rFonts w:ascii="Arial" w:cs="Arial" w:eastAsia="Arial" w:hAnsi="Arial"/>
          <w:sz w:val="18"/>
          <w:szCs w:val="18"/>
          <w:color w:val="auto"/>
        </w:rPr>
        <w:t>Under our stock ownership guidelines, our chief executive officer is required to beneficially own shares of our common stock with a value equal to at least three times his annual base salary. Currently, we do not require our other named executive officers to satisfy a minimum stock ownership level.</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Other Compensation</w:t>
      </w:r>
    </w:p>
    <w:p>
      <w:pPr>
        <w:spacing w:after="0" w:line="109" w:lineRule="exact"/>
        <w:rPr>
          <w:sz w:val="20"/>
          <w:szCs w:val="20"/>
          <w:color w:val="auto"/>
        </w:rPr>
      </w:pPr>
    </w:p>
    <w:p>
      <w:pPr>
        <w:ind w:left="340" w:right="40" w:firstLine="429"/>
        <w:spacing w:after="0" w:line="247" w:lineRule="auto"/>
        <w:rPr>
          <w:sz w:val="20"/>
          <w:szCs w:val="20"/>
          <w:color w:val="auto"/>
        </w:rPr>
      </w:pPr>
      <w:r>
        <w:rPr>
          <w:rFonts w:ascii="Arial" w:cs="Arial" w:eastAsia="Arial" w:hAnsi="Arial"/>
          <w:sz w:val="18"/>
          <w:szCs w:val="18"/>
          <w:color w:val="auto"/>
        </w:rPr>
        <w:t>Perquisites are not a material aspect of our executive compensation program. All of our full-time employees, including our named executive officers, are eligible to participate in our 401(k) plan. Pursuant to our 401(k) plan, employees may elect to reduce their current compensation by up to the statutorily prescribed annual limit and to have the amount of this reduction contributed to our 401(k) plan. In 2017, our 401(k) plan provided that we would match eligible employees’ 401(k) contributions equal to 25% of the employee’s elective deferrals, up to the first 6% of the employee’s pre-tax compensation for each pay period. In 2018, we increased our match to 50% of the employee’s elective deferrals, up to the first 6% of the employee’s pre-tax compensation for each pay period.</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Severance and Change in Control Benefits</w:t>
      </w:r>
    </w:p>
    <w:p>
      <w:pPr>
        <w:spacing w:after="0" w:line="109" w:lineRule="exact"/>
        <w:rPr>
          <w:sz w:val="20"/>
          <w:szCs w:val="20"/>
          <w:color w:val="auto"/>
        </w:rPr>
      </w:pPr>
    </w:p>
    <w:p>
      <w:pPr>
        <w:ind w:left="340" w:firstLine="429"/>
        <w:spacing w:after="0" w:line="248" w:lineRule="auto"/>
        <w:rPr>
          <w:sz w:val="20"/>
          <w:szCs w:val="20"/>
          <w:color w:val="auto"/>
        </w:rPr>
      </w:pPr>
      <w:r>
        <w:rPr>
          <w:rFonts w:ascii="Arial" w:cs="Arial" w:eastAsia="Arial" w:hAnsi="Arial"/>
          <w:sz w:val="18"/>
          <w:szCs w:val="18"/>
          <w:color w:val="auto"/>
        </w:rPr>
        <w:t>We have entered into employment agreements with each of our named executive officers that require us to provide certain payments and benefits to them in the event of a termination of employment, including a termination of employment in connection with a change in control of the Company. We believe that these payments and benefits are necessary to attract our executives to join our company and that they are in the best interests of the Company and our stockholders because they help assure us that we will have the continued dedication and objectivity of our executives, notwithstanding the possibility or occurrence of a change in control.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Tax Implications</w:t>
      </w:r>
    </w:p>
    <w:p>
      <w:pPr>
        <w:spacing w:after="0" w:line="109" w:lineRule="exact"/>
        <w:rPr>
          <w:sz w:val="20"/>
          <w:szCs w:val="20"/>
          <w:color w:val="auto"/>
        </w:rPr>
      </w:pPr>
    </w:p>
    <w:p>
      <w:pPr>
        <w:ind w:left="340" w:right="60" w:firstLine="429"/>
        <w:spacing w:after="0" w:line="287" w:lineRule="auto"/>
        <w:rPr>
          <w:sz w:val="20"/>
          <w:szCs w:val="20"/>
          <w:color w:val="auto"/>
        </w:rPr>
      </w:pPr>
      <w:r>
        <w:rPr>
          <w:rFonts w:ascii="Arial" w:cs="Arial" w:eastAsia="Arial" w:hAnsi="Arial"/>
          <w:sz w:val="16"/>
          <w:szCs w:val="16"/>
          <w:color w:val="auto"/>
        </w:rPr>
        <w:t>Section 162(m) of the Internal Revenue Code (the “Code”) as in effect prior to the enactment of the Tax Cuts and Jobs Act of 2017 (“Tax Reform Act”) in December 2017 generally disallowed a tax deduction to public companies for compensation of more than $1 million paid in any taxable year to each “covered employee,” consisting of the chief executive officer and the three other highest paid executive officers employed at the end of the year (other than the chief financial officer). “Performance-based compensation” was exempt from this deduction limitation if the company met specified requirements set forth in the Code and applicable treasury regulations.</w:t>
      </w:r>
    </w:p>
    <w:p>
      <w:pPr>
        <w:spacing w:after="0" w:line="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240" w:top="451" w:right="57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80" w:firstLine="429"/>
        <w:spacing w:after="0" w:line="291" w:lineRule="auto"/>
        <w:rPr>
          <w:sz w:val="20"/>
          <w:szCs w:val="20"/>
          <w:color w:val="auto"/>
        </w:rPr>
      </w:pPr>
      <w:r>
        <w:rPr>
          <w:rFonts w:ascii="Arial" w:cs="Arial" w:eastAsia="Arial" w:hAnsi="Arial"/>
          <w:sz w:val="16"/>
          <w:szCs w:val="16"/>
          <w:color w:val="auto"/>
        </w:rPr>
        <w:t>The Tax Reform Act retained the $1 million deduction limit, but repealed the “performance-based compensation” exemption from the deduction limit and expanded the definition of “covered employees,” effective for taxable years beginning after December 31, 2017. Consequently, compensation paid in 2018 and later years to our named executive officers in excess of $1 million will not be deductible unless it qualifies for transitional relief applicable to certain binding, written performance-based compensation arrangements that were in place as of November 2, 2017.</w:t>
      </w:r>
    </w:p>
    <w:p>
      <w:pPr>
        <w:spacing w:after="0" w:line="55" w:lineRule="exact"/>
        <w:rPr>
          <w:sz w:val="20"/>
          <w:szCs w:val="20"/>
          <w:color w:val="auto"/>
        </w:rPr>
      </w:pPr>
    </w:p>
    <w:p>
      <w:pPr>
        <w:ind w:left="340" w:firstLine="429"/>
        <w:spacing w:after="0" w:line="304" w:lineRule="auto"/>
        <w:rPr>
          <w:sz w:val="20"/>
          <w:szCs w:val="20"/>
          <w:color w:val="auto"/>
        </w:rPr>
      </w:pPr>
      <w:r>
        <w:rPr>
          <w:rFonts w:ascii="Arial" w:cs="Arial" w:eastAsia="Arial" w:hAnsi="Arial"/>
          <w:sz w:val="15"/>
          <w:szCs w:val="15"/>
          <w:color w:val="auto"/>
        </w:rPr>
        <w:t>The compensation committee generally intends to continue to comply with the requirements of Section 162(m) as it existed prior to the Tax Reform Act with respect to performance-based compensation in excess of $1 million payable under outstanding awards granted before November 2, 2017 under the 2010 Equity Incentive Plan in order to qualify them for the transitional relief. However, no assurance can be given that the compensation associated with these awards will qualify for the transitional relief, due to ambiguities and uncertainties as to the application and interpretation of newly revised Section 162(m) and the related requirements for transitional relief. The compensation committee believes that stockholder interests are best served if its discretion and flexibility in structuring and awarding compensation is not restricted, even though some compensation awards may have resulted in the past, and are expected to result in the future, in non-deductible compensation expenses to the Company.</w:t>
      </w:r>
    </w:p>
    <w:p>
      <w:pPr>
        <w:spacing w:after="0" w:line="49" w:lineRule="exact"/>
        <w:rPr>
          <w:sz w:val="20"/>
          <w:szCs w:val="20"/>
          <w:color w:val="auto"/>
        </w:rPr>
      </w:pPr>
    </w:p>
    <w:p>
      <w:pPr>
        <w:ind w:left="340" w:right="260" w:firstLine="429"/>
        <w:spacing w:after="0" w:line="252" w:lineRule="auto"/>
        <w:rPr>
          <w:sz w:val="20"/>
          <w:szCs w:val="20"/>
          <w:color w:val="auto"/>
        </w:rPr>
      </w:pPr>
      <w:r>
        <w:rPr>
          <w:rFonts w:ascii="Arial" w:cs="Arial" w:eastAsia="Arial" w:hAnsi="Arial"/>
          <w:sz w:val="18"/>
          <w:szCs w:val="18"/>
          <w:color w:val="auto"/>
        </w:rPr>
        <w:t>Also, our compensation committee takes into account whether components of our compensation program may be subject to the penalty tax associated with Section 409A of the Code, and aims to structure the elements of compensation to be compliant with or exempt from Section 409A to avoid such potential adverse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161925</wp:posOffset>
            </wp:positionV>
            <wp:extent cx="68160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Compensation Committee Report</w:t>
      </w:r>
    </w:p>
    <w:p>
      <w:pPr>
        <w:spacing w:after="0" w:line="112" w:lineRule="exact"/>
        <w:rPr>
          <w:sz w:val="20"/>
          <w:szCs w:val="20"/>
          <w:color w:val="auto"/>
        </w:rPr>
      </w:pPr>
    </w:p>
    <w:p>
      <w:pPr>
        <w:jc w:val="both"/>
        <w:ind w:left="340" w:right="120" w:firstLine="429"/>
        <w:spacing w:after="0" w:line="252" w:lineRule="auto"/>
        <w:rPr>
          <w:sz w:val="20"/>
          <w:szCs w:val="20"/>
          <w:color w:val="auto"/>
        </w:rPr>
      </w:pPr>
      <w:r>
        <w:rPr>
          <w:rFonts w:ascii="Arial" w:cs="Arial" w:eastAsia="Arial" w:hAnsi="Arial"/>
          <w:sz w:val="18"/>
          <w:szCs w:val="18"/>
          <w:color w:val="auto"/>
        </w:rPr>
        <w:t>The committee has reviewed and discussed the Compensation Discussion and Analysis with management and has recommended to the board of directors the inclusion of the Compensation Discussion and Analysis in the Company’s definitive proxy statement and incorporated by reference in the Company’s Annual Report on Form 10-K.</w:t>
      </w:r>
    </w:p>
    <w:p>
      <w:pPr>
        <w:spacing w:after="0" w:line="18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Compensation Committee of the Board of Directors of SPS Commerce, Inc.</w:t>
      </w:r>
    </w:p>
    <w:p>
      <w:pPr>
        <w:spacing w:after="0" w:line="2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 xml:space="preserve">Philip E. Soran, </w:t>
      </w:r>
      <w:r>
        <w:rPr>
          <w:rFonts w:ascii="Arial" w:cs="Arial" w:eastAsia="Arial" w:hAnsi="Arial"/>
          <w:sz w:val="18"/>
          <w:szCs w:val="18"/>
          <w:i w:val="1"/>
          <w:iCs w:val="1"/>
          <w:color w:val="auto"/>
        </w:rPr>
        <w:t>Chairperson</w:t>
      </w:r>
    </w:p>
    <w:p>
      <w:pPr>
        <w:spacing w:after="0" w:line="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Martin J. Leestma</w:t>
      </w:r>
    </w:p>
    <w:p>
      <w:pPr>
        <w:spacing w:after="0" w:line="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James B. Ramsey</w:t>
      </w:r>
    </w:p>
    <w:p>
      <w:pPr>
        <w:spacing w:after="0" w:line="37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40"/>
          </w:cols>
          <w:pgMar w:left="240" w:top="451" w:right="61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220980</wp:posOffset>
            </wp:positionV>
            <wp:extent cx="68160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34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2017 Summary Compensation Table*</w:t>
      </w:r>
    </w:p>
    <w:p>
      <w:pPr>
        <w:spacing w:after="0" w:line="112"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provides information regarding the compensation paid to and earned by our named executive officers in 2017, 2016 and 2015:</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3"/>
              </w:rPr>
              <w:t>Non-Equity</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tcPr>
          <w:p>
            <w:pPr>
              <w:jc w:val="center"/>
              <w:ind w:right="280"/>
              <w:spacing w:after="0" w:line="132" w:lineRule="exact"/>
              <w:rPr>
                <w:sz w:val="20"/>
                <w:szCs w:val="20"/>
                <w:color w:val="auto"/>
              </w:rPr>
            </w:pPr>
            <w:r>
              <w:rPr>
                <w:rFonts w:ascii="Arial" w:cs="Arial" w:eastAsia="Arial" w:hAnsi="Arial"/>
                <w:sz w:val="12"/>
                <w:szCs w:val="12"/>
                <w:b w:val="1"/>
                <w:bCs w:val="1"/>
                <w:color w:val="auto"/>
                <w:w w:val="85"/>
              </w:rPr>
              <w:t>Stock</w:t>
            </w:r>
          </w:p>
        </w:tc>
        <w:tc>
          <w:tcPr>
            <w:tcW w:w="1080" w:type="dxa"/>
            <w:vAlign w:val="bottom"/>
            <w:gridSpan w:val="2"/>
          </w:tcPr>
          <w:p>
            <w:pPr>
              <w:jc w:val="center"/>
              <w:ind w:right="260"/>
              <w:spacing w:after="0" w:line="132" w:lineRule="exact"/>
              <w:rPr>
                <w:sz w:val="20"/>
                <w:szCs w:val="20"/>
                <w:color w:val="auto"/>
              </w:rPr>
            </w:pPr>
            <w:r>
              <w:rPr>
                <w:rFonts w:ascii="Arial" w:cs="Arial" w:eastAsia="Arial" w:hAnsi="Arial"/>
                <w:sz w:val="12"/>
                <w:szCs w:val="12"/>
                <w:b w:val="1"/>
                <w:bCs w:val="1"/>
                <w:color w:val="auto"/>
                <w:w w:val="98"/>
              </w:rPr>
              <w:t>Option</w:t>
            </w:r>
          </w:p>
        </w:tc>
        <w:tc>
          <w:tcPr>
            <w:tcW w:w="1100" w:type="dxa"/>
            <w:vAlign w:val="bottom"/>
            <w:gridSpan w:val="2"/>
          </w:tcPr>
          <w:p>
            <w:pPr>
              <w:jc w:val="center"/>
              <w:ind w:right="260"/>
              <w:spacing w:after="0" w:line="132" w:lineRule="exact"/>
              <w:rPr>
                <w:sz w:val="20"/>
                <w:szCs w:val="20"/>
                <w:color w:val="auto"/>
              </w:rPr>
            </w:pPr>
            <w:r>
              <w:rPr>
                <w:rFonts w:ascii="Arial" w:cs="Arial" w:eastAsia="Arial" w:hAnsi="Arial"/>
                <w:sz w:val="12"/>
                <w:szCs w:val="12"/>
                <w:b w:val="1"/>
                <w:bCs w:val="1"/>
                <w:color w:val="auto"/>
                <w:w w:val="94"/>
              </w:rPr>
              <w:t>Incentive Plan</w:t>
            </w:r>
          </w:p>
        </w:tc>
        <w:tc>
          <w:tcPr>
            <w:tcW w:w="1100" w:type="dxa"/>
            <w:vAlign w:val="bottom"/>
            <w:gridSpan w:val="2"/>
          </w:tcPr>
          <w:p>
            <w:pPr>
              <w:jc w:val="center"/>
              <w:ind w:right="280"/>
              <w:spacing w:after="0" w:line="132" w:lineRule="exact"/>
              <w:rPr>
                <w:sz w:val="20"/>
                <w:szCs w:val="20"/>
                <w:color w:val="auto"/>
              </w:rPr>
            </w:pPr>
            <w:r>
              <w:rPr>
                <w:rFonts w:ascii="Arial" w:cs="Arial" w:eastAsia="Arial" w:hAnsi="Arial"/>
                <w:sz w:val="12"/>
                <w:szCs w:val="12"/>
                <w:b w:val="1"/>
                <w:bCs w:val="1"/>
                <w:color w:val="auto"/>
                <w:w w:val="98"/>
              </w:rPr>
              <w:t>All Other</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jc w:val="right"/>
              <w:ind w:right="420"/>
              <w:spacing w:after="0" w:line="132" w:lineRule="exact"/>
              <w:rPr>
                <w:sz w:val="20"/>
                <w:szCs w:val="20"/>
                <w:color w:val="auto"/>
              </w:rPr>
            </w:pPr>
            <w:r>
              <w:rPr>
                <w:rFonts w:ascii="Arial" w:cs="Arial" w:eastAsia="Arial" w:hAnsi="Arial"/>
                <w:sz w:val="12"/>
                <w:szCs w:val="12"/>
                <w:b w:val="1"/>
                <w:bCs w:val="1"/>
                <w:color w:val="auto"/>
              </w:rPr>
              <w:t>Salary</w:t>
            </w:r>
          </w:p>
        </w:tc>
        <w:tc>
          <w:tcPr>
            <w:tcW w:w="6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Bonus</w:t>
            </w:r>
          </w:p>
        </w:tc>
        <w:tc>
          <w:tcPr>
            <w:tcW w:w="1080" w:type="dxa"/>
            <w:vAlign w:val="bottom"/>
            <w:gridSpan w:val="2"/>
          </w:tcPr>
          <w:p>
            <w:pPr>
              <w:jc w:val="center"/>
              <w:ind w:right="280"/>
              <w:spacing w:after="0" w:line="132" w:lineRule="exact"/>
              <w:rPr>
                <w:sz w:val="20"/>
                <w:szCs w:val="20"/>
                <w:color w:val="auto"/>
              </w:rPr>
            </w:pPr>
            <w:r>
              <w:rPr>
                <w:rFonts w:ascii="Arial" w:cs="Arial" w:eastAsia="Arial" w:hAnsi="Arial"/>
                <w:sz w:val="12"/>
                <w:szCs w:val="12"/>
                <w:b w:val="1"/>
                <w:bCs w:val="1"/>
                <w:color w:val="auto"/>
                <w:w w:val="92"/>
              </w:rPr>
              <w:t>Awards</w:t>
            </w:r>
          </w:p>
        </w:tc>
        <w:tc>
          <w:tcPr>
            <w:tcW w:w="1080" w:type="dxa"/>
            <w:vAlign w:val="bottom"/>
            <w:gridSpan w:val="2"/>
          </w:tcPr>
          <w:p>
            <w:pPr>
              <w:jc w:val="center"/>
              <w:ind w:right="280"/>
              <w:spacing w:after="0" w:line="132" w:lineRule="exact"/>
              <w:rPr>
                <w:sz w:val="20"/>
                <w:szCs w:val="20"/>
                <w:color w:val="auto"/>
              </w:rPr>
            </w:pPr>
            <w:r>
              <w:rPr>
                <w:rFonts w:ascii="Arial" w:cs="Arial" w:eastAsia="Arial" w:hAnsi="Arial"/>
                <w:sz w:val="12"/>
                <w:szCs w:val="12"/>
                <w:b w:val="1"/>
                <w:bCs w:val="1"/>
                <w:color w:val="auto"/>
                <w:w w:val="92"/>
              </w:rPr>
              <w:t>Awards</w:t>
            </w:r>
          </w:p>
        </w:tc>
        <w:tc>
          <w:tcPr>
            <w:tcW w:w="1100" w:type="dxa"/>
            <w:vAlign w:val="bottom"/>
            <w:gridSpan w:val="2"/>
          </w:tcPr>
          <w:p>
            <w:pPr>
              <w:jc w:val="center"/>
              <w:ind w:right="260"/>
              <w:spacing w:after="0" w:line="132" w:lineRule="exact"/>
              <w:rPr>
                <w:sz w:val="20"/>
                <w:szCs w:val="20"/>
                <w:color w:val="auto"/>
              </w:rPr>
            </w:pPr>
            <w:r>
              <w:rPr>
                <w:rFonts w:ascii="Arial" w:cs="Arial" w:eastAsia="Arial" w:hAnsi="Arial"/>
                <w:sz w:val="12"/>
                <w:szCs w:val="12"/>
                <w:b w:val="1"/>
                <w:bCs w:val="1"/>
                <w:color w:val="auto"/>
                <w:w w:val="91"/>
              </w:rPr>
              <w:t>Compensation</w:t>
            </w:r>
          </w:p>
        </w:tc>
        <w:tc>
          <w:tcPr>
            <w:tcW w:w="1100" w:type="dxa"/>
            <w:vAlign w:val="bottom"/>
            <w:gridSpan w:val="2"/>
          </w:tcPr>
          <w:p>
            <w:pPr>
              <w:jc w:val="center"/>
              <w:ind w:right="260"/>
              <w:spacing w:after="0" w:line="132" w:lineRule="exact"/>
              <w:rPr>
                <w:sz w:val="20"/>
                <w:szCs w:val="20"/>
                <w:color w:val="auto"/>
              </w:rPr>
            </w:pPr>
            <w:r>
              <w:rPr>
                <w:rFonts w:ascii="Arial" w:cs="Arial" w:eastAsia="Arial" w:hAnsi="Arial"/>
                <w:sz w:val="12"/>
                <w:szCs w:val="12"/>
                <w:b w:val="1"/>
                <w:bCs w:val="1"/>
                <w:color w:val="auto"/>
                <w:w w:val="91"/>
              </w:rPr>
              <w:t>Compensation</w:t>
            </w:r>
          </w:p>
        </w:tc>
        <w:tc>
          <w:tcPr>
            <w:tcW w:w="920" w:type="dxa"/>
            <w:vAlign w:val="bottom"/>
            <w:gridSpan w:val="2"/>
          </w:tcPr>
          <w:p>
            <w:pPr>
              <w:ind w:left="300"/>
              <w:spacing w:after="0" w:line="132"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0"/>
        </w:trPr>
        <w:tc>
          <w:tcPr>
            <w:tcW w:w="3000" w:type="dxa"/>
            <w:vAlign w:val="bottom"/>
            <w:gridSpan w:val="4"/>
          </w:tcPr>
          <w:p>
            <w:pPr>
              <w:spacing w:after="0"/>
              <w:rPr>
                <w:sz w:val="20"/>
                <w:szCs w:val="20"/>
                <w:color w:val="auto"/>
              </w:rPr>
            </w:pPr>
            <w:r>
              <w:rPr>
                <w:rFonts w:ascii="Arial" w:cs="Arial" w:eastAsia="Arial" w:hAnsi="Arial"/>
                <w:sz w:val="12"/>
                <w:szCs w:val="12"/>
                <w:b w:val="1"/>
                <w:bCs w:val="1"/>
                <w:color w:val="auto"/>
              </w:rPr>
              <w:t>Name and Principal Position</w:t>
            </w:r>
          </w:p>
        </w:tc>
        <w:tc>
          <w:tcPr>
            <w:tcW w:w="22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Year</w:t>
            </w:r>
          </w:p>
        </w:tc>
        <w:tc>
          <w:tcPr>
            <w:tcW w:w="660" w:type="dxa"/>
            <w:vAlign w:val="bottom"/>
          </w:tcPr>
          <w:p>
            <w:pPr>
              <w:jc w:val="right"/>
              <w:ind w:right="177"/>
              <w:spacing w:after="0"/>
              <w:rPr>
                <w:sz w:val="20"/>
                <w:szCs w:val="20"/>
                <w:color w:val="auto"/>
              </w:rPr>
            </w:pPr>
            <w:r>
              <w:rPr>
                <w:rFonts w:ascii="Arial" w:cs="Arial" w:eastAsia="Arial" w:hAnsi="Arial"/>
                <w:sz w:val="12"/>
                <w:szCs w:val="12"/>
                <w:b w:val="1"/>
                <w:bCs w:val="1"/>
                <w:color w:val="auto"/>
              </w:rPr>
              <w:t>($)</w:t>
            </w:r>
          </w:p>
        </w:tc>
        <w:tc>
          <w:tcPr>
            <w:tcW w:w="260" w:type="dxa"/>
            <w:vAlign w:val="bottom"/>
          </w:tcPr>
          <w:p>
            <w:pPr>
              <w:spacing w:after="0"/>
              <w:rPr>
                <w:sz w:val="14"/>
                <w:szCs w:val="14"/>
                <w:color w:val="auto"/>
              </w:rPr>
            </w:pP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2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2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2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5"/>
              </w:rPr>
              <w:t>($)(2)</w:t>
            </w:r>
          </w:p>
        </w:tc>
        <w:tc>
          <w:tcPr>
            <w:tcW w:w="260" w:type="dxa"/>
            <w:vAlign w:val="bottom"/>
          </w:tcPr>
          <w:p>
            <w:pPr>
              <w:spacing w:after="0"/>
              <w:rPr>
                <w:sz w:val="14"/>
                <w:szCs w:val="14"/>
                <w:color w:val="auto"/>
              </w:rPr>
            </w:pPr>
          </w:p>
        </w:tc>
        <w:tc>
          <w:tcPr>
            <w:tcW w:w="860" w:type="dxa"/>
            <w:vAlign w:val="bottom"/>
          </w:tcPr>
          <w:p>
            <w:pPr>
              <w:jc w:val="right"/>
              <w:ind w:right="277"/>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480" w:type="dxa"/>
            <w:vAlign w:val="bottom"/>
            <w:tcBorders>
              <w:top w:val="single" w:sz="8" w:color="auto"/>
            </w:tcBorders>
            <w:shd w:val="clear" w:color="auto" w:fill="CCECF8"/>
          </w:tcPr>
          <w:p>
            <w:pPr>
              <w:spacing w:after="0" w:line="183" w:lineRule="exact"/>
              <w:rPr>
                <w:sz w:val="20"/>
                <w:szCs w:val="20"/>
                <w:color w:val="auto"/>
              </w:rPr>
            </w:pPr>
            <w:r>
              <w:rPr>
                <w:rFonts w:ascii="Arial" w:cs="Arial" w:eastAsia="Arial" w:hAnsi="Arial"/>
                <w:sz w:val="18"/>
                <w:szCs w:val="18"/>
                <w:color w:val="auto"/>
              </w:rPr>
              <w:t>Archie C. Black</w:t>
            </w:r>
          </w:p>
        </w:tc>
        <w:tc>
          <w:tcPr>
            <w:tcW w:w="1500" w:type="dxa"/>
            <w:vAlign w:val="bottom"/>
            <w:tcBorders>
              <w:top w:val="single" w:sz="8" w:color="CCECF8"/>
            </w:tcBorders>
            <w:gridSpan w:val="2"/>
            <w:shd w:val="clear" w:color="auto" w:fill="CCECF8"/>
          </w:tcPr>
          <w:p>
            <w:pPr>
              <w:spacing w:after="0"/>
              <w:rPr>
                <w:sz w:val="15"/>
                <w:szCs w:val="15"/>
                <w:color w:val="auto"/>
              </w:rPr>
            </w:pPr>
          </w:p>
        </w:tc>
        <w:tc>
          <w:tcPr>
            <w:tcW w:w="220" w:type="dxa"/>
            <w:vAlign w:val="bottom"/>
            <w:tcBorders>
              <w:top w:val="single" w:sz="8" w:color="CCECF8"/>
            </w:tcBorders>
            <w:shd w:val="clear" w:color="auto" w:fill="CCECF8"/>
          </w:tcPr>
          <w:p>
            <w:pPr>
              <w:spacing w:after="0"/>
              <w:rPr>
                <w:sz w:val="15"/>
                <w:szCs w:val="15"/>
                <w:color w:val="auto"/>
              </w:rPr>
            </w:pPr>
          </w:p>
        </w:tc>
        <w:tc>
          <w:tcPr>
            <w:tcW w:w="440" w:type="dxa"/>
            <w:vAlign w:val="bottom"/>
            <w:tcBorders>
              <w:top w:val="single" w:sz="8" w:color="auto"/>
            </w:tcBorders>
            <w:shd w:val="clear" w:color="auto" w:fill="CCECF8"/>
          </w:tcPr>
          <w:p>
            <w:pPr>
              <w:ind w:left="80"/>
              <w:spacing w:after="0" w:line="183" w:lineRule="exact"/>
              <w:rPr>
                <w:sz w:val="20"/>
                <w:szCs w:val="20"/>
                <w:color w:val="auto"/>
              </w:rPr>
            </w:pPr>
            <w:r>
              <w:rPr>
                <w:rFonts w:ascii="Arial" w:cs="Arial" w:eastAsia="Arial" w:hAnsi="Arial"/>
                <w:sz w:val="18"/>
                <w:szCs w:val="18"/>
                <w:color w:val="auto"/>
                <w:w w:val="84"/>
              </w:rPr>
              <w:t>2017</w:t>
            </w:r>
          </w:p>
        </w:tc>
        <w:tc>
          <w:tcPr>
            <w:tcW w:w="260" w:type="dxa"/>
            <w:vAlign w:val="bottom"/>
            <w:tcBorders>
              <w:top w:val="single" w:sz="8" w:color="CCECF8"/>
            </w:tcBorders>
            <w:shd w:val="clear" w:color="auto" w:fill="CCECF8"/>
          </w:tcPr>
          <w:p>
            <w:pPr>
              <w:spacing w:after="0"/>
              <w:rPr>
                <w:sz w:val="15"/>
                <w:szCs w:val="15"/>
                <w:color w:val="auto"/>
              </w:rPr>
            </w:pPr>
          </w:p>
        </w:tc>
        <w:tc>
          <w:tcPr>
            <w:tcW w:w="660" w:type="dxa"/>
            <w:vAlign w:val="bottom"/>
            <w:tcBorders>
              <w:top w:val="single" w:sz="8" w:color="auto"/>
            </w:tcBorders>
            <w:shd w:val="clear" w:color="auto" w:fill="CCECF8"/>
          </w:tcPr>
          <w:p>
            <w:pPr>
              <w:jc w:val="right"/>
              <w:spacing w:after="0" w:line="183" w:lineRule="exact"/>
              <w:rPr>
                <w:sz w:val="20"/>
                <w:szCs w:val="20"/>
                <w:color w:val="auto"/>
              </w:rPr>
            </w:pPr>
            <w:r>
              <w:rPr>
                <w:rFonts w:ascii="Arial" w:cs="Arial" w:eastAsia="Arial" w:hAnsi="Arial"/>
                <w:sz w:val="18"/>
                <w:szCs w:val="18"/>
                <w:color w:val="auto"/>
                <w:w w:val="98"/>
              </w:rPr>
              <w:t>495,000</w:t>
            </w:r>
          </w:p>
        </w:tc>
        <w:tc>
          <w:tcPr>
            <w:tcW w:w="260" w:type="dxa"/>
            <w:vAlign w:val="bottom"/>
            <w:tcBorders>
              <w:top w:val="single" w:sz="8" w:color="CCECF8"/>
            </w:tcBorders>
            <w:shd w:val="clear" w:color="auto" w:fill="CCECF8"/>
          </w:tcPr>
          <w:p>
            <w:pPr>
              <w:spacing w:after="0"/>
              <w:rPr>
                <w:sz w:val="15"/>
                <w:szCs w:val="15"/>
                <w:color w:val="auto"/>
              </w:rPr>
            </w:pPr>
          </w:p>
        </w:tc>
        <w:tc>
          <w:tcPr>
            <w:tcW w:w="340" w:type="dxa"/>
            <w:vAlign w:val="bottom"/>
            <w:tcBorders>
              <w:top w:val="single" w:sz="8" w:color="auto"/>
            </w:tcBorders>
            <w:shd w:val="clear" w:color="auto" w:fill="CCECF8"/>
          </w:tcPr>
          <w:p>
            <w:pPr>
              <w:ind w:left="180"/>
              <w:spacing w:after="0" w:line="183" w:lineRule="exact"/>
              <w:rPr>
                <w:sz w:val="20"/>
                <w:szCs w:val="20"/>
                <w:color w:val="auto"/>
              </w:rPr>
            </w:pPr>
            <w:r>
              <w:rPr>
                <w:rFonts w:ascii="Arial" w:cs="Arial" w:eastAsia="Arial" w:hAnsi="Arial"/>
                <w:sz w:val="18"/>
                <w:szCs w:val="18"/>
                <w:color w:val="auto"/>
                <w:w w:val="77"/>
              </w:rPr>
              <w:t>—</w:t>
            </w:r>
          </w:p>
        </w:tc>
        <w:tc>
          <w:tcPr>
            <w:tcW w:w="280" w:type="dxa"/>
            <w:vAlign w:val="bottom"/>
            <w:tcBorders>
              <w:top w:val="single" w:sz="8" w:color="CCECF8"/>
            </w:tcBorders>
            <w:shd w:val="clear" w:color="auto" w:fill="CCECF8"/>
          </w:tcPr>
          <w:p>
            <w:pPr>
              <w:spacing w:after="0"/>
              <w:rPr>
                <w:sz w:val="15"/>
                <w:szCs w:val="15"/>
                <w:color w:val="auto"/>
              </w:rPr>
            </w:pPr>
          </w:p>
        </w:tc>
        <w:tc>
          <w:tcPr>
            <w:tcW w:w="800" w:type="dxa"/>
            <w:vAlign w:val="bottom"/>
            <w:tcBorders>
              <w:top w:val="single" w:sz="8" w:color="auto"/>
            </w:tcBorders>
            <w:shd w:val="clear" w:color="auto" w:fill="CCECF8"/>
          </w:tcPr>
          <w:p>
            <w:pPr>
              <w:jc w:val="right"/>
              <w:spacing w:after="0" w:line="183" w:lineRule="exact"/>
              <w:rPr>
                <w:sz w:val="20"/>
                <w:szCs w:val="20"/>
                <w:color w:val="auto"/>
              </w:rPr>
            </w:pPr>
            <w:r>
              <w:rPr>
                <w:rFonts w:ascii="Arial" w:cs="Arial" w:eastAsia="Arial" w:hAnsi="Arial"/>
                <w:sz w:val="18"/>
                <w:szCs w:val="18"/>
                <w:color w:val="auto"/>
                <w:w w:val="97"/>
              </w:rPr>
              <w:t>3,749,891</w:t>
            </w:r>
          </w:p>
        </w:tc>
        <w:tc>
          <w:tcPr>
            <w:tcW w:w="280" w:type="dxa"/>
            <w:vAlign w:val="bottom"/>
            <w:tcBorders>
              <w:top w:val="single" w:sz="8" w:color="CCECF8"/>
            </w:tcBorders>
            <w:shd w:val="clear" w:color="auto" w:fill="CCECF8"/>
          </w:tcPr>
          <w:p>
            <w:pPr>
              <w:spacing w:after="0"/>
              <w:rPr>
                <w:sz w:val="15"/>
                <w:szCs w:val="15"/>
                <w:color w:val="auto"/>
              </w:rPr>
            </w:pPr>
          </w:p>
        </w:tc>
        <w:tc>
          <w:tcPr>
            <w:tcW w:w="820" w:type="dxa"/>
            <w:vAlign w:val="bottom"/>
            <w:tcBorders>
              <w:top w:val="single" w:sz="8" w:color="auto"/>
            </w:tcBorders>
            <w:shd w:val="clear" w:color="auto" w:fill="CCECF8"/>
          </w:tcPr>
          <w:p>
            <w:pPr>
              <w:jc w:val="right"/>
              <w:spacing w:after="0" w:line="183" w:lineRule="exact"/>
              <w:rPr>
                <w:sz w:val="20"/>
                <w:szCs w:val="20"/>
                <w:color w:val="auto"/>
              </w:rPr>
            </w:pPr>
            <w:r>
              <w:rPr>
                <w:rFonts w:ascii="Arial" w:cs="Arial" w:eastAsia="Arial" w:hAnsi="Arial"/>
                <w:sz w:val="18"/>
                <w:szCs w:val="18"/>
                <w:color w:val="auto"/>
              </w:rPr>
              <w:t>749,996</w:t>
            </w:r>
          </w:p>
        </w:tc>
        <w:tc>
          <w:tcPr>
            <w:tcW w:w="260" w:type="dxa"/>
            <w:vAlign w:val="bottom"/>
            <w:tcBorders>
              <w:top w:val="single" w:sz="8" w:color="CCECF8"/>
            </w:tcBorders>
            <w:shd w:val="clear" w:color="auto" w:fill="CCECF8"/>
          </w:tcPr>
          <w:p>
            <w:pPr>
              <w:spacing w:after="0"/>
              <w:rPr>
                <w:sz w:val="15"/>
                <w:szCs w:val="15"/>
                <w:color w:val="auto"/>
              </w:rPr>
            </w:pPr>
          </w:p>
        </w:tc>
        <w:tc>
          <w:tcPr>
            <w:tcW w:w="840" w:type="dxa"/>
            <w:vAlign w:val="bottom"/>
            <w:tcBorders>
              <w:top w:val="single" w:sz="8" w:color="auto"/>
            </w:tcBorders>
            <w:shd w:val="clear" w:color="auto" w:fill="CCECF8"/>
          </w:tcPr>
          <w:p>
            <w:pPr>
              <w:jc w:val="right"/>
              <w:spacing w:after="0" w:line="183" w:lineRule="exact"/>
              <w:rPr>
                <w:sz w:val="20"/>
                <w:szCs w:val="20"/>
                <w:color w:val="auto"/>
              </w:rPr>
            </w:pPr>
            <w:r>
              <w:rPr>
                <w:rFonts w:ascii="Arial" w:cs="Arial" w:eastAsia="Arial" w:hAnsi="Arial"/>
                <w:sz w:val="18"/>
                <w:szCs w:val="18"/>
                <w:color w:val="auto"/>
              </w:rPr>
              <w:t>289,250</w:t>
            </w:r>
          </w:p>
        </w:tc>
        <w:tc>
          <w:tcPr>
            <w:tcW w:w="260" w:type="dxa"/>
            <w:vAlign w:val="bottom"/>
            <w:tcBorders>
              <w:top w:val="single" w:sz="8" w:color="CCECF8"/>
            </w:tcBorders>
            <w:shd w:val="clear" w:color="auto" w:fill="CCECF8"/>
          </w:tcPr>
          <w:p>
            <w:pPr>
              <w:spacing w:after="0"/>
              <w:rPr>
                <w:sz w:val="15"/>
                <w:szCs w:val="15"/>
                <w:color w:val="auto"/>
              </w:rPr>
            </w:pPr>
          </w:p>
        </w:tc>
        <w:tc>
          <w:tcPr>
            <w:tcW w:w="840" w:type="dxa"/>
            <w:vAlign w:val="bottom"/>
            <w:tcBorders>
              <w:top w:val="single" w:sz="8" w:color="auto"/>
            </w:tcBorders>
            <w:shd w:val="clear" w:color="auto" w:fill="CCECF8"/>
          </w:tcPr>
          <w:p>
            <w:pPr>
              <w:jc w:val="right"/>
              <w:spacing w:after="0" w:line="183" w:lineRule="exact"/>
              <w:rPr>
                <w:sz w:val="20"/>
                <w:szCs w:val="20"/>
                <w:color w:val="auto"/>
              </w:rPr>
            </w:pPr>
            <w:r>
              <w:rPr>
                <w:rFonts w:ascii="Arial" w:cs="Arial" w:eastAsia="Arial" w:hAnsi="Arial"/>
                <w:sz w:val="18"/>
                <w:szCs w:val="18"/>
                <w:color w:val="auto"/>
              </w:rPr>
              <w:t>4,050</w:t>
            </w:r>
          </w:p>
        </w:tc>
        <w:tc>
          <w:tcPr>
            <w:tcW w:w="260" w:type="dxa"/>
            <w:vAlign w:val="bottom"/>
            <w:tcBorders>
              <w:top w:val="single" w:sz="8" w:color="CCECF8"/>
            </w:tcBorders>
            <w:shd w:val="clear" w:color="auto" w:fill="CCECF8"/>
          </w:tcPr>
          <w:p>
            <w:pPr>
              <w:spacing w:after="0"/>
              <w:rPr>
                <w:sz w:val="15"/>
                <w:szCs w:val="15"/>
                <w:color w:val="auto"/>
              </w:rPr>
            </w:pPr>
          </w:p>
        </w:tc>
        <w:tc>
          <w:tcPr>
            <w:tcW w:w="860" w:type="dxa"/>
            <w:vAlign w:val="bottom"/>
            <w:tcBorders>
              <w:top w:val="single" w:sz="8" w:color="auto"/>
            </w:tcBorders>
            <w:shd w:val="clear" w:color="auto" w:fill="CCECF8"/>
          </w:tcPr>
          <w:p>
            <w:pPr>
              <w:jc w:val="right"/>
              <w:spacing w:after="0" w:line="183" w:lineRule="exact"/>
              <w:rPr>
                <w:sz w:val="20"/>
                <w:szCs w:val="20"/>
                <w:color w:val="auto"/>
              </w:rPr>
            </w:pPr>
            <w:r>
              <w:rPr>
                <w:rFonts w:ascii="Arial" w:cs="Arial" w:eastAsia="Arial" w:hAnsi="Arial"/>
                <w:sz w:val="18"/>
                <w:szCs w:val="18"/>
                <w:color w:val="auto"/>
              </w:rPr>
              <w:t>5,288,187</w:t>
            </w:r>
          </w:p>
        </w:tc>
        <w:tc>
          <w:tcPr>
            <w:tcW w:w="60" w:type="dxa"/>
            <w:vAlign w:val="bottom"/>
            <w:tcBorders>
              <w:top w:val="single" w:sz="8" w:color="CCECF8"/>
            </w:tcBorders>
            <w:shd w:val="clear" w:color="auto" w:fill="CCECF8"/>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gridSpan w:val="3"/>
            <w:shd w:val="clear" w:color="auto" w:fill="CCECF8"/>
          </w:tcPr>
          <w:p>
            <w:pPr>
              <w:spacing w:after="0"/>
              <w:rPr>
                <w:sz w:val="20"/>
                <w:szCs w:val="20"/>
                <w:color w:val="auto"/>
              </w:rPr>
            </w:pPr>
            <w:r>
              <w:rPr>
                <w:rFonts w:ascii="Arial" w:cs="Arial" w:eastAsia="Arial" w:hAnsi="Arial"/>
                <w:sz w:val="18"/>
                <w:szCs w:val="18"/>
                <w:i w:val="1"/>
                <w:iCs w:val="1"/>
                <w:color w:val="auto"/>
                <w:w w:val="98"/>
              </w:rPr>
              <w:t>Chief Executive Officer and President</w:t>
            </w:r>
          </w:p>
        </w:tc>
        <w:tc>
          <w:tcPr>
            <w:tcW w:w="220" w:type="dxa"/>
            <w:vAlign w:val="bottom"/>
            <w:shd w:val="clear" w:color="auto" w:fill="CCECF8"/>
          </w:tcPr>
          <w:p>
            <w:pPr>
              <w:spacing w:after="0"/>
              <w:rPr>
                <w:sz w:val="18"/>
                <w:szCs w:val="18"/>
                <w:color w:val="auto"/>
              </w:rPr>
            </w:pPr>
          </w:p>
        </w:tc>
        <w:tc>
          <w:tcPr>
            <w:tcW w:w="440" w:type="dxa"/>
            <w:vAlign w:val="bottom"/>
            <w:shd w:val="clear" w:color="auto" w:fill="CCECF8"/>
          </w:tcPr>
          <w:p>
            <w:pPr>
              <w:ind w:left="80"/>
              <w:spacing w:after="0"/>
              <w:rPr>
                <w:sz w:val="20"/>
                <w:szCs w:val="20"/>
                <w:color w:val="auto"/>
              </w:rPr>
            </w:pPr>
            <w:r>
              <w:rPr>
                <w:rFonts w:ascii="Arial" w:cs="Arial" w:eastAsia="Arial" w:hAnsi="Arial"/>
                <w:sz w:val="18"/>
                <w:szCs w:val="18"/>
                <w:color w:val="auto"/>
                <w:w w:val="84"/>
              </w:rPr>
              <w:t>2016</w:t>
            </w:r>
          </w:p>
        </w:tc>
        <w:tc>
          <w:tcPr>
            <w:tcW w:w="260" w:type="dxa"/>
            <w:vAlign w:val="bottom"/>
            <w:shd w:val="clear" w:color="auto" w:fill="CCECF8"/>
          </w:tcPr>
          <w:p>
            <w:pPr>
              <w:spacing w:after="0"/>
              <w:rPr>
                <w:sz w:val="18"/>
                <w:szCs w:val="18"/>
                <w:color w:val="auto"/>
              </w:rPr>
            </w:pPr>
          </w:p>
        </w:tc>
        <w:tc>
          <w:tcPr>
            <w:tcW w:w="92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w w:val="98"/>
              </w:rPr>
              <w:t>495,000</w:t>
            </w:r>
          </w:p>
        </w:tc>
        <w:tc>
          <w:tcPr>
            <w:tcW w:w="620" w:type="dxa"/>
            <w:vAlign w:val="bottom"/>
            <w:gridSpan w:val="2"/>
            <w:shd w:val="clear" w:color="auto" w:fill="CCECF8"/>
          </w:tcPr>
          <w:p>
            <w:pPr>
              <w:ind w:lef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CF8"/>
          </w:tcPr>
          <w:p>
            <w:pPr>
              <w:jc w:val="right"/>
              <w:spacing w:after="0"/>
              <w:rPr>
                <w:sz w:val="20"/>
                <w:szCs w:val="20"/>
                <w:color w:val="auto"/>
              </w:rPr>
            </w:pPr>
            <w:r>
              <w:rPr>
                <w:rFonts w:ascii="Arial" w:cs="Arial" w:eastAsia="Arial" w:hAnsi="Arial"/>
                <w:sz w:val="18"/>
                <w:szCs w:val="18"/>
                <w:color w:val="auto"/>
                <w:w w:val="97"/>
              </w:rPr>
              <w:t>1,224,982</w:t>
            </w:r>
          </w:p>
        </w:tc>
        <w:tc>
          <w:tcPr>
            <w:tcW w:w="280" w:type="dxa"/>
            <w:vAlign w:val="bottom"/>
            <w:shd w:val="clear" w:color="auto" w:fill="CCECF8"/>
          </w:tcPr>
          <w:p>
            <w:pPr>
              <w:spacing w:after="0"/>
              <w:rPr>
                <w:sz w:val="18"/>
                <w:szCs w:val="18"/>
                <w:color w:val="auto"/>
              </w:rPr>
            </w:pPr>
          </w:p>
        </w:tc>
        <w:tc>
          <w:tcPr>
            <w:tcW w:w="820" w:type="dxa"/>
            <w:vAlign w:val="bottom"/>
            <w:shd w:val="clear" w:color="auto" w:fill="CCECF8"/>
          </w:tcPr>
          <w:p>
            <w:pPr>
              <w:jc w:val="right"/>
              <w:spacing w:after="0"/>
              <w:rPr>
                <w:sz w:val="20"/>
                <w:szCs w:val="20"/>
                <w:color w:val="auto"/>
              </w:rPr>
            </w:pPr>
            <w:r>
              <w:rPr>
                <w:rFonts w:ascii="Arial" w:cs="Arial" w:eastAsia="Arial" w:hAnsi="Arial"/>
                <w:sz w:val="18"/>
                <w:szCs w:val="18"/>
                <w:color w:val="auto"/>
                <w:w w:val="99"/>
              </w:rPr>
              <w:t>1,224,987</w:t>
            </w:r>
          </w:p>
        </w:tc>
        <w:tc>
          <w:tcPr>
            <w:tcW w:w="260" w:type="dxa"/>
            <w:vAlign w:val="bottom"/>
            <w:shd w:val="clear" w:color="auto" w:fill="CCECF8"/>
          </w:tcPr>
          <w:p>
            <w:pPr>
              <w:spacing w:after="0"/>
              <w:rPr>
                <w:sz w:val="18"/>
                <w:szCs w:val="18"/>
                <w:color w:val="auto"/>
              </w:rPr>
            </w:pPr>
          </w:p>
        </w:tc>
        <w:tc>
          <w:tcPr>
            <w:tcW w:w="110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rPr>
              <w:t>102,350</w:t>
            </w:r>
          </w:p>
        </w:tc>
        <w:tc>
          <w:tcPr>
            <w:tcW w:w="110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rPr>
              <w:t>3,975</w:t>
            </w:r>
          </w:p>
        </w:tc>
        <w:tc>
          <w:tcPr>
            <w:tcW w:w="920" w:type="dxa"/>
            <w:vAlign w:val="bottom"/>
            <w:gridSpan w:val="2"/>
            <w:shd w:val="clear" w:color="auto" w:fill="CCECF8"/>
          </w:tcPr>
          <w:p>
            <w:pPr>
              <w:jc w:val="right"/>
              <w:ind w:right="60"/>
              <w:spacing w:after="0"/>
              <w:rPr>
                <w:sz w:val="20"/>
                <w:szCs w:val="20"/>
                <w:color w:val="auto"/>
              </w:rPr>
            </w:pPr>
            <w:r>
              <w:rPr>
                <w:rFonts w:ascii="Arial" w:cs="Arial" w:eastAsia="Arial" w:hAnsi="Arial"/>
                <w:sz w:val="18"/>
                <w:szCs w:val="18"/>
                <w:color w:val="auto"/>
              </w:rPr>
              <w:t>3,051,294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shd w:val="clear" w:color="auto" w:fill="CCECF8"/>
          </w:tcPr>
          <w:p>
            <w:pPr>
              <w:spacing w:after="0"/>
              <w:rPr>
                <w:sz w:val="18"/>
                <w:szCs w:val="18"/>
                <w:color w:val="auto"/>
              </w:rPr>
            </w:pPr>
          </w:p>
        </w:tc>
        <w:tc>
          <w:tcPr>
            <w:tcW w:w="440" w:type="dxa"/>
            <w:vAlign w:val="bottom"/>
            <w:shd w:val="clear" w:color="auto" w:fill="CCECF8"/>
          </w:tcPr>
          <w:p>
            <w:pPr>
              <w:spacing w:after="0"/>
              <w:rPr>
                <w:sz w:val="18"/>
                <w:szCs w:val="18"/>
                <w:color w:val="auto"/>
              </w:rPr>
            </w:pPr>
          </w:p>
        </w:tc>
        <w:tc>
          <w:tcPr>
            <w:tcW w:w="1060" w:type="dxa"/>
            <w:vAlign w:val="bottom"/>
            <w:shd w:val="clear" w:color="auto" w:fill="CCECF8"/>
          </w:tcPr>
          <w:p>
            <w:pPr>
              <w:spacing w:after="0"/>
              <w:rPr>
                <w:sz w:val="18"/>
                <w:szCs w:val="18"/>
                <w:color w:val="auto"/>
              </w:rPr>
            </w:pPr>
          </w:p>
        </w:tc>
        <w:tc>
          <w:tcPr>
            <w:tcW w:w="220" w:type="dxa"/>
            <w:vAlign w:val="bottom"/>
            <w:shd w:val="clear" w:color="auto" w:fill="CCECF8"/>
          </w:tcPr>
          <w:p>
            <w:pPr>
              <w:spacing w:after="0"/>
              <w:rPr>
                <w:sz w:val="18"/>
                <w:szCs w:val="18"/>
                <w:color w:val="auto"/>
              </w:rPr>
            </w:pPr>
          </w:p>
        </w:tc>
        <w:tc>
          <w:tcPr>
            <w:tcW w:w="440" w:type="dxa"/>
            <w:vAlign w:val="bottom"/>
            <w:shd w:val="clear" w:color="auto" w:fill="CCECF8"/>
          </w:tcPr>
          <w:p>
            <w:pPr>
              <w:ind w:left="80"/>
              <w:spacing w:after="0"/>
              <w:rPr>
                <w:sz w:val="20"/>
                <w:szCs w:val="20"/>
                <w:color w:val="auto"/>
              </w:rPr>
            </w:pPr>
            <w:r>
              <w:rPr>
                <w:rFonts w:ascii="Arial" w:cs="Arial" w:eastAsia="Arial" w:hAnsi="Arial"/>
                <w:sz w:val="18"/>
                <w:szCs w:val="18"/>
                <w:color w:val="auto"/>
                <w:w w:val="84"/>
              </w:rPr>
              <w:t>2015</w:t>
            </w:r>
          </w:p>
        </w:tc>
        <w:tc>
          <w:tcPr>
            <w:tcW w:w="260" w:type="dxa"/>
            <w:vAlign w:val="bottom"/>
            <w:shd w:val="clear" w:color="auto" w:fill="CCECF8"/>
          </w:tcPr>
          <w:p>
            <w:pPr>
              <w:spacing w:after="0"/>
              <w:rPr>
                <w:sz w:val="18"/>
                <w:szCs w:val="18"/>
                <w:color w:val="auto"/>
              </w:rPr>
            </w:pPr>
          </w:p>
        </w:tc>
        <w:tc>
          <w:tcPr>
            <w:tcW w:w="92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w w:val="98"/>
              </w:rPr>
              <w:t>425,000</w:t>
            </w:r>
          </w:p>
        </w:tc>
        <w:tc>
          <w:tcPr>
            <w:tcW w:w="620" w:type="dxa"/>
            <w:vAlign w:val="bottom"/>
            <w:gridSpan w:val="2"/>
            <w:shd w:val="clear" w:color="auto" w:fill="CCECF8"/>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CF8"/>
          </w:tcPr>
          <w:p>
            <w:pPr>
              <w:jc w:val="right"/>
              <w:ind w:right="280"/>
              <w:spacing w:after="0"/>
              <w:rPr>
                <w:sz w:val="20"/>
                <w:szCs w:val="20"/>
                <w:color w:val="auto"/>
              </w:rPr>
            </w:pPr>
            <w:r>
              <w:rPr>
                <w:rFonts w:ascii="Arial" w:cs="Arial" w:eastAsia="Arial" w:hAnsi="Arial"/>
                <w:sz w:val="18"/>
                <w:szCs w:val="18"/>
                <w:color w:val="auto"/>
              </w:rPr>
              <w:t>907,390</w:t>
            </w:r>
          </w:p>
        </w:tc>
        <w:tc>
          <w:tcPr>
            <w:tcW w:w="820" w:type="dxa"/>
            <w:vAlign w:val="bottom"/>
            <w:shd w:val="clear" w:color="auto" w:fill="CCECF8"/>
          </w:tcPr>
          <w:p>
            <w:pPr>
              <w:jc w:val="right"/>
              <w:spacing w:after="0"/>
              <w:rPr>
                <w:sz w:val="20"/>
                <w:szCs w:val="20"/>
                <w:color w:val="auto"/>
              </w:rPr>
            </w:pPr>
            <w:r>
              <w:rPr>
                <w:rFonts w:ascii="Arial" w:cs="Arial" w:eastAsia="Arial" w:hAnsi="Arial"/>
                <w:sz w:val="18"/>
                <w:szCs w:val="18"/>
                <w:color w:val="auto"/>
              </w:rPr>
              <w:t>907,483</w:t>
            </w:r>
          </w:p>
        </w:tc>
        <w:tc>
          <w:tcPr>
            <w:tcW w:w="260" w:type="dxa"/>
            <w:vAlign w:val="bottom"/>
            <w:shd w:val="clear" w:color="auto" w:fill="CCECF8"/>
          </w:tcPr>
          <w:p>
            <w:pPr>
              <w:spacing w:after="0"/>
              <w:rPr>
                <w:sz w:val="18"/>
                <w:szCs w:val="18"/>
                <w:color w:val="auto"/>
              </w:rPr>
            </w:pPr>
          </w:p>
        </w:tc>
        <w:tc>
          <w:tcPr>
            <w:tcW w:w="110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rPr>
              <w:t>344,250</w:t>
            </w:r>
          </w:p>
        </w:tc>
        <w:tc>
          <w:tcPr>
            <w:tcW w:w="110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rPr>
              <w:t>3,975</w:t>
            </w:r>
          </w:p>
        </w:tc>
        <w:tc>
          <w:tcPr>
            <w:tcW w:w="920" w:type="dxa"/>
            <w:vAlign w:val="bottom"/>
            <w:gridSpan w:val="2"/>
            <w:shd w:val="clear" w:color="auto" w:fill="CCECF8"/>
          </w:tcPr>
          <w:p>
            <w:pPr>
              <w:jc w:val="right"/>
              <w:ind w:right="60"/>
              <w:spacing w:after="0"/>
              <w:rPr>
                <w:sz w:val="20"/>
                <w:szCs w:val="20"/>
                <w:color w:val="auto"/>
              </w:rPr>
            </w:pPr>
            <w:r>
              <w:rPr>
                <w:rFonts w:ascii="Arial" w:cs="Arial" w:eastAsia="Arial" w:hAnsi="Arial"/>
                <w:sz w:val="18"/>
                <w:szCs w:val="18"/>
                <w:color w:val="auto"/>
              </w:rPr>
              <w:t>2,588,098</w:t>
            </w:r>
          </w:p>
        </w:tc>
        <w:tc>
          <w:tcPr>
            <w:tcW w:w="0" w:type="dxa"/>
            <w:vAlign w:val="bottom"/>
          </w:tcPr>
          <w:p>
            <w:pPr>
              <w:spacing w:after="0"/>
              <w:rPr>
                <w:sz w:val="1"/>
                <w:szCs w:val="1"/>
                <w:color w:val="auto"/>
              </w:rPr>
            </w:pPr>
          </w:p>
        </w:tc>
      </w:tr>
      <w:tr>
        <w:trPr>
          <w:trHeight w:val="303"/>
        </w:trPr>
        <w:tc>
          <w:tcPr>
            <w:tcW w:w="3000" w:type="dxa"/>
            <w:vAlign w:val="bottom"/>
            <w:gridSpan w:val="4"/>
          </w:tcPr>
          <w:p>
            <w:pPr>
              <w:spacing w:after="0"/>
              <w:rPr>
                <w:sz w:val="20"/>
                <w:szCs w:val="20"/>
                <w:color w:val="auto"/>
              </w:rPr>
            </w:pPr>
            <w:r>
              <w:rPr>
                <w:rFonts w:ascii="Arial" w:cs="Arial" w:eastAsia="Arial" w:hAnsi="Arial"/>
                <w:sz w:val="18"/>
                <w:szCs w:val="18"/>
                <w:color w:val="auto"/>
              </w:rPr>
              <w:t>Kimberly K. Nelson</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w w:val="84"/>
              </w:rPr>
              <w:t>2017</w:t>
            </w:r>
          </w:p>
        </w:tc>
        <w:tc>
          <w:tcPr>
            <w:tcW w:w="26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345,000</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1,531,193</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306,247</w:t>
            </w:r>
          </w:p>
        </w:tc>
        <w:tc>
          <w:tcPr>
            <w:tcW w:w="26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169,000</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3,405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2,354,845</w:t>
            </w:r>
          </w:p>
        </w:tc>
        <w:tc>
          <w:tcPr>
            <w:tcW w:w="0" w:type="dxa"/>
            <w:vAlign w:val="bottom"/>
          </w:tcPr>
          <w:p>
            <w:pPr>
              <w:spacing w:after="0"/>
              <w:rPr>
                <w:sz w:val="1"/>
                <w:szCs w:val="1"/>
                <w:color w:val="auto"/>
              </w:rPr>
            </w:pPr>
          </w:p>
        </w:tc>
      </w:tr>
      <w:tr>
        <w:trPr>
          <w:trHeight w:val="210"/>
        </w:trPr>
        <w:tc>
          <w:tcPr>
            <w:tcW w:w="3000" w:type="dxa"/>
            <w:vAlign w:val="bottom"/>
            <w:gridSpan w:val="4"/>
          </w:tcPr>
          <w:p>
            <w:pPr>
              <w:spacing w:after="0"/>
              <w:rPr>
                <w:sz w:val="20"/>
                <w:szCs w:val="20"/>
                <w:color w:val="auto"/>
              </w:rPr>
            </w:pPr>
            <w:r>
              <w:rPr>
                <w:rFonts w:ascii="Arial" w:cs="Arial" w:eastAsia="Arial" w:hAnsi="Arial"/>
                <w:sz w:val="18"/>
                <w:szCs w:val="18"/>
                <w:i w:val="1"/>
                <w:iCs w:val="1"/>
                <w:color w:val="auto"/>
              </w:rPr>
              <w:t>Executive Vice President and Chief</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w w:val="84"/>
              </w:rPr>
              <w:t>2016</w:t>
            </w: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345,000</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549,987</w:t>
            </w:r>
          </w:p>
        </w:tc>
        <w:tc>
          <w:tcPr>
            <w:tcW w:w="820" w:type="dxa"/>
            <w:vAlign w:val="bottom"/>
          </w:tcPr>
          <w:p>
            <w:pPr>
              <w:jc w:val="right"/>
              <w:spacing w:after="0"/>
              <w:rPr>
                <w:sz w:val="20"/>
                <w:szCs w:val="20"/>
                <w:color w:val="auto"/>
              </w:rPr>
            </w:pPr>
            <w:r>
              <w:rPr>
                <w:rFonts w:ascii="Arial" w:cs="Arial" w:eastAsia="Arial" w:hAnsi="Arial"/>
                <w:sz w:val="18"/>
                <w:szCs w:val="18"/>
                <w:color w:val="auto"/>
              </w:rPr>
              <w:t>549,998</w:t>
            </w:r>
          </w:p>
        </w:tc>
        <w:tc>
          <w:tcPr>
            <w:tcW w:w="2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59,800</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3,514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1,508,299</w:t>
            </w:r>
          </w:p>
        </w:tc>
        <w:tc>
          <w:tcPr>
            <w:tcW w:w="0" w:type="dxa"/>
            <w:vAlign w:val="bottom"/>
          </w:tcPr>
          <w:p>
            <w:pPr>
              <w:spacing w:after="0"/>
              <w:rPr>
                <w:sz w:val="1"/>
                <w:szCs w:val="1"/>
                <w:color w:val="auto"/>
              </w:rPr>
            </w:pPr>
          </w:p>
        </w:tc>
      </w:tr>
      <w:tr>
        <w:trPr>
          <w:trHeight w:val="222"/>
        </w:trPr>
        <w:tc>
          <w:tcPr>
            <w:tcW w:w="3000" w:type="dxa"/>
            <w:vAlign w:val="bottom"/>
            <w:gridSpan w:val="4"/>
          </w:tcPr>
          <w:p>
            <w:pPr>
              <w:spacing w:after="0"/>
              <w:rPr>
                <w:sz w:val="20"/>
                <w:szCs w:val="20"/>
                <w:color w:val="auto"/>
              </w:rPr>
            </w:pPr>
            <w:r>
              <w:rPr>
                <w:rFonts w:ascii="Arial" w:cs="Arial" w:eastAsia="Arial" w:hAnsi="Arial"/>
                <w:sz w:val="18"/>
                <w:szCs w:val="18"/>
                <w:i w:val="1"/>
                <w:iCs w:val="1"/>
                <w:color w:val="auto"/>
              </w:rPr>
              <w:t>Financial Officer</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w w:val="84"/>
              </w:rPr>
              <w:t>2015</w:t>
            </w:r>
          </w:p>
        </w:tc>
        <w:tc>
          <w:tcPr>
            <w:tcW w:w="2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313,000</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448,966</w:t>
            </w:r>
          </w:p>
        </w:tc>
        <w:tc>
          <w:tcPr>
            <w:tcW w:w="820" w:type="dxa"/>
            <w:vAlign w:val="bottom"/>
          </w:tcPr>
          <w:p>
            <w:pPr>
              <w:jc w:val="right"/>
              <w:spacing w:after="0"/>
              <w:rPr>
                <w:sz w:val="20"/>
                <w:szCs w:val="20"/>
                <w:color w:val="auto"/>
              </w:rPr>
            </w:pPr>
            <w:r>
              <w:rPr>
                <w:rFonts w:ascii="Arial" w:cs="Arial" w:eastAsia="Arial" w:hAnsi="Arial"/>
                <w:sz w:val="18"/>
                <w:szCs w:val="18"/>
                <w:color w:val="auto"/>
              </w:rPr>
              <w:t>448,998</w:t>
            </w:r>
          </w:p>
        </w:tc>
        <w:tc>
          <w:tcPr>
            <w:tcW w:w="26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169,020</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3,473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1,383,457</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80" w:type="dxa"/>
            <w:vAlign w:val="bottom"/>
            <w:gridSpan w:val="3"/>
            <w:shd w:val="clear" w:color="auto" w:fill="CCECF8"/>
          </w:tcPr>
          <w:p>
            <w:pPr>
              <w:spacing w:after="0"/>
              <w:rPr>
                <w:sz w:val="20"/>
                <w:szCs w:val="20"/>
                <w:color w:val="auto"/>
              </w:rPr>
            </w:pPr>
            <w:r>
              <w:rPr>
                <w:rFonts w:ascii="Arial" w:cs="Arial" w:eastAsia="Arial" w:hAnsi="Arial"/>
                <w:sz w:val="18"/>
                <w:szCs w:val="18"/>
                <w:color w:val="auto"/>
              </w:rPr>
              <w:t>James J. Frome</w:t>
            </w:r>
          </w:p>
        </w:tc>
        <w:tc>
          <w:tcPr>
            <w:tcW w:w="660" w:type="dxa"/>
            <w:vAlign w:val="bottom"/>
            <w:gridSpan w:val="2"/>
            <w:shd w:val="clear" w:color="auto" w:fill="CCECF8"/>
          </w:tcPr>
          <w:p>
            <w:pPr>
              <w:ind w:left="300"/>
              <w:spacing w:after="0"/>
              <w:rPr>
                <w:sz w:val="20"/>
                <w:szCs w:val="20"/>
                <w:color w:val="auto"/>
              </w:rPr>
            </w:pPr>
            <w:r>
              <w:rPr>
                <w:rFonts w:ascii="Arial" w:cs="Arial" w:eastAsia="Arial" w:hAnsi="Arial"/>
                <w:sz w:val="18"/>
                <w:szCs w:val="18"/>
                <w:color w:val="auto"/>
                <w:w w:val="84"/>
              </w:rPr>
              <w:t>2017</w:t>
            </w:r>
          </w:p>
        </w:tc>
        <w:tc>
          <w:tcPr>
            <w:tcW w:w="260" w:type="dxa"/>
            <w:vAlign w:val="bottom"/>
            <w:shd w:val="clear" w:color="auto" w:fill="CCECF8"/>
          </w:tcPr>
          <w:p>
            <w:pPr>
              <w:spacing w:after="0"/>
              <w:rPr>
                <w:sz w:val="18"/>
                <w:szCs w:val="18"/>
                <w:color w:val="auto"/>
              </w:rPr>
            </w:pPr>
          </w:p>
        </w:tc>
        <w:tc>
          <w:tcPr>
            <w:tcW w:w="92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w w:val="98"/>
              </w:rPr>
              <w:t>360,000</w:t>
            </w:r>
          </w:p>
        </w:tc>
        <w:tc>
          <w:tcPr>
            <w:tcW w:w="620" w:type="dxa"/>
            <w:vAlign w:val="bottom"/>
            <w:gridSpan w:val="2"/>
            <w:shd w:val="clear" w:color="auto" w:fill="CCECF8"/>
          </w:tcPr>
          <w:p>
            <w:pPr>
              <w:ind w:lef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CF8"/>
          </w:tcPr>
          <w:p>
            <w:pPr>
              <w:jc w:val="right"/>
              <w:spacing w:after="0"/>
              <w:rPr>
                <w:sz w:val="20"/>
                <w:szCs w:val="20"/>
                <w:color w:val="auto"/>
              </w:rPr>
            </w:pPr>
            <w:r>
              <w:rPr>
                <w:rFonts w:ascii="Arial" w:cs="Arial" w:eastAsia="Arial" w:hAnsi="Arial"/>
                <w:sz w:val="18"/>
                <w:szCs w:val="18"/>
                <w:color w:val="auto"/>
                <w:w w:val="97"/>
              </w:rPr>
              <w:t>1,556,147</w:t>
            </w:r>
          </w:p>
        </w:tc>
        <w:tc>
          <w:tcPr>
            <w:tcW w:w="280" w:type="dxa"/>
            <w:vAlign w:val="bottom"/>
            <w:shd w:val="clear" w:color="auto" w:fill="CCECF8"/>
          </w:tcPr>
          <w:p>
            <w:pPr>
              <w:spacing w:after="0"/>
              <w:rPr>
                <w:sz w:val="18"/>
                <w:szCs w:val="18"/>
                <w:color w:val="auto"/>
              </w:rPr>
            </w:pPr>
          </w:p>
        </w:tc>
        <w:tc>
          <w:tcPr>
            <w:tcW w:w="108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rPr>
              <w:t>311,242</w:t>
            </w:r>
          </w:p>
        </w:tc>
        <w:tc>
          <w:tcPr>
            <w:tcW w:w="110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rPr>
              <w:t>175,500</w:t>
            </w:r>
          </w:p>
        </w:tc>
        <w:tc>
          <w:tcPr>
            <w:tcW w:w="110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rPr>
              <w:t>4,050</w:t>
            </w:r>
          </w:p>
        </w:tc>
        <w:tc>
          <w:tcPr>
            <w:tcW w:w="920" w:type="dxa"/>
            <w:vAlign w:val="bottom"/>
            <w:gridSpan w:val="2"/>
            <w:shd w:val="clear" w:color="auto" w:fill="CCECF8"/>
          </w:tcPr>
          <w:p>
            <w:pPr>
              <w:jc w:val="right"/>
              <w:ind w:right="60"/>
              <w:spacing w:after="0"/>
              <w:rPr>
                <w:sz w:val="20"/>
                <w:szCs w:val="20"/>
                <w:color w:val="auto"/>
              </w:rPr>
            </w:pPr>
            <w:r>
              <w:rPr>
                <w:rFonts w:ascii="Arial" w:cs="Arial" w:eastAsia="Arial" w:hAnsi="Arial"/>
                <w:sz w:val="18"/>
                <w:szCs w:val="18"/>
                <w:color w:val="auto"/>
              </w:rPr>
              <w:t>2,406,939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gridSpan w:val="3"/>
            <w:shd w:val="clear" w:color="auto" w:fill="CCECF8"/>
          </w:tcPr>
          <w:p>
            <w:pPr>
              <w:spacing w:after="0"/>
              <w:rPr>
                <w:sz w:val="20"/>
                <w:szCs w:val="20"/>
                <w:color w:val="auto"/>
              </w:rPr>
            </w:pPr>
            <w:r>
              <w:rPr>
                <w:rFonts w:ascii="Arial" w:cs="Arial" w:eastAsia="Arial" w:hAnsi="Arial"/>
                <w:sz w:val="18"/>
                <w:szCs w:val="18"/>
                <w:i w:val="1"/>
                <w:iCs w:val="1"/>
                <w:color w:val="auto"/>
              </w:rPr>
              <w:t>Executive Vice President and Chief</w:t>
            </w:r>
          </w:p>
        </w:tc>
        <w:tc>
          <w:tcPr>
            <w:tcW w:w="220" w:type="dxa"/>
            <w:vAlign w:val="bottom"/>
            <w:shd w:val="clear" w:color="auto" w:fill="CCECF8"/>
          </w:tcPr>
          <w:p>
            <w:pPr>
              <w:spacing w:after="0"/>
              <w:rPr>
                <w:sz w:val="18"/>
                <w:szCs w:val="18"/>
                <w:color w:val="auto"/>
              </w:rPr>
            </w:pPr>
          </w:p>
        </w:tc>
        <w:tc>
          <w:tcPr>
            <w:tcW w:w="440" w:type="dxa"/>
            <w:vAlign w:val="bottom"/>
            <w:shd w:val="clear" w:color="auto" w:fill="CCECF8"/>
          </w:tcPr>
          <w:p>
            <w:pPr>
              <w:ind w:left="80"/>
              <w:spacing w:after="0"/>
              <w:rPr>
                <w:sz w:val="20"/>
                <w:szCs w:val="20"/>
                <w:color w:val="auto"/>
              </w:rPr>
            </w:pPr>
            <w:r>
              <w:rPr>
                <w:rFonts w:ascii="Arial" w:cs="Arial" w:eastAsia="Arial" w:hAnsi="Arial"/>
                <w:sz w:val="18"/>
                <w:szCs w:val="18"/>
                <w:color w:val="auto"/>
                <w:w w:val="84"/>
              </w:rPr>
              <w:t>2016</w:t>
            </w:r>
          </w:p>
        </w:tc>
        <w:tc>
          <w:tcPr>
            <w:tcW w:w="260" w:type="dxa"/>
            <w:vAlign w:val="bottom"/>
            <w:shd w:val="clear" w:color="auto" w:fill="CCECF8"/>
          </w:tcPr>
          <w:p>
            <w:pPr>
              <w:spacing w:after="0"/>
              <w:rPr>
                <w:sz w:val="18"/>
                <w:szCs w:val="18"/>
                <w:color w:val="auto"/>
              </w:rPr>
            </w:pPr>
          </w:p>
        </w:tc>
        <w:tc>
          <w:tcPr>
            <w:tcW w:w="92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w w:val="98"/>
              </w:rPr>
              <w:t>360,000</w:t>
            </w:r>
          </w:p>
        </w:tc>
        <w:tc>
          <w:tcPr>
            <w:tcW w:w="620" w:type="dxa"/>
            <w:vAlign w:val="bottom"/>
            <w:gridSpan w:val="2"/>
            <w:shd w:val="clear" w:color="auto" w:fill="CCECF8"/>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CF8"/>
          </w:tcPr>
          <w:p>
            <w:pPr>
              <w:jc w:val="right"/>
              <w:ind w:right="280"/>
              <w:spacing w:after="0"/>
              <w:rPr>
                <w:sz w:val="20"/>
                <w:szCs w:val="20"/>
                <w:color w:val="auto"/>
              </w:rPr>
            </w:pPr>
            <w:r>
              <w:rPr>
                <w:rFonts w:ascii="Arial" w:cs="Arial" w:eastAsia="Arial" w:hAnsi="Arial"/>
                <w:sz w:val="18"/>
                <w:szCs w:val="18"/>
                <w:color w:val="auto"/>
              </w:rPr>
              <w:t>549,987</w:t>
            </w:r>
          </w:p>
        </w:tc>
        <w:tc>
          <w:tcPr>
            <w:tcW w:w="820" w:type="dxa"/>
            <w:vAlign w:val="bottom"/>
            <w:shd w:val="clear" w:color="auto" w:fill="CCECF8"/>
          </w:tcPr>
          <w:p>
            <w:pPr>
              <w:jc w:val="right"/>
              <w:spacing w:after="0"/>
              <w:rPr>
                <w:sz w:val="20"/>
                <w:szCs w:val="20"/>
                <w:color w:val="auto"/>
              </w:rPr>
            </w:pPr>
            <w:r>
              <w:rPr>
                <w:rFonts w:ascii="Arial" w:cs="Arial" w:eastAsia="Arial" w:hAnsi="Arial"/>
                <w:sz w:val="18"/>
                <w:szCs w:val="18"/>
                <w:color w:val="auto"/>
              </w:rPr>
              <w:t>549,998</w:t>
            </w:r>
          </w:p>
        </w:tc>
        <w:tc>
          <w:tcPr>
            <w:tcW w:w="260" w:type="dxa"/>
            <w:vAlign w:val="bottom"/>
            <w:shd w:val="clear" w:color="auto" w:fill="CCECF8"/>
          </w:tcPr>
          <w:p>
            <w:pPr>
              <w:spacing w:after="0"/>
              <w:rPr>
                <w:sz w:val="18"/>
                <w:szCs w:val="18"/>
                <w:color w:val="auto"/>
              </w:rPr>
            </w:pPr>
          </w:p>
        </w:tc>
        <w:tc>
          <w:tcPr>
            <w:tcW w:w="110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rPr>
              <w:t>62,100</w:t>
            </w:r>
          </w:p>
        </w:tc>
        <w:tc>
          <w:tcPr>
            <w:tcW w:w="110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rPr>
              <w:t>5,313</w:t>
            </w:r>
          </w:p>
        </w:tc>
        <w:tc>
          <w:tcPr>
            <w:tcW w:w="920" w:type="dxa"/>
            <w:vAlign w:val="bottom"/>
            <w:gridSpan w:val="2"/>
            <w:shd w:val="clear" w:color="auto" w:fill="CCECF8"/>
          </w:tcPr>
          <w:p>
            <w:pPr>
              <w:jc w:val="right"/>
              <w:ind w:right="60"/>
              <w:spacing w:after="0"/>
              <w:rPr>
                <w:sz w:val="20"/>
                <w:szCs w:val="20"/>
                <w:color w:val="auto"/>
              </w:rPr>
            </w:pPr>
            <w:r>
              <w:rPr>
                <w:rFonts w:ascii="Arial" w:cs="Arial" w:eastAsia="Arial" w:hAnsi="Arial"/>
                <w:sz w:val="18"/>
                <w:szCs w:val="18"/>
                <w:color w:val="auto"/>
              </w:rPr>
              <w:t>1,527,398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gridSpan w:val="3"/>
            <w:shd w:val="clear" w:color="auto" w:fill="CCECF8"/>
          </w:tcPr>
          <w:p>
            <w:pPr>
              <w:spacing w:after="0"/>
              <w:rPr>
                <w:sz w:val="20"/>
                <w:szCs w:val="20"/>
                <w:color w:val="auto"/>
              </w:rPr>
            </w:pPr>
            <w:r>
              <w:rPr>
                <w:rFonts w:ascii="Arial" w:cs="Arial" w:eastAsia="Arial" w:hAnsi="Arial"/>
                <w:sz w:val="18"/>
                <w:szCs w:val="18"/>
                <w:i w:val="1"/>
                <w:iCs w:val="1"/>
                <w:color w:val="auto"/>
              </w:rPr>
              <w:t>Operating Officer</w:t>
            </w:r>
          </w:p>
        </w:tc>
        <w:tc>
          <w:tcPr>
            <w:tcW w:w="220" w:type="dxa"/>
            <w:vAlign w:val="bottom"/>
            <w:shd w:val="clear" w:color="auto" w:fill="CCECF8"/>
          </w:tcPr>
          <w:p>
            <w:pPr>
              <w:spacing w:after="0"/>
              <w:rPr>
                <w:sz w:val="18"/>
                <w:szCs w:val="18"/>
                <w:color w:val="auto"/>
              </w:rPr>
            </w:pPr>
          </w:p>
        </w:tc>
        <w:tc>
          <w:tcPr>
            <w:tcW w:w="440" w:type="dxa"/>
            <w:vAlign w:val="bottom"/>
            <w:shd w:val="clear" w:color="auto" w:fill="CCECF8"/>
          </w:tcPr>
          <w:p>
            <w:pPr>
              <w:ind w:left="80"/>
              <w:spacing w:after="0"/>
              <w:rPr>
                <w:sz w:val="20"/>
                <w:szCs w:val="20"/>
                <w:color w:val="auto"/>
              </w:rPr>
            </w:pPr>
            <w:r>
              <w:rPr>
                <w:rFonts w:ascii="Arial" w:cs="Arial" w:eastAsia="Arial" w:hAnsi="Arial"/>
                <w:sz w:val="18"/>
                <w:szCs w:val="18"/>
                <w:color w:val="auto"/>
                <w:w w:val="84"/>
              </w:rPr>
              <w:t>2015</w:t>
            </w:r>
          </w:p>
        </w:tc>
        <w:tc>
          <w:tcPr>
            <w:tcW w:w="260" w:type="dxa"/>
            <w:vAlign w:val="bottom"/>
            <w:shd w:val="clear" w:color="auto" w:fill="CCECF8"/>
          </w:tcPr>
          <w:p>
            <w:pPr>
              <w:spacing w:after="0"/>
              <w:rPr>
                <w:sz w:val="18"/>
                <w:szCs w:val="18"/>
                <w:color w:val="auto"/>
              </w:rPr>
            </w:pPr>
          </w:p>
        </w:tc>
        <w:tc>
          <w:tcPr>
            <w:tcW w:w="92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w w:val="98"/>
              </w:rPr>
              <w:t>319,000</w:t>
            </w:r>
          </w:p>
        </w:tc>
        <w:tc>
          <w:tcPr>
            <w:tcW w:w="620" w:type="dxa"/>
            <w:vAlign w:val="bottom"/>
            <w:gridSpan w:val="2"/>
            <w:shd w:val="clear" w:color="auto" w:fill="CCECF8"/>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CF8"/>
          </w:tcPr>
          <w:p>
            <w:pPr>
              <w:jc w:val="right"/>
              <w:ind w:right="280"/>
              <w:spacing w:after="0"/>
              <w:rPr>
                <w:sz w:val="20"/>
                <w:szCs w:val="20"/>
                <w:color w:val="auto"/>
              </w:rPr>
            </w:pPr>
            <w:r>
              <w:rPr>
                <w:rFonts w:ascii="Arial" w:cs="Arial" w:eastAsia="Arial" w:hAnsi="Arial"/>
                <w:sz w:val="18"/>
                <w:szCs w:val="18"/>
                <w:color w:val="auto"/>
              </w:rPr>
              <w:t>458,494</w:t>
            </w:r>
          </w:p>
        </w:tc>
        <w:tc>
          <w:tcPr>
            <w:tcW w:w="820" w:type="dxa"/>
            <w:vAlign w:val="bottom"/>
            <w:shd w:val="clear" w:color="auto" w:fill="CCECF8"/>
          </w:tcPr>
          <w:p>
            <w:pPr>
              <w:jc w:val="right"/>
              <w:spacing w:after="0"/>
              <w:rPr>
                <w:sz w:val="20"/>
                <w:szCs w:val="20"/>
                <w:color w:val="auto"/>
              </w:rPr>
            </w:pPr>
            <w:r>
              <w:rPr>
                <w:rFonts w:ascii="Arial" w:cs="Arial" w:eastAsia="Arial" w:hAnsi="Arial"/>
                <w:sz w:val="18"/>
                <w:szCs w:val="18"/>
                <w:color w:val="auto"/>
              </w:rPr>
              <w:t>458,494</w:t>
            </w:r>
          </w:p>
        </w:tc>
        <w:tc>
          <w:tcPr>
            <w:tcW w:w="260" w:type="dxa"/>
            <w:vAlign w:val="bottom"/>
            <w:shd w:val="clear" w:color="auto" w:fill="CCECF8"/>
          </w:tcPr>
          <w:p>
            <w:pPr>
              <w:spacing w:after="0"/>
              <w:rPr>
                <w:sz w:val="18"/>
                <w:szCs w:val="18"/>
                <w:color w:val="auto"/>
              </w:rPr>
            </w:pPr>
          </w:p>
        </w:tc>
        <w:tc>
          <w:tcPr>
            <w:tcW w:w="110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rPr>
              <w:t>215,325</w:t>
            </w:r>
          </w:p>
        </w:tc>
        <w:tc>
          <w:tcPr>
            <w:tcW w:w="110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rPr>
              <w:t>3,975</w:t>
            </w:r>
          </w:p>
        </w:tc>
        <w:tc>
          <w:tcPr>
            <w:tcW w:w="920" w:type="dxa"/>
            <w:vAlign w:val="bottom"/>
            <w:gridSpan w:val="2"/>
            <w:shd w:val="clear" w:color="auto" w:fill="CCECF8"/>
          </w:tcPr>
          <w:p>
            <w:pPr>
              <w:jc w:val="right"/>
              <w:ind w:right="60"/>
              <w:spacing w:after="0"/>
              <w:rPr>
                <w:sz w:val="20"/>
                <w:szCs w:val="20"/>
                <w:color w:val="auto"/>
              </w:rPr>
            </w:pPr>
            <w:r>
              <w:rPr>
                <w:rFonts w:ascii="Arial" w:cs="Arial" w:eastAsia="Arial" w:hAnsi="Arial"/>
                <w:sz w:val="18"/>
                <w:szCs w:val="18"/>
                <w:color w:val="auto"/>
              </w:rPr>
              <w:t>1,455,288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shd w:val="clear" w:color="auto" w:fill="CCECF8"/>
          </w:tcPr>
          <w:p>
            <w:pPr>
              <w:spacing w:after="0"/>
              <w:rPr>
                <w:sz w:val="18"/>
                <w:szCs w:val="18"/>
                <w:color w:val="auto"/>
              </w:rPr>
            </w:pPr>
          </w:p>
        </w:tc>
        <w:tc>
          <w:tcPr>
            <w:tcW w:w="440" w:type="dxa"/>
            <w:vAlign w:val="bottom"/>
            <w:shd w:val="clear" w:color="auto" w:fill="CCECF8"/>
          </w:tcPr>
          <w:p>
            <w:pPr>
              <w:spacing w:after="0"/>
              <w:rPr>
                <w:sz w:val="18"/>
                <w:szCs w:val="18"/>
                <w:color w:val="auto"/>
              </w:rPr>
            </w:pPr>
          </w:p>
        </w:tc>
        <w:tc>
          <w:tcPr>
            <w:tcW w:w="1060" w:type="dxa"/>
            <w:vAlign w:val="bottom"/>
            <w:shd w:val="clear" w:color="auto" w:fill="CCECF8"/>
          </w:tcPr>
          <w:p>
            <w:pPr>
              <w:spacing w:after="0"/>
              <w:rPr>
                <w:sz w:val="18"/>
                <w:szCs w:val="18"/>
                <w:color w:val="auto"/>
              </w:rPr>
            </w:pPr>
          </w:p>
        </w:tc>
        <w:tc>
          <w:tcPr>
            <w:tcW w:w="220" w:type="dxa"/>
            <w:vAlign w:val="bottom"/>
            <w:shd w:val="clear" w:color="auto" w:fill="CCECF8"/>
          </w:tcPr>
          <w:p>
            <w:pPr>
              <w:spacing w:after="0"/>
              <w:rPr>
                <w:sz w:val="18"/>
                <w:szCs w:val="18"/>
                <w:color w:val="auto"/>
              </w:rPr>
            </w:pPr>
          </w:p>
        </w:tc>
        <w:tc>
          <w:tcPr>
            <w:tcW w:w="440" w:type="dxa"/>
            <w:vAlign w:val="bottom"/>
            <w:shd w:val="clear" w:color="auto" w:fill="CCECF8"/>
          </w:tcPr>
          <w:p>
            <w:pPr>
              <w:spacing w:after="0"/>
              <w:rPr>
                <w:sz w:val="18"/>
                <w:szCs w:val="18"/>
                <w:color w:val="auto"/>
              </w:rPr>
            </w:pPr>
          </w:p>
        </w:tc>
        <w:tc>
          <w:tcPr>
            <w:tcW w:w="260" w:type="dxa"/>
            <w:vAlign w:val="bottom"/>
            <w:shd w:val="clear" w:color="auto" w:fill="CCECF8"/>
          </w:tcPr>
          <w:p>
            <w:pPr>
              <w:spacing w:after="0"/>
              <w:rPr>
                <w:sz w:val="18"/>
                <w:szCs w:val="18"/>
                <w:color w:val="auto"/>
              </w:rPr>
            </w:pPr>
          </w:p>
        </w:tc>
        <w:tc>
          <w:tcPr>
            <w:tcW w:w="660" w:type="dxa"/>
            <w:vAlign w:val="bottom"/>
            <w:shd w:val="clear" w:color="auto" w:fill="CCECF8"/>
          </w:tcPr>
          <w:p>
            <w:pPr>
              <w:spacing w:after="0"/>
              <w:rPr>
                <w:sz w:val="18"/>
                <w:szCs w:val="18"/>
                <w:color w:val="auto"/>
              </w:rPr>
            </w:pPr>
          </w:p>
        </w:tc>
        <w:tc>
          <w:tcPr>
            <w:tcW w:w="260" w:type="dxa"/>
            <w:vAlign w:val="bottom"/>
            <w:shd w:val="clear" w:color="auto" w:fill="CCECF8"/>
          </w:tcPr>
          <w:p>
            <w:pPr>
              <w:spacing w:after="0"/>
              <w:rPr>
                <w:sz w:val="18"/>
                <w:szCs w:val="18"/>
                <w:color w:val="auto"/>
              </w:rPr>
            </w:pPr>
          </w:p>
        </w:tc>
        <w:tc>
          <w:tcPr>
            <w:tcW w:w="340" w:type="dxa"/>
            <w:vAlign w:val="bottom"/>
            <w:shd w:val="clear" w:color="auto" w:fill="CCECF8"/>
          </w:tcPr>
          <w:p>
            <w:pPr>
              <w:spacing w:after="0"/>
              <w:rPr>
                <w:sz w:val="18"/>
                <w:szCs w:val="18"/>
                <w:color w:val="auto"/>
              </w:rPr>
            </w:pPr>
          </w:p>
        </w:tc>
        <w:tc>
          <w:tcPr>
            <w:tcW w:w="280" w:type="dxa"/>
            <w:vAlign w:val="bottom"/>
            <w:shd w:val="clear" w:color="auto" w:fill="CCECF8"/>
          </w:tcPr>
          <w:p>
            <w:pPr>
              <w:spacing w:after="0"/>
              <w:rPr>
                <w:sz w:val="18"/>
                <w:szCs w:val="18"/>
                <w:color w:val="auto"/>
              </w:rPr>
            </w:pPr>
          </w:p>
        </w:tc>
        <w:tc>
          <w:tcPr>
            <w:tcW w:w="800" w:type="dxa"/>
            <w:vAlign w:val="bottom"/>
            <w:shd w:val="clear" w:color="auto" w:fill="CCECF8"/>
          </w:tcPr>
          <w:p>
            <w:pPr>
              <w:spacing w:after="0"/>
              <w:rPr>
                <w:sz w:val="18"/>
                <w:szCs w:val="18"/>
                <w:color w:val="auto"/>
              </w:rPr>
            </w:pPr>
          </w:p>
        </w:tc>
        <w:tc>
          <w:tcPr>
            <w:tcW w:w="280" w:type="dxa"/>
            <w:vAlign w:val="bottom"/>
            <w:shd w:val="clear" w:color="auto" w:fill="CCECF8"/>
          </w:tcPr>
          <w:p>
            <w:pPr>
              <w:spacing w:after="0"/>
              <w:rPr>
                <w:sz w:val="18"/>
                <w:szCs w:val="18"/>
                <w:color w:val="auto"/>
              </w:rPr>
            </w:pPr>
          </w:p>
        </w:tc>
        <w:tc>
          <w:tcPr>
            <w:tcW w:w="820" w:type="dxa"/>
            <w:vAlign w:val="bottom"/>
            <w:shd w:val="clear" w:color="auto" w:fill="CCECF8"/>
          </w:tcPr>
          <w:p>
            <w:pPr>
              <w:spacing w:after="0"/>
              <w:rPr>
                <w:sz w:val="18"/>
                <w:szCs w:val="18"/>
                <w:color w:val="auto"/>
              </w:rPr>
            </w:pPr>
          </w:p>
        </w:tc>
        <w:tc>
          <w:tcPr>
            <w:tcW w:w="260" w:type="dxa"/>
            <w:vAlign w:val="bottom"/>
            <w:shd w:val="clear" w:color="auto" w:fill="CCECF8"/>
          </w:tcPr>
          <w:p>
            <w:pPr>
              <w:spacing w:after="0"/>
              <w:rPr>
                <w:sz w:val="18"/>
                <w:szCs w:val="18"/>
                <w:color w:val="auto"/>
              </w:rPr>
            </w:pPr>
          </w:p>
        </w:tc>
        <w:tc>
          <w:tcPr>
            <w:tcW w:w="840" w:type="dxa"/>
            <w:vAlign w:val="bottom"/>
            <w:shd w:val="clear" w:color="auto" w:fill="CCECF8"/>
          </w:tcPr>
          <w:p>
            <w:pPr>
              <w:spacing w:after="0"/>
              <w:rPr>
                <w:sz w:val="18"/>
                <w:szCs w:val="18"/>
                <w:color w:val="auto"/>
              </w:rPr>
            </w:pPr>
          </w:p>
        </w:tc>
        <w:tc>
          <w:tcPr>
            <w:tcW w:w="260" w:type="dxa"/>
            <w:vAlign w:val="bottom"/>
            <w:shd w:val="clear" w:color="auto" w:fill="CCECF8"/>
          </w:tcPr>
          <w:p>
            <w:pPr>
              <w:spacing w:after="0"/>
              <w:rPr>
                <w:sz w:val="18"/>
                <w:szCs w:val="18"/>
                <w:color w:val="auto"/>
              </w:rPr>
            </w:pPr>
          </w:p>
        </w:tc>
        <w:tc>
          <w:tcPr>
            <w:tcW w:w="840" w:type="dxa"/>
            <w:vAlign w:val="bottom"/>
            <w:shd w:val="clear" w:color="auto" w:fill="CCECF8"/>
          </w:tcPr>
          <w:p>
            <w:pPr>
              <w:spacing w:after="0"/>
              <w:rPr>
                <w:sz w:val="18"/>
                <w:szCs w:val="18"/>
                <w:color w:val="auto"/>
              </w:rPr>
            </w:pPr>
          </w:p>
        </w:tc>
        <w:tc>
          <w:tcPr>
            <w:tcW w:w="260" w:type="dxa"/>
            <w:vAlign w:val="bottom"/>
            <w:shd w:val="clear" w:color="auto" w:fill="CCECF8"/>
          </w:tcPr>
          <w:p>
            <w:pPr>
              <w:spacing w:after="0"/>
              <w:rPr>
                <w:sz w:val="18"/>
                <w:szCs w:val="18"/>
                <w:color w:val="auto"/>
              </w:rPr>
            </w:pPr>
          </w:p>
        </w:tc>
        <w:tc>
          <w:tcPr>
            <w:tcW w:w="860" w:type="dxa"/>
            <w:vAlign w:val="bottom"/>
            <w:shd w:val="clear" w:color="auto" w:fill="CCECF8"/>
          </w:tcPr>
          <w:p>
            <w:pPr>
              <w:spacing w:after="0"/>
              <w:rPr>
                <w:sz w:val="18"/>
                <w:szCs w:val="18"/>
                <w:color w:val="auto"/>
              </w:rPr>
            </w:pPr>
          </w:p>
        </w:tc>
        <w:tc>
          <w:tcPr>
            <w:tcW w:w="60" w:type="dxa"/>
            <w:vAlign w:val="bottom"/>
            <w:shd w:val="clear" w:color="auto" w:fill="CCECF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760" w:right="60" w:hanging="413"/>
        <w:spacing w:after="0" w:line="248"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grant date fair value of the stock-based awards granted during the year computed in accordance with ASC Topic 718. For a discussion of the relevant assumptions used to determine the valuation of our stock option awards for financial reporting purposes, please refer to Note I to the Notes to Consolidated Financial Statements included in our Annual Report on Form 10-K filed on February 26, 2018. The grant date fair value of the RSUs granted in 2017 and the grant date fair value of the PSUs granted in 2017 if target performance and maximum performance is achieved are as follows:</w:t>
      </w:r>
    </w:p>
    <w:p>
      <w:pPr>
        <w:spacing w:after="0" w:line="209" w:lineRule="exact"/>
        <w:rPr>
          <w:sz w:val="20"/>
          <w:szCs w:val="20"/>
          <w:color w:val="auto"/>
        </w:rPr>
      </w:pPr>
    </w:p>
    <w:tbl>
      <w:tblPr>
        <w:tblLayout w:type="fixed"/>
        <w:tblInd w:w="1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40" w:type="dxa"/>
            <w:vAlign w:val="bottom"/>
            <w:tcBorders>
              <w:bottom w:val="single" w:sz="8" w:color="auto"/>
            </w:tcBorders>
            <w:gridSpan w:val="2"/>
          </w:tcPr>
          <w:p>
            <w:pPr>
              <w:ind w:left="1460"/>
              <w:spacing w:after="0"/>
              <w:rPr>
                <w:sz w:val="20"/>
                <w:szCs w:val="20"/>
                <w:color w:val="auto"/>
              </w:rPr>
            </w:pPr>
            <w:r>
              <w:rPr>
                <w:rFonts w:ascii="Arial" w:cs="Arial" w:eastAsia="Arial" w:hAnsi="Arial"/>
                <w:sz w:val="14"/>
                <w:szCs w:val="14"/>
                <w:b w:val="1"/>
                <w:bCs w:val="1"/>
                <w:color w:val="auto"/>
              </w:rPr>
              <w:t>PSUs</w:t>
            </w:r>
          </w:p>
        </w:tc>
        <w:tc>
          <w:tcPr>
            <w:tcW w:w="1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9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Name</w:t>
            </w: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236"/>
              <w:spacing w:after="0" w:line="177" w:lineRule="exact"/>
              <w:rPr>
                <w:sz w:val="20"/>
                <w:szCs w:val="20"/>
                <w:color w:val="auto"/>
              </w:rPr>
            </w:pPr>
            <w:r>
              <w:rPr>
                <w:rFonts w:ascii="Arial" w:cs="Arial" w:eastAsia="Arial" w:hAnsi="Arial"/>
                <w:sz w:val="16"/>
                <w:szCs w:val="16"/>
                <w:b w:val="1"/>
                <w:bCs w:val="1"/>
                <w:color w:val="auto"/>
              </w:rPr>
              <w:t>Maximum</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980" w:type="dxa"/>
            <w:vAlign w:val="bottom"/>
            <w:gridSpan w:val="3"/>
            <w:vMerge w:val="continue"/>
          </w:tcPr>
          <w:p>
            <w:pPr>
              <w:spacing w:after="0"/>
              <w:rPr>
                <w:sz w:val="18"/>
                <w:szCs w:val="18"/>
                <w:color w:val="auto"/>
              </w:rPr>
            </w:pPr>
          </w:p>
        </w:tc>
        <w:tc>
          <w:tcPr>
            <w:tcW w:w="1700" w:type="dxa"/>
            <w:vAlign w:val="bottom"/>
            <w:gridSpan w:val="2"/>
          </w:tcPr>
          <w:p>
            <w:pPr>
              <w:ind w:left="340"/>
              <w:spacing w:after="0"/>
              <w:rPr>
                <w:sz w:val="20"/>
                <w:szCs w:val="20"/>
                <w:color w:val="auto"/>
              </w:rPr>
            </w:pPr>
            <w:r>
              <w:rPr>
                <w:rFonts w:ascii="Arial" w:cs="Arial" w:eastAsia="Arial" w:hAnsi="Arial"/>
                <w:sz w:val="16"/>
                <w:szCs w:val="16"/>
                <w:b w:val="1"/>
                <w:bCs w:val="1"/>
                <w:color w:val="auto"/>
              </w:rPr>
              <w:t>RSUs ($)</w:t>
            </w:r>
          </w:p>
        </w:tc>
        <w:tc>
          <w:tcPr>
            <w:tcW w:w="1940" w:type="dxa"/>
            <w:vAlign w:val="bottom"/>
            <w:gridSpan w:val="2"/>
          </w:tcPr>
          <w:p>
            <w:pPr>
              <w:ind w:left="420"/>
              <w:spacing w:after="0"/>
              <w:rPr>
                <w:sz w:val="20"/>
                <w:szCs w:val="20"/>
                <w:color w:val="auto"/>
              </w:rPr>
            </w:pPr>
            <w:r>
              <w:rPr>
                <w:rFonts w:ascii="Arial" w:cs="Arial" w:eastAsia="Arial" w:hAnsi="Arial"/>
                <w:sz w:val="16"/>
                <w:szCs w:val="16"/>
                <w:b w:val="1"/>
                <w:bCs w:val="1"/>
                <w:color w:val="auto"/>
              </w:rPr>
              <w:t>Target ($)</w:t>
            </w:r>
          </w:p>
        </w:tc>
        <w:tc>
          <w:tcPr>
            <w:tcW w:w="1340" w:type="dxa"/>
            <w:vAlign w:val="bottom"/>
          </w:tcPr>
          <w:p>
            <w:pPr>
              <w:jc w:val="right"/>
              <w:ind w:right="496"/>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00" w:type="dxa"/>
            <w:vAlign w:val="bottom"/>
            <w:tcBorders>
              <w:top w:val="single" w:sz="8" w:color="auto"/>
            </w:tcBorders>
            <w:shd w:val="clear" w:color="auto" w:fill="CCECF8"/>
          </w:tcPr>
          <w:p>
            <w:pPr>
              <w:spacing w:after="0"/>
              <w:rPr>
                <w:sz w:val="20"/>
                <w:szCs w:val="20"/>
                <w:color w:val="auto"/>
              </w:rPr>
            </w:pPr>
            <w:r>
              <w:rPr>
                <w:rFonts w:ascii="Arial" w:cs="Arial" w:eastAsia="Arial" w:hAnsi="Arial"/>
                <w:sz w:val="18"/>
                <w:szCs w:val="18"/>
                <w:color w:val="auto"/>
              </w:rPr>
              <w:t>Archie C. Black</w:t>
            </w:r>
          </w:p>
        </w:tc>
        <w:tc>
          <w:tcPr>
            <w:tcW w:w="360" w:type="dxa"/>
            <w:vAlign w:val="bottom"/>
            <w:tcBorders>
              <w:top w:val="single" w:sz="8" w:color="CCECF8"/>
            </w:tcBorders>
            <w:shd w:val="clear" w:color="auto" w:fill="CCECF8"/>
          </w:tcPr>
          <w:p>
            <w:pPr>
              <w:spacing w:after="0"/>
              <w:rPr>
                <w:sz w:val="17"/>
                <w:szCs w:val="17"/>
                <w:color w:val="auto"/>
              </w:rPr>
            </w:pPr>
          </w:p>
        </w:tc>
        <w:tc>
          <w:tcPr>
            <w:tcW w:w="1280" w:type="dxa"/>
            <w:vAlign w:val="bottom"/>
            <w:tcBorders>
              <w:top w:val="single" w:sz="8" w:color="auto"/>
            </w:tcBorders>
            <w:shd w:val="clear" w:color="auto" w:fill="CCECF8"/>
          </w:tcPr>
          <w:p>
            <w:pPr>
              <w:jc w:val="right"/>
              <w:spacing w:after="0"/>
              <w:rPr>
                <w:sz w:val="20"/>
                <w:szCs w:val="20"/>
                <w:color w:val="auto"/>
              </w:rPr>
            </w:pPr>
            <w:r>
              <w:rPr>
                <w:rFonts w:ascii="Arial" w:cs="Arial" w:eastAsia="Arial" w:hAnsi="Arial"/>
                <w:sz w:val="18"/>
                <w:szCs w:val="18"/>
                <w:color w:val="auto"/>
              </w:rPr>
              <w:t>1,499,945</w:t>
            </w:r>
          </w:p>
        </w:tc>
        <w:tc>
          <w:tcPr>
            <w:tcW w:w="420" w:type="dxa"/>
            <w:vAlign w:val="bottom"/>
            <w:tcBorders>
              <w:top w:val="single" w:sz="8" w:color="CCECF8"/>
            </w:tcBorders>
            <w:shd w:val="clear" w:color="auto" w:fill="CCECF8"/>
          </w:tcPr>
          <w:p>
            <w:pPr>
              <w:spacing w:after="0"/>
              <w:rPr>
                <w:sz w:val="17"/>
                <w:szCs w:val="17"/>
                <w:color w:val="auto"/>
              </w:rPr>
            </w:pPr>
          </w:p>
        </w:tc>
        <w:tc>
          <w:tcPr>
            <w:tcW w:w="1540" w:type="dxa"/>
            <w:vAlign w:val="bottom"/>
            <w:tcBorders>
              <w:top w:val="single" w:sz="8" w:color="auto"/>
            </w:tcBorders>
            <w:shd w:val="clear" w:color="auto" w:fill="CCECF8"/>
          </w:tcPr>
          <w:p>
            <w:pPr>
              <w:jc w:val="right"/>
              <w:spacing w:after="0"/>
              <w:rPr>
                <w:sz w:val="20"/>
                <w:szCs w:val="20"/>
                <w:color w:val="auto"/>
              </w:rPr>
            </w:pPr>
            <w:r>
              <w:rPr>
                <w:rFonts w:ascii="Arial" w:cs="Arial" w:eastAsia="Arial" w:hAnsi="Arial"/>
                <w:sz w:val="18"/>
                <w:szCs w:val="18"/>
                <w:color w:val="auto"/>
              </w:rPr>
              <w:t>2,249,946</w:t>
            </w:r>
          </w:p>
        </w:tc>
        <w:tc>
          <w:tcPr>
            <w:tcW w:w="400" w:type="dxa"/>
            <w:vAlign w:val="bottom"/>
            <w:tcBorders>
              <w:top w:val="single" w:sz="8" w:color="CCECF8"/>
            </w:tcBorders>
            <w:shd w:val="clear" w:color="auto" w:fill="CCECF8"/>
          </w:tcPr>
          <w:p>
            <w:pPr>
              <w:spacing w:after="0"/>
              <w:rPr>
                <w:sz w:val="17"/>
                <w:szCs w:val="17"/>
                <w:color w:val="auto"/>
              </w:rPr>
            </w:pPr>
          </w:p>
        </w:tc>
        <w:tc>
          <w:tcPr>
            <w:tcW w:w="1340" w:type="dxa"/>
            <w:vAlign w:val="bottom"/>
            <w:tcBorders>
              <w:top w:val="single" w:sz="8" w:color="auto"/>
            </w:tcBorders>
            <w:shd w:val="clear" w:color="auto" w:fill="CCECF8"/>
          </w:tcPr>
          <w:p>
            <w:pPr>
              <w:jc w:val="right"/>
              <w:spacing w:after="0"/>
              <w:rPr>
                <w:sz w:val="20"/>
                <w:szCs w:val="20"/>
                <w:color w:val="auto"/>
              </w:rPr>
            </w:pPr>
            <w:r>
              <w:rPr>
                <w:rFonts w:ascii="Arial" w:cs="Arial" w:eastAsia="Arial" w:hAnsi="Arial"/>
                <w:sz w:val="18"/>
                <w:szCs w:val="18"/>
                <w:color w:val="auto"/>
              </w:rPr>
              <w:t>3,374,917</w:t>
            </w:r>
          </w:p>
        </w:tc>
        <w:tc>
          <w:tcPr>
            <w:tcW w:w="60" w:type="dxa"/>
            <w:vAlign w:val="bottom"/>
            <w:tcBorders>
              <w:top w:val="single" w:sz="8" w:color="CCECF8"/>
            </w:tcBorders>
            <w:shd w:val="clear" w:color="auto" w:fill="CCECF8"/>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3980" w:type="dxa"/>
            <w:vAlign w:val="bottom"/>
            <w:gridSpan w:val="3"/>
          </w:tcPr>
          <w:p>
            <w:pPr>
              <w:spacing w:after="0"/>
              <w:rPr>
                <w:sz w:val="20"/>
                <w:szCs w:val="20"/>
                <w:color w:val="auto"/>
              </w:rPr>
            </w:pPr>
            <w:r>
              <w:rPr>
                <w:rFonts w:ascii="Arial" w:cs="Arial" w:eastAsia="Arial" w:hAnsi="Arial"/>
                <w:sz w:val="18"/>
                <w:szCs w:val="18"/>
                <w:color w:val="auto"/>
              </w:rPr>
              <w:t>Kimberly K. Nelson</w:t>
            </w:r>
          </w:p>
        </w:tc>
        <w:tc>
          <w:tcPr>
            <w:tcW w:w="1280" w:type="dxa"/>
            <w:vAlign w:val="bottom"/>
          </w:tcPr>
          <w:p>
            <w:pPr>
              <w:jc w:val="right"/>
              <w:spacing w:after="0"/>
              <w:rPr>
                <w:sz w:val="20"/>
                <w:szCs w:val="20"/>
                <w:color w:val="auto"/>
              </w:rPr>
            </w:pPr>
            <w:r>
              <w:rPr>
                <w:rFonts w:ascii="Arial" w:cs="Arial" w:eastAsia="Arial" w:hAnsi="Arial"/>
                <w:sz w:val="18"/>
                <w:szCs w:val="18"/>
                <w:color w:val="auto"/>
              </w:rPr>
              <w:t>612,477</w:t>
            </w:r>
          </w:p>
        </w:tc>
        <w:tc>
          <w:tcPr>
            <w:tcW w:w="4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918,716</w:t>
            </w:r>
          </w:p>
        </w:tc>
        <w:tc>
          <w:tcPr>
            <w:tcW w:w="4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1,378,074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3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gridSpan w:val="2"/>
            <w:shd w:val="clear" w:color="auto" w:fill="CCECF8"/>
          </w:tcPr>
          <w:p>
            <w:pPr>
              <w:spacing w:after="0"/>
              <w:rPr>
                <w:sz w:val="20"/>
                <w:szCs w:val="20"/>
                <w:color w:val="auto"/>
              </w:rPr>
            </w:pPr>
            <w:r>
              <w:rPr>
                <w:rFonts w:ascii="Arial" w:cs="Arial" w:eastAsia="Arial" w:hAnsi="Arial"/>
                <w:sz w:val="18"/>
                <w:szCs w:val="18"/>
                <w:color w:val="auto"/>
              </w:rPr>
              <w:t>James J. Frome</w:t>
            </w:r>
          </w:p>
        </w:tc>
        <w:tc>
          <w:tcPr>
            <w:tcW w:w="1280" w:type="dxa"/>
            <w:vAlign w:val="bottom"/>
            <w:shd w:val="clear" w:color="auto" w:fill="CCECF8"/>
          </w:tcPr>
          <w:p>
            <w:pPr>
              <w:jc w:val="right"/>
              <w:spacing w:after="0"/>
              <w:rPr>
                <w:sz w:val="20"/>
                <w:szCs w:val="20"/>
                <w:color w:val="auto"/>
              </w:rPr>
            </w:pPr>
            <w:r>
              <w:rPr>
                <w:rFonts w:ascii="Arial" w:cs="Arial" w:eastAsia="Arial" w:hAnsi="Arial"/>
                <w:sz w:val="18"/>
                <w:szCs w:val="18"/>
                <w:color w:val="auto"/>
              </w:rPr>
              <w:t>622,448</w:t>
            </w:r>
          </w:p>
        </w:tc>
        <w:tc>
          <w:tcPr>
            <w:tcW w:w="420" w:type="dxa"/>
            <w:vAlign w:val="bottom"/>
            <w:shd w:val="clear" w:color="auto" w:fill="CCECF8"/>
          </w:tcPr>
          <w:p>
            <w:pPr>
              <w:spacing w:after="0"/>
              <w:rPr>
                <w:sz w:val="18"/>
                <w:szCs w:val="18"/>
                <w:color w:val="auto"/>
              </w:rPr>
            </w:pPr>
          </w:p>
        </w:tc>
        <w:tc>
          <w:tcPr>
            <w:tcW w:w="1540" w:type="dxa"/>
            <w:vAlign w:val="bottom"/>
            <w:shd w:val="clear" w:color="auto" w:fill="CCECF8"/>
          </w:tcPr>
          <w:p>
            <w:pPr>
              <w:jc w:val="right"/>
              <w:spacing w:after="0"/>
              <w:rPr>
                <w:sz w:val="20"/>
                <w:szCs w:val="20"/>
                <w:color w:val="auto"/>
              </w:rPr>
            </w:pPr>
            <w:r>
              <w:rPr>
                <w:rFonts w:ascii="Arial" w:cs="Arial" w:eastAsia="Arial" w:hAnsi="Arial"/>
                <w:sz w:val="18"/>
                <w:szCs w:val="18"/>
                <w:color w:val="auto"/>
              </w:rPr>
              <w:t>933,699</w:t>
            </w:r>
          </w:p>
        </w:tc>
        <w:tc>
          <w:tcPr>
            <w:tcW w:w="400" w:type="dxa"/>
            <w:vAlign w:val="bottom"/>
            <w:shd w:val="clear" w:color="auto" w:fill="CCECF8"/>
          </w:tcPr>
          <w:p>
            <w:pPr>
              <w:spacing w:after="0"/>
              <w:rPr>
                <w:sz w:val="18"/>
                <w:szCs w:val="18"/>
                <w:color w:val="auto"/>
              </w:rPr>
            </w:pPr>
          </w:p>
        </w:tc>
        <w:tc>
          <w:tcPr>
            <w:tcW w:w="1340" w:type="dxa"/>
            <w:vAlign w:val="bottom"/>
            <w:shd w:val="clear" w:color="auto" w:fill="CCECF8"/>
          </w:tcPr>
          <w:p>
            <w:pPr>
              <w:jc w:val="right"/>
              <w:spacing w:after="0"/>
              <w:rPr>
                <w:sz w:val="20"/>
                <w:szCs w:val="20"/>
                <w:color w:val="auto"/>
              </w:rPr>
            </w:pPr>
            <w:r>
              <w:rPr>
                <w:rFonts w:ascii="Arial" w:cs="Arial" w:eastAsia="Arial" w:hAnsi="Arial"/>
                <w:sz w:val="18"/>
                <w:szCs w:val="18"/>
                <w:color w:val="auto"/>
              </w:rPr>
              <w:t>1,400,576</w:t>
            </w:r>
          </w:p>
        </w:tc>
        <w:tc>
          <w:tcPr>
            <w:tcW w:w="60" w:type="dxa"/>
            <w:vAlign w:val="bottom"/>
            <w:shd w:val="clear" w:color="auto" w:fill="CCECF8"/>
          </w:tcPr>
          <w:p>
            <w:pPr>
              <w:spacing w:after="0"/>
              <w:rPr>
                <w:sz w:val="18"/>
                <w:szCs w:val="18"/>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760" w:hanging="413"/>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matching contributions under our 401(k) plan.</w:t>
      </w:r>
    </w:p>
    <w:p>
      <w:pPr>
        <w:spacing w:after="0" w:line="109" w:lineRule="exact"/>
        <w:rPr>
          <w:sz w:val="20"/>
          <w:szCs w:val="20"/>
          <w:color w:val="auto"/>
        </w:rPr>
      </w:pPr>
    </w:p>
    <w:p>
      <w:pPr>
        <w:ind w:left="340" w:right="160"/>
        <w:spacing w:after="0" w:line="261" w:lineRule="auto"/>
        <w:rPr>
          <w:sz w:val="20"/>
          <w:szCs w:val="20"/>
          <w:color w:val="auto"/>
        </w:rPr>
      </w:pPr>
      <w:r>
        <w:rPr>
          <w:rFonts w:ascii="Arial" w:cs="Arial" w:eastAsia="Arial" w:hAnsi="Arial"/>
          <w:sz w:val="18"/>
          <w:szCs w:val="18"/>
          <w:color w:val="auto"/>
        </w:rPr>
        <w:t>*Please see “Compensation Discussion and Analysis” above for a description of our executive compensation criteria necessary for an understanding of the information disclosed in this table.</w:t>
      </w:r>
    </w:p>
    <w:p>
      <w:pPr>
        <w:spacing w:after="0" w:line="3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0"/>
          </w:cols>
          <w:pgMar w:left="240" w:top="451" w:right="57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220980</wp:posOffset>
            </wp:positionV>
            <wp:extent cx="68160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34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2017 Grants of Plan-Based Awards Table</w:t>
      </w:r>
    </w:p>
    <w:p>
      <w:pPr>
        <w:spacing w:after="0" w:line="11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table sets forth certain information regarding grants of plan-based awards to our named executive officers in 2017:</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26"/>
        </w:trPr>
        <w:tc>
          <w:tcPr>
            <w:tcW w:w="3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9"/>
              </w:rPr>
              <w:t>All</w:t>
            </w:r>
          </w:p>
        </w:tc>
        <w:tc>
          <w:tcPr>
            <w:tcW w:w="6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All</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88"/>
              </w:rPr>
              <w:t>Other</w:t>
            </w:r>
          </w:p>
        </w:tc>
        <w:tc>
          <w:tcPr>
            <w:tcW w:w="640" w:type="dxa"/>
            <w:vAlign w:val="bottom"/>
            <w:gridSpan w:val="2"/>
          </w:tcPr>
          <w:p>
            <w:pPr>
              <w:jc w:val="center"/>
              <w:ind w:right="140"/>
              <w:spacing w:after="0" w:line="119" w:lineRule="exact"/>
              <w:rPr>
                <w:sz w:val="20"/>
                <w:szCs w:val="20"/>
                <w:color w:val="auto"/>
              </w:rPr>
            </w:pPr>
            <w:r>
              <w:rPr>
                <w:rFonts w:ascii="Arial" w:cs="Arial" w:eastAsia="Arial" w:hAnsi="Arial"/>
                <w:sz w:val="11"/>
                <w:szCs w:val="11"/>
                <w:b w:val="1"/>
                <w:bCs w:val="1"/>
                <w:color w:val="auto"/>
                <w:w w:val="88"/>
              </w:rPr>
              <w:t>Other</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86"/>
              </w:rPr>
              <w:t>Stock</w:t>
            </w:r>
          </w:p>
        </w:tc>
        <w:tc>
          <w:tcPr>
            <w:tcW w:w="64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90"/>
              </w:rPr>
              <w:t>Option</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w w:val="86"/>
              </w:rPr>
              <w:t>Estimated Future Payouts</w:t>
            </w:r>
          </w:p>
        </w:tc>
        <w:tc>
          <w:tcPr>
            <w:tcW w:w="1480" w:type="dxa"/>
            <w:vAlign w:val="bottom"/>
            <w:gridSpan w:val="5"/>
          </w:tcPr>
          <w:p>
            <w:pPr>
              <w:jc w:val="center"/>
              <w:spacing w:after="0"/>
              <w:rPr>
                <w:sz w:val="20"/>
                <w:szCs w:val="20"/>
                <w:color w:val="auto"/>
              </w:rPr>
            </w:pPr>
            <w:r>
              <w:rPr>
                <w:rFonts w:ascii="Arial" w:cs="Arial" w:eastAsia="Arial" w:hAnsi="Arial"/>
                <w:sz w:val="11"/>
                <w:szCs w:val="11"/>
                <w:b w:val="1"/>
                <w:bCs w:val="1"/>
                <w:color w:val="auto"/>
                <w:w w:val="85"/>
              </w:rPr>
              <w:t>Estimated Future Payouts</w:t>
            </w:r>
          </w:p>
        </w:tc>
        <w:tc>
          <w:tcPr>
            <w:tcW w:w="120" w:type="dxa"/>
            <w:vAlign w:val="bottom"/>
          </w:tcPr>
          <w:p>
            <w:pPr>
              <w:spacing w:after="0"/>
              <w:rPr>
                <w:sz w:val="11"/>
                <w:szCs w:val="11"/>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Awards:</w:t>
            </w:r>
          </w:p>
        </w:tc>
        <w:tc>
          <w:tcPr>
            <w:tcW w:w="6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Awards:</w:t>
            </w:r>
          </w:p>
        </w:tc>
        <w:tc>
          <w:tcPr>
            <w:tcW w:w="6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Exercise or</w:t>
            </w:r>
          </w:p>
        </w:tc>
        <w:tc>
          <w:tcPr>
            <w:tcW w:w="54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2"/>
              </w:rPr>
              <w:t>Grant Date</w:t>
            </w:r>
          </w:p>
        </w:tc>
        <w:tc>
          <w:tcPr>
            <w:tcW w:w="0" w:type="dxa"/>
            <w:vAlign w:val="bottom"/>
          </w:tcPr>
          <w:p>
            <w:pPr>
              <w:spacing w:after="0"/>
              <w:rPr>
                <w:sz w:val="1"/>
                <w:szCs w:val="1"/>
                <w:color w:val="auto"/>
              </w:rPr>
            </w:pPr>
          </w:p>
        </w:tc>
      </w:tr>
      <w:tr>
        <w:trPr>
          <w:trHeight w:val="118"/>
        </w:trPr>
        <w:tc>
          <w:tcPr>
            <w:tcW w:w="3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gridSpan w:val="6"/>
          </w:tcPr>
          <w:p>
            <w:pPr>
              <w:jc w:val="center"/>
              <w:ind w:right="140"/>
              <w:spacing w:after="0" w:line="119" w:lineRule="exact"/>
              <w:rPr>
                <w:sz w:val="20"/>
                <w:szCs w:val="20"/>
                <w:color w:val="auto"/>
              </w:rPr>
            </w:pPr>
            <w:r>
              <w:rPr>
                <w:rFonts w:ascii="Arial" w:cs="Arial" w:eastAsia="Arial" w:hAnsi="Arial"/>
                <w:sz w:val="11"/>
                <w:szCs w:val="11"/>
                <w:b w:val="1"/>
                <w:bCs w:val="1"/>
                <w:color w:val="auto"/>
                <w:w w:val="88"/>
              </w:rPr>
              <w:t>Under Non-Equity Incentive</w:t>
            </w:r>
          </w:p>
        </w:tc>
        <w:tc>
          <w:tcPr>
            <w:tcW w:w="1480" w:type="dxa"/>
            <w:vAlign w:val="bottom"/>
            <w:gridSpan w:val="5"/>
          </w:tcPr>
          <w:p>
            <w:pPr>
              <w:jc w:val="center"/>
              <w:spacing w:after="0" w:line="119" w:lineRule="exact"/>
              <w:rPr>
                <w:sz w:val="20"/>
                <w:szCs w:val="20"/>
                <w:color w:val="auto"/>
              </w:rPr>
            </w:pPr>
            <w:r>
              <w:rPr>
                <w:rFonts w:ascii="Arial" w:cs="Arial" w:eastAsia="Arial" w:hAnsi="Arial"/>
                <w:sz w:val="11"/>
                <w:szCs w:val="11"/>
                <w:b w:val="1"/>
                <w:bCs w:val="1"/>
                <w:color w:val="auto"/>
                <w:w w:val="87"/>
              </w:rPr>
              <w:t>Under Equity Incentive</w:t>
            </w: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91"/>
              </w:rPr>
              <w:t>Number</w:t>
            </w:r>
          </w:p>
        </w:tc>
        <w:tc>
          <w:tcPr>
            <w:tcW w:w="64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87"/>
              </w:rPr>
              <w:t>Number of</w:t>
            </w:r>
          </w:p>
        </w:tc>
        <w:tc>
          <w:tcPr>
            <w:tcW w:w="62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83"/>
              </w:rPr>
              <w:t>Base</w:t>
            </w:r>
          </w:p>
        </w:tc>
        <w:tc>
          <w:tcPr>
            <w:tcW w:w="540" w:type="dxa"/>
            <w:vAlign w:val="bottom"/>
            <w:gridSpan w:val="2"/>
          </w:tcPr>
          <w:p>
            <w:pPr>
              <w:jc w:val="center"/>
              <w:ind w:right="20"/>
              <w:spacing w:after="0" w:line="119" w:lineRule="exact"/>
              <w:rPr>
                <w:sz w:val="20"/>
                <w:szCs w:val="20"/>
                <w:color w:val="auto"/>
              </w:rPr>
            </w:pPr>
            <w:r>
              <w:rPr>
                <w:rFonts w:ascii="Arial" w:cs="Arial" w:eastAsia="Arial" w:hAnsi="Arial"/>
                <w:sz w:val="11"/>
                <w:szCs w:val="11"/>
                <w:b w:val="1"/>
                <w:bCs w:val="1"/>
                <w:color w:val="auto"/>
                <w:w w:val="91"/>
              </w:rPr>
              <w:t>Fair Value</w:t>
            </w:r>
          </w:p>
        </w:tc>
        <w:tc>
          <w:tcPr>
            <w:tcW w:w="0" w:type="dxa"/>
            <w:vAlign w:val="bottom"/>
          </w:tcPr>
          <w:p>
            <w:pPr>
              <w:spacing w:after="0"/>
              <w:rPr>
                <w:sz w:val="1"/>
                <w:szCs w:val="1"/>
                <w:color w:val="auto"/>
              </w:rPr>
            </w:pPr>
          </w:p>
        </w:tc>
      </w:tr>
      <w:tr>
        <w:trPr>
          <w:trHeight w:val="118"/>
        </w:trPr>
        <w:tc>
          <w:tcPr>
            <w:tcW w:w="3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gridSpan w:val="3"/>
          </w:tcPr>
          <w:p>
            <w:pPr>
              <w:jc w:val="center"/>
              <w:spacing w:after="0" w:line="119" w:lineRule="exact"/>
              <w:rPr>
                <w:sz w:val="20"/>
                <w:szCs w:val="20"/>
                <w:color w:val="auto"/>
              </w:rPr>
            </w:pPr>
            <w:r>
              <w:rPr>
                <w:rFonts w:ascii="Arial" w:cs="Arial" w:eastAsia="Arial" w:hAnsi="Arial"/>
                <w:sz w:val="11"/>
                <w:szCs w:val="11"/>
                <w:b w:val="1"/>
                <w:bCs w:val="1"/>
                <w:color w:val="auto"/>
                <w:w w:val="87"/>
              </w:rPr>
              <w:t>Plan Awards</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5"/>
          </w:tcPr>
          <w:p>
            <w:pPr>
              <w:jc w:val="center"/>
              <w:spacing w:after="0" w:line="119" w:lineRule="exact"/>
              <w:rPr>
                <w:sz w:val="20"/>
                <w:szCs w:val="20"/>
                <w:color w:val="auto"/>
              </w:rPr>
            </w:pPr>
            <w:r>
              <w:rPr>
                <w:rFonts w:ascii="Arial" w:cs="Arial" w:eastAsia="Arial" w:hAnsi="Arial"/>
                <w:sz w:val="11"/>
                <w:szCs w:val="11"/>
                <w:b w:val="1"/>
                <w:bCs w:val="1"/>
                <w:color w:val="auto"/>
                <w:w w:val="84"/>
              </w:rPr>
              <w:t>Plan Awards</w:t>
            </w: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84"/>
              </w:rPr>
              <w:t>of Shares of</w:t>
            </w:r>
          </w:p>
        </w:tc>
        <w:tc>
          <w:tcPr>
            <w:tcW w:w="64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83"/>
              </w:rPr>
              <w:t>Securities</w:t>
            </w:r>
          </w:p>
        </w:tc>
        <w:tc>
          <w:tcPr>
            <w:tcW w:w="620" w:type="dxa"/>
            <w:vAlign w:val="bottom"/>
            <w:gridSpan w:val="2"/>
          </w:tcPr>
          <w:p>
            <w:pPr>
              <w:jc w:val="center"/>
              <w:ind w:right="140"/>
              <w:spacing w:after="0" w:line="119" w:lineRule="exact"/>
              <w:rPr>
                <w:sz w:val="20"/>
                <w:szCs w:val="20"/>
                <w:color w:val="auto"/>
              </w:rPr>
            </w:pPr>
            <w:r>
              <w:rPr>
                <w:rFonts w:ascii="Arial" w:cs="Arial" w:eastAsia="Arial" w:hAnsi="Arial"/>
                <w:sz w:val="11"/>
                <w:szCs w:val="11"/>
                <w:b w:val="1"/>
                <w:bCs w:val="1"/>
                <w:color w:val="auto"/>
                <w:w w:val="89"/>
              </w:rPr>
              <w:t>Price</w:t>
            </w:r>
          </w:p>
        </w:tc>
        <w:tc>
          <w:tcPr>
            <w:tcW w:w="540" w:type="dxa"/>
            <w:vAlign w:val="bottom"/>
            <w:gridSpan w:val="2"/>
          </w:tcPr>
          <w:p>
            <w:pPr>
              <w:jc w:val="center"/>
              <w:ind w:right="20"/>
              <w:spacing w:after="0" w:line="119" w:lineRule="exact"/>
              <w:rPr>
                <w:sz w:val="20"/>
                <w:szCs w:val="20"/>
                <w:color w:val="auto"/>
              </w:rPr>
            </w:pPr>
            <w:r>
              <w:rPr>
                <w:rFonts w:ascii="Arial" w:cs="Arial" w:eastAsia="Arial" w:hAnsi="Arial"/>
                <w:sz w:val="11"/>
                <w:szCs w:val="11"/>
                <w:b w:val="1"/>
                <w:bCs w:val="1"/>
                <w:color w:val="auto"/>
                <w:w w:val="82"/>
              </w:rPr>
              <w:t>of Stock</w:t>
            </w: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gridSpan w:val="2"/>
            <w:vMerge w:val="restart"/>
          </w:tcPr>
          <w:p>
            <w:pPr>
              <w:jc w:val="center"/>
              <w:ind w:right="120"/>
              <w:spacing w:after="0" w:line="105" w:lineRule="exact"/>
              <w:rPr>
                <w:sz w:val="20"/>
                <w:szCs w:val="20"/>
                <w:color w:val="auto"/>
              </w:rPr>
            </w:pPr>
            <w:r>
              <w:rPr>
                <w:rFonts w:ascii="Arial" w:cs="Arial" w:eastAsia="Arial" w:hAnsi="Arial"/>
                <w:sz w:val="11"/>
                <w:szCs w:val="11"/>
                <w:b w:val="1"/>
                <w:bCs w:val="1"/>
                <w:color w:val="auto"/>
                <w:w w:val="86"/>
              </w:rPr>
              <w:t>Stock or</w:t>
            </w:r>
          </w:p>
        </w:tc>
        <w:tc>
          <w:tcPr>
            <w:tcW w:w="640" w:type="dxa"/>
            <w:vAlign w:val="bottom"/>
            <w:gridSpan w:val="2"/>
            <w:vMerge w:val="restart"/>
          </w:tcPr>
          <w:p>
            <w:pPr>
              <w:jc w:val="center"/>
              <w:ind w:right="140"/>
              <w:spacing w:after="0" w:line="105" w:lineRule="exact"/>
              <w:rPr>
                <w:sz w:val="20"/>
                <w:szCs w:val="20"/>
                <w:color w:val="auto"/>
              </w:rPr>
            </w:pPr>
            <w:r>
              <w:rPr>
                <w:rFonts w:ascii="Arial" w:cs="Arial" w:eastAsia="Arial" w:hAnsi="Arial"/>
                <w:sz w:val="11"/>
                <w:szCs w:val="11"/>
                <w:b w:val="1"/>
                <w:bCs w:val="1"/>
                <w:color w:val="auto"/>
                <w:w w:val="86"/>
              </w:rPr>
              <w:t>Underlying</w:t>
            </w:r>
          </w:p>
        </w:tc>
        <w:tc>
          <w:tcPr>
            <w:tcW w:w="620" w:type="dxa"/>
            <w:vAlign w:val="bottom"/>
            <w:gridSpan w:val="2"/>
            <w:vMerge w:val="restart"/>
          </w:tcPr>
          <w:p>
            <w:pPr>
              <w:jc w:val="center"/>
              <w:ind w:right="120"/>
              <w:spacing w:after="0" w:line="105" w:lineRule="exact"/>
              <w:rPr>
                <w:sz w:val="20"/>
                <w:szCs w:val="20"/>
                <w:color w:val="auto"/>
              </w:rPr>
            </w:pPr>
            <w:r>
              <w:rPr>
                <w:rFonts w:ascii="Arial" w:cs="Arial" w:eastAsia="Arial" w:hAnsi="Arial"/>
                <w:sz w:val="11"/>
                <w:szCs w:val="11"/>
                <w:b w:val="1"/>
                <w:bCs w:val="1"/>
                <w:color w:val="auto"/>
                <w:w w:val="85"/>
              </w:rPr>
              <w:t>of Option</w:t>
            </w:r>
          </w:p>
        </w:tc>
        <w:tc>
          <w:tcPr>
            <w:tcW w:w="540" w:type="dxa"/>
            <w:vAlign w:val="bottom"/>
            <w:gridSpan w:val="2"/>
            <w:vMerge w:val="restart"/>
          </w:tcPr>
          <w:p>
            <w:pPr>
              <w:jc w:val="center"/>
              <w:ind w:right="20"/>
              <w:spacing w:after="0" w:line="105" w:lineRule="exact"/>
              <w:rPr>
                <w:sz w:val="20"/>
                <w:szCs w:val="20"/>
                <w:color w:val="auto"/>
              </w:rPr>
            </w:pPr>
            <w:r>
              <w:rPr>
                <w:rFonts w:ascii="Arial" w:cs="Arial" w:eastAsia="Arial" w:hAnsi="Arial"/>
                <w:sz w:val="11"/>
                <w:szCs w:val="11"/>
                <w:b w:val="1"/>
                <w:bCs w:val="1"/>
                <w:color w:val="auto"/>
                <w:w w:val="89"/>
              </w:rPr>
              <w:t>and Option</w:t>
            </w:r>
          </w:p>
        </w:tc>
        <w:tc>
          <w:tcPr>
            <w:tcW w:w="0" w:type="dxa"/>
            <w:vAlign w:val="bottom"/>
          </w:tcPr>
          <w:p>
            <w:pPr>
              <w:spacing w:after="0"/>
              <w:rPr>
                <w:sz w:val="1"/>
                <w:szCs w:val="1"/>
                <w:color w:val="auto"/>
              </w:rPr>
            </w:pPr>
          </w:p>
        </w:tc>
      </w:tr>
      <w:tr>
        <w:trPr>
          <w:trHeight w:val="45"/>
        </w:trPr>
        <w:tc>
          <w:tcPr>
            <w:tcW w:w="38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5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3800" w:type="dxa"/>
            <w:vAlign w:val="bottom"/>
            <w:vMerge w:val="restart"/>
          </w:tcPr>
          <w:p>
            <w:pPr>
              <w:spacing w:after="0"/>
              <w:rPr>
                <w:sz w:val="20"/>
                <w:szCs w:val="20"/>
                <w:color w:val="auto"/>
              </w:rPr>
            </w:pPr>
            <w:r>
              <w:rPr>
                <w:rFonts w:ascii="Arial" w:cs="Arial" w:eastAsia="Arial" w:hAnsi="Arial"/>
                <w:sz w:val="11"/>
                <w:szCs w:val="11"/>
                <w:b w:val="1"/>
                <w:bCs w:val="1"/>
                <w:color w:val="auto"/>
              </w:rPr>
              <w:t>Name</w:t>
            </w:r>
          </w:p>
        </w:tc>
        <w:tc>
          <w:tcPr>
            <w:tcW w:w="80" w:type="dxa"/>
            <w:vAlign w:val="bottom"/>
          </w:tcPr>
          <w:p>
            <w:pPr>
              <w:spacing w:after="0"/>
              <w:rPr>
                <w:sz w:val="10"/>
                <w:szCs w:val="10"/>
                <w:color w:val="auto"/>
              </w:rPr>
            </w:pPr>
          </w:p>
        </w:tc>
        <w:tc>
          <w:tcPr>
            <w:tcW w:w="50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Grant</w:t>
            </w:r>
          </w:p>
        </w:tc>
        <w:tc>
          <w:tcPr>
            <w:tcW w:w="80" w:type="dxa"/>
            <w:vAlign w:val="bottom"/>
          </w:tcPr>
          <w:p>
            <w:pPr>
              <w:spacing w:after="0"/>
              <w:rPr>
                <w:sz w:val="10"/>
                <w:szCs w:val="10"/>
                <w:color w:val="auto"/>
              </w:rPr>
            </w:pPr>
          </w:p>
        </w:tc>
        <w:tc>
          <w:tcPr>
            <w:tcW w:w="560" w:type="dxa"/>
            <w:vAlign w:val="bottom"/>
            <w:gridSpan w:val="2"/>
          </w:tcPr>
          <w:p>
            <w:pPr>
              <w:jc w:val="right"/>
              <w:ind w:right="120"/>
              <w:spacing w:after="0" w:line="119" w:lineRule="exact"/>
              <w:rPr>
                <w:sz w:val="20"/>
                <w:szCs w:val="20"/>
                <w:color w:val="auto"/>
              </w:rPr>
            </w:pPr>
            <w:r>
              <w:rPr>
                <w:rFonts w:ascii="Arial" w:cs="Arial" w:eastAsia="Arial" w:hAnsi="Arial"/>
                <w:sz w:val="11"/>
                <w:szCs w:val="11"/>
                <w:b w:val="1"/>
                <w:bCs w:val="1"/>
                <w:color w:val="auto"/>
                <w:w w:val="87"/>
              </w:rPr>
              <w:t>Approval</w:t>
            </w:r>
          </w:p>
        </w:tc>
        <w:tc>
          <w:tcPr>
            <w:tcW w:w="460" w:type="dxa"/>
            <w:vAlign w:val="bottom"/>
          </w:tcPr>
          <w:p>
            <w:pPr>
              <w:jc w:val="right"/>
              <w:spacing w:after="0" w:line="119" w:lineRule="exact"/>
              <w:rPr>
                <w:sz w:val="20"/>
                <w:szCs w:val="20"/>
                <w:color w:val="auto"/>
              </w:rPr>
            </w:pPr>
            <w:r>
              <w:rPr>
                <w:rFonts w:ascii="Arial" w:cs="Arial" w:eastAsia="Arial" w:hAnsi="Arial"/>
                <w:sz w:val="11"/>
                <w:szCs w:val="11"/>
                <w:b w:val="1"/>
                <w:bCs w:val="1"/>
                <w:color w:val="auto"/>
                <w:w w:val="82"/>
              </w:rPr>
              <w:t>Threshold</w:t>
            </w:r>
          </w:p>
        </w:tc>
        <w:tc>
          <w:tcPr>
            <w:tcW w:w="120" w:type="dxa"/>
            <w:vAlign w:val="bottom"/>
          </w:tcPr>
          <w:p>
            <w:pPr>
              <w:spacing w:after="0"/>
              <w:rPr>
                <w:sz w:val="10"/>
                <w:szCs w:val="10"/>
                <w:color w:val="auto"/>
              </w:rPr>
            </w:pPr>
          </w:p>
        </w:tc>
        <w:tc>
          <w:tcPr>
            <w:tcW w:w="48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83"/>
              </w:rPr>
              <w:t>Target</w:t>
            </w:r>
          </w:p>
        </w:tc>
        <w:tc>
          <w:tcPr>
            <w:tcW w:w="60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Maximum</w:t>
            </w:r>
          </w:p>
        </w:tc>
        <w:tc>
          <w:tcPr>
            <w:tcW w:w="58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Threshold</w:t>
            </w:r>
          </w:p>
        </w:tc>
        <w:tc>
          <w:tcPr>
            <w:tcW w:w="42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89"/>
              </w:rPr>
              <w:t>Target</w:t>
            </w:r>
          </w:p>
        </w:tc>
        <w:tc>
          <w:tcPr>
            <w:tcW w:w="480" w:type="dxa"/>
            <w:vAlign w:val="bottom"/>
          </w:tcPr>
          <w:p>
            <w:pPr>
              <w:jc w:val="right"/>
              <w:spacing w:after="0" w:line="119" w:lineRule="exact"/>
              <w:rPr>
                <w:sz w:val="20"/>
                <w:szCs w:val="20"/>
                <w:color w:val="auto"/>
              </w:rPr>
            </w:pPr>
            <w:r>
              <w:rPr>
                <w:rFonts w:ascii="Arial" w:cs="Arial" w:eastAsia="Arial" w:hAnsi="Arial"/>
                <w:sz w:val="11"/>
                <w:szCs w:val="11"/>
                <w:b w:val="1"/>
                <w:bCs w:val="1"/>
                <w:color w:val="auto"/>
                <w:w w:val="90"/>
              </w:rPr>
              <w:t>Maximum</w:t>
            </w:r>
          </w:p>
        </w:tc>
        <w:tc>
          <w:tcPr>
            <w:tcW w:w="120" w:type="dxa"/>
            <w:vAlign w:val="bottom"/>
          </w:tcPr>
          <w:p>
            <w:pPr>
              <w:spacing w:after="0"/>
              <w:rPr>
                <w:sz w:val="10"/>
                <w:szCs w:val="10"/>
                <w:color w:val="auto"/>
              </w:rPr>
            </w:pPr>
          </w:p>
        </w:tc>
        <w:tc>
          <w:tcPr>
            <w:tcW w:w="66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87"/>
              </w:rPr>
              <w:t>Units</w:t>
            </w:r>
          </w:p>
        </w:tc>
        <w:tc>
          <w:tcPr>
            <w:tcW w:w="64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86"/>
              </w:rPr>
              <w:t>Options</w:t>
            </w:r>
          </w:p>
        </w:tc>
        <w:tc>
          <w:tcPr>
            <w:tcW w:w="62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85"/>
              </w:rPr>
              <w:t>Awards</w:t>
            </w:r>
          </w:p>
        </w:tc>
        <w:tc>
          <w:tcPr>
            <w:tcW w:w="540" w:type="dxa"/>
            <w:vAlign w:val="bottom"/>
            <w:gridSpan w:val="2"/>
          </w:tcPr>
          <w:p>
            <w:pPr>
              <w:jc w:val="center"/>
              <w:ind w:right="40"/>
              <w:spacing w:after="0" w:line="119" w:lineRule="exact"/>
              <w:rPr>
                <w:sz w:val="20"/>
                <w:szCs w:val="20"/>
                <w:color w:val="auto"/>
              </w:rPr>
            </w:pPr>
            <w:r>
              <w:rPr>
                <w:rFonts w:ascii="Arial" w:cs="Arial" w:eastAsia="Arial" w:hAnsi="Arial"/>
                <w:sz w:val="11"/>
                <w:szCs w:val="11"/>
                <w:b w:val="1"/>
                <w:bCs w:val="1"/>
                <w:color w:val="auto"/>
                <w:w w:val="85"/>
              </w:rPr>
              <w:t>Awards</w:t>
            </w:r>
          </w:p>
        </w:tc>
        <w:tc>
          <w:tcPr>
            <w:tcW w:w="0" w:type="dxa"/>
            <w:vAlign w:val="bottom"/>
          </w:tcPr>
          <w:p>
            <w:pPr>
              <w:spacing w:after="0"/>
              <w:rPr>
                <w:sz w:val="1"/>
                <w:szCs w:val="1"/>
                <w:color w:val="auto"/>
              </w:rPr>
            </w:pPr>
          </w:p>
        </w:tc>
      </w:tr>
      <w:tr>
        <w:trPr>
          <w:trHeight w:val="132"/>
        </w:trPr>
        <w:tc>
          <w:tcPr>
            <w:tcW w:w="3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ind w:left="140"/>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Date(1)</w:t>
            </w:r>
          </w:p>
        </w:tc>
        <w:tc>
          <w:tcPr>
            <w:tcW w:w="460" w:type="dxa"/>
            <w:vAlign w:val="bottom"/>
          </w:tcPr>
          <w:p>
            <w:pPr>
              <w:jc w:val="right"/>
              <w:ind w:right="107"/>
              <w:spacing w:after="0"/>
              <w:rPr>
                <w:sz w:val="20"/>
                <w:szCs w:val="20"/>
                <w:color w:val="auto"/>
              </w:rPr>
            </w:pPr>
            <w:r>
              <w:rPr>
                <w:rFonts w:ascii="Arial" w:cs="Arial" w:eastAsia="Arial" w:hAnsi="Arial"/>
                <w:sz w:val="11"/>
                <w:szCs w:val="11"/>
                <w:b w:val="1"/>
                <w:bCs w:val="1"/>
                <w:color w:val="auto"/>
              </w:rPr>
              <w:t>($)</w:t>
            </w:r>
          </w:p>
        </w:tc>
        <w:tc>
          <w:tcPr>
            <w:tcW w:w="480" w:type="dxa"/>
            <w:vAlign w:val="bottom"/>
            <w:gridSpan w:val="2"/>
          </w:tcPr>
          <w:p>
            <w:pPr>
              <w:jc w:val="center"/>
              <w:ind w:left="67"/>
              <w:spacing w:after="0"/>
              <w:rPr>
                <w:sz w:val="20"/>
                <w:szCs w:val="20"/>
                <w:color w:val="auto"/>
              </w:rPr>
            </w:pPr>
            <w:r>
              <w:rPr>
                <w:rFonts w:ascii="Arial" w:cs="Arial" w:eastAsia="Arial" w:hAnsi="Arial"/>
                <w:sz w:val="11"/>
                <w:szCs w:val="11"/>
                <w:b w:val="1"/>
                <w:bCs w:val="1"/>
                <w:color w:val="auto"/>
                <w:w w:val="88"/>
              </w:rPr>
              <w:t>($)</w:t>
            </w:r>
          </w:p>
        </w:tc>
        <w:tc>
          <w:tcPr>
            <w:tcW w:w="120" w:type="dxa"/>
            <w:vAlign w:val="bottom"/>
          </w:tcPr>
          <w:p>
            <w:pPr>
              <w:spacing w:after="0"/>
              <w:rPr>
                <w:sz w:val="11"/>
                <w:szCs w:val="11"/>
                <w:color w:val="auto"/>
              </w:rPr>
            </w:pPr>
          </w:p>
        </w:tc>
        <w:tc>
          <w:tcPr>
            <w:tcW w:w="480" w:type="dxa"/>
            <w:vAlign w:val="bottom"/>
          </w:tcPr>
          <w:p>
            <w:pPr>
              <w:jc w:val="right"/>
              <w:ind w:right="127"/>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460" w:type="dxa"/>
            <w:vAlign w:val="bottom"/>
          </w:tcPr>
          <w:p>
            <w:pPr>
              <w:jc w:val="right"/>
              <w:ind w:right="127"/>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32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100" w:type="dxa"/>
            <w:vAlign w:val="bottom"/>
          </w:tcPr>
          <w:p>
            <w:pPr>
              <w:spacing w:after="0"/>
              <w:rPr>
                <w:sz w:val="11"/>
                <w:szCs w:val="11"/>
                <w:color w:val="auto"/>
              </w:rPr>
            </w:pPr>
          </w:p>
        </w:tc>
        <w:tc>
          <w:tcPr>
            <w:tcW w:w="480" w:type="dxa"/>
            <w:vAlign w:val="bottom"/>
          </w:tcPr>
          <w:p>
            <w:pPr>
              <w:jc w:val="right"/>
              <w:ind w:right="127"/>
              <w:spacing w:after="0"/>
              <w:rPr>
                <w:sz w:val="20"/>
                <w:szCs w:val="20"/>
                <w:color w:val="auto"/>
              </w:rPr>
            </w:pPr>
            <w:r>
              <w:rPr>
                <w:rFonts w:ascii="Arial" w:cs="Arial" w:eastAsia="Arial" w:hAnsi="Arial"/>
                <w:sz w:val="11"/>
                <w:szCs w:val="11"/>
                <w:b w:val="1"/>
                <w:bCs w:val="1"/>
                <w:color w:val="auto"/>
              </w:rPr>
              <w:t>(#)</w:t>
            </w:r>
          </w:p>
        </w:tc>
        <w:tc>
          <w:tcPr>
            <w:tcW w:w="660" w:type="dxa"/>
            <w:vAlign w:val="bottom"/>
            <w:gridSpan w:val="2"/>
          </w:tcPr>
          <w:p>
            <w:pPr>
              <w:jc w:val="center"/>
              <w:ind w:left="67"/>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120" w:type="dxa"/>
            <w:vAlign w:val="bottom"/>
          </w:tcPr>
          <w:p>
            <w:pPr>
              <w:spacing w:after="0"/>
              <w:rPr>
                <w:sz w:val="11"/>
                <w:szCs w:val="11"/>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($/Sh)</w:t>
            </w: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w w:val="89"/>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800" w:type="dxa"/>
            <w:vAlign w:val="bottom"/>
            <w:tcBorders>
              <w:top w:val="single" w:sz="8" w:color="auto"/>
            </w:tcBorders>
            <w:shd w:val="clear" w:color="auto" w:fill="CCECF8"/>
          </w:tcPr>
          <w:p>
            <w:pPr>
              <w:spacing w:after="0" w:line="102" w:lineRule="exact"/>
              <w:rPr>
                <w:sz w:val="20"/>
                <w:szCs w:val="20"/>
                <w:color w:val="auto"/>
              </w:rPr>
            </w:pPr>
            <w:r>
              <w:rPr>
                <w:rFonts w:ascii="Arial" w:cs="Arial" w:eastAsia="Arial" w:hAnsi="Arial"/>
                <w:sz w:val="11"/>
                <w:szCs w:val="11"/>
                <w:b w:val="1"/>
                <w:bCs w:val="1"/>
                <w:color w:val="auto"/>
              </w:rPr>
              <w:t>Archie C. Black</w:t>
            </w:r>
          </w:p>
        </w:tc>
        <w:tc>
          <w:tcPr>
            <w:tcW w:w="80" w:type="dxa"/>
            <w:vAlign w:val="bottom"/>
            <w:tcBorders>
              <w:top w:val="single" w:sz="8" w:color="CCECF8"/>
            </w:tcBorders>
            <w:shd w:val="clear" w:color="auto" w:fill="CCECF8"/>
          </w:tcPr>
          <w:p>
            <w:pPr>
              <w:spacing w:after="0"/>
              <w:rPr>
                <w:sz w:val="8"/>
                <w:szCs w:val="8"/>
                <w:color w:val="auto"/>
              </w:rPr>
            </w:pPr>
          </w:p>
        </w:tc>
        <w:tc>
          <w:tcPr>
            <w:tcW w:w="460" w:type="dxa"/>
            <w:vAlign w:val="bottom"/>
            <w:tcBorders>
              <w:top w:val="single" w:sz="8" w:color="auto"/>
            </w:tcBorders>
            <w:shd w:val="clear" w:color="auto" w:fill="CCECF8"/>
          </w:tcPr>
          <w:p>
            <w:pPr>
              <w:spacing w:after="0"/>
              <w:rPr>
                <w:sz w:val="8"/>
                <w:szCs w:val="8"/>
                <w:color w:val="auto"/>
              </w:rPr>
            </w:pPr>
          </w:p>
        </w:tc>
        <w:tc>
          <w:tcPr>
            <w:tcW w:w="40" w:type="dxa"/>
            <w:vAlign w:val="bottom"/>
            <w:tcBorders>
              <w:top w:val="single" w:sz="8" w:color="CCECF8"/>
            </w:tcBorders>
            <w:shd w:val="clear" w:color="auto" w:fill="CCECF8"/>
          </w:tcPr>
          <w:p>
            <w:pPr>
              <w:spacing w:after="0"/>
              <w:rPr>
                <w:sz w:val="8"/>
                <w:szCs w:val="8"/>
                <w:color w:val="auto"/>
              </w:rPr>
            </w:pPr>
          </w:p>
        </w:tc>
        <w:tc>
          <w:tcPr>
            <w:tcW w:w="80" w:type="dxa"/>
            <w:vAlign w:val="bottom"/>
            <w:tcBorders>
              <w:top w:val="single" w:sz="8" w:color="CCECF8"/>
            </w:tcBorders>
            <w:shd w:val="clear" w:color="auto" w:fill="CCECF8"/>
          </w:tcPr>
          <w:p>
            <w:pPr>
              <w:spacing w:after="0"/>
              <w:rPr>
                <w:sz w:val="8"/>
                <w:szCs w:val="8"/>
                <w:color w:val="auto"/>
              </w:rPr>
            </w:pPr>
          </w:p>
        </w:tc>
        <w:tc>
          <w:tcPr>
            <w:tcW w:w="440" w:type="dxa"/>
            <w:vAlign w:val="bottom"/>
            <w:tcBorders>
              <w:top w:val="single" w:sz="8" w:color="auto"/>
            </w:tcBorders>
            <w:shd w:val="clear" w:color="auto" w:fill="CCECF8"/>
          </w:tcPr>
          <w:p>
            <w:pPr>
              <w:spacing w:after="0"/>
              <w:rPr>
                <w:sz w:val="8"/>
                <w:szCs w:val="8"/>
                <w:color w:val="auto"/>
              </w:rPr>
            </w:pPr>
          </w:p>
        </w:tc>
        <w:tc>
          <w:tcPr>
            <w:tcW w:w="120" w:type="dxa"/>
            <w:vAlign w:val="bottom"/>
            <w:tcBorders>
              <w:top w:val="single" w:sz="8" w:color="CCECF8"/>
            </w:tcBorders>
            <w:shd w:val="clear" w:color="auto" w:fill="CCECF8"/>
          </w:tcPr>
          <w:p>
            <w:pPr>
              <w:spacing w:after="0"/>
              <w:rPr>
                <w:sz w:val="8"/>
                <w:szCs w:val="8"/>
                <w:color w:val="auto"/>
              </w:rPr>
            </w:pPr>
          </w:p>
        </w:tc>
        <w:tc>
          <w:tcPr>
            <w:tcW w:w="460" w:type="dxa"/>
            <w:vAlign w:val="bottom"/>
            <w:tcBorders>
              <w:top w:val="single" w:sz="8" w:color="auto"/>
            </w:tcBorders>
            <w:shd w:val="clear" w:color="auto" w:fill="CCECF8"/>
          </w:tcPr>
          <w:p>
            <w:pPr>
              <w:spacing w:after="0"/>
              <w:rPr>
                <w:sz w:val="8"/>
                <w:szCs w:val="8"/>
                <w:color w:val="auto"/>
              </w:rPr>
            </w:pPr>
          </w:p>
        </w:tc>
        <w:tc>
          <w:tcPr>
            <w:tcW w:w="120" w:type="dxa"/>
            <w:vAlign w:val="bottom"/>
            <w:tcBorders>
              <w:top w:val="single" w:sz="8" w:color="CCECF8"/>
            </w:tcBorders>
            <w:shd w:val="clear" w:color="auto" w:fill="CCECF8"/>
          </w:tcPr>
          <w:p>
            <w:pPr>
              <w:spacing w:after="0"/>
              <w:rPr>
                <w:sz w:val="8"/>
                <w:szCs w:val="8"/>
                <w:color w:val="auto"/>
              </w:rPr>
            </w:pPr>
          </w:p>
        </w:tc>
        <w:tc>
          <w:tcPr>
            <w:tcW w:w="360" w:type="dxa"/>
            <w:vAlign w:val="bottom"/>
            <w:tcBorders>
              <w:top w:val="single" w:sz="8" w:color="auto"/>
            </w:tcBorders>
            <w:shd w:val="clear" w:color="auto" w:fill="CCECF8"/>
          </w:tcPr>
          <w:p>
            <w:pPr>
              <w:spacing w:after="0"/>
              <w:rPr>
                <w:sz w:val="8"/>
                <w:szCs w:val="8"/>
                <w:color w:val="auto"/>
              </w:rPr>
            </w:pPr>
          </w:p>
        </w:tc>
        <w:tc>
          <w:tcPr>
            <w:tcW w:w="120" w:type="dxa"/>
            <w:vAlign w:val="bottom"/>
            <w:tcBorders>
              <w:top w:val="single" w:sz="8" w:color="CCECF8"/>
            </w:tcBorders>
            <w:shd w:val="clear" w:color="auto" w:fill="CCECF8"/>
          </w:tcPr>
          <w:p>
            <w:pPr>
              <w:spacing w:after="0"/>
              <w:rPr>
                <w:sz w:val="8"/>
                <w:szCs w:val="8"/>
                <w:color w:val="auto"/>
              </w:rPr>
            </w:pPr>
          </w:p>
        </w:tc>
        <w:tc>
          <w:tcPr>
            <w:tcW w:w="480" w:type="dxa"/>
            <w:vAlign w:val="bottom"/>
            <w:tcBorders>
              <w:top w:val="single" w:sz="8" w:color="auto"/>
            </w:tcBorders>
            <w:shd w:val="clear" w:color="auto" w:fill="CCECF8"/>
          </w:tcPr>
          <w:p>
            <w:pPr>
              <w:spacing w:after="0"/>
              <w:rPr>
                <w:sz w:val="8"/>
                <w:szCs w:val="8"/>
                <w:color w:val="auto"/>
              </w:rPr>
            </w:pPr>
          </w:p>
        </w:tc>
        <w:tc>
          <w:tcPr>
            <w:tcW w:w="120" w:type="dxa"/>
            <w:vAlign w:val="bottom"/>
            <w:tcBorders>
              <w:top w:val="single" w:sz="8" w:color="CCECF8"/>
            </w:tcBorders>
            <w:shd w:val="clear" w:color="auto" w:fill="CCECF8"/>
          </w:tcPr>
          <w:p>
            <w:pPr>
              <w:spacing w:after="0"/>
              <w:rPr>
                <w:sz w:val="8"/>
                <w:szCs w:val="8"/>
                <w:color w:val="auto"/>
              </w:rPr>
            </w:pPr>
          </w:p>
        </w:tc>
        <w:tc>
          <w:tcPr>
            <w:tcW w:w="460" w:type="dxa"/>
            <w:vAlign w:val="bottom"/>
            <w:tcBorders>
              <w:top w:val="single" w:sz="8" w:color="auto"/>
            </w:tcBorders>
            <w:shd w:val="clear" w:color="auto" w:fill="CCECF8"/>
          </w:tcPr>
          <w:p>
            <w:pPr>
              <w:spacing w:after="0"/>
              <w:rPr>
                <w:sz w:val="8"/>
                <w:szCs w:val="8"/>
                <w:color w:val="auto"/>
              </w:rPr>
            </w:pPr>
          </w:p>
        </w:tc>
        <w:tc>
          <w:tcPr>
            <w:tcW w:w="120" w:type="dxa"/>
            <w:vAlign w:val="bottom"/>
            <w:tcBorders>
              <w:top w:val="single" w:sz="8" w:color="CCECF8"/>
            </w:tcBorders>
            <w:shd w:val="clear" w:color="auto" w:fill="CCECF8"/>
          </w:tcPr>
          <w:p>
            <w:pPr>
              <w:spacing w:after="0"/>
              <w:rPr>
                <w:sz w:val="8"/>
                <w:szCs w:val="8"/>
                <w:color w:val="auto"/>
              </w:rPr>
            </w:pPr>
          </w:p>
        </w:tc>
        <w:tc>
          <w:tcPr>
            <w:tcW w:w="320" w:type="dxa"/>
            <w:vAlign w:val="bottom"/>
            <w:tcBorders>
              <w:top w:val="single" w:sz="8" w:color="auto"/>
            </w:tcBorders>
            <w:shd w:val="clear" w:color="auto" w:fill="CCECF8"/>
          </w:tcPr>
          <w:p>
            <w:pPr>
              <w:spacing w:after="0"/>
              <w:rPr>
                <w:sz w:val="8"/>
                <w:szCs w:val="8"/>
                <w:color w:val="auto"/>
              </w:rPr>
            </w:pPr>
          </w:p>
        </w:tc>
        <w:tc>
          <w:tcPr>
            <w:tcW w:w="100" w:type="dxa"/>
            <w:vAlign w:val="bottom"/>
            <w:tcBorders>
              <w:top w:val="single" w:sz="8" w:color="CCECF8"/>
            </w:tcBorders>
            <w:shd w:val="clear" w:color="auto" w:fill="CCECF8"/>
          </w:tcPr>
          <w:p>
            <w:pPr>
              <w:spacing w:after="0"/>
              <w:rPr>
                <w:sz w:val="8"/>
                <w:szCs w:val="8"/>
                <w:color w:val="auto"/>
              </w:rPr>
            </w:pPr>
          </w:p>
        </w:tc>
        <w:tc>
          <w:tcPr>
            <w:tcW w:w="480" w:type="dxa"/>
            <w:vAlign w:val="bottom"/>
            <w:tcBorders>
              <w:top w:val="single" w:sz="8" w:color="auto"/>
            </w:tcBorders>
            <w:shd w:val="clear" w:color="auto" w:fill="CCECF8"/>
          </w:tcPr>
          <w:p>
            <w:pPr>
              <w:spacing w:after="0"/>
              <w:rPr>
                <w:sz w:val="8"/>
                <w:szCs w:val="8"/>
                <w:color w:val="auto"/>
              </w:rPr>
            </w:pPr>
          </w:p>
        </w:tc>
        <w:tc>
          <w:tcPr>
            <w:tcW w:w="120" w:type="dxa"/>
            <w:vAlign w:val="bottom"/>
            <w:tcBorders>
              <w:top w:val="single" w:sz="8" w:color="CCECF8"/>
            </w:tcBorders>
            <w:shd w:val="clear" w:color="auto" w:fill="CCECF8"/>
          </w:tcPr>
          <w:p>
            <w:pPr>
              <w:spacing w:after="0"/>
              <w:rPr>
                <w:sz w:val="8"/>
                <w:szCs w:val="8"/>
                <w:color w:val="auto"/>
              </w:rPr>
            </w:pPr>
          </w:p>
        </w:tc>
        <w:tc>
          <w:tcPr>
            <w:tcW w:w="540" w:type="dxa"/>
            <w:vAlign w:val="bottom"/>
            <w:tcBorders>
              <w:top w:val="single" w:sz="8" w:color="auto"/>
            </w:tcBorders>
            <w:shd w:val="clear" w:color="auto" w:fill="CCECF8"/>
          </w:tcPr>
          <w:p>
            <w:pPr>
              <w:spacing w:after="0"/>
              <w:rPr>
                <w:sz w:val="8"/>
                <w:szCs w:val="8"/>
                <w:color w:val="auto"/>
              </w:rPr>
            </w:pPr>
          </w:p>
        </w:tc>
        <w:tc>
          <w:tcPr>
            <w:tcW w:w="120" w:type="dxa"/>
            <w:vAlign w:val="bottom"/>
            <w:tcBorders>
              <w:top w:val="single" w:sz="8" w:color="CCECF8"/>
            </w:tcBorders>
            <w:shd w:val="clear" w:color="auto" w:fill="CCECF8"/>
          </w:tcPr>
          <w:p>
            <w:pPr>
              <w:spacing w:after="0"/>
              <w:rPr>
                <w:sz w:val="8"/>
                <w:szCs w:val="8"/>
                <w:color w:val="auto"/>
              </w:rPr>
            </w:pPr>
          </w:p>
        </w:tc>
        <w:tc>
          <w:tcPr>
            <w:tcW w:w="520" w:type="dxa"/>
            <w:vAlign w:val="bottom"/>
            <w:tcBorders>
              <w:top w:val="single" w:sz="8" w:color="auto"/>
            </w:tcBorders>
            <w:shd w:val="clear" w:color="auto" w:fill="CCECF8"/>
          </w:tcPr>
          <w:p>
            <w:pPr>
              <w:spacing w:after="0"/>
              <w:rPr>
                <w:sz w:val="8"/>
                <w:szCs w:val="8"/>
                <w:color w:val="auto"/>
              </w:rPr>
            </w:pPr>
          </w:p>
        </w:tc>
        <w:tc>
          <w:tcPr>
            <w:tcW w:w="120" w:type="dxa"/>
            <w:vAlign w:val="bottom"/>
            <w:tcBorders>
              <w:top w:val="single" w:sz="8" w:color="CCECF8"/>
            </w:tcBorders>
            <w:shd w:val="clear" w:color="auto" w:fill="CCECF8"/>
          </w:tcPr>
          <w:p>
            <w:pPr>
              <w:spacing w:after="0"/>
              <w:rPr>
                <w:sz w:val="8"/>
                <w:szCs w:val="8"/>
                <w:color w:val="auto"/>
              </w:rPr>
            </w:pPr>
          </w:p>
        </w:tc>
        <w:tc>
          <w:tcPr>
            <w:tcW w:w="500" w:type="dxa"/>
            <w:vAlign w:val="bottom"/>
            <w:tcBorders>
              <w:top w:val="single" w:sz="8" w:color="auto"/>
            </w:tcBorders>
            <w:shd w:val="clear" w:color="auto" w:fill="CCECF8"/>
          </w:tcPr>
          <w:p>
            <w:pPr>
              <w:spacing w:after="0"/>
              <w:rPr>
                <w:sz w:val="8"/>
                <w:szCs w:val="8"/>
                <w:color w:val="auto"/>
              </w:rPr>
            </w:pPr>
          </w:p>
        </w:tc>
        <w:tc>
          <w:tcPr>
            <w:tcW w:w="120" w:type="dxa"/>
            <w:vAlign w:val="bottom"/>
            <w:tcBorders>
              <w:top w:val="single" w:sz="8" w:color="CCECF8"/>
            </w:tcBorders>
            <w:shd w:val="clear" w:color="auto" w:fill="CCECF8"/>
          </w:tcPr>
          <w:p>
            <w:pPr>
              <w:spacing w:after="0"/>
              <w:rPr>
                <w:sz w:val="8"/>
                <w:szCs w:val="8"/>
                <w:color w:val="auto"/>
              </w:rPr>
            </w:pPr>
          </w:p>
        </w:tc>
        <w:tc>
          <w:tcPr>
            <w:tcW w:w="520" w:type="dxa"/>
            <w:vAlign w:val="bottom"/>
            <w:tcBorders>
              <w:top w:val="single" w:sz="8" w:color="auto"/>
            </w:tcBorders>
            <w:shd w:val="clear" w:color="auto" w:fill="CCECF8"/>
          </w:tcPr>
          <w:p>
            <w:pPr>
              <w:spacing w:after="0"/>
              <w:rPr>
                <w:sz w:val="8"/>
                <w:szCs w:val="8"/>
                <w:color w:val="auto"/>
              </w:rPr>
            </w:pPr>
          </w:p>
        </w:tc>
        <w:tc>
          <w:tcPr>
            <w:tcW w:w="20" w:type="dxa"/>
            <w:vAlign w:val="bottom"/>
            <w:tcBorders>
              <w:top w:val="single" w:sz="8" w:color="CCECF8"/>
            </w:tcBorders>
            <w:shd w:val="clear" w:color="auto" w:fill="CCECF8"/>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800" w:type="dxa"/>
            <w:vAlign w:val="bottom"/>
            <w:shd w:val="clear" w:color="auto" w:fill="CCECF8"/>
          </w:tcPr>
          <w:p>
            <w:pPr>
              <w:ind w:left="120"/>
              <w:spacing w:after="0" w:line="119" w:lineRule="exact"/>
              <w:rPr>
                <w:sz w:val="20"/>
                <w:szCs w:val="20"/>
                <w:color w:val="auto"/>
              </w:rPr>
            </w:pPr>
            <w:r>
              <w:rPr>
                <w:rFonts w:ascii="Arial" w:cs="Arial" w:eastAsia="Arial" w:hAnsi="Arial"/>
                <w:sz w:val="11"/>
                <w:szCs w:val="11"/>
                <w:color w:val="auto"/>
              </w:rPr>
              <w:t>Annual Cash Bonus</w:t>
            </w:r>
            <w:r>
              <w:rPr>
                <w:rFonts w:ascii="Arial" w:cs="Arial" w:eastAsia="Arial" w:hAnsi="Arial"/>
                <w:sz w:val="8"/>
                <w:szCs w:val="8"/>
                <w:color w:val="auto"/>
              </w:rPr>
              <w:t>(3)</w:t>
            </w:r>
          </w:p>
        </w:tc>
        <w:tc>
          <w:tcPr>
            <w:tcW w:w="80" w:type="dxa"/>
            <w:vAlign w:val="bottom"/>
            <w:shd w:val="clear" w:color="auto" w:fill="CCECF8"/>
          </w:tcPr>
          <w:p>
            <w:pPr>
              <w:spacing w:after="0"/>
              <w:rPr>
                <w:sz w:val="10"/>
                <w:szCs w:val="10"/>
                <w:color w:val="auto"/>
              </w:rPr>
            </w:pPr>
          </w:p>
        </w:tc>
        <w:tc>
          <w:tcPr>
            <w:tcW w:w="500" w:type="dxa"/>
            <w:vAlign w:val="bottom"/>
            <w:gridSpan w:val="2"/>
            <w:shd w:val="clear" w:color="auto" w:fill="CCECF8"/>
          </w:tcPr>
          <w:p>
            <w:pPr>
              <w:ind w:left="360"/>
              <w:spacing w:after="0" w:line="119" w:lineRule="exact"/>
              <w:rPr>
                <w:sz w:val="20"/>
                <w:szCs w:val="20"/>
                <w:color w:val="auto"/>
              </w:rPr>
            </w:pPr>
            <w:r>
              <w:rPr>
                <w:rFonts w:ascii="Arial" w:cs="Arial" w:eastAsia="Arial" w:hAnsi="Arial"/>
                <w:sz w:val="11"/>
                <w:szCs w:val="11"/>
                <w:color w:val="auto"/>
              </w:rPr>
              <w:t>—</w:t>
            </w:r>
          </w:p>
        </w:tc>
        <w:tc>
          <w:tcPr>
            <w:tcW w:w="640" w:type="dxa"/>
            <w:vAlign w:val="bottom"/>
            <w:gridSpan w:val="3"/>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2/9/2017</w:t>
            </w:r>
          </w:p>
        </w:tc>
        <w:tc>
          <w:tcPr>
            <w:tcW w:w="46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155,750</w:t>
            </w:r>
          </w:p>
        </w:tc>
        <w:tc>
          <w:tcPr>
            <w:tcW w:w="600" w:type="dxa"/>
            <w:vAlign w:val="bottom"/>
            <w:gridSpan w:val="3"/>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445,000</w:t>
            </w:r>
          </w:p>
        </w:tc>
        <w:tc>
          <w:tcPr>
            <w:tcW w:w="48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725,350</w:t>
            </w:r>
          </w:p>
        </w:tc>
        <w:tc>
          <w:tcPr>
            <w:tcW w:w="120" w:type="dxa"/>
            <w:vAlign w:val="bottom"/>
            <w:shd w:val="clear" w:color="auto" w:fill="CCECF8"/>
          </w:tcPr>
          <w:p>
            <w:pPr>
              <w:spacing w:after="0"/>
              <w:rPr>
                <w:sz w:val="10"/>
                <w:szCs w:val="10"/>
                <w:color w:val="auto"/>
              </w:rPr>
            </w:pPr>
          </w:p>
        </w:tc>
        <w:tc>
          <w:tcPr>
            <w:tcW w:w="58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420" w:type="dxa"/>
            <w:vAlign w:val="bottom"/>
            <w:gridSpan w:val="2"/>
            <w:shd w:val="clear" w:color="auto" w:fill="CCECF8"/>
          </w:tcPr>
          <w:p>
            <w:pPr>
              <w:jc w:val="right"/>
              <w:ind w:right="100"/>
              <w:spacing w:after="0" w:line="119" w:lineRule="exact"/>
              <w:rPr>
                <w:sz w:val="20"/>
                <w:szCs w:val="20"/>
                <w:color w:val="auto"/>
              </w:rPr>
            </w:pPr>
            <w:r>
              <w:rPr>
                <w:rFonts w:ascii="Arial" w:cs="Arial" w:eastAsia="Arial" w:hAnsi="Arial"/>
                <w:sz w:val="11"/>
                <w:szCs w:val="11"/>
                <w:color w:val="auto"/>
              </w:rPr>
              <w:t>—</w:t>
            </w:r>
          </w:p>
        </w:tc>
        <w:tc>
          <w:tcPr>
            <w:tcW w:w="48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w:t>
            </w:r>
          </w:p>
        </w:tc>
        <w:tc>
          <w:tcPr>
            <w:tcW w:w="120" w:type="dxa"/>
            <w:vAlign w:val="bottom"/>
            <w:shd w:val="clear" w:color="auto" w:fill="CCECF8"/>
          </w:tcPr>
          <w:p>
            <w:pPr>
              <w:spacing w:after="0"/>
              <w:rPr>
                <w:sz w:val="10"/>
                <w:szCs w:val="10"/>
                <w:color w:val="auto"/>
              </w:rPr>
            </w:pPr>
          </w:p>
        </w:tc>
        <w:tc>
          <w:tcPr>
            <w:tcW w:w="66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CF8"/>
          </w:tcPr>
          <w:p>
            <w:pPr>
              <w:jc w:val="right"/>
              <w:ind w:right="20"/>
              <w:spacing w:after="0" w:line="11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8"/>
        </w:trPr>
        <w:tc>
          <w:tcPr>
            <w:tcW w:w="3800" w:type="dxa"/>
            <w:vAlign w:val="bottom"/>
            <w:shd w:val="clear" w:color="auto" w:fill="CCECF8"/>
          </w:tcPr>
          <w:p>
            <w:pPr>
              <w:ind w:left="120"/>
              <w:spacing w:after="0" w:line="119" w:lineRule="exact"/>
              <w:rPr>
                <w:sz w:val="20"/>
                <w:szCs w:val="20"/>
                <w:color w:val="auto"/>
              </w:rPr>
            </w:pPr>
            <w:r>
              <w:rPr>
                <w:rFonts w:ascii="Arial" w:cs="Arial" w:eastAsia="Arial" w:hAnsi="Arial"/>
                <w:sz w:val="11"/>
                <w:szCs w:val="11"/>
                <w:color w:val="auto"/>
              </w:rPr>
              <w:t>PSU Award</w:t>
            </w:r>
            <w:r>
              <w:rPr>
                <w:rFonts w:ascii="Arial" w:cs="Arial" w:eastAsia="Arial" w:hAnsi="Arial"/>
                <w:sz w:val="8"/>
                <w:szCs w:val="8"/>
                <w:color w:val="auto"/>
              </w:rPr>
              <w:t>(4)</w:t>
            </w:r>
          </w:p>
        </w:tc>
        <w:tc>
          <w:tcPr>
            <w:tcW w:w="80" w:type="dxa"/>
            <w:vAlign w:val="bottom"/>
            <w:shd w:val="clear" w:color="auto" w:fill="CCECF8"/>
          </w:tcPr>
          <w:p>
            <w:pPr>
              <w:spacing w:after="0"/>
              <w:rPr>
                <w:sz w:val="10"/>
                <w:szCs w:val="10"/>
                <w:color w:val="auto"/>
              </w:rPr>
            </w:pPr>
          </w:p>
        </w:tc>
        <w:tc>
          <w:tcPr>
            <w:tcW w:w="500" w:type="dxa"/>
            <w:vAlign w:val="bottom"/>
            <w:gridSpan w:val="2"/>
            <w:shd w:val="clear" w:color="auto" w:fill="CCECF8"/>
          </w:tcPr>
          <w:p>
            <w:pPr>
              <w:ind w:left="40"/>
              <w:spacing w:after="0" w:line="119" w:lineRule="exact"/>
              <w:rPr>
                <w:sz w:val="20"/>
                <w:szCs w:val="20"/>
                <w:color w:val="auto"/>
              </w:rPr>
            </w:pPr>
            <w:r>
              <w:rPr>
                <w:rFonts w:ascii="Arial" w:cs="Arial" w:eastAsia="Arial" w:hAnsi="Arial"/>
                <w:sz w:val="11"/>
                <w:szCs w:val="11"/>
                <w:color w:val="auto"/>
                <w:w w:val="89"/>
              </w:rPr>
              <w:t>2/14/2017</w:t>
            </w:r>
          </w:p>
        </w:tc>
        <w:tc>
          <w:tcPr>
            <w:tcW w:w="640" w:type="dxa"/>
            <w:vAlign w:val="bottom"/>
            <w:gridSpan w:val="3"/>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2/9/2017</w:t>
            </w:r>
          </w:p>
        </w:tc>
        <w:tc>
          <w:tcPr>
            <w:tcW w:w="46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w:t>
            </w:r>
          </w:p>
        </w:tc>
        <w:tc>
          <w:tcPr>
            <w:tcW w:w="120" w:type="dxa"/>
            <w:vAlign w:val="bottom"/>
            <w:shd w:val="clear" w:color="auto" w:fill="CCECF8"/>
          </w:tcPr>
          <w:p>
            <w:pPr>
              <w:spacing w:after="0"/>
              <w:rPr>
                <w:sz w:val="10"/>
                <w:szCs w:val="10"/>
                <w:color w:val="auto"/>
              </w:rPr>
            </w:pPr>
          </w:p>
        </w:tc>
        <w:tc>
          <w:tcPr>
            <w:tcW w:w="48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46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20,197</w:t>
            </w:r>
          </w:p>
        </w:tc>
        <w:tc>
          <w:tcPr>
            <w:tcW w:w="120" w:type="dxa"/>
            <w:vAlign w:val="bottom"/>
            <w:shd w:val="clear" w:color="auto" w:fill="CCECF8"/>
          </w:tcPr>
          <w:p>
            <w:pPr>
              <w:spacing w:after="0"/>
              <w:rPr>
                <w:sz w:val="10"/>
                <w:szCs w:val="10"/>
                <w:color w:val="auto"/>
              </w:rPr>
            </w:pPr>
          </w:p>
        </w:tc>
        <w:tc>
          <w:tcPr>
            <w:tcW w:w="32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w w:val="89"/>
              </w:rPr>
              <w:t>40,394</w:t>
            </w:r>
          </w:p>
        </w:tc>
        <w:tc>
          <w:tcPr>
            <w:tcW w:w="100" w:type="dxa"/>
            <w:vAlign w:val="bottom"/>
            <w:shd w:val="clear" w:color="auto" w:fill="CCECF8"/>
          </w:tcPr>
          <w:p>
            <w:pPr>
              <w:spacing w:after="0"/>
              <w:rPr>
                <w:sz w:val="10"/>
                <w:szCs w:val="10"/>
                <w:color w:val="auto"/>
              </w:rPr>
            </w:pPr>
          </w:p>
        </w:tc>
        <w:tc>
          <w:tcPr>
            <w:tcW w:w="48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60,591</w:t>
            </w:r>
          </w:p>
        </w:tc>
        <w:tc>
          <w:tcPr>
            <w:tcW w:w="120" w:type="dxa"/>
            <w:vAlign w:val="bottom"/>
            <w:shd w:val="clear" w:color="auto" w:fill="CCECF8"/>
          </w:tcPr>
          <w:p>
            <w:pPr>
              <w:spacing w:after="0"/>
              <w:rPr>
                <w:sz w:val="10"/>
                <w:szCs w:val="10"/>
                <w:color w:val="auto"/>
              </w:rPr>
            </w:pPr>
          </w:p>
        </w:tc>
        <w:tc>
          <w:tcPr>
            <w:tcW w:w="66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52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2,249,945</w:t>
            </w:r>
          </w:p>
        </w:tc>
        <w:tc>
          <w:tcPr>
            <w:tcW w:w="20" w:type="dxa"/>
            <w:vAlign w:val="bottom"/>
            <w:shd w:val="clear" w:color="auto" w:fill="CCECF8"/>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800" w:type="dxa"/>
            <w:vAlign w:val="bottom"/>
            <w:shd w:val="clear" w:color="auto" w:fill="CCECF8"/>
          </w:tcPr>
          <w:p>
            <w:pPr>
              <w:ind w:left="120"/>
              <w:spacing w:after="0" w:line="119" w:lineRule="exact"/>
              <w:rPr>
                <w:sz w:val="20"/>
                <w:szCs w:val="20"/>
                <w:color w:val="auto"/>
              </w:rPr>
            </w:pPr>
            <w:r>
              <w:rPr>
                <w:rFonts w:ascii="Arial" w:cs="Arial" w:eastAsia="Arial" w:hAnsi="Arial"/>
                <w:sz w:val="11"/>
                <w:szCs w:val="11"/>
                <w:color w:val="auto"/>
              </w:rPr>
              <w:t>RSU Award</w:t>
            </w:r>
            <w:r>
              <w:rPr>
                <w:rFonts w:ascii="Arial" w:cs="Arial" w:eastAsia="Arial" w:hAnsi="Arial"/>
                <w:sz w:val="8"/>
                <w:szCs w:val="8"/>
                <w:color w:val="auto"/>
              </w:rPr>
              <w:t>(5)</w:t>
            </w:r>
          </w:p>
        </w:tc>
        <w:tc>
          <w:tcPr>
            <w:tcW w:w="80" w:type="dxa"/>
            <w:vAlign w:val="bottom"/>
            <w:shd w:val="clear" w:color="auto" w:fill="CCECF8"/>
          </w:tcPr>
          <w:p>
            <w:pPr>
              <w:spacing w:after="0"/>
              <w:rPr>
                <w:sz w:val="10"/>
                <w:szCs w:val="10"/>
                <w:color w:val="auto"/>
              </w:rPr>
            </w:pPr>
          </w:p>
        </w:tc>
        <w:tc>
          <w:tcPr>
            <w:tcW w:w="460" w:type="dxa"/>
            <w:vAlign w:val="bottom"/>
            <w:shd w:val="clear" w:color="auto" w:fill="CCECF8"/>
          </w:tcPr>
          <w:p>
            <w:pPr>
              <w:ind w:left="40"/>
              <w:spacing w:after="0" w:line="119" w:lineRule="exact"/>
              <w:rPr>
                <w:sz w:val="20"/>
                <w:szCs w:val="20"/>
                <w:color w:val="auto"/>
              </w:rPr>
            </w:pPr>
            <w:r>
              <w:rPr>
                <w:rFonts w:ascii="Arial" w:cs="Arial" w:eastAsia="Arial" w:hAnsi="Arial"/>
                <w:sz w:val="11"/>
                <w:szCs w:val="11"/>
                <w:color w:val="auto"/>
                <w:w w:val="81"/>
              </w:rPr>
              <w:t>2/14/2017</w:t>
            </w:r>
          </w:p>
        </w:tc>
        <w:tc>
          <w:tcPr>
            <w:tcW w:w="40" w:type="dxa"/>
            <w:vAlign w:val="bottom"/>
            <w:shd w:val="clear" w:color="auto" w:fill="CCECF8"/>
          </w:tcPr>
          <w:p>
            <w:pPr>
              <w:spacing w:after="0"/>
              <w:rPr>
                <w:sz w:val="10"/>
                <w:szCs w:val="10"/>
                <w:color w:val="auto"/>
              </w:rPr>
            </w:pPr>
          </w:p>
        </w:tc>
        <w:tc>
          <w:tcPr>
            <w:tcW w:w="640" w:type="dxa"/>
            <w:vAlign w:val="bottom"/>
            <w:gridSpan w:val="3"/>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2/9/2017</w:t>
            </w:r>
          </w:p>
        </w:tc>
        <w:tc>
          <w:tcPr>
            <w:tcW w:w="46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w:t>
            </w:r>
          </w:p>
        </w:tc>
        <w:tc>
          <w:tcPr>
            <w:tcW w:w="120" w:type="dxa"/>
            <w:vAlign w:val="bottom"/>
            <w:shd w:val="clear" w:color="auto" w:fill="CCECF8"/>
          </w:tcPr>
          <w:p>
            <w:pPr>
              <w:spacing w:after="0"/>
              <w:rPr>
                <w:sz w:val="10"/>
                <w:szCs w:val="10"/>
                <w:color w:val="auto"/>
              </w:rPr>
            </w:pPr>
          </w:p>
        </w:tc>
        <w:tc>
          <w:tcPr>
            <w:tcW w:w="48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420" w:type="dxa"/>
            <w:vAlign w:val="bottom"/>
            <w:gridSpan w:val="2"/>
            <w:shd w:val="clear" w:color="auto" w:fill="CCECF8"/>
          </w:tcPr>
          <w:p>
            <w:pPr>
              <w:jc w:val="right"/>
              <w:ind w:right="100"/>
              <w:spacing w:after="0" w:line="119" w:lineRule="exact"/>
              <w:rPr>
                <w:sz w:val="20"/>
                <w:szCs w:val="20"/>
                <w:color w:val="auto"/>
              </w:rPr>
            </w:pPr>
            <w:r>
              <w:rPr>
                <w:rFonts w:ascii="Arial" w:cs="Arial" w:eastAsia="Arial" w:hAnsi="Arial"/>
                <w:sz w:val="11"/>
                <w:szCs w:val="11"/>
                <w:color w:val="auto"/>
              </w:rPr>
              <w:t>—</w:t>
            </w:r>
          </w:p>
        </w:tc>
        <w:tc>
          <w:tcPr>
            <w:tcW w:w="48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w:t>
            </w:r>
          </w:p>
        </w:tc>
        <w:tc>
          <w:tcPr>
            <w:tcW w:w="780" w:type="dxa"/>
            <w:vAlign w:val="bottom"/>
            <w:gridSpan w:val="3"/>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26,929</w:t>
            </w:r>
          </w:p>
        </w:tc>
        <w:tc>
          <w:tcPr>
            <w:tcW w:w="64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52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1,499,945</w:t>
            </w:r>
          </w:p>
        </w:tc>
        <w:tc>
          <w:tcPr>
            <w:tcW w:w="20" w:type="dxa"/>
            <w:vAlign w:val="bottom"/>
            <w:shd w:val="clear" w:color="auto" w:fill="CCECF8"/>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800" w:type="dxa"/>
            <w:vAlign w:val="bottom"/>
            <w:shd w:val="clear" w:color="auto" w:fill="CCECF8"/>
          </w:tcPr>
          <w:p>
            <w:pPr>
              <w:ind w:left="120"/>
              <w:spacing w:after="0"/>
              <w:rPr>
                <w:sz w:val="20"/>
                <w:szCs w:val="20"/>
                <w:color w:val="auto"/>
              </w:rPr>
            </w:pPr>
            <w:r>
              <w:rPr>
                <w:rFonts w:ascii="Arial" w:cs="Arial" w:eastAsia="Arial" w:hAnsi="Arial"/>
                <w:sz w:val="11"/>
                <w:szCs w:val="11"/>
                <w:color w:val="auto"/>
              </w:rPr>
              <w:t>Stock Option Award</w:t>
            </w:r>
            <w:r>
              <w:rPr>
                <w:rFonts w:ascii="Arial" w:cs="Arial" w:eastAsia="Arial" w:hAnsi="Arial"/>
                <w:sz w:val="8"/>
                <w:szCs w:val="8"/>
                <w:color w:val="auto"/>
              </w:rPr>
              <w:t>(6)</w:t>
            </w:r>
          </w:p>
        </w:tc>
        <w:tc>
          <w:tcPr>
            <w:tcW w:w="80" w:type="dxa"/>
            <w:vAlign w:val="bottom"/>
            <w:shd w:val="clear" w:color="auto" w:fill="CCECF8"/>
          </w:tcPr>
          <w:p>
            <w:pPr>
              <w:spacing w:after="0"/>
              <w:rPr>
                <w:sz w:val="11"/>
                <w:szCs w:val="11"/>
                <w:color w:val="auto"/>
              </w:rPr>
            </w:pPr>
          </w:p>
        </w:tc>
        <w:tc>
          <w:tcPr>
            <w:tcW w:w="460" w:type="dxa"/>
            <w:vAlign w:val="bottom"/>
            <w:shd w:val="clear" w:color="auto" w:fill="CCECF8"/>
          </w:tcPr>
          <w:p>
            <w:pPr>
              <w:ind w:left="40"/>
              <w:spacing w:after="0"/>
              <w:rPr>
                <w:sz w:val="20"/>
                <w:szCs w:val="20"/>
                <w:color w:val="auto"/>
              </w:rPr>
            </w:pPr>
            <w:r>
              <w:rPr>
                <w:rFonts w:ascii="Arial" w:cs="Arial" w:eastAsia="Arial" w:hAnsi="Arial"/>
                <w:sz w:val="11"/>
                <w:szCs w:val="11"/>
                <w:color w:val="auto"/>
                <w:w w:val="81"/>
              </w:rPr>
              <w:t>2/14/2017</w:t>
            </w:r>
          </w:p>
        </w:tc>
        <w:tc>
          <w:tcPr>
            <w:tcW w:w="40" w:type="dxa"/>
            <w:vAlign w:val="bottom"/>
            <w:shd w:val="clear" w:color="auto" w:fill="CCECF8"/>
          </w:tcPr>
          <w:p>
            <w:pPr>
              <w:spacing w:after="0"/>
              <w:rPr>
                <w:sz w:val="11"/>
                <w:szCs w:val="11"/>
                <w:color w:val="auto"/>
              </w:rPr>
            </w:pPr>
          </w:p>
        </w:tc>
        <w:tc>
          <w:tcPr>
            <w:tcW w:w="640" w:type="dxa"/>
            <w:vAlign w:val="bottom"/>
            <w:gridSpan w:val="3"/>
            <w:shd w:val="clear" w:color="auto" w:fill="CCECF8"/>
          </w:tcPr>
          <w:p>
            <w:pPr>
              <w:jc w:val="right"/>
              <w:ind w:right="120"/>
              <w:spacing w:after="0"/>
              <w:rPr>
                <w:sz w:val="20"/>
                <w:szCs w:val="20"/>
                <w:color w:val="auto"/>
              </w:rPr>
            </w:pPr>
            <w:r>
              <w:rPr>
                <w:rFonts w:ascii="Arial" w:cs="Arial" w:eastAsia="Arial" w:hAnsi="Arial"/>
                <w:sz w:val="11"/>
                <w:szCs w:val="11"/>
                <w:color w:val="auto"/>
              </w:rPr>
              <w:t>2/9/2017</w:t>
            </w:r>
          </w:p>
        </w:tc>
        <w:tc>
          <w:tcPr>
            <w:tcW w:w="460" w:type="dxa"/>
            <w:vAlign w:val="bottom"/>
            <w:shd w:val="clear" w:color="auto" w:fill="CCECF8"/>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8"/>
          </w:tcPr>
          <w:p>
            <w:pPr>
              <w:spacing w:after="0"/>
              <w:rPr>
                <w:sz w:val="11"/>
                <w:szCs w:val="11"/>
                <w:color w:val="auto"/>
              </w:rPr>
            </w:pPr>
          </w:p>
        </w:tc>
        <w:tc>
          <w:tcPr>
            <w:tcW w:w="480" w:type="dxa"/>
            <w:vAlign w:val="bottom"/>
            <w:gridSpan w:val="2"/>
            <w:shd w:val="clear" w:color="auto" w:fill="CCECF8"/>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CF8"/>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CF8"/>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CF8"/>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CF8"/>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8"/>
          </w:tcPr>
          <w:p>
            <w:pPr>
              <w:spacing w:after="0"/>
              <w:rPr>
                <w:sz w:val="11"/>
                <w:szCs w:val="11"/>
                <w:color w:val="auto"/>
              </w:rPr>
            </w:pPr>
          </w:p>
        </w:tc>
        <w:tc>
          <w:tcPr>
            <w:tcW w:w="660" w:type="dxa"/>
            <w:vAlign w:val="bottom"/>
            <w:gridSpan w:val="2"/>
            <w:shd w:val="clear" w:color="auto" w:fill="CCECF8"/>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CF8"/>
          </w:tcPr>
          <w:p>
            <w:pPr>
              <w:jc w:val="right"/>
              <w:spacing w:after="0"/>
              <w:rPr>
                <w:sz w:val="20"/>
                <w:szCs w:val="20"/>
                <w:color w:val="auto"/>
              </w:rPr>
            </w:pPr>
            <w:r>
              <w:rPr>
                <w:rFonts w:ascii="Arial" w:cs="Arial" w:eastAsia="Arial" w:hAnsi="Arial"/>
                <w:sz w:val="11"/>
                <w:szCs w:val="11"/>
                <w:color w:val="auto"/>
              </w:rPr>
              <w:t>39,343</w:t>
            </w:r>
          </w:p>
        </w:tc>
        <w:tc>
          <w:tcPr>
            <w:tcW w:w="120" w:type="dxa"/>
            <w:vAlign w:val="bottom"/>
            <w:shd w:val="clear" w:color="auto" w:fill="CCECF8"/>
          </w:tcPr>
          <w:p>
            <w:pPr>
              <w:spacing w:after="0"/>
              <w:rPr>
                <w:sz w:val="11"/>
                <w:szCs w:val="11"/>
                <w:color w:val="auto"/>
              </w:rPr>
            </w:pPr>
          </w:p>
        </w:tc>
        <w:tc>
          <w:tcPr>
            <w:tcW w:w="500" w:type="dxa"/>
            <w:vAlign w:val="bottom"/>
            <w:shd w:val="clear" w:color="auto" w:fill="CCECF8"/>
          </w:tcPr>
          <w:p>
            <w:pPr>
              <w:jc w:val="right"/>
              <w:spacing w:after="0"/>
              <w:rPr>
                <w:sz w:val="20"/>
                <w:szCs w:val="20"/>
                <w:color w:val="auto"/>
              </w:rPr>
            </w:pPr>
            <w:r>
              <w:rPr>
                <w:rFonts w:ascii="Arial" w:cs="Arial" w:eastAsia="Arial" w:hAnsi="Arial"/>
                <w:sz w:val="11"/>
                <w:szCs w:val="11"/>
                <w:color w:val="auto"/>
              </w:rPr>
              <w:t>55.70</w:t>
            </w:r>
          </w:p>
        </w:tc>
        <w:tc>
          <w:tcPr>
            <w:tcW w:w="120" w:type="dxa"/>
            <w:vAlign w:val="bottom"/>
            <w:shd w:val="clear" w:color="auto" w:fill="CCECF8"/>
          </w:tcPr>
          <w:p>
            <w:pPr>
              <w:spacing w:after="0"/>
              <w:rPr>
                <w:sz w:val="11"/>
                <w:szCs w:val="11"/>
                <w:color w:val="auto"/>
              </w:rPr>
            </w:pPr>
          </w:p>
        </w:tc>
        <w:tc>
          <w:tcPr>
            <w:tcW w:w="520" w:type="dxa"/>
            <w:vAlign w:val="bottom"/>
            <w:shd w:val="clear" w:color="auto" w:fill="CCECF8"/>
          </w:tcPr>
          <w:p>
            <w:pPr>
              <w:jc w:val="right"/>
              <w:spacing w:after="0"/>
              <w:rPr>
                <w:sz w:val="20"/>
                <w:szCs w:val="20"/>
                <w:color w:val="auto"/>
              </w:rPr>
            </w:pPr>
            <w:r>
              <w:rPr>
                <w:rFonts w:ascii="Arial" w:cs="Arial" w:eastAsia="Arial" w:hAnsi="Arial"/>
                <w:sz w:val="11"/>
                <w:szCs w:val="11"/>
                <w:color w:val="auto"/>
              </w:rPr>
              <w:t>749,996</w:t>
            </w:r>
          </w:p>
        </w:tc>
        <w:tc>
          <w:tcPr>
            <w:tcW w:w="20" w:type="dxa"/>
            <w:vAlign w:val="bottom"/>
            <w:shd w:val="clear" w:color="auto" w:fill="CCECF8"/>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800" w:type="dxa"/>
            <w:vAlign w:val="bottom"/>
          </w:tcPr>
          <w:p>
            <w:pPr>
              <w:spacing w:after="0"/>
              <w:rPr>
                <w:sz w:val="20"/>
                <w:szCs w:val="20"/>
                <w:color w:val="auto"/>
              </w:rPr>
            </w:pPr>
            <w:r>
              <w:rPr>
                <w:rFonts w:ascii="Arial" w:cs="Arial" w:eastAsia="Arial" w:hAnsi="Arial"/>
                <w:sz w:val="11"/>
                <w:szCs w:val="11"/>
                <w:b w:val="1"/>
                <w:bCs w:val="1"/>
                <w:color w:val="auto"/>
              </w:rPr>
              <w:t>Kimberly K. Nelson</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3800" w:type="dxa"/>
            <w:vAlign w:val="bottom"/>
          </w:tcPr>
          <w:p>
            <w:pPr>
              <w:ind w:left="120"/>
              <w:spacing w:after="0" w:line="119" w:lineRule="exact"/>
              <w:rPr>
                <w:sz w:val="20"/>
                <w:szCs w:val="20"/>
                <w:color w:val="auto"/>
              </w:rPr>
            </w:pPr>
            <w:r>
              <w:rPr>
                <w:rFonts w:ascii="Arial" w:cs="Arial" w:eastAsia="Arial" w:hAnsi="Arial"/>
                <w:sz w:val="11"/>
                <w:szCs w:val="11"/>
                <w:color w:val="auto"/>
              </w:rPr>
              <w:t>Annual Cash Bonus</w:t>
            </w:r>
            <w:r>
              <w:rPr>
                <w:rFonts w:ascii="Arial" w:cs="Arial" w:eastAsia="Arial" w:hAnsi="Arial"/>
                <w:sz w:val="8"/>
                <w:szCs w:val="8"/>
                <w:color w:val="auto"/>
              </w:rPr>
              <w:t>(3)</w:t>
            </w:r>
          </w:p>
        </w:tc>
        <w:tc>
          <w:tcPr>
            <w:tcW w:w="80" w:type="dxa"/>
            <w:vAlign w:val="bottom"/>
          </w:tcPr>
          <w:p>
            <w:pPr>
              <w:spacing w:after="0"/>
              <w:rPr>
                <w:sz w:val="10"/>
                <w:szCs w:val="10"/>
                <w:color w:val="auto"/>
              </w:rPr>
            </w:pPr>
          </w:p>
        </w:tc>
        <w:tc>
          <w:tcPr>
            <w:tcW w:w="500" w:type="dxa"/>
            <w:vAlign w:val="bottom"/>
            <w:gridSpan w:val="2"/>
          </w:tcPr>
          <w:p>
            <w:pPr>
              <w:ind w:left="360"/>
              <w:spacing w:after="0" w:line="119" w:lineRule="exact"/>
              <w:rPr>
                <w:sz w:val="20"/>
                <w:szCs w:val="20"/>
                <w:color w:val="auto"/>
              </w:rPr>
            </w:pPr>
            <w:r>
              <w:rPr>
                <w:rFonts w:ascii="Arial" w:cs="Arial" w:eastAsia="Arial" w:hAnsi="Arial"/>
                <w:sz w:val="11"/>
                <w:szCs w:val="11"/>
                <w:color w:val="auto"/>
              </w:rPr>
              <w:t>—</w:t>
            </w:r>
          </w:p>
        </w:tc>
        <w:tc>
          <w:tcPr>
            <w:tcW w:w="640" w:type="dxa"/>
            <w:vAlign w:val="bottom"/>
            <w:gridSpan w:val="3"/>
          </w:tcPr>
          <w:p>
            <w:pPr>
              <w:jc w:val="right"/>
              <w:ind w:right="120"/>
              <w:spacing w:after="0" w:line="119" w:lineRule="exact"/>
              <w:rPr>
                <w:sz w:val="20"/>
                <w:szCs w:val="20"/>
                <w:color w:val="auto"/>
              </w:rPr>
            </w:pPr>
            <w:r>
              <w:rPr>
                <w:rFonts w:ascii="Arial" w:cs="Arial" w:eastAsia="Arial" w:hAnsi="Arial"/>
                <w:sz w:val="11"/>
                <w:szCs w:val="11"/>
                <w:color w:val="auto"/>
              </w:rPr>
              <w:t>2/9/2017</w:t>
            </w:r>
          </w:p>
        </w:tc>
        <w:tc>
          <w:tcPr>
            <w:tcW w:w="460" w:type="dxa"/>
            <w:vAlign w:val="bottom"/>
          </w:tcPr>
          <w:p>
            <w:pPr>
              <w:jc w:val="right"/>
              <w:spacing w:after="0" w:line="119" w:lineRule="exact"/>
              <w:rPr>
                <w:sz w:val="20"/>
                <w:szCs w:val="20"/>
                <w:color w:val="auto"/>
              </w:rPr>
            </w:pPr>
            <w:r>
              <w:rPr>
                <w:rFonts w:ascii="Arial" w:cs="Arial" w:eastAsia="Arial" w:hAnsi="Arial"/>
                <w:sz w:val="11"/>
                <w:szCs w:val="11"/>
                <w:color w:val="auto"/>
              </w:rPr>
              <w:t>91,000</w:t>
            </w:r>
          </w:p>
        </w:tc>
        <w:tc>
          <w:tcPr>
            <w:tcW w:w="600" w:type="dxa"/>
            <w:vAlign w:val="bottom"/>
            <w:gridSpan w:val="3"/>
          </w:tcPr>
          <w:p>
            <w:pPr>
              <w:jc w:val="right"/>
              <w:ind w:right="120"/>
              <w:spacing w:after="0" w:line="119" w:lineRule="exact"/>
              <w:rPr>
                <w:sz w:val="20"/>
                <w:szCs w:val="20"/>
                <w:color w:val="auto"/>
              </w:rPr>
            </w:pPr>
            <w:r>
              <w:rPr>
                <w:rFonts w:ascii="Arial" w:cs="Arial" w:eastAsia="Arial" w:hAnsi="Arial"/>
                <w:sz w:val="11"/>
                <w:szCs w:val="11"/>
                <w:color w:val="auto"/>
              </w:rPr>
              <w:t>260,000</w:t>
            </w: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rPr>
              <w:t>423,800</w:t>
            </w:r>
          </w:p>
        </w:tc>
        <w:tc>
          <w:tcPr>
            <w:tcW w:w="120" w:type="dxa"/>
            <w:vAlign w:val="bottom"/>
          </w:tcPr>
          <w:p>
            <w:pPr>
              <w:spacing w:after="0"/>
              <w:rPr>
                <w:sz w:val="10"/>
                <w:szCs w:val="10"/>
                <w:color w:val="auto"/>
              </w:rPr>
            </w:pPr>
          </w:p>
        </w:tc>
        <w:tc>
          <w:tcPr>
            <w:tcW w:w="580" w:type="dxa"/>
            <w:vAlign w:val="bottom"/>
            <w:gridSpan w:val="2"/>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60" w:type="dxa"/>
            <w:vAlign w:val="bottom"/>
            <w:gridSpan w:val="2"/>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0"/>
              <w:spacing w:after="0" w:line="11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8"/>
        </w:trPr>
        <w:tc>
          <w:tcPr>
            <w:tcW w:w="3800" w:type="dxa"/>
            <w:vAlign w:val="bottom"/>
          </w:tcPr>
          <w:p>
            <w:pPr>
              <w:ind w:left="120"/>
              <w:spacing w:after="0" w:line="119" w:lineRule="exact"/>
              <w:rPr>
                <w:sz w:val="20"/>
                <w:szCs w:val="20"/>
                <w:color w:val="auto"/>
              </w:rPr>
            </w:pPr>
            <w:r>
              <w:rPr>
                <w:rFonts w:ascii="Arial" w:cs="Arial" w:eastAsia="Arial" w:hAnsi="Arial"/>
                <w:sz w:val="11"/>
                <w:szCs w:val="11"/>
                <w:color w:val="auto"/>
              </w:rPr>
              <w:t>PSU Award</w:t>
            </w:r>
            <w:r>
              <w:rPr>
                <w:rFonts w:ascii="Arial" w:cs="Arial" w:eastAsia="Arial" w:hAnsi="Arial"/>
                <w:sz w:val="8"/>
                <w:szCs w:val="8"/>
                <w:color w:val="auto"/>
              </w:rPr>
              <w:t>(4)</w:t>
            </w:r>
          </w:p>
        </w:tc>
        <w:tc>
          <w:tcPr>
            <w:tcW w:w="580" w:type="dxa"/>
            <w:vAlign w:val="bottom"/>
            <w:gridSpan w:val="3"/>
          </w:tcPr>
          <w:p>
            <w:pPr>
              <w:ind w:left="120"/>
              <w:spacing w:after="0" w:line="119" w:lineRule="exact"/>
              <w:rPr>
                <w:sz w:val="20"/>
                <w:szCs w:val="20"/>
                <w:color w:val="auto"/>
              </w:rPr>
            </w:pPr>
            <w:r>
              <w:rPr>
                <w:rFonts w:ascii="Arial" w:cs="Arial" w:eastAsia="Arial" w:hAnsi="Arial"/>
                <w:sz w:val="11"/>
                <w:szCs w:val="11"/>
                <w:color w:val="auto"/>
                <w:w w:val="89"/>
              </w:rPr>
              <w:t>2/14/2017</w:t>
            </w:r>
          </w:p>
        </w:tc>
        <w:tc>
          <w:tcPr>
            <w:tcW w:w="640" w:type="dxa"/>
            <w:vAlign w:val="bottom"/>
            <w:gridSpan w:val="3"/>
          </w:tcPr>
          <w:p>
            <w:pPr>
              <w:jc w:val="right"/>
              <w:ind w:right="120"/>
              <w:spacing w:after="0" w:line="119" w:lineRule="exact"/>
              <w:rPr>
                <w:sz w:val="20"/>
                <w:szCs w:val="20"/>
                <w:color w:val="auto"/>
              </w:rPr>
            </w:pPr>
            <w:r>
              <w:rPr>
                <w:rFonts w:ascii="Arial" w:cs="Arial" w:eastAsia="Arial" w:hAnsi="Arial"/>
                <w:sz w:val="11"/>
                <w:szCs w:val="11"/>
                <w:color w:val="auto"/>
              </w:rPr>
              <w:t>2/9/2017</w:t>
            </w:r>
          </w:p>
        </w:tc>
        <w:tc>
          <w:tcPr>
            <w:tcW w:w="46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gridSpan w:val="2"/>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19" w:lineRule="exact"/>
              <w:rPr>
                <w:sz w:val="20"/>
                <w:szCs w:val="20"/>
                <w:color w:val="auto"/>
              </w:rPr>
            </w:pPr>
            <w:r>
              <w:rPr>
                <w:rFonts w:ascii="Arial" w:cs="Arial" w:eastAsia="Arial" w:hAnsi="Arial"/>
                <w:sz w:val="11"/>
                <w:szCs w:val="11"/>
                <w:color w:val="auto"/>
              </w:rPr>
              <w:t>8,247</w:t>
            </w:r>
          </w:p>
        </w:tc>
        <w:tc>
          <w:tcPr>
            <w:tcW w:w="120" w:type="dxa"/>
            <w:vAlign w:val="bottom"/>
          </w:tcPr>
          <w:p>
            <w:pPr>
              <w:spacing w:after="0"/>
              <w:rPr>
                <w:sz w:val="10"/>
                <w:szCs w:val="10"/>
                <w:color w:val="auto"/>
              </w:rPr>
            </w:pPr>
          </w:p>
        </w:tc>
        <w:tc>
          <w:tcPr>
            <w:tcW w:w="320" w:type="dxa"/>
            <w:vAlign w:val="bottom"/>
          </w:tcPr>
          <w:p>
            <w:pPr>
              <w:jc w:val="right"/>
              <w:spacing w:after="0" w:line="119" w:lineRule="exact"/>
              <w:rPr>
                <w:sz w:val="20"/>
                <w:szCs w:val="20"/>
                <w:color w:val="auto"/>
              </w:rPr>
            </w:pPr>
            <w:r>
              <w:rPr>
                <w:rFonts w:ascii="Arial" w:cs="Arial" w:eastAsia="Arial" w:hAnsi="Arial"/>
                <w:sz w:val="11"/>
                <w:szCs w:val="11"/>
                <w:color w:val="auto"/>
                <w:w w:val="89"/>
              </w:rPr>
              <w:t>16,494</w:t>
            </w:r>
          </w:p>
        </w:tc>
        <w:tc>
          <w:tcPr>
            <w:tcW w:w="10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rPr>
              <w:t>24,741</w:t>
            </w:r>
          </w:p>
        </w:tc>
        <w:tc>
          <w:tcPr>
            <w:tcW w:w="120" w:type="dxa"/>
            <w:vAlign w:val="bottom"/>
          </w:tcPr>
          <w:p>
            <w:pPr>
              <w:spacing w:after="0"/>
              <w:rPr>
                <w:sz w:val="10"/>
                <w:szCs w:val="10"/>
                <w:color w:val="auto"/>
              </w:rPr>
            </w:pPr>
          </w:p>
        </w:tc>
        <w:tc>
          <w:tcPr>
            <w:tcW w:w="660" w:type="dxa"/>
            <w:vAlign w:val="bottom"/>
            <w:gridSpan w:val="2"/>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19" w:lineRule="exact"/>
              <w:rPr>
                <w:sz w:val="20"/>
                <w:szCs w:val="20"/>
                <w:color w:val="auto"/>
              </w:rPr>
            </w:pPr>
            <w:r>
              <w:rPr>
                <w:rFonts w:ascii="Arial" w:cs="Arial" w:eastAsia="Arial" w:hAnsi="Arial"/>
                <w:sz w:val="11"/>
                <w:szCs w:val="11"/>
                <w:color w:val="auto"/>
              </w:rPr>
              <w:t>918,716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800" w:type="dxa"/>
            <w:vAlign w:val="bottom"/>
          </w:tcPr>
          <w:p>
            <w:pPr>
              <w:ind w:left="120"/>
              <w:spacing w:after="0" w:line="119" w:lineRule="exact"/>
              <w:rPr>
                <w:sz w:val="20"/>
                <w:szCs w:val="20"/>
                <w:color w:val="auto"/>
              </w:rPr>
            </w:pPr>
            <w:r>
              <w:rPr>
                <w:rFonts w:ascii="Arial" w:cs="Arial" w:eastAsia="Arial" w:hAnsi="Arial"/>
                <w:sz w:val="11"/>
                <w:szCs w:val="11"/>
                <w:color w:val="auto"/>
              </w:rPr>
              <w:t>RSU Award</w:t>
            </w:r>
            <w:r>
              <w:rPr>
                <w:rFonts w:ascii="Arial" w:cs="Arial" w:eastAsia="Arial" w:hAnsi="Arial"/>
                <w:sz w:val="8"/>
                <w:szCs w:val="8"/>
                <w:color w:val="auto"/>
              </w:rPr>
              <w:t>(5)</w:t>
            </w:r>
          </w:p>
        </w:tc>
        <w:tc>
          <w:tcPr>
            <w:tcW w:w="580" w:type="dxa"/>
            <w:vAlign w:val="bottom"/>
            <w:gridSpan w:val="3"/>
          </w:tcPr>
          <w:p>
            <w:pPr>
              <w:ind w:left="120"/>
              <w:spacing w:after="0" w:line="119" w:lineRule="exact"/>
              <w:rPr>
                <w:sz w:val="20"/>
                <w:szCs w:val="20"/>
                <w:color w:val="auto"/>
              </w:rPr>
            </w:pPr>
            <w:r>
              <w:rPr>
                <w:rFonts w:ascii="Arial" w:cs="Arial" w:eastAsia="Arial" w:hAnsi="Arial"/>
                <w:sz w:val="11"/>
                <w:szCs w:val="11"/>
                <w:color w:val="auto"/>
                <w:w w:val="89"/>
              </w:rPr>
              <w:t>2/14/2017</w:t>
            </w:r>
          </w:p>
        </w:tc>
        <w:tc>
          <w:tcPr>
            <w:tcW w:w="640" w:type="dxa"/>
            <w:vAlign w:val="bottom"/>
            <w:gridSpan w:val="3"/>
          </w:tcPr>
          <w:p>
            <w:pPr>
              <w:jc w:val="right"/>
              <w:ind w:right="120"/>
              <w:spacing w:after="0" w:line="119" w:lineRule="exact"/>
              <w:rPr>
                <w:sz w:val="20"/>
                <w:szCs w:val="20"/>
                <w:color w:val="auto"/>
              </w:rPr>
            </w:pPr>
            <w:r>
              <w:rPr>
                <w:rFonts w:ascii="Arial" w:cs="Arial" w:eastAsia="Arial" w:hAnsi="Arial"/>
                <w:sz w:val="11"/>
                <w:szCs w:val="11"/>
                <w:color w:val="auto"/>
              </w:rPr>
              <w:t>2/9/2017</w:t>
            </w:r>
          </w:p>
        </w:tc>
        <w:tc>
          <w:tcPr>
            <w:tcW w:w="46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gridSpan w:val="2"/>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780" w:type="dxa"/>
            <w:vAlign w:val="bottom"/>
            <w:gridSpan w:val="3"/>
          </w:tcPr>
          <w:p>
            <w:pPr>
              <w:jc w:val="right"/>
              <w:ind w:right="120"/>
              <w:spacing w:after="0" w:line="119" w:lineRule="exact"/>
              <w:rPr>
                <w:sz w:val="20"/>
                <w:szCs w:val="20"/>
                <w:color w:val="auto"/>
              </w:rPr>
            </w:pPr>
            <w:r>
              <w:rPr>
                <w:rFonts w:ascii="Arial" w:cs="Arial" w:eastAsia="Arial" w:hAnsi="Arial"/>
                <w:sz w:val="11"/>
                <w:szCs w:val="11"/>
                <w:color w:val="auto"/>
              </w:rPr>
              <w:t>10,996</w:t>
            </w:r>
          </w:p>
        </w:tc>
        <w:tc>
          <w:tcPr>
            <w:tcW w:w="640" w:type="dxa"/>
            <w:vAlign w:val="bottom"/>
            <w:gridSpan w:val="2"/>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520" w:type="dxa"/>
            <w:vAlign w:val="bottom"/>
          </w:tcPr>
          <w:p>
            <w:pPr>
              <w:jc w:val="right"/>
              <w:spacing w:after="0" w:line="119" w:lineRule="exact"/>
              <w:rPr>
                <w:sz w:val="20"/>
                <w:szCs w:val="20"/>
                <w:color w:val="auto"/>
              </w:rPr>
            </w:pPr>
            <w:r>
              <w:rPr>
                <w:rFonts w:ascii="Arial" w:cs="Arial" w:eastAsia="Arial" w:hAnsi="Arial"/>
                <w:sz w:val="11"/>
                <w:szCs w:val="11"/>
                <w:color w:val="auto"/>
              </w:rPr>
              <w:t>612,477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800" w:type="dxa"/>
            <w:vAlign w:val="bottom"/>
          </w:tcPr>
          <w:p>
            <w:pPr>
              <w:ind w:left="120"/>
              <w:spacing w:after="0"/>
              <w:rPr>
                <w:sz w:val="20"/>
                <w:szCs w:val="20"/>
                <w:color w:val="auto"/>
              </w:rPr>
            </w:pPr>
            <w:r>
              <w:rPr>
                <w:rFonts w:ascii="Arial" w:cs="Arial" w:eastAsia="Arial" w:hAnsi="Arial"/>
                <w:sz w:val="11"/>
                <w:szCs w:val="11"/>
                <w:color w:val="auto"/>
              </w:rPr>
              <w:t>Stock Option Award</w:t>
            </w:r>
            <w:r>
              <w:rPr>
                <w:rFonts w:ascii="Arial" w:cs="Arial" w:eastAsia="Arial" w:hAnsi="Arial"/>
                <w:sz w:val="8"/>
                <w:szCs w:val="8"/>
                <w:color w:val="auto"/>
              </w:rPr>
              <w:t>(6)</w:t>
            </w:r>
          </w:p>
        </w:tc>
        <w:tc>
          <w:tcPr>
            <w:tcW w:w="580" w:type="dxa"/>
            <w:vAlign w:val="bottom"/>
            <w:gridSpan w:val="3"/>
          </w:tcPr>
          <w:p>
            <w:pPr>
              <w:ind w:left="120"/>
              <w:spacing w:after="0"/>
              <w:rPr>
                <w:sz w:val="20"/>
                <w:szCs w:val="20"/>
                <w:color w:val="auto"/>
              </w:rPr>
            </w:pPr>
            <w:r>
              <w:rPr>
                <w:rFonts w:ascii="Arial" w:cs="Arial" w:eastAsia="Arial" w:hAnsi="Arial"/>
                <w:sz w:val="11"/>
                <w:szCs w:val="11"/>
                <w:color w:val="auto"/>
                <w:w w:val="89"/>
              </w:rPr>
              <w:t>2/14/2017</w:t>
            </w:r>
          </w:p>
        </w:tc>
        <w:tc>
          <w:tcPr>
            <w:tcW w:w="640" w:type="dxa"/>
            <w:vAlign w:val="bottom"/>
            <w:gridSpan w:val="3"/>
          </w:tcPr>
          <w:p>
            <w:pPr>
              <w:jc w:val="right"/>
              <w:ind w:right="120"/>
              <w:spacing w:after="0"/>
              <w:rPr>
                <w:sz w:val="20"/>
                <w:szCs w:val="20"/>
                <w:color w:val="auto"/>
              </w:rPr>
            </w:pPr>
            <w:r>
              <w:rPr>
                <w:rFonts w:ascii="Arial" w:cs="Arial" w:eastAsia="Arial" w:hAnsi="Arial"/>
                <w:sz w:val="11"/>
                <w:szCs w:val="11"/>
                <w:color w:val="auto"/>
              </w:rPr>
              <w:t>2/9/2017</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16,065</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55.70</w:t>
            </w: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306,247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800" w:type="dxa"/>
            <w:vAlign w:val="bottom"/>
            <w:shd w:val="clear" w:color="auto" w:fill="CCECF8"/>
          </w:tcPr>
          <w:p>
            <w:pPr>
              <w:spacing w:after="0"/>
              <w:rPr>
                <w:sz w:val="20"/>
                <w:szCs w:val="20"/>
                <w:color w:val="auto"/>
              </w:rPr>
            </w:pPr>
            <w:r>
              <w:rPr>
                <w:rFonts w:ascii="Arial" w:cs="Arial" w:eastAsia="Arial" w:hAnsi="Arial"/>
                <w:sz w:val="11"/>
                <w:szCs w:val="11"/>
                <w:b w:val="1"/>
                <w:bCs w:val="1"/>
                <w:color w:val="auto"/>
              </w:rPr>
              <w:t>James J. Frome</w:t>
            </w:r>
          </w:p>
        </w:tc>
        <w:tc>
          <w:tcPr>
            <w:tcW w:w="80" w:type="dxa"/>
            <w:vAlign w:val="bottom"/>
            <w:shd w:val="clear" w:color="auto" w:fill="CCECF8"/>
          </w:tcPr>
          <w:p>
            <w:pPr>
              <w:spacing w:after="0"/>
              <w:rPr>
                <w:sz w:val="15"/>
                <w:szCs w:val="15"/>
                <w:color w:val="auto"/>
              </w:rPr>
            </w:pPr>
          </w:p>
        </w:tc>
        <w:tc>
          <w:tcPr>
            <w:tcW w:w="460" w:type="dxa"/>
            <w:vAlign w:val="bottom"/>
            <w:shd w:val="clear" w:color="auto" w:fill="CCECF8"/>
          </w:tcPr>
          <w:p>
            <w:pPr>
              <w:spacing w:after="0"/>
              <w:rPr>
                <w:sz w:val="15"/>
                <w:szCs w:val="15"/>
                <w:color w:val="auto"/>
              </w:rPr>
            </w:pPr>
          </w:p>
        </w:tc>
        <w:tc>
          <w:tcPr>
            <w:tcW w:w="40" w:type="dxa"/>
            <w:vAlign w:val="bottom"/>
            <w:shd w:val="clear" w:color="auto" w:fill="CCECF8"/>
          </w:tcPr>
          <w:p>
            <w:pPr>
              <w:spacing w:after="0"/>
              <w:rPr>
                <w:sz w:val="15"/>
                <w:szCs w:val="15"/>
                <w:color w:val="auto"/>
              </w:rPr>
            </w:pPr>
          </w:p>
        </w:tc>
        <w:tc>
          <w:tcPr>
            <w:tcW w:w="80" w:type="dxa"/>
            <w:vAlign w:val="bottom"/>
            <w:shd w:val="clear" w:color="auto" w:fill="CCECF8"/>
          </w:tcPr>
          <w:p>
            <w:pPr>
              <w:spacing w:after="0"/>
              <w:rPr>
                <w:sz w:val="15"/>
                <w:szCs w:val="15"/>
                <w:color w:val="auto"/>
              </w:rPr>
            </w:pPr>
          </w:p>
        </w:tc>
        <w:tc>
          <w:tcPr>
            <w:tcW w:w="440" w:type="dxa"/>
            <w:vAlign w:val="bottom"/>
            <w:shd w:val="clear" w:color="auto" w:fill="CCECF8"/>
          </w:tcPr>
          <w:p>
            <w:pPr>
              <w:spacing w:after="0"/>
              <w:rPr>
                <w:sz w:val="15"/>
                <w:szCs w:val="15"/>
                <w:color w:val="auto"/>
              </w:rPr>
            </w:pPr>
          </w:p>
        </w:tc>
        <w:tc>
          <w:tcPr>
            <w:tcW w:w="120" w:type="dxa"/>
            <w:vAlign w:val="bottom"/>
            <w:shd w:val="clear" w:color="auto" w:fill="CCECF8"/>
          </w:tcPr>
          <w:p>
            <w:pPr>
              <w:spacing w:after="0"/>
              <w:rPr>
                <w:sz w:val="15"/>
                <w:szCs w:val="15"/>
                <w:color w:val="auto"/>
              </w:rPr>
            </w:pPr>
          </w:p>
        </w:tc>
        <w:tc>
          <w:tcPr>
            <w:tcW w:w="460" w:type="dxa"/>
            <w:vAlign w:val="bottom"/>
            <w:shd w:val="clear" w:color="auto" w:fill="CCECF8"/>
          </w:tcPr>
          <w:p>
            <w:pPr>
              <w:spacing w:after="0"/>
              <w:rPr>
                <w:sz w:val="15"/>
                <w:szCs w:val="15"/>
                <w:color w:val="auto"/>
              </w:rPr>
            </w:pPr>
          </w:p>
        </w:tc>
        <w:tc>
          <w:tcPr>
            <w:tcW w:w="120" w:type="dxa"/>
            <w:vAlign w:val="bottom"/>
            <w:shd w:val="clear" w:color="auto" w:fill="CCECF8"/>
          </w:tcPr>
          <w:p>
            <w:pPr>
              <w:spacing w:after="0"/>
              <w:rPr>
                <w:sz w:val="15"/>
                <w:szCs w:val="15"/>
                <w:color w:val="auto"/>
              </w:rPr>
            </w:pPr>
          </w:p>
        </w:tc>
        <w:tc>
          <w:tcPr>
            <w:tcW w:w="360" w:type="dxa"/>
            <w:vAlign w:val="bottom"/>
            <w:shd w:val="clear" w:color="auto" w:fill="CCECF8"/>
          </w:tcPr>
          <w:p>
            <w:pPr>
              <w:spacing w:after="0"/>
              <w:rPr>
                <w:sz w:val="15"/>
                <w:szCs w:val="15"/>
                <w:color w:val="auto"/>
              </w:rPr>
            </w:pPr>
          </w:p>
        </w:tc>
        <w:tc>
          <w:tcPr>
            <w:tcW w:w="120" w:type="dxa"/>
            <w:vAlign w:val="bottom"/>
            <w:shd w:val="clear" w:color="auto" w:fill="CCECF8"/>
          </w:tcPr>
          <w:p>
            <w:pPr>
              <w:spacing w:after="0"/>
              <w:rPr>
                <w:sz w:val="15"/>
                <w:szCs w:val="15"/>
                <w:color w:val="auto"/>
              </w:rPr>
            </w:pPr>
          </w:p>
        </w:tc>
        <w:tc>
          <w:tcPr>
            <w:tcW w:w="480" w:type="dxa"/>
            <w:vAlign w:val="bottom"/>
            <w:shd w:val="clear" w:color="auto" w:fill="CCECF8"/>
          </w:tcPr>
          <w:p>
            <w:pPr>
              <w:spacing w:after="0"/>
              <w:rPr>
                <w:sz w:val="15"/>
                <w:szCs w:val="15"/>
                <w:color w:val="auto"/>
              </w:rPr>
            </w:pPr>
          </w:p>
        </w:tc>
        <w:tc>
          <w:tcPr>
            <w:tcW w:w="120" w:type="dxa"/>
            <w:vAlign w:val="bottom"/>
            <w:shd w:val="clear" w:color="auto" w:fill="CCECF8"/>
          </w:tcPr>
          <w:p>
            <w:pPr>
              <w:spacing w:after="0"/>
              <w:rPr>
                <w:sz w:val="15"/>
                <w:szCs w:val="15"/>
                <w:color w:val="auto"/>
              </w:rPr>
            </w:pPr>
          </w:p>
        </w:tc>
        <w:tc>
          <w:tcPr>
            <w:tcW w:w="460" w:type="dxa"/>
            <w:vAlign w:val="bottom"/>
            <w:shd w:val="clear" w:color="auto" w:fill="CCECF8"/>
          </w:tcPr>
          <w:p>
            <w:pPr>
              <w:spacing w:after="0"/>
              <w:rPr>
                <w:sz w:val="15"/>
                <w:szCs w:val="15"/>
                <w:color w:val="auto"/>
              </w:rPr>
            </w:pPr>
          </w:p>
        </w:tc>
        <w:tc>
          <w:tcPr>
            <w:tcW w:w="120" w:type="dxa"/>
            <w:vAlign w:val="bottom"/>
            <w:shd w:val="clear" w:color="auto" w:fill="CCECF8"/>
          </w:tcPr>
          <w:p>
            <w:pPr>
              <w:spacing w:after="0"/>
              <w:rPr>
                <w:sz w:val="15"/>
                <w:szCs w:val="15"/>
                <w:color w:val="auto"/>
              </w:rPr>
            </w:pPr>
          </w:p>
        </w:tc>
        <w:tc>
          <w:tcPr>
            <w:tcW w:w="320" w:type="dxa"/>
            <w:vAlign w:val="bottom"/>
            <w:shd w:val="clear" w:color="auto" w:fill="CCECF8"/>
          </w:tcPr>
          <w:p>
            <w:pPr>
              <w:spacing w:after="0"/>
              <w:rPr>
                <w:sz w:val="15"/>
                <w:szCs w:val="15"/>
                <w:color w:val="auto"/>
              </w:rPr>
            </w:pPr>
          </w:p>
        </w:tc>
        <w:tc>
          <w:tcPr>
            <w:tcW w:w="100" w:type="dxa"/>
            <w:vAlign w:val="bottom"/>
            <w:shd w:val="clear" w:color="auto" w:fill="CCECF8"/>
          </w:tcPr>
          <w:p>
            <w:pPr>
              <w:spacing w:after="0"/>
              <w:rPr>
                <w:sz w:val="15"/>
                <w:szCs w:val="15"/>
                <w:color w:val="auto"/>
              </w:rPr>
            </w:pPr>
          </w:p>
        </w:tc>
        <w:tc>
          <w:tcPr>
            <w:tcW w:w="480" w:type="dxa"/>
            <w:vAlign w:val="bottom"/>
            <w:shd w:val="clear" w:color="auto" w:fill="CCECF8"/>
          </w:tcPr>
          <w:p>
            <w:pPr>
              <w:spacing w:after="0"/>
              <w:rPr>
                <w:sz w:val="15"/>
                <w:szCs w:val="15"/>
                <w:color w:val="auto"/>
              </w:rPr>
            </w:pPr>
          </w:p>
        </w:tc>
        <w:tc>
          <w:tcPr>
            <w:tcW w:w="120" w:type="dxa"/>
            <w:vAlign w:val="bottom"/>
            <w:shd w:val="clear" w:color="auto" w:fill="CCECF8"/>
          </w:tcPr>
          <w:p>
            <w:pPr>
              <w:spacing w:after="0"/>
              <w:rPr>
                <w:sz w:val="15"/>
                <w:szCs w:val="15"/>
                <w:color w:val="auto"/>
              </w:rPr>
            </w:pPr>
          </w:p>
        </w:tc>
        <w:tc>
          <w:tcPr>
            <w:tcW w:w="540" w:type="dxa"/>
            <w:vAlign w:val="bottom"/>
            <w:shd w:val="clear" w:color="auto" w:fill="CCECF8"/>
          </w:tcPr>
          <w:p>
            <w:pPr>
              <w:spacing w:after="0"/>
              <w:rPr>
                <w:sz w:val="15"/>
                <w:szCs w:val="15"/>
                <w:color w:val="auto"/>
              </w:rPr>
            </w:pPr>
          </w:p>
        </w:tc>
        <w:tc>
          <w:tcPr>
            <w:tcW w:w="120" w:type="dxa"/>
            <w:vAlign w:val="bottom"/>
            <w:shd w:val="clear" w:color="auto" w:fill="CCECF8"/>
          </w:tcPr>
          <w:p>
            <w:pPr>
              <w:spacing w:after="0"/>
              <w:rPr>
                <w:sz w:val="15"/>
                <w:szCs w:val="15"/>
                <w:color w:val="auto"/>
              </w:rPr>
            </w:pPr>
          </w:p>
        </w:tc>
        <w:tc>
          <w:tcPr>
            <w:tcW w:w="520" w:type="dxa"/>
            <w:vAlign w:val="bottom"/>
            <w:shd w:val="clear" w:color="auto" w:fill="CCECF8"/>
          </w:tcPr>
          <w:p>
            <w:pPr>
              <w:spacing w:after="0"/>
              <w:rPr>
                <w:sz w:val="15"/>
                <w:szCs w:val="15"/>
                <w:color w:val="auto"/>
              </w:rPr>
            </w:pPr>
          </w:p>
        </w:tc>
        <w:tc>
          <w:tcPr>
            <w:tcW w:w="120" w:type="dxa"/>
            <w:vAlign w:val="bottom"/>
            <w:shd w:val="clear" w:color="auto" w:fill="CCECF8"/>
          </w:tcPr>
          <w:p>
            <w:pPr>
              <w:spacing w:after="0"/>
              <w:rPr>
                <w:sz w:val="15"/>
                <w:szCs w:val="15"/>
                <w:color w:val="auto"/>
              </w:rPr>
            </w:pPr>
          </w:p>
        </w:tc>
        <w:tc>
          <w:tcPr>
            <w:tcW w:w="500" w:type="dxa"/>
            <w:vAlign w:val="bottom"/>
            <w:shd w:val="clear" w:color="auto" w:fill="CCECF8"/>
          </w:tcPr>
          <w:p>
            <w:pPr>
              <w:spacing w:after="0"/>
              <w:rPr>
                <w:sz w:val="15"/>
                <w:szCs w:val="15"/>
                <w:color w:val="auto"/>
              </w:rPr>
            </w:pPr>
          </w:p>
        </w:tc>
        <w:tc>
          <w:tcPr>
            <w:tcW w:w="120" w:type="dxa"/>
            <w:vAlign w:val="bottom"/>
            <w:shd w:val="clear" w:color="auto" w:fill="CCECF8"/>
          </w:tcPr>
          <w:p>
            <w:pPr>
              <w:spacing w:after="0"/>
              <w:rPr>
                <w:sz w:val="15"/>
                <w:szCs w:val="15"/>
                <w:color w:val="auto"/>
              </w:rPr>
            </w:pPr>
          </w:p>
        </w:tc>
        <w:tc>
          <w:tcPr>
            <w:tcW w:w="520" w:type="dxa"/>
            <w:vAlign w:val="bottom"/>
            <w:shd w:val="clear" w:color="auto" w:fill="CCECF8"/>
          </w:tcPr>
          <w:p>
            <w:pPr>
              <w:spacing w:after="0"/>
              <w:rPr>
                <w:sz w:val="15"/>
                <w:szCs w:val="15"/>
                <w:color w:val="auto"/>
              </w:rPr>
            </w:pPr>
          </w:p>
        </w:tc>
        <w:tc>
          <w:tcPr>
            <w:tcW w:w="20" w:type="dxa"/>
            <w:vAlign w:val="bottom"/>
            <w:shd w:val="clear" w:color="auto" w:fill="CCECF8"/>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3800" w:type="dxa"/>
            <w:vAlign w:val="bottom"/>
            <w:shd w:val="clear" w:color="auto" w:fill="CCECF8"/>
          </w:tcPr>
          <w:p>
            <w:pPr>
              <w:ind w:left="120"/>
              <w:spacing w:after="0" w:line="119" w:lineRule="exact"/>
              <w:rPr>
                <w:sz w:val="20"/>
                <w:szCs w:val="20"/>
                <w:color w:val="auto"/>
              </w:rPr>
            </w:pPr>
            <w:r>
              <w:rPr>
                <w:rFonts w:ascii="Arial" w:cs="Arial" w:eastAsia="Arial" w:hAnsi="Arial"/>
                <w:sz w:val="11"/>
                <w:szCs w:val="11"/>
                <w:color w:val="auto"/>
              </w:rPr>
              <w:t>Annual Cash Bonus</w:t>
            </w:r>
            <w:r>
              <w:rPr>
                <w:rFonts w:ascii="Arial" w:cs="Arial" w:eastAsia="Arial" w:hAnsi="Arial"/>
                <w:sz w:val="8"/>
                <w:szCs w:val="8"/>
                <w:color w:val="auto"/>
              </w:rPr>
              <w:t>(3)</w:t>
            </w:r>
          </w:p>
        </w:tc>
        <w:tc>
          <w:tcPr>
            <w:tcW w:w="80" w:type="dxa"/>
            <w:vAlign w:val="bottom"/>
            <w:shd w:val="clear" w:color="auto" w:fill="CCECF8"/>
          </w:tcPr>
          <w:p>
            <w:pPr>
              <w:spacing w:after="0"/>
              <w:rPr>
                <w:sz w:val="10"/>
                <w:szCs w:val="10"/>
                <w:color w:val="auto"/>
              </w:rPr>
            </w:pPr>
          </w:p>
        </w:tc>
        <w:tc>
          <w:tcPr>
            <w:tcW w:w="500" w:type="dxa"/>
            <w:vAlign w:val="bottom"/>
            <w:gridSpan w:val="2"/>
            <w:shd w:val="clear" w:color="auto" w:fill="CCECF8"/>
          </w:tcPr>
          <w:p>
            <w:pPr>
              <w:ind w:left="360"/>
              <w:spacing w:after="0" w:line="119" w:lineRule="exact"/>
              <w:rPr>
                <w:sz w:val="20"/>
                <w:szCs w:val="20"/>
                <w:color w:val="auto"/>
              </w:rPr>
            </w:pPr>
            <w:r>
              <w:rPr>
                <w:rFonts w:ascii="Arial" w:cs="Arial" w:eastAsia="Arial" w:hAnsi="Arial"/>
                <w:sz w:val="11"/>
                <w:szCs w:val="11"/>
                <w:color w:val="auto"/>
              </w:rPr>
              <w:t>—</w:t>
            </w:r>
          </w:p>
        </w:tc>
        <w:tc>
          <w:tcPr>
            <w:tcW w:w="640" w:type="dxa"/>
            <w:vAlign w:val="bottom"/>
            <w:gridSpan w:val="3"/>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2/9/2017</w:t>
            </w:r>
          </w:p>
        </w:tc>
        <w:tc>
          <w:tcPr>
            <w:tcW w:w="46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94,500</w:t>
            </w:r>
          </w:p>
        </w:tc>
        <w:tc>
          <w:tcPr>
            <w:tcW w:w="600" w:type="dxa"/>
            <w:vAlign w:val="bottom"/>
            <w:gridSpan w:val="3"/>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270,000</w:t>
            </w:r>
          </w:p>
        </w:tc>
        <w:tc>
          <w:tcPr>
            <w:tcW w:w="48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440,100</w:t>
            </w:r>
          </w:p>
        </w:tc>
        <w:tc>
          <w:tcPr>
            <w:tcW w:w="120" w:type="dxa"/>
            <w:vAlign w:val="bottom"/>
            <w:shd w:val="clear" w:color="auto" w:fill="CCECF8"/>
          </w:tcPr>
          <w:p>
            <w:pPr>
              <w:spacing w:after="0"/>
              <w:rPr>
                <w:sz w:val="10"/>
                <w:szCs w:val="10"/>
                <w:color w:val="auto"/>
              </w:rPr>
            </w:pPr>
          </w:p>
        </w:tc>
        <w:tc>
          <w:tcPr>
            <w:tcW w:w="58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420" w:type="dxa"/>
            <w:vAlign w:val="bottom"/>
            <w:gridSpan w:val="2"/>
            <w:shd w:val="clear" w:color="auto" w:fill="CCECF8"/>
          </w:tcPr>
          <w:p>
            <w:pPr>
              <w:jc w:val="right"/>
              <w:ind w:right="100"/>
              <w:spacing w:after="0" w:line="119" w:lineRule="exact"/>
              <w:rPr>
                <w:sz w:val="20"/>
                <w:szCs w:val="20"/>
                <w:color w:val="auto"/>
              </w:rPr>
            </w:pPr>
            <w:r>
              <w:rPr>
                <w:rFonts w:ascii="Arial" w:cs="Arial" w:eastAsia="Arial" w:hAnsi="Arial"/>
                <w:sz w:val="11"/>
                <w:szCs w:val="11"/>
                <w:color w:val="auto"/>
              </w:rPr>
              <w:t>—</w:t>
            </w:r>
          </w:p>
        </w:tc>
        <w:tc>
          <w:tcPr>
            <w:tcW w:w="48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w:t>
            </w:r>
          </w:p>
        </w:tc>
        <w:tc>
          <w:tcPr>
            <w:tcW w:w="120" w:type="dxa"/>
            <w:vAlign w:val="bottom"/>
            <w:shd w:val="clear" w:color="auto" w:fill="CCECF8"/>
          </w:tcPr>
          <w:p>
            <w:pPr>
              <w:spacing w:after="0"/>
              <w:rPr>
                <w:sz w:val="10"/>
                <w:szCs w:val="10"/>
                <w:color w:val="auto"/>
              </w:rPr>
            </w:pPr>
          </w:p>
        </w:tc>
        <w:tc>
          <w:tcPr>
            <w:tcW w:w="66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CF8"/>
          </w:tcPr>
          <w:p>
            <w:pPr>
              <w:jc w:val="right"/>
              <w:ind w:right="20"/>
              <w:spacing w:after="0" w:line="11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8"/>
        </w:trPr>
        <w:tc>
          <w:tcPr>
            <w:tcW w:w="3800" w:type="dxa"/>
            <w:vAlign w:val="bottom"/>
            <w:shd w:val="clear" w:color="auto" w:fill="CCECF8"/>
          </w:tcPr>
          <w:p>
            <w:pPr>
              <w:ind w:left="120"/>
              <w:spacing w:after="0" w:line="119" w:lineRule="exact"/>
              <w:rPr>
                <w:sz w:val="20"/>
                <w:szCs w:val="20"/>
                <w:color w:val="auto"/>
              </w:rPr>
            </w:pPr>
            <w:r>
              <w:rPr>
                <w:rFonts w:ascii="Arial" w:cs="Arial" w:eastAsia="Arial" w:hAnsi="Arial"/>
                <w:sz w:val="11"/>
                <w:szCs w:val="11"/>
                <w:color w:val="auto"/>
              </w:rPr>
              <w:t>PSU Award</w:t>
            </w:r>
            <w:r>
              <w:rPr>
                <w:rFonts w:ascii="Arial" w:cs="Arial" w:eastAsia="Arial" w:hAnsi="Arial"/>
                <w:sz w:val="8"/>
                <w:szCs w:val="8"/>
                <w:color w:val="auto"/>
              </w:rPr>
              <w:t>(4)</w:t>
            </w:r>
          </w:p>
        </w:tc>
        <w:tc>
          <w:tcPr>
            <w:tcW w:w="80" w:type="dxa"/>
            <w:vAlign w:val="bottom"/>
            <w:shd w:val="clear" w:color="auto" w:fill="CCECF8"/>
          </w:tcPr>
          <w:p>
            <w:pPr>
              <w:spacing w:after="0"/>
              <w:rPr>
                <w:sz w:val="10"/>
                <w:szCs w:val="10"/>
                <w:color w:val="auto"/>
              </w:rPr>
            </w:pPr>
          </w:p>
        </w:tc>
        <w:tc>
          <w:tcPr>
            <w:tcW w:w="460" w:type="dxa"/>
            <w:vAlign w:val="bottom"/>
            <w:shd w:val="clear" w:color="auto" w:fill="CCECF8"/>
          </w:tcPr>
          <w:p>
            <w:pPr>
              <w:ind w:left="40"/>
              <w:spacing w:after="0" w:line="119" w:lineRule="exact"/>
              <w:rPr>
                <w:sz w:val="20"/>
                <w:szCs w:val="20"/>
                <w:color w:val="auto"/>
              </w:rPr>
            </w:pPr>
            <w:r>
              <w:rPr>
                <w:rFonts w:ascii="Arial" w:cs="Arial" w:eastAsia="Arial" w:hAnsi="Arial"/>
                <w:sz w:val="11"/>
                <w:szCs w:val="11"/>
                <w:color w:val="auto"/>
                <w:w w:val="81"/>
              </w:rPr>
              <w:t>2/14/2017</w:t>
            </w:r>
          </w:p>
        </w:tc>
        <w:tc>
          <w:tcPr>
            <w:tcW w:w="40" w:type="dxa"/>
            <w:vAlign w:val="bottom"/>
            <w:shd w:val="clear" w:color="auto" w:fill="CCECF8"/>
          </w:tcPr>
          <w:p>
            <w:pPr>
              <w:spacing w:after="0"/>
              <w:rPr>
                <w:sz w:val="10"/>
                <w:szCs w:val="10"/>
                <w:color w:val="auto"/>
              </w:rPr>
            </w:pPr>
          </w:p>
        </w:tc>
        <w:tc>
          <w:tcPr>
            <w:tcW w:w="640" w:type="dxa"/>
            <w:vAlign w:val="bottom"/>
            <w:gridSpan w:val="3"/>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2/9/2017</w:t>
            </w:r>
          </w:p>
        </w:tc>
        <w:tc>
          <w:tcPr>
            <w:tcW w:w="46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w:t>
            </w:r>
          </w:p>
        </w:tc>
        <w:tc>
          <w:tcPr>
            <w:tcW w:w="120" w:type="dxa"/>
            <w:vAlign w:val="bottom"/>
            <w:shd w:val="clear" w:color="auto" w:fill="CCECF8"/>
          </w:tcPr>
          <w:p>
            <w:pPr>
              <w:spacing w:after="0"/>
              <w:rPr>
                <w:sz w:val="10"/>
                <w:szCs w:val="10"/>
                <w:color w:val="auto"/>
              </w:rPr>
            </w:pPr>
          </w:p>
        </w:tc>
        <w:tc>
          <w:tcPr>
            <w:tcW w:w="48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46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8,381</w:t>
            </w:r>
          </w:p>
        </w:tc>
        <w:tc>
          <w:tcPr>
            <w:tcW w:w="120" w:type="dxa"/>
            <w:vAlign w:val="bottom"/>
            <w:shd w:val="clear" w:color="auto" w:fill="CCECF8"/>
          </w:tcPr>
          <w:p>
            <w:pPr>
              <w:spacing w:after="0"/>
              <w:rPr>
                <w:sz w:val="10"/>
                <w:szCs w:val="10"/>
                <w:color w:val="auto"/>
              </w:rPr>
            </w:pPr>
          </w:p>
        </w:tc>
        <w:tc>
          <w:tcPr>
            <w:tcW w:w="32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w w:val="89"/>
              </w:rPr>
              <w:t>16,763</w:t>
            </w:r>
          </w:p>
        </w:tc>
        <w:tc>
          <w:tcPr>
            <w:tcW w:w="100" w:type="dxa"/>
            <w:vAlign w:val="bottom"/>
            <w:shd w:val="clear" w:color="auto" w:fill="CCECF8"/>
          </w:tcPr>
          <w:p>
            <w:pPr>
              <w:spacing w:after="0"/>
              <w:rPr>
                <w:sz w:val="10"/>
                <w:szCs w:val="10"/>
                <w:color w:val="auto"/>
              </w:rPr>
            </w:pPr>
          </w:p>
        </w:tc>
        <w:tc>
          <w:tcPr>
            <w:tcW w:w="48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25,145</w:t>
            </w:r>
          </w:p>
        </w:tc>
        <w:tc>
          <w:tcPr>
            <w:tcW w:w="120" w:type="dxa"/>
            <w:vAlign w:val="bottom"/>
            <w:shd w:val="clear" w:color="auto" w:fill="CCECF8"/>
          </w:tcPr>
          <w:p>
            <w:pPr>
              <w:spacing w:after="0"/>
              <w:rPr>
                <w:sz w:val="10"/>
                <w:szCs w:val="10"/>
                <w:color w:val="auto"/>
              </w:rPr>
            </w:pPr>
          </w:p>
        </w:tc>
        <w:tc>
          <w:tcPr>
            <w:tcW w:w="66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52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933,699</w:t>
            </w:r>
          </w:p>
        </w:tc>
        <w:tc>
          <w:tcPr>
            <w:tcW w:w="20" w:type="dxa"/>
            <w:vAlign w:val="bottom"/>
            <w:shd w:val="clear" w:color="auto" w:fill="CCECF8"/>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800" w:type="dxa"/>
            <w:vAlign w:val="bottom"/>
            <w:shd w:val="clear" w:color="auto" w:fill="CCECF8"/>
          </w:tcPr>
          <w:p>
            <w:pPr>
              <w:ind w:left="120"/>
              <w:spacing w:after="0" w:line="119" w:lineRule="exact"/>
              <w:rPr>
                <w:sz w:val="20"/>
                <w:szCs w:val="20"/>
                <w:color w:val="auto"/>
              </w:rPr>
            </w:pPr>
            <w:r>
              <w:rPr>
                <w:rFonts w:ascii="Arial" w:cs="Arial" w:eastAsia="Arial" w:hAnsi="Arial"/>
                <w:sz w:val="11"/>
                <w:szCs w:val="11"/>
                <w:color w:val="auto"/>
              </w:rPr>
              <w:t>RSU Award</w:t>
            </w:r>
            <w:r>
              <w:rPr>
                <w:rFonts w:ascii="Arial" w:cs="Arial" w:eastAsia="Arial" w:hAnsi="Arial"/>
                <w:sz w:val="8"/>
                <w:szCs w:val="8"/>
                <w:color w:val="auto"/>
              </w:rPr>
              <w:t>(5)</w:t>
            </w:r>
          </w:p>
        </w:tc>
        <w:tc>
          <w:tcPr>
            <w:tcW w:w="80" w:type="dxa"/>
            <w:vAlign w:val="bottom"/>
            <w:shd w:val="clear" w:color="auto" w:fill="CCECF8"/>
          </w:tcPr>
          <w:p>
            <w:pPr>
              <w:spacing w:after="0"/>
              <w:rPr>
                <w:sz w:val="10"/>
                <w:szCs w:val="10"/>
                <w:color w:val="auto"/>
              </w:rPr>
            </w:pPr>
          </w:p>
        </w:tc>
        <w:tc>
          <w:tcPr>
            <w:tcW w:w="460" w:type="dxa"/>
            <w:vAlign w:val="bottom"/>
            <w:shd w:val="clear" w:color="auto" w:fill="CCECF8"/>
          </w:tcPr>
          <w:p>
            <w:pPr>
              <w:ind w:left="40"/>
              <w:spacing w:after="0" w:line="119" w:lineRule="exact"/>
              <w:rPr>
                <w:sz w:val="20"/>
                <w:szCs w:val="20"/>
                <w:color w:val="auto"/>
              </w:rPr>
            </w:pPr>
            <w:r>
              <w:rPr>
                <w:rFonts w:ascii="Arial" w:cs="Arial" w:eastAsia="Arial" w:hAnsi="Arial"/>
                <w:sz w:val="11"/>
                <w:szCs w:val="11"/>
                <w:color w:val="auto"/>
                <w:w w:val="81"/>
              </w:rPr>
              <w:t>2/14/2017</w:t>
            </w:r>
          </w:p>
        </w:tc>
        <w:tc>
          <w:tcPr>
            <w:tcW w:w="40" w:type="dxa"/>
            <w:vAlign w:val="bottom"/>
            <w:shd w:val="clear" w:color="auto" w:fill="CCECF8"/>
          </w:tcPr>
          <w:p>
            <w:pPr>
              <w:spacing w:after="0"/>
              <w:rPr>
                <w:sz w:val="10"/>
                <w:szCs w:val="10"/>
                <w:color w:val="auto"/>
              </w:rPr>
            </w:pPr>
          </w:p>
        </w:tc>
        <w:tc>
          <w:tcPr>
            <w:tcW w:w="640" w:type="dxa"/>
            <w:vAlign w:val="bottom"/>
            <w:gridSpan w:val="3"/>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2/9/2017</w:t>
            </w:r>
          </w:p>
        </w:tc>
        <w:tc>
          <w:tcPr>
            <w:tcW w:w="46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w:t>
            </w:r>
          </w:p>
        </w:tc>
        <w:tc>
          <w:tcPr>
            <w:tcW w:w="120" w:type="dxa"/>
            <w:vAlign w:val="bottom"/>
            <w:shd w:val="clear" w:color="auto" w:fill="CCECF8"/>
          </w:tcPr>
          <w:p>
            <w:pPr>
              <w:spacing w:after="0"/>
              <w:rPr>
                <w:sz w:val="10"/>
                <w:szCs w:val="10"/>
                <w:color w:val="auto"/>
              </w:rPr>
            </w:pPr>
          </w:p>
        </w:tc>
        <w:tc>
          <w:tcPr>
            <w:tcW w:w="48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420" w:type="dxa"/>
            <w:vAlign w:val="bottom"/>
            <w:gridSpan w:val="2"/>
            <w:shd w:val="clear" w:color="auto" w:fill="CCECF8"/>
          </w:tcPr>
          <w:p>
            <w:pPr>
              <w:jc w:val="right"/>
              <w:ind w:right="100"/>
              <w:spacing w:after="0" w:line="119" w:lineRule="exact"/>
              <w:rPr>
                <w:sz w:val="20"/>
                <w:szCs w:val="20"/>
                <w:color w:val="auto"/>
              </w:rPr>
            </w:pPr>
            <w:r>
              <w:rPr>
                <w:rFonts w:ascii="Arial" w:cs="Arial" w:eastAsia="Arial" w:hAnsi="Arial"/>
                <w:sz w:val="11"/>
                <w:szCs w:val="11"/>
                <w:color w:val="auto"/>
              </w:rPr>
              <w:t>—</w:t>
            </w:r>
          </w:p>
        </w:tc>
        <w:tc>
          <w:tcPr>
            <w:tcW w:w="48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w:t>
            </w:r>
          </w:p>
        </w:tc>
        <w:tc>
          <w:tcPr>
            <w:tcW w:w="780" w:type="dxa"/>
            <w:vAlign w:val="bottom"/>
            <w:gridSpan w:val="3"/>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11,175</w:t>
            </w:r>
          </w:p>
        </w:tc>
        <w:tc>
          <w:tcPr>
            <w:tcW w:w="64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CF8"/>
          </w:tcPr>
          <w:p>
            <w:pPr>
              <w:jc w:val="right"/>
              <w:ind w:right="120"/>
              <w:spacing w:after="0" w:line="119" w:lineRule="exact"/>
              <w:rPr>
                <w:sz w:val="20"/>
                <w:szCs w:val="20"/>
                <w:color w:val="auto"/>
              </w:rPr>
            </w:pPr>
            <w:r>
              <w:rPr>
                <w:rFonts w:ascii="Arial" w:cs="Arial" w:eastAsia="Arial" w:hAnsi="Arial"/>
                <w:sz w:val="11"/>
                <w:szCs w:val="11"/>
                <w:color w:val="auto"/>
              </w:rPr>
              <w:t>—</w:t>
            </w:r>
          </w:p>
        </w:tc>
        <w:tc>
          <w:tcPr>
            <w:tcW w:w="52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622,448</w:t>
            </w:r>
          </w:p>
        </w:tc>
        <w:tc>
          <w:tcPr>
            <w:tcW w:w="20" w:type="dxa"/>
            <w:vAlign w:val="bottom"/>
            <w:shd w:val="clear" w:color="auto" w:fill="CCECF8"/>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800" w:type="dxa"/>
            <w:vAlign w:val="bottom"/>
            <w:shd w:val="clear" w:color="auto" w:fill="CCECF8"/>
          </w:tcPr>
          <w:p>
            <w:pPr>
              <w:ind w:left="120"/>
              <w:spacing w:after="0"/>
              <w:rPr>
                <w:sz w:val="20"/>
                <w:szCs w:val="20"/>
                <w:color w:val="auto"/>
              </w:rPr>
            </w:pPr>
            <w:r>
              <w:rPr>
                <w:rFonts w:ascii="Arial" w:cs="Arial" w:eastAsia="Arial" w:hAnsi="Arial"/>
                <w:sz w:val="11"/>
                <w:szCs w:val="11"/>
                <w:color w:val="auto"/>
              </w:rPr>
              <w:t>Stock Option Award</w:t>
            </w:r>
            <w:r>
              <w:rPr>
                <w:rFonts w:ascii="Arial" w:cs="Arial" w:eastAsia="Arial" w:hAnsi="Arial"/>
                <w:sz w:val="8"/>
                <w:szCs w:val="8"/>
                <w:color w:val="auto"/>
              </w:rPr>
              <w:t>(6)</w:t>
            </w:r>
          </w:p>
        </w:tc>
        <w:tc>
          <w:tcPr>
            <w:tcW w:w="80" w:type="dxa"/>
            <w:vAlign w:val="bottom"/>
            <w:shd w:val="clear" w:color="auto" w:fill="CCECF8"/>
          </w:tcPr>
          <w:p>
            <w:pPr>
              <w:spacing w:after="0"/>
              <w:rPr>
                <w:sz w:val="11"/>
                <w:szCs w:val="11"/>
                <w:color w:val="auto"/>
              </w:rPr>
            </w:pPr>
          </w:p>
        </w:tc>
        <w:tc>
          <w:tcPr>
            <w:tcW w:w="460" w:type="dxa"/>
            <w:vAlign w:val="bottom"/>
            <w:shd w:val="clear" w:color="auto" w:fill="CCECF8"/>
          </w:tcPr>
          <w:p>
            <w:pPr>
              <w:ind w:left="40"/>
              <w:spacing w:after="0"/>
              <w:rPr>
                <w:sz w:val="20"/>
                <w:szCs w:val="20"/>
                <w:color w:val="auto"/>
              </w:rPr>
            </w:pPr>
            <w:r>
              <w:rPr>
                <w:rFonts w:ascii="Arial" w:cs="Arial" w:eastAsia="Arial" w:hAnsi="Arial"/>
                <w:sz w:val="11"/>
                <w:szCs w:val="11"/>
                <w:color w:val="auto"/>
                <w:w w:val="81"/>
              </w:rPr>
              <w:t>2/14/2017</w:t>
            </w:r>
          </w:p>
        </w:tc>
        <w:tc>
          <w:tcPr>
            <w:tcW w:w="40" w:type="dxa"/>
            <w:vAlign w:val="bottom"/>
            <w:shd w:val="clear" w:color="auto" w:fill="CCECF8"/>
          </w:tcPr>
          <w:p>
            <w:pPr>
              <w:spacing w:after="0"/>
              <w:rPr>
                <w:sz w:val="11"/>
                <w:szCs w:val="11"/>
                <w:color w:val="auto"/>
              </w:rPr>
            </w:pPr>
          </w:p>
        </w:tc>
        <w:tc>
          <w:tcPr>
            <w:tcW w:w="640" w:type="dxa"/>
            <w:vAlign w:val="bottom"/>
            <w:gridSpan w:val="3"/>
            <w:shd w:val="clear" w:color="auto" w:fill="CCECF8"/>
          </w:tcPr>
          <w:p>
            <w:pPr>
              <w:jc w:val="right"/>
              <w:ind w:right="120"/>
              <w:spacing w:after="0"/>
              <w:rPr>
                <w:sz w:val="20"/>
                <w:szCs w:val="20"/>
                <w:color w:val="auto"/>
              </w:rPr>
            </w:pPr>
            <w:r>
              <w:rPr>
                <w:rFonts w:ascii="Arial" w:cs="Arial" w:eastAsia="Arial" w:hAnsi="Arial"/>
                <w:sz w:val="11"/>
                <w:szCs w:val="11"/>
                <w:color w:val="auto"/>
              </w:rPr>
              <w:t>2/9/2017</w:t>
            </w:r>
          </w:p>
        </w:tc>
        <w:tc>
          <w:tcPr>
            <w:tcW w:w="460" w:type="dxa"/>
            <w:vAlign w:val="bottom"/>
            <w:shd w:val="clear" w:color="auto" w:fill="CCECF8"/>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8"/>
          </w:tcPr>
          <w:p>
            <w:pPr>
              <w:spacing w:after="0"/>
              <w:rPr>
                <w:sz w:val="11"/>
                <w:szCs w:val="11"/>
                <w:color w:val="auto"/>
              </w:rPr>
            </w:pPr>
          </w:p>
        </w:tc>
        <w:tc>
          <w:tcPr>
            <w:tcW w:w="480" w:type="dxa"/>
            <w:vAlign w:val="bottom"/>
            <w:gridSpan w:val="2"/>
            <w:shd w:val="clear" w:color="auto" w:fill="CCECF8"/>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CF8"/>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CF8"/>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CF8"/>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CF8"/>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8"/>
          </w:tcPr>
          <w:p>
            <w:pPr>
              <w:spacing w:after="0"/>
              <w:rPr>
                <w:sz w:val="11"/>
                <w:szCs w:val="11"/>
                <w:color w:val="auto"/>
              </w:rPr>
            </w:pPr>
          </w:p>
        </w:tc>
        <w:tc>
          <w:tcPr>
            <w:tcW w:w="660" w:type="dxa"/>
            <w:vAlign w:val="bottom"/>
            <w:gridSpan w:val="2"/>
            <w:shd w:val="clear" w:color="auto" w:fill="CCECF8"/>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CF8"/>
          </w:tcPr>
          <w:p>
            <w:pPr>
              <w:jc w:val="right"/>
              <w:spacing w:after="0"/>
              <w:rPr>
                <w:sz w:val="20"/>
                <w:szCs w:val="20"/>
                <w:color w:val="auto"/>
              </w:rPr>
            </w:pPr>
            <w:r>
              <w:rPr>
                <w:rFonts w:ascii="Arial" w:cs="Arial" w:eastAsia="Arial" w:hAnsi="Arial"/>
                <w:sz w:val="11"/>
                <w:szCs w:val="11"/>
                <w:color w:val="auto"/>
              </w:rPr>
              <w:t>16,327</w:t>
            </w:r>
          </w:p>
        </w:tc>
        <w:tc>
          <w:tcPr>
            <w:tcW w:w="120" w:type="dxa"/>
            <w:vAlign w:val="bottom"/>
            <w:shd w:val="clear" w:color="auto" w:fill="CCECF8"/>
          </w:tcPr>
          <w:p>
            <w:pPr>
              <w:spacing w:after="0"/>
              <w:rPr>
                <w:sz w:val="11"/>
                <w:szCs w:val="11"/>
                <w:color w:val="auto"/>
              </w:rPr>
            </w:pPr>
          </w:p>
        </w:tc>
        <w:tc>
          <w:tcPr>
            <w:tcW w:w="500" w:type="dxa"/>
            <w:vAlign w:val="bottom"/>
            <w:shd w:val="clear" w:color="auto" w:fill="CCECF8"/>
          </w:tcPr>
          <w:p>
            <w:pPr>
              <w:jc w:val="right"/>
              <w:spacing w:after="0"/>
              <w:rPr>
                <w:sz w:val="20"/>
                <w:szCs w:val="20"/>
                <w:color w:val="auto"/>
              </w:rPr>
            </w:pPr>
            <w:r>
              <w:rPr>
                <w:rFonts w:ascii="Arial" w:cs="Arial" w:eastAsia="Arial" w:hAnsi="Arial"/>
                <w:sz w:val="11"/>
                <w:szCs w:val="11"/>
                <w:color w:val="auto"/>
              </w:rPr>
              <w:t>55.70</w:t>
            </w:r>
          </w:p>
        </w:tc>
        <w:tc>
          <w:tcPr>
            <w:tcW w:w="120" w:type="dxa"/>
            <w:vAlign w:val="bottom"/>
            <w:shd w:val="clear" w:color="auto" w:fill="CCECF8"/>
          </w:tcPr>
          <w:p>
            <w:pPr>
              <w:spacing w:after="0"/>
              <w:rPr>
                <w:sz w:val="11"/>
                <w:szCs w:val="11"/>
                <w:color w:val="auto"/>
              </w:rPr>
            </w:pPr>
          </w:p>
        </w:tc>
        <w:tc>
          <w:tcPr>
            <w:tcW w:w="520" w:type="dxa"/>
            <w:vAlign w:val="bottom"/>
            <w:shd w:val="clear" w:color="auto" w:fill="CCECF8"/>
          </w:tcPr>
          <w:p>
            <w:pPr>
              <w:jc w:val="right"/>
              <w:spacing w:after="0"/>
              <w:rPr>
                <w:sz w:val="20"/>
                <w:szCs w:val="20"/>
                <w:color w:val="auto"/>
              </w:rPr>
            </w:pPr>
            <w:r>
              <w:rPr>
                <w:rFonts w:ascii="Arial" w:cs="Arial" w:eastAsia="Arial" w:hAnsi="Arial"/>
                <w:sz w:val="11"/>
                <w:szCs w:val="11"/>
                <w:color w:val="auto"/>
              </w:rPr>
              <w:t>311,242</w:t>
            </w:r>
          </w:p>
        </w:tc>
        <w:tc>
          <w:tcPr>
            <w:tcW w:w="20" w:type="dxa"/>
            <w:vAlign w:val="bottom"/>
            <w:shd w:val="clear" w:color="auto" w:fill="CCECF8"/>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83820</wp:posOffset>
            </wp:positionV>
            <wp:extent cx="12280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52" w:lineRule="exact"/>
        <w:rPr>
          <w:sz w:val="20"/>
          <w:szCs w:val="20"/>
          <w:color w:val="auto"/>
        </w:rPr>
      </w:pPr>
    </w:p>
    <w:p>
      <w:pPr>
        <w:ind w:left="760" w:right="40" w:hanging="413"/>
        <w:spacing w:after="0" w:line="252"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compensation committee approved the grants of PSUs, RSUs and options on February 9, 2017. In accordance with the terms of these approvals, the grant date of these awards was February 14, 2017. All equity awards granted in 2017 were granted under our 2010 Equity Incentive Plan.</w:t>
      </w:r>
    </w:p>
    <w:p>
      <w:pPr>
        <w:spacing w:after="0" w:line="216" w:lineRule="exact"/>
        <w:rPr>
          <w:rFonts w:ascii="Arial" w:cs="Arial" w:eastAsia="Arial" w:hAnsi="Arial"/>
          <w:sz w:val="18"/>
          <w:szCs w:val="18"/>
          <w:color w:val="auto"/>
        </w:rPr>
      </w:pPr>
    </w:p>
    <w:p>
      <w:pPr>
        <w:ind w:left="760" w:right="40" w:hanging="413"/>
        <w:spacing w:after="0" w:line="249"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grant date fair value of each RSU award and targeted grant date value of each PSU was computed in accordance with ASC Topic 718 based on the closing stock price on the grant date. For a discussion of the relevant assumptions used to determine the valuation of our option awards for financial reporting purposes please refer to Note I to the Notes to Consolidated Financial Statements included in our Annual Report on Form 10-K filed with the SEC on February 26, 2018.</w:t>
      </w:r>
    </w:p>
    <w:p>
      <w:pPr>
        <w:spacing w:after="0" w:line="219" w:lineRule="exact"/>
        <w:rPr>
          <w:rFonts w:ascii="Arial" w:cs="Arial" w:eastAsia="Arial" w:hAnsi="Arial"/>
          <w:sz w:val="18"/>
          <w:szCs w:val="18"/>
          <w:color w:val="auto"/>
        </w:rPr>
      </w:pPr>
    </w:p>
    <w:p>
      <w:pPr>
        <w:jc w:val="both"/>
        <w:ind w:left="760" w:right="180" w:hanging="413"/>
        <w:spacing w:after="0" w:line="252"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represent estimated payouts of annual case incentives granted under our 2017 Management Incentive Plan. The amount each executive will receive is based on actual revenues and Adjusted EBITDA for the year. The actual cash incentive bonus earned in connection with the 2017 awards are reported in the 2017 Summary Compensation Table.</w:t>
      </w:r>
    </w:p>
    <w:p>
      <w:pPr>
        <w:spacing w:after="0" w:line="216" w:lineRule="exact"/>
        <w:rPr>
          <w:rFonts w:ascii="Arial" w:cs="Arial" w:eastAsia="Arial" w:hAnsi="Arial"/>
          <w:sz w:val="18"/>
          <w:szCs w:val="18"/>
          <w:color w:val="auto"/>
        </w:rPr>
      </w:pPr>
    </w:p>
    <w:p>
      <w:pPr>
        <w:ind w:left="760" w:right="140" w:hanging="413"/>
        <w:spacing w:after="0" w:line="249"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represent the estimated future number of PSUs that may be earned under our 2010 Equity Incentive Plan at target and maximum levels. The PSUs will be paid out in shares of our common stock. The number of PSUs that the executive officer will receive will be determined at the conclusion of the 2017-2019 performance period and will be dependent upon the Company’s achievement of revenue goals approved by the compensation committee.</w:t>
      </w:r>
    </w:p>
    <w:p>
      <w:pPr>
        <w:spacing w:after="0" w:line="219" w:lineRule="exact"/>
        <w:rPr>
          <w:rFonts w:ascii="Arial" w:cs="Arial" w:eastAsia="Arial" w:hAnsi="Arial"/>
          <w:sz w:val="18"/>
          <w:szCs w:val="18"/>
          <w:color w:val="auto"/>
        </w:rPr>
      </w:pPr>
    </w:p>
    <w:p>
      <w:pPr>
        <w:ind w:left="760" w:right="140" w:hanging="413"/>
        <w:spacing w:after="0" w:line="261"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RSUs vested as to one-fourth of the underlying units on February 14, 2018, with the remaining underlying units vesting in 36 equal monthly installments on the fifth day of each month thereafter beginning March 14, 2018.</w:t>
      </w:r>
    </w:p>
    <w:p>
      <w:pPr>
        <w:spacing w:after="0" w:line="207" w:lineRule="exact"/>
        <w:rPr>
          <w:rFonts w:ascii="Arial" w:cs="Arial" w:eastAsia="Arial" w:hAnsi="Arial"/>
          <w:sz w:val="18"/>
          <w:szCs w:val="18"/>
          <w:color w:val="auto"/>
        </w:rPr>
      </w:pPr>
    </w:p>
    <w:p>
      <w:pPr>
        <w:ind w:left="760" w:right="220" w:hanging="413"/>
        <w:spacing w:after="0" w:line="261"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stock options vested as to one-fourth of the underlying shares on February 14, 2018, with the remaining underlying option shares vesting in 36 equal monthly installments on the fifth day of each month thereafter beginning March 14, 2018.</w:t>
      </w:r>
    </w:p>
    <w:p>
      <w:pPr>
        <w:spacing w:after="0" w:line="11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240" w:top="451" w:right="57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220980</wp:posOffset>
            </wp:positionV>
            <wp:extent cx="68160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34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Outstanding Equity Awards at Fiscal Year-End Table</w:t>
      </w:r>
    </w:p>
    <w:p>
      <w:pPr>
        <w:spacing w:after="0" w:line="112"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following table sets forth certain information regarding the outstanding equity awards held by our named executive officers as of</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31, 2017:</w:t>
      </w: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132"/>
        </w:trPr>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w w:val="86"/>
              </w:rPr>
              <w:t>Option Awards</w:t>
            </w:r>
          </w:p>
        </w:tc>
        <w:tc>
          <w:tcPr>
            <w:tcW w:w="3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Stock Award</w:t>
            </w: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98"/>
        </w:trPr>
        <w:tc>
          <w:tcPr>
            <w:tcW w:w="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gridSpan w:val="2"/>
          </w:tcPr>
          <w:p>
            <w:pPr>
              <w:jc w:val="center"/>
              <w:ind w:right="280"/>
              <w:spacing w:after="0" w:line="98" w:lineRule="exact"/>
              <w:rPr>
                <w:sz w:val="20"/>
                <w:szCs w:val="20"/>
                <w:color w:val="auto"/>
              </w:rPr>
            </w:pPr>
            <w:r>
              <w:rPr>
                <w:rFonts w:ascii="Arial" w:cs="Arial" w:eastAsia="Arial" w:hAnsi="Arial"/>
                <w:sz w:val="11"/>
                <w:szCs w:val="11"/>
                <w:b w:val="1"/>
                <w:bCs w:val="1"/>
                <w:color w:val="auto"/>
                <w:w w:val="87"/>
              </w:rPr>
              <w:t>Number of</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gridSpan w:val="2"/>
          </w:tcPr>
          <w:p>
            <w:pPr>
              <w:jc w:val="right"/>
              <w:ind w:right="280"/>
              <w:spacing w:after="0" w:line="98" w:lineRule="exact"/>
              <w:rPr>
                <w:sz w:val="20"/>
                <w:szCs w:val="20"/>
                <w:color w:val="auto"/>
              </w:rPr>
            </w:pPr>
            <w:r>
              <w:rPr>
                <w:rFonts w:ascii="Arial" w:cs="Arial" w:eastAsia="Arial" w:hAnsi="Arial"/>
                <w:sz w:val="11"/>
                <w:szCs w:val="11"/>
                <w:b w:val="1"/>
                <w:bCs w:val="1"/>
                <w:color w:val="auto"/>
                <w:w w:val="85"/>
              </w:rPr>
              <w:t>Equity Incentive</w:t>
            </w:r>
          </w:p>
        </w:tc>
        <w:tc>
          <w:tcPr>
            <w:tcW w:w="760" w:type="dxa"/>
            <w:vAlign w:val="bottom"/>
          </w:tcPr>
          <w:p>
            <w:pPr>
              <w:jc w:val="center"/>
              <w:spacing w:after="0" w:line="98" w:lineRule="exact"/>
              <w:rPr>
                <w:sz w:val="20"/>
                <w:szCs w:val="20"/>
                <w:color w:val="auto"/>
              </w:rPr>
            </w:pPr>
            <w:r>
              <w:rPr>
                <w:rFonts w:ascii="Arial" w:cs="Arial" w:eastAsia="Arial" w:hAnsi="Arial"/>
                <w:sz w:val="11"/>
                <w:szCs w:val="11"/>
                <w:b w:val="1"/>
                <w:bCs w:val="1"/>
                <w:color w:val="auto"/>
                <w:w w:val="90"/>
              </w:rPr>
              <w:t>Equity Incentive</w:t>
            </w:r>
          </w:p>
        </w:tc>
        <w:tc>
          <w:tcPr>
            <w:tcW w:w="20" w:type="dxa"/>
            <w:vAlign w:val="bottom"/>
          </w:tcPr>
          <w:p>
            <w:pPr>
              <w:spacing w:after="0"/>
              <w:rPr>
                <w:sz w:val="8"/>
                <w:szCs w:val="8"/>
                <w:color w:val="auto"/>
              </w:rPr>
            </w:pPr>
          </w:p>
        </w:tc>
      </w:tr>
      <w:tr>
        <w:trPr>
          <w:trHeight w:val="118"/>
        </w:trPr>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82"/>
              </w:rPr>
              <w:t>Shares or</w:t>
            </w:r>
          </w:p>
        </w:tc>
        <w:tc>
          <w:tcPr>
            <w:tcW w:w="900" w:type="dxa"/>
            <w:vAlign w:val="bottom"/>
            <w:gridSpan w:val="2"/>
          </w:tcPr>
          <w:p>
            <w:pPr>
              <w:jc w:val="center"/>
              <w:ind w:right="280"/>
              <w:spacing w:after="0" w:line="119" w:lineRule="exact"/>
              <w:rPr>
                <w:sz w:val="20"/>
                <w:szCs w:val="20"/>
                <w:color w:val="auto"/>
              </w:rPr>
            </w:pPr>
            <w:r>
              <w:rPr>
                <w:rFonts w:ascii="Arial" w:cs="Arial" w:eastAsia="Arial" w:hAnsi="Arial"/>
                <w:sz w:val="11"/>
                <w:szCs w:val="11"/>
                <w:b w:val="1"/>
                <w:bCs w:val="1"/>
                <w:color w:val="auto"/>
                <w:w w:val="91"/>
              </w:rPr>
              <w:t>Market Value</w:t>
            </w:r>
          </w:p>
        </w:tc>
        <w:tc>
          <w:tcPr>
            <w:tcW w:w="1020" w:type="dxa"/>
            <w:vAlign w:val="bottom"/>
            <w:gridSpan w:val="2"/>
          </w:tcPr>
          <w:p>
            <w:pPr>
              <w:jc w:val="center"/>
              <w:ind w:right="280"/>
              <w:spacing w:after="0" w:line="119" w:lineRule="exact"/>
              <w:rPr>
                <w:sz w:val="20"/>
                <w:szCs w:val="20"/>
                <w:color w:val="auto"/>
              </w:rPr>
            </w:pPr>
            <w:r>
              <w:rPr>
                <w:rFonts w:ascii="Arial" w:cs="Arial" w:eastAsia="Arial" w:hAnsi="Arial"/>
                <w:sz w:val="11"/>
                <w:szCs w:val="11"/>
                <w:b w:val="1"/>
                <w:bCs w:val="1"/>
                <w:color w:val="auto"/>
                <w:w w:val="88"/>
              </w:rPr>
              <w:t>Plan Awards:</w:t>
            </w:r>
          </w:p>
        </w:tc>
        <w:tc>
          <w:tcPr>
            <w:tcW w:w="780" w:type="dxa"/>
            <w:vAlign w:val="bottom"/>
            <w:gridSpan w:val="2"/>
          </w:tcPr>
          <w:p>
            <w:pPr>
              <w:jc w:val="center"/>
              <w:ind w:right="20"/>
              <w:spacing w:after="0" w:line="119" w:lineRule="exact"/>
              <w:rPr>
                <w:sz w:val="20"/>
                <w:szCs w:val="20"/>
                <w:color w:val="auto"/>
              </w:rPr>
            </w:pPr>
            <w:r>
              <w:rPr>
                <w:rFonts w:ascii="Arial" w:cs="Arial" w:eastAsia="Arial" w:hAnsi="Arial"/>
                <w:sz w:val="11"/>
                <w:szCs w:val="11"/>
                <w:b w:val="1"/>
                <w:bCs w:val="1"/>
                <w:color w:val="auto"/>
                <w:w w:val="86"/>
              </w:rPr>
              <w:t>Plan Awards:</w:t>
            </w:r>
          </w:p>
        </w:tc>
      </w:tr>
      <w:tr>
        <w:trPr>
          <w:trHeight w:val="118"/>
        </w:trPr>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center"/>
              <w:ind w:right="280"/>
              <w:spacing w:after="0" w:line="119" w:lineRule="exact"/>
              <w:rPr>
                <w:sz w:val="20"/>
                <w:szCs w:val="20"/>
                <w:color w:val="auto"/>
              </w:rPr>
            </w:pPr>
            <w:r>
              <w:rPr>
                <w:rFonts w:ascii="Arial" w:cs="Arial" w:eastAsia="Arial" w:hAnsi="Arial"/>
                <w:sz w:val="11"/>
                <w:szCs w:val="11"/>
                <w:b w:val="1"/>
                <w:bCs w:val="1"/>
                <w:color w:val="auto"/>
                <w:w w:val="90"/>
              </w:rPr>
              <w:t>Number of</w:t>
            </w:r>
          </w:p>
        </w:tc>
        <w:tc>
          <w:tcPr>
            <w:tcW w:w="106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87"/>
              </w:rPr>
              <w:t>Number of</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jc w:val="center"/>
              <w:ind w:right="280"/>
              <w:spacing w:after="0" w:line="119" w:lineRule="exact"/>
              <w:rPr>
                <w:sz w:val="20"/>
                <w:szCs w:val="20"/>
                <w:color w:val="auto"/>
              </w:rPr>
            </w:pPr>
            <w:r>
              <w:rPr>
                <w:rFonts w:ascii="Arial" w:cs="Arial" w:eastAsia="Arial" w:hAnsi="Arial"/>
                <w:sz w:val="11"/>
                <w:szCs w:val="11"/>
                <w:b w:val="1"/>
                <w:bCs w:val="1"/>
                <w:color w:val="auto"/>
                <w:w w:val="87"/>
              </w:rPr>
              <w:t>Units</w:t>
            </w:r>
          </w:p>
        </w:tc>
        <w:tc>
          <w:tcPr>
            <w:tcW w:w="900" w:type="dxa"/>
            <w:vAlign w:val="bottom"/>
            <w:gridSpan w:val="2"/>
          </w:tcPr>
          <w:p>
            <w:pPr>
              <w:jc w:val="center"/>
              <w:ind w:right="280"/>
              <w:spacing w:after="0" w:line="119" w:lineRule="exact"/>
              <w:rPr>
                <w:sz w:val="20"/>
                <w:szCs w:val="20"/>
                <w:color w:val="auto"/>
              </w:rPr>
            </w:pPr>
            <w:r>
              <w:rPr>
                <w:rFonts w:ascii="Arial" w:cs="Arial" w:eastAsia="Arial" w:hAnsi="Arial"/>
                <w:sz w:val="11"/>
                <w:szCs w:val="11"/>
                <w:b w:val="1"/>
                <w:bCs w:val="1"/>
                <w:color w:val="auto"/>
                <w:w w:val="84"/>
              </w:rPr>
              <w:t>of Shares or</w:t>
            </w:r>
          </w:p>
        </w:tc>
        <w:tc>
          <w:tcPr>
            <w:tcW w:w="102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87"/>
              </w:rPr>
              <w:t>Number of</w:t>
            </w:r>
          </w:p>
        </w:tc>
        <w:tc>
          <w:tcPr>
            <w:tcW w:w="780" w:type="dxa"/>
            <w:vAlign w:val="bottom"/>
            <w:gridSpan w:val="2"/>
          </w:tcPr>
          <w:p>
            <w:pPr>
              <w:jc w:val="center"/>
              <w:ind w:right="20"/>
              <w:spacing w:after="0" w:line="119" w:lineRule="exact"/>
              <w:rPr>
                <w:sz w:val="20"/>
                <w:szCs w:val="20"/>
                <w:color w:val="auto"/>
              </w:rPr>
            </w:pPr>
            <w:r>
              <w:rPr>
                <w:rFonts w:ascii="Arial" w:cs="Arial" w:eastAsia="Arial" w:hAnsi="Arial"/>
                <w:sz w:val="11"/>
                <w:szCs w:val="11"/>
                <w:b w:val="1"/>
                <w:bCs w:val="1"/>
                <w:color w:val="auto"/>
                <w:w w:val="88"/>
              </w:rPr>
              <w:t>Market Value</w:t>
            </w:r>
          </w:p>
        </w:tc>
      </w:tr>
      <w:tr>
        <w:trPr>
          <w:trHeight w:val="118"/>
        </w:trPr>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center"/>
              <w:ind w:right="280"/>
              <w:spacing w:after="0" w:line="119" w:lineRule="exact"/>
              <w:rPr>
                <w:sz w:val="20"/>
                <w:szCs w:val="20"/>
                <w:color w:val="auto"/>
              </w:rPr>
            </w:pPr>
            <w:r>
              <w:rPr>
                <w:rFonts w:ascii="Arial" w:cs="Arial" w:eastAsia="Arial" w:hAnsi="Arial"/>
                <w:sz w:val="11"/>
                <w:szCs w:val="11"/>
                <w:b w:val="1"/>
                <w:bCs w:val="1"/>
                <w:color w:val="auto"/>
                <w:w w:val="79"/>
              </w:rPr>
              <w:t>Securities</w:t>
            </w:r>
          </w:p>
        </w:tc>
        <w:tc>
          <w:tcPr>
            <w:tcW w:w="106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83"/>
              </w:rPr>
              <w:t>Securities</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jc w:val="center"/>
              <w:ind w:right="280"/>
              <w:spacing w:after="0" w:line="119" w:lineRule="exact"/>
              <w:rPr>
                <w:sz w:val="20"/>
                <w:szCs w:val="20"/>
                <w:color w:val="auto"/>
              </w:rPr>
            </w:pPr>
            <w:r>
              <w:rPr>
                <w:rFonts w:ascii="Arial" w:cs="Arial" w:eastAsia="Arial" w:hAnsi="Arial"/>
                <w:sz w:val="11"/>
                <w:szCs w:val="11"/>
                <w:b w:val="1"/>
                <w:bCs w:val="1"/>
                <w:color w:val="auto"/>
                <w:w w:val="82"/>
              </w:rPr>
              <w:t>of Stock</w:t>
            </w:r>
          </w:p>
        </w:tc>
        <w:tc>
          <w:tcPr>
            <w:tcW w:w="90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87"/>
              </w:rPr>
              <w:t>Units</w:t>
            </w:r>
          </w:p>
        </w:tc>
        <w:tc>
          <w:tcPr>
            <w:tcW w:w="102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86"/>
              </w:rPr>
              <w:t>Unearned</w:t>
            </w:r>
          </w:p>
        </w:tc>
        <w:tc>
          <w:tcPr>
            <w:tcW w:w="780" w:type="dxa"/>
            <w:vAlign w:val="bottom"/>
            <w:gridSpan w:val="2"/>
          </w:tcPr>
          <w:p>
            <w:pPr>
              <w:jc w:val="center"/>
              <w:ind w:right="20"/>
              <w:spacing w:after="0" w:line="119" w:lineRule="exact"/>
              <w:rPr>
                <w:sz w:val="20"/>
                <w:szCs w:val="20"/>
                <w:color w:val="auto"/>
              </w:rPr>
            </w:pPr>
            <w:r>
              <w:rPr>
                <w:rFonts w:ascii="Arial" w:cs="Arial" w:eastAsia="Arial" w:hAnsi="Arial"/>
                <w:sz w:val="11"/>
                <w:szCs w:val="11"/>
                <w:b w:val="1"/>
                <w:bCs w:val="1"/>
                <w:color w:val="auto"/>
                <w:w w:val="87"/>
              </w:rPr>
              <w:t>of Unearned</w:t>
            </w:r>
          </w:p>
        </w:tc>
      </w:tr>
      <w:tr>
        <w:trPr>
          <w:trHeight w:val="118"/>
        </w:trPr>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center"/>
              <w:ind w:right="280"/>
              <w:spacing w:after="0" w:line="119" w:lineRule="exact"/>
              <w:rPr>
                <w:sz w:val="20"/>
                <w:szCs w:val="20"/>
                <w:color w:val="auto"/>
              </w:rPr>
            </w:pPr>
            <w:r>
              <w:rPr>
                <w:rFonts w:ascii="Arial" w:cs="Arial" w:eastAsia="Arial" w:hAnsi="Arial"/>
                <w:sz w:val="11"/>
                <w:szCs w:val="11"/>
                <w:b w:val="1"/>
                <w:bCs w:val="1"/>
                <w:color w:val="auto"/>
                <w:w w:val="86"/>
              </w:rPr>
              <w:t>Underlying</w:t>
            </w:r>
          </w:p>
        </w:tc>
        <w:tc>
          <w:tcPr>
            <w:tcW w:w="106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90"/>
              </w:rPr>
              <w:t>Underlying</w:t>
            </w:r>
          </w:p>
        </w:tc>
        <w:tc>
          <w:tcPr>
            <w:tcW w:w="66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90"/>
              </w:rPr>
              <w:t>Option</w:t>
            </w: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94"/>
              </w:rPr>
              <w:t>That</w:t>
            </w:r>
          </w:p>
        </w:tc>
        <w:tc>
          <w:tcPr>
            <w:tcW w:w="900" w:type="dxa"/>
            <w:vAlign w:val="bottom"/>
            <w:gridSpan w:val="2"/>
          </w:tcPr>
          <w:p>
            <w:pPr>
              <w:jc w:val="center"/>
              <w:ind w:right="280"/>
              <w:spacing w:after="0" w:line="119" w:lineRule="exact"/>
              <w:rPr>
                <w:sz w:val="20"/>
                <w:szCs w:val="20"/>
                <w:color w:val="auto"/>
              </w:rPr>
            </w:pPr>
            <w:r>
              <w:rPr>
                <w:rFonts w:ascii="Arial" w:cs="Arial" w:eastAsia="Arial" w:hAnsi="Arial"/>
                <w:sz w:val="11"/>
                <w:szCs w:val="11"/>
                <w:b w:val="1"/>
                <w:bCs w:val="1"/>
                <w:color w:val="auto"/>
                <w:w w:val="86"/>
              </w:rPr>
              <w:t>of Stock that</w:t>
            </w:r>
          </w:p>
        </w:tc>
        <w:tc>
          <w:tcPr>
            <w:tcW w:w="1020" w:type="dxa"/>
            <w:vAlign w:val="bottom"/>
            <w:gridSpan w:val="2"/>
          </w:tcPr>
          <w:p>
            <w:pPr>
              <w:jc w:val="center"/>
              <w:ind w:right="280"/>
              <w:spacing w:after="0" w:line="119" w:lineRule="exact"/>
              <w:rPr>
                <w:sz w:val="20"/>
                <w:szCs w:val="20"/>
                <w:color w:val="auto"/>
              </w:rPr>
            </w:pPr>
            <w:r>
              <w:rPr>
                <w:rFonts w:ascii="Arial" w:cs="Arial" w:eastAsia="Arial" w:hAnsi="Arial"/>
                <w:sz w:val="11"/>
                <w:szCs w:val="11"/>
                <w:b w:val="1"/>
                <w:bCs w:val="1"/>
                <w:color w:val="auto"/>
                <w:w w:val="86"/>
              </w:rPr>
              <w:t>Shares or Units</w:t>
            </w:r>
          </w:p>
        </w:tc>
        <w:tc>
          <w:tcPr>
            <w:tcW w:w="780" w:type="dxa"/>
            <w:vAlign w:val="bottom"/>
            <w:gridSpan w:val="2"/>
          </w:tcPr>
          <w:p>
            <w:pPr>
              <w:jc w:val="center"/>
              <w:ind w:right="20"/>
              <w:spacing w:after="0" w:line="119" w:lineRule="exact"/>
              <w:rPr>
                <w:sz w:val="20"/>
                <w:szCs w:val="20"/>
                <w:color w:val="auto"/>
              </w:rPr>
            </w:pPr>
            <w:r>
              <w:rPr>
                <w:rFonts w:ascii="Arial" w:cs="Arial" w:eastAsia="Arial" w:hAnsi="Arial"/>
                <w:sz w:val="11"/>
                <w:szCs w:val="11"/>
                <w:b w:val="1"/>
                <w:bCs w:val="1"/>
                <w:color w:val="auto"/>
                <w:w w:val="83"/>
              </w:rPr>
              <w:t>Shares or Units</w:t>
            </w:r>
          </w:p>
        </w:tc>
      </w:tr>
      <w:tr>
        <w:trPr>
          <w:trHeight w:val="118"/>
        </w:trPr>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center"/>
              <w:ind w:right="280"/>
              <w:spacing w:after="0" w:line="119" w:lineRule="exact"/>
              <w:rPr>
                <w:sz w:val="20"/>
                <w:szCs w:val="20"/>
                <w:color w:val="auto"/>
              </w:rPr>
            </w:pPr>
            <w:r>
              <w:rPr>
                <w:rFonts w:ascii="Arial" w:cs="Arial" w:eastAsia="Arial" w:hAnsi="Arial"/>
                <w:sz w:val="11"/>
                <w:szCs w:val="11"/>
                <w:b w:val="1"/>
                <w:bCs w:val="1"/>
                <w:color w:val="auto"/>
                <w:w w:val="82"/>
              </w:rPr>
              <w:t>Unexercised</w:t>
            </w:r>
          </w:p>
        </w:tc>
        <w:tc>
          <w:tcPr>
            <w:tcW w:w="106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85"/>
              </w:rPr>
              <w:t>Unexercised</w:t>
            </w:r>
          </w:p>
        </w:tc>
        <w:tc>
          <w:tcPr>
            <w:tcW w:w="660" w:type="dxa"/>
            <w:vAlign w:val="bottom"/>
            <w:gridSpan w:val="2"/>
          </w:tcPr>
          <w:p>
            <w:pPr>
              <w:jc w:val="center"/>
              <w:ind w:right="280"/>
              <w:spacing w:after="0" w:line="119" w:lineRule="exact"/>
              <w:rPr>
                <w:sz w:val="20"/>
                <w:szCs w:val="20"/>
                <w:color w:val="auto"/>
              </w:rPr>
            </w:pPr>
            <w:r>
              <w:rPr>
                <w:rFonts w:ascii="Arial" w:cs="Arial" w:eastAsia="Arial" w:hAnsi="Arial"/>
                <w:sz w:val="11"/>
                <w:szCs w:val="11"/>
                <w:b w:val="1"/>
                <w:bCs w:val="1"/>
                <w:color w:val="auto"/>
                <w:w w:val="83"/>
              </w:rPr>
              <w:t>Exercise</w:t>
            </w: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87"/>
              </w:rPr>
              <w:t>Have Not</w:t>
            </w:r>
          </w:p>
        </w:tc>
        <w:tc>
          <w:tcPr>
            <w:tcW w:w="900" w:type="dxa"/>
            <w:vAlign w:val="bottom"/>
            <w:gridSpan w:val="2"/>
          </w:tcPr>
          <w:p>
            <w:pPr>
              <w:jc w:val="center"/>
              <w:ind w:right="280"/>
              <w:spacing w:after="0" w:line="119" w:lineRule="exact"/>
              <w:rPr>
                <w:sz w:val="20"/>
                <w:szCs w:val="20"/>
                <w:color w:val="auto"/>
              </w:rPr>
            </w:pPr>
            <w:r>
              <w:rPr>
                <w:rFonts w:ascii="Arial" w:cs="Arial" w:eastAsia="Arial" w:hAnsi="Arial"/>
                <w:sz w:val="11"/>
                <w:szCs w:val="11"/>
                <w:b w:val="1"/>
                <w:bCs w:val="1"/>
                <w:color w:val="auto"/>
                <w:w w:val="87"/>
              </w:rPr>
              <w:t>Have Not</w:t>
            </w:r>
          </w:p>
        </w:tc>
        <w:tc>
          <w:tcPr>
            <w:tcW w:w="1020" w:type="dxa"/>
            <w:vAlign w:val="bottom"/>
            <w:gridSpan w:val="2"/>
          </w:tcPr>
          <w:p>
            <w:pPr>
              <w:jc w:val="center"/>
              <w:ind w:right="280"/>
              <w:spacing w:after="0" w:line="119" w:lineRule="exact"/>
              <w:rPr>
                <w:sz w:val="20"/>
                <w:szCs w:val="20"/>
                <w:color w:val="auto"/>
              </w:rPr>
            </w:pPr>
            <w:r>
              <w:rPr>
                <w:rFonts w:ascii="Arial" w:cs="Arial" w:eastAsia="Arial" w:hAnsi="Arial"/>
                <w:sz w:val="11"/>
                <w:szCs w:val="11"/>
                <w:b w:val="1"/>
                <w:bCs w:val="1"/>
                <w:color w:val="auto"/>
                <w:w w:val="89"/>
              </w:rPr>
              <w:t>That Have Not</w:t>
            </w:r>
          </w:p>
        </w:tc>
        <w:tc>
          <w:tcPr>
            <w:tcW w:w="780" w:type="dxa"/>
            <w:vAlign w:val="bottom"/>
            <w:gridSpan w:val="2"/>
          </w:tcPr>
          <w:p>
            <w:pPr>
              <w:jc w:val="center"/>
              <w:ind w:right="20"/>
              <w:spacing w:after="0" w:line="119" w:lineRule="exact"/>
              <w:rPr>
                <w:sz w:val="20"/>
                <w:szCs w:val="20"/>
                <w:color w:val="auto"/>
              </w:rPr>
            </w:pPr>
            <w:r>
              <w:rPr>
                <w:rFonts w:ascii="Arial" w:cs="Arial" w:eastAsia="Arial" w:hAnsi="Arial"/>
                <w:sz w:val="11"/>
                <w:szCs w:val="11"/>
                <w:b w:val="1"/>
                <w:bCs w:val="1"/>
                <w:color w:val="auto"/>
                <w:w w:val="91"/>
              </w:rPr>
              <w:t>That Have Not</w:t>
            </w:r>
          </w:p>
        </w:tc>
      </w:tr>
      <w:tr>
        <w:trPr>
          <w:trHeight w:val="118"/>
        </w:trPr>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gridSpan w:val="2"/>
          </w:tcPr>
          <w:p>
            <w:pPr>
              <w:jc w:val="center"/>
              <w:ind w:right="20"/>
              <w:spacing w:after="0" w:line="119" w:lineRule="exact"/>
              <w:rPr>
                <w:sz w:val="20"/>
                <w:szCs w:val="20"/>
                <w:color w:val="auto"/>
              </w:rPr>
            </w:pPr>
            <w:r>
              <w:rPr>
                <w:rFonts w:ascii="Arial" w:cs="Arial" w:eastAsia="Arial" w:hAnsi="Arial"/>
                <w:sz w:val="11"/>
                <w:szCs w:val="11"/>
                <w:b w:val="1"/>
                <w:bCs w:val="1"/>
                <w:color w:val="auto"/>
                <w:w w:val="88"/>
              </w:rPr>
              <w:t>Grant</w:t>
            </w:r>
          </w:p>
        </w:tc>
        <w:tc>
          <w:tcPr>
            <w:tcW w:w="260" w:type="dxa"/>
            <w:vAlign w:val="bottom"/>
          </w:tcPr>
          <w:p>
            <w:pPr>
              <w:spacing w:after="0"/>
              <w:rPr>
                <w:sz w:val="10"/>
                <w:szCs w:val="10"/>
                <w:color w:val="auto"/>
              </w:rPr>
            </w:pPr>
          </w:p>
        </w:tc>
        <w:tc>
          <w:tcPr>
            <w:tcW w:w="940" w:type="dxa"/>
            <w:vAlign w:val="bottom"/>
            <w:gridSpan w:val="2"/>
          </w:tcPr>
          <w:p>
            <w:pPr>
              <w:jc w:val="center"/>
              <w:ind w:right="280"/>
              <w:spacing w:after="0" w:line="119" w:lineRule="exact"/>
              <w:rPr>
                <w:sz w:val="20"/>
                <w:szCs w:val="20"/>
                <w:color w:val="auto"/>
              </w:rPr>
            </w:pPr>
            <w:r>
              <w:rPr>
                <w:rFonts w:ascii="Arial" w:cs="Arial" w:eastAsia="Arial" w:hAnsi="Arial"/>
                <w:sz w:val="11"/>
                <w:szCs w:val="11"/>
                <w:b w:val="1"/>
                <w:bCs w:val="1"/>
                <w:color w:val="auto"/>
                <w:w w:val="86"/>
              </w:rPr>
              <w:t>Options (#)</w:t>
            </w:r>
          </w:p>
        </w:tc>
        <w:tc>
          <w:tcPr>
            <w:tcW w:w="1060" w:type="dxa"/>
            <w:vAlign w:val="bottom"/>
            <w:gridSpan w:val="2"/>
          </w:tcPr>
          <w:p>
            <w:pPr>
              <w:jc w:val="center"/>
              <w:ind w:right="280"/>
              <w:spacing w:after="0" w:line="119" w:lineRule="exact"/>
              <w:rPr>
                <w:sz w:val="20"/>
                <w:szCs w:val="20"/>
                <w:color w:val="auto"/>
              </w:rPr>
            </w:pPr>
            <w:r>
              <w:rPr>
                <w:rFonts w:ascii="Arial" w:cs="Arial" w:eastAsia="Arial" w:hAnsi="Arial"/>
                <w:sz w:val="11"/>
                <w:szCs w:val="11"/>
                <w:b w:val="1"/>
                <w:bCs w:val="1"/>
                <w:color w:val="auto"/>
                <w:w w:val="86"/>
              </w:rPr>
              <w:t>Options (#)</w:t>
            </w:r>
          </w:p>
        </w:tc>
        <w:tc>
          <w:tcPr>
            <w:tcW w:w="66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89"/>
              </w:rPr>
              <w:t>Price</w:t>
            </w:r>
          </w:p>
        </w:tc>
        <w:tc>
          <w:tcPr>
            <w:tcW w:w="1000" w:type="dxa"/>
            <w:vAlign w:val="bottom"/>
            <w:gridSpan w:val="2"/>
          </w:tcPr>
          <w:p>
            <w:pPr>
              <w:jc w:val="right"/>
              <w:ind w:right="480"/>
              <w:spacing w:after="0" w:line="119" w:lineRule="exact"/>
              <w:rPr>
                <w:sz w:val="20"/>
                <w:szCs w:val="20"/>
                <w:color w:val="auto"/>
              </w:rPr>
            </w:pPr>
            <w:r>
              <w:rPr>
                <w:rFonts w:ascii="Arial" w:cs="Arial" w:eastAsia="Arial" w:hAnsi="Arial"/>
                <w:sz w:val="11"/>
                <w:szCs w:val="11"/>
                <w:b w:val="1"/>
                <w:bCs w:val="1"/>
                <w:color w:val="auto"/>
              </w:rPr>
              <w:t>Option</w:t>
            </w:r>
          </w:p>
        </w:tc>
        <w:tc>
          <w:tcPr>
            <w:tcW w:w="740" w:type="dxa"/>
            <w:vAlign w:val="bottom"/>
            <w:gridSpan w:val="2"/>
          </w:tcPr>
          <w:p>
            <w:pPr>
              <w:jc w:val="right"/>
              <w:ind w:right="360"/>
              <w:spacing w:after="0" w:line="119" w:lineRule="exact"/>
              <w:rPr>
                <w:sz w:val="20"/>
                <w:szCs w:val="20"/>
                <w:color w:val="auto"/>
              </w:rPr>
            </w:pPr>
            <w:r>
              <w:rPr>
                <w:rFonts w:ascii="Arial" w:cs="Arial" w:eastAsia="Arial" w:hAnsi="Arial"/>
                <w:sz w:val="11"/>
                <w:szCs w:val="11"/>
                <w:b w:val="1"/>
                <w:bCs w:val="1"/>
                <w:color w:val="auto"/>
              </w:rPr>
              <w:t>Grant</w:t>
            </w:r>
          </w:p>
        </w:tc>
        <w:tc>
          <w:tcPr>
            <w:tcW w:w="76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83"/>
              </w:rPr>
              <w:t>Vested</w:t>
            </w:r>
          </w:p>
        </w:tc>
        <w:tc>
          <w:tcPr>
            <w:tcW w:w="900" w:type="dxa"/>
            <w:vAlign w:val="bottom"/>
            <w:gridSpan w:val="2"/>
          </w:tcPr>
          <w:p>
            <w:pPr>
              <w:jc w:val="center"/>
              <w:ind w:right="280"/>
              <w:spacing w:after="0" w:line="119" w:lineRule="exact"/>
              <w:rPr>
                <w:sz w:val="20"/>
                <w:szCs w:val="20"/>
                <w:color w:val="auto"/>
              </w:rPr>
            </w:pPr>
            <w:r>
              <w:rPr>
                <w:rFonts w:ascii="Arial" w:cs="Arial" w:eastAsia="Arial" w:hAnsi="Arial"/>
                <w:sz w:val="11"/>
                <w:szCs w:val="11"/>
                <w:b w:val="1"/>
                <w:bCs w:val="1"/>
                <w:color w:val="auto"/>
                <w:w w:val="83"/>
              </w:rPr>
              <w:t>Vested</w:t>
            </w:r>
          </w:p>
        </w:tc>
        <w:tc>
          <w:tcPr>
            <w:tcW w:w="1020" w:type="dxa"/>
            <w:vAlign w:val="bottom"/>
            <w:gridSpan w:val="2"/>
          </w:tcPr>
          <w:p>
            <w:pPr>
              <w:jc w:val="center"/>
              <w:ind w:right="280"/>
              <w:spacing w:after="0" w:line="119" w:lineRule="exact"/>
              <w:rPr>
                <w:sz w:val="20"/>
                <w:szCs w:val="20"/>
                <w:color w:val="auto"/>
              </w:rPr>
            </w:pPr>
            <w:r>
              <w:rPr>
                <w:rFonts w:ascii="Arial" w:cs="Arial" w:eastAsia="Arial" w:hAnsi="Arial"/>
                <w:sz w:val="11"/>
                <w:szCs w:val="11"/>
                <w:b w:val="1"/>
                <w:bCs w:val="1"/>
                <w:color w:val="auto"/>
                <w:w w:val="83"/>
              </w:rPr>
              <w:t>Vested</w:t>
            </w:r>
          </w:p>
        </w:tc>
        <w:tc>
          <w:tcPr>
            <w:tcW w:w="780" w:type="dxa"/>
            <w:vAlign w:val="bottom"/>
            <w:gridSpan w:val="2"/>
          </w:tcPr>
          <w:p>
            <w:pPr>
              <w:jc w:val="center"/>
              <w:ind w:right="20"/>
              <w:spacing w:after="0" w:line="119" w:lineRule="exact"/>
              <w:rPr>
                <w:sz w:val="20"/>
                <w:szCs w:val="20"/>
                <w:color w:val="auto"/>
              </w:rPr>
            </w:pPr>
            <w:r>
              <w:rPr>
                <w:rFonts w:ascii="Arial" w:cs="Arial" w:eastAsia="Arial" w:hAnsi="Arial"/>
                <w:sz w:val="11"/>
                <w:szCs w:val="11"/>
                <w:b w:val="1"/>
                <w:bCs w:val="1"/>
                <w:color w:val="auto"/>
                <w:w w:val="77"/>
              </w:rPr>
              <w:t>Vested</w:t>
            </w:r>
          </w:p>
        </w:tc>
      </w:tr>
      <w:tr>
        <w:trPr>
          <w:trHeight w:val="152"/>
        </w:trPr>
        <w:tc>
          <w:tcPr>
            <w:tcW w:w="1540" w:type="dxa"/>
            <w:vAlign w:val="bottom"/>
            <w:gridSpan w:val="2"/>
          </w:tcPr>
          <w:p>
            <w:pPr>
              <w:spacing w:after="0"/>
              <w:rPr>
                <w:sz w:val="20"/>
                <w:szCs w:val="20"/>
                <w:color w:val="auto"/>
              </w:rPr>
            </w:pPr>
            <w:r>
              <w:rPr>
                <w:rFonts w:ascii="Arial" w:cs="Arial" w:eastAsia="Arial" w:hAnsi="Arial"/>
                <w:sz w:val="11"/>
                <w:szCs w:val="11"/>
                <w:b w:val="1"/>
                <w:bCs w:val="1"/>
                <w:color w:val="auto"/>
              </w:rPr>
              <w:t>Name</w:t>
            </w:r>
          </w:p>
        </w:tc>
        <w:tc>
          <w:tcPr>
            <w:tcW w:w="600" w:type="dxa"/>
            <w:vAlign w:val="bottom"/>
          </w:tcPr>
          <w:p>
            <w:pPr>
              <w:spacing w:after="0"/>
              <w:rPr>
                <w:sz w:val="13"/>
                <w:szCs w:val="13"/>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2"/>
              </w:rPr>
              <w:t>Date</w:t>
            </w:r>
          </w:p>
        </w:tc>
        <w:tc>
          <w:tcPr>
            <w:tcW w:w="260" w:type="dxa"/>
            <w:vAlign w:val="bottom"/>
          </w:tcPr>
          <w:p>
            <w:pPr>
              <w:spacing w:after="0"/>
              <w:rPr>
                <w:sz w:val="13"/>
                <w:szCs w:val="13"/>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4"/>
              </w:rPr>
              <w:t>Exercisable (1)</w:t>
            </w:r>
          </w:p>
        </w:tc>
        <w:tc>
          <w:tcPr>
            <w:tcW w:w="10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5"/>
              </w:rPr>
              <w:t>Unexercisable (1)</w:t>
            </w:r>
          </w:p>
        </w:tc>
        <w:tc>
          <w:tcPr>
            <w:tcW w:w="6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($/Sh)</w:t>
            </w:r>
          </w:p>
        </w:tc>
        <w:tc>
          <w:tcPr>
            <w:tcW w:w="10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86"/>
              </w:rPr>
              <w:t>Expiration Date</w:t>
            </w:r>
          </w:p>
        </w:tc>
        <w:tc>
          <w:tcPr>
            <w:tcW w:w="74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89"/>
              </w:rPr>
              <w:t>(#)(2)</w:t>
            </w:r>
          </w:p>
        </w:tc>
        <w:tc>
          <w:tcPr>
            <w:tcW w:w="2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9"/>
              </w:rPr>
              <w:t>($)(3)</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89"/>
              </w:rPr>
              <w:t>(#)(4)</w:t>
            </w:r>
          </w:p>
        </w:tc>
        <w:tc>
          <w:tcPr>
            <w:tcW w:w="2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9"/>
              </w:rPr>
              <w:t>($)(3)</w:t>
            </w:r>
          </w:p>
        </w:tc>
        <w:tc>
          <w:tcPr>
            <w:tcW w:w="20" w:type="dxa"/>
            <w:vAlign w:val="bottom"/>
          </w:tcPr>
          <w:p>
            <w:pPr>
              <w:spacing w:after="0"/>
              <w:rPr>
                <w:sz w:val="13"/>
                <w:szCs w:val="13"/>
                <w:color w:val="auto"/>
              </w:rPr>
            </w:pPr>
          </w:p>
        </w:tc>
      </w:tr>
      <w:tr>
        <w:trPr>
          <w:trHeight w:val="82"/>
        </w:trPr>
        <w:tc>
          <w:tcPr>
            <w:tcW w:w="280" w:type="dxa"/>
            <w:vAlign w:val="bottom"/>
            <w:tcBorders>
              <w:top w:val="single" w:sz="8" w:color="auto"/>
            </w:tcBorders>
            <w:shd w:val="clear" w:color="auto" w:fill="CCECF8"/>
          </w:tcPr>
          <w:p>
            <w:pPr>
              <w:spacing w:after="0" w:line="82" w:lineRule="exact"/>
              <w:rPr>
                <w:sz w:val="20"/>
                <w:szCs w:val="20"/>
                <w:color w:val="auto"/>
              </w:rPr>
            </w:pPr>
            <w:r>
              <w:rPr>
                <w:rFonts w:ascii="Arial" w:cs="Arial" w:eastAsia="Arial" w:hAnsi="Arial"/>
                <w:sz w:val="9"/>
                <w:szCs w:val="9"/>
                <w:color w:val="auto"/>
              </w:rPr>
              <w:t>Archie</w:t>
            </w:r>
          </w:p>
        </w:tc>
        <w:tc>
          <w:tcPr>
            <w:tcW w:w="1260" w:type="dxa"/>
            <w:vAlign w:val="bottom"/>
            <w:tcBorders>
              <w:top w:val="single" w:sz="8" w:color="CCECF8"/>
            </w:tcBorders>
            <w:shd w:val="clear" w:color="auto" w:fill="CCECF8"/>
          </w:tcPr>
          <w:p>
            <w:pPr>
              <w:ind w:left="40"/>
              <w:spacing w:after="0" w:line="82" w:lineRule="exact"/>
              <w:rPr>
                <w:sz w:val="20"/>
                <w:szCs w:val="20"/>
                <w:color w:val="auto"/>
              </w:rPr>
            </w:pPr>
            <w:r>
              <w:rPr>
                <w:rFonts w:ascii="Arial" w:cs="Arial" w:eastAsia="Arial" w:hAnsi="Arial"/>
                <w:sz w:val="9"/>
                <w:szCs w:val="9"/>
                <w:color w:val="auto"/>
              </w:rPr>
              <w:t>C. Black</w:t>
            </w:r>
          </w:p>
        </w:tc>
        <w:tc>
          <w:tcPr>
            <w:tcW w:w="600" w:type="dxa"/>
            <w:vAlign w:val="bottom"/>
            <w:tcBorders>
              <w:top w:val="single" w:sz="8" w:color="CCECF8"/>
            </w:tcBorders>
            <w:shd w:val="clear" w:color="auto" w:fill="CCECF8"/>
          </w:tcPr>
          <w:p>
            <w:pPr>
              <w:spacing w:after="0"/>
              <w:rPr>
                <w:sz w:val="7"/>
                <w:szCs w:val="7"/>
                <w:color w:val="auto"/>
              </w:rPr>
            </w:pPr>
          </w:p>
        </w:tc>
        <w:tc>
          <w:tcPr>
            <w:tcW w:w="460" w:type="dxa"/>
            <w:vAlign w:val="bottom"/>
            <w:tcBorders>
              <w:top w:val="single" w:sz="8" w:color="auto"/>
            </w:tcBorders>
            <w:shd w:val="clear" w:color="auto" w:fill="CCECF8"/>
          </w:tcPr>
          <w:p>
            <w:pPr>
              <w:jc w:val="right"/>
              <w:spacing w:after="0" w:line="82" w:lineRule="exact"/>
              <w:rPr>
                <w:sz w:val="20"/>
                <w:szCs w:val="20"/>
                <w:color w:val="auto"/>
              </w:rPr>
            </w:pPr>
            <w:r>
              <w:rPr>
                <w:rFonts w:ascii="Arial" w:cs="Arial" w:eastAsia="Arial" w:hAnsi="Arial"/>
                <w:sz w:val="9"/>
                <w:szCs w:val="9"/>
                <w:color w:val="auto"/>
              </w:rPr>
              <w:t>2/11/2011</w:t>
            </w:r>
          </w:p>
        </w:tc>
        <w:tc>
          <w:tcPr>
            <w:tcW w:w="20" w:type="dxa"/>
            <w:vAlign w:val="bottom"/>
            <w:tcBorders>
              <w:top w:val="single" w:sz="8" w:color="CCECF8"/>
            </w:tcBorders>
            <w:shd w:val="clear" w:color="auto" w:fill="CCECF8"/>
          </w:tcPr>
          <w:p>
            <w:pPr>
              <w:spacing w:after="0"/>
              <w:rPr>
                <w:sz w:val="7"/>
                <w:szCs w:val="7"/>
                <w:color w:val="auto"/>
              </w:rPr>
            </w:pPr>
          </w:p>
        </w:tc>
        <w:tc>
          <w:tcPr>
            <w:tcW w:w="260" w:type="dxa"/>
            <w:vAlign w:val="bottom"/>
            <w:tcBorders>
              <w:top w:val="single" w:sz="8" w:color="CCECF8"/>
            </w:tcBorders>
            <w:shd w:val="clear" w:color="auto" w:fill="CCECF8"/>
          </w:tcPr>
          <w:p>
            <w:pPr>
              <w:spacing w:after="0"/>
              <w:rPr>
                <w:sz w:val="7"/>
                <w:szCs w:val="7"/>
                <w:color w:val="auto"/>
              </w:rPr>
            </w:pPr>
          </w:p>
        </w:tc>
        <w:tc>
          <w:tcPr>
            <w:tcW w:w="660" w:type="dxa"/>
            <w:vAlign w:val="bottom"/>
            <w:tcBorders>
              <w:top w:val="single" w:sz="8" w:color="auto"/>
            </w:tcBorders>
            <w:shd w:val="clear" w:color="auto" w:fill="CCECF8"/>
          </w:tcPr>
          <w:p>
            <w:pPr>
              <w:jc w:val="right"/>
              <w:spacing w:after="0" w:line="82" w:lineRule="exact"/>
              <w:rPr>
                <w:sz w:val="20"/>
                <w:szCs w:val="20"/>
                <w:color w:val="auto"/>
              </w:rPr>
            </w:pPr>
            <w:r>
              <w:rPr>
                <w:rFonts w:ascii="Arial" w:cs="Arial" w:eastAsia="Arial" w:hAnsi="Arial"/>
                <w:sz w:val="9"/>
                <w:szCs w:val="9"/>
                <w:color w:val="auto"/>
              </w:rPr>
              <w:t>3,645</w:t>
            </w:r>
          </w:p>
        </w:tc>
        <w:tc>
          <w:tcPr>
            <w:tcW w:w="280" w:type="dxa"/>
            <w:vAlign w:val="bottom"/>
            <w:tcBorders>
              <w:top w:val="single" w:sz="8" w:color="CCECF8"/>
            </w:tcBorders>
            <w:shd w:val="clear" w:color="auto" w:fill="CCECF8"/>
          </w:tcPr>
          <w:p>
            <w:pPr>
              <w:spacing w:after="0"/>
              <w:rPr>
                <w:sz w:val="7"/>
                <w:szCs w:val="7"/>
                <w:color w:val="auto"/>
              </w:rPr>
            </w:pPr>
          </w:p>
        </w:tc>
        <w:tc>
          <w:tcPr>
            <w:tcW w:w="800" w:type="dxa"/>
            <w:vAlign w:val="bottom"/>
            <w:tcBorders>
              <w:top w:val="single" w:sz="8" w:color="auto"/>
            </w:tcBorders>
            <w:shd w:val="clear" w:color="auto" w:fill="CCECF8"/>
          </w:tcPr>
          <w:p>
            <w:pPr>
              <w:jc w:val="right"/>
              <w:spacing w:after="0" w:line="82" w:lineRule="exact"/>
              <w:rPr>
                <w:sz w:val="20"/>
                <w:szCs w:val="20"/>
                <w:color w:val="auto"/>
              </w:rPr>
            </w:pPr>
            <w:r>
              <w:rPr>
                <w:rFonts w:ascii="Arial" w:cs="Arial" w:eastAsia="Arial" w:hAnsi="Arial"/>
                <w:sz w:val="9"/>
                <w:szCs w:val="9"/>
                <w:color w:val="auto"/>
              </w:rPr>
              <w:t>—</w:t>
            </w:r>
          </w:p>
        </w:tc>
        <w:tc>
          <w:tcPr>
            <w:tcW w:w="260" w:type="dxa"/>
            <w:vAlign w:val="bottom"/>
            <w:tcBorders>
              <w:top w:val="single" w:sz="8" w:color="CCECF8"/>
            </w:tcBorders>
            <w:shd w:val="clear" w:color="auto" w:fill="CCECF8"/>
          </w:tcPr>
          <w:p>
            <w:pPr>
              <w:spacing w:after="0"/>
              <w:rPr>
                <w:sz w:val="7"/>
                <w:szCs w:val="7"/>
                <w:color w:val="auto"/>
              </w:rPr>
            </w:pPr>
          </w:p>
        </w:tc>
        <w:tc>
          <w:tcPr>
            <w:tcW w:w="380" w:type="dxa"/>
            <w:vAlign w:val="bottom"/>
            <w:tcBorders>
              <w:top w:val="single" w:sz="8" w:color="auto"/>
            </w:tcBorders>
            <w:shd w:val="clear" w:color="auto" w:fill="CCECF8"/>
          </w:tcPr>
          <w:p>
            <w:pPr>
              <w:ind w:left="160"/>
              <w:spacing w:after="0" w:line="82" w:lineRule="exact"/>
              <w:rPr>
                <w:sz w:val="20"/>
                <w:szCs w:val="20"/>
                <w:color w:val="auto"/>
              </w:rPr>
            </w:pPr>
            <w:r>
              <w:rPr>
                <w:rFonts w:ascii="Arial" w:cs="Arial" w:eastAsia="Arial" w:hAnsi="Arial"/>
                <w:sz w:val="9"/>
                <w:szCs w:val="9"/>
                <w:color w:val="auto"/>
                <w:w w:val="88"/>
              </w:rPr>
              <w:t>16.64</w:t>
            </w:r>
          </w:p>
        </w:tc>
        <w:tc>
          <w:tcPr>
            <w:tcW w:w="280" w:type="dxa"/>
            <w:vAlign w:val="bottom"/>
            <w:tcBorders>
              <w:top w:val="single" w:sz="8" w:color="CCECF8"/>
            </w:tcBorders>
            <w:shd w:val="clear" w:color="auto" w:fill="CCECF8"/>
          </w:tcPr>
          <w:p>
            <w:pPr>
              <w:spacing w:after="0"/>
              <w:rPr>
                <w:sz w:val="7"/>
                <w:szCs w:val="7"/>
                <w:color w:val="auto"/>
              </w:rPr>
            </w:pPr>
          </w:p>
        </w:tc>
        <w:tc>
          <w:tcPr>
            <w:tcW w:w="720" w:type="dxa"/>
            <w:vAlign w:val="bottom"/>
            <w:tcBorders>
              <w:top w:val="single" w:sz="8" w:color="auto"/>
            </w:tcBorders>
            <w:shd w:val="clear" w:color="auto" w:fill="CCECF8"/>
          </w:tcPr>
          <w:p>
            <w:pPr>
              <w:jc w:val="right"/>
              <w:spacing w:after="0" w:line="82" w:lineRule="exact"/>
              <w:rPr>
                <w:sz w:val="20"/>
                <w:szCs w:val="20"/>
                <w:color w:val="auto"/>
              </w:rPr>
            </w:pPr>
            <w:r>
              <w:rPr>
                <w:rFonts w:ascii="Arial" w:cs="Arial" w:eastAsia="Arial" w:hAnsi="Arial"/>
                <w:sz w:val="9"/>
                <w:szCs w:val="9"/>
                <w:color w:val="auto"/>
              </w:rPr>
              <w:t>2/11/2021</w:t>
            </w:r>
          </w:p>
        </w:tc>
        <w:tc>
          <w:tcPr>
            <w:tcW w:w="280" w:type="dxa"/>
            <w:vAlign w:val="bottom"/>
            <w:tcBorders>
              <w:top w:val="single" w:sz="8" w:color="CCECF8"/>
            </w:tcBorders>
            <w:shd w:val="clear" w:color="auto" w:fill="CCECF8"/>
          </w:tcPr>
          <w:p>
            <w:pPr>
              <w:spacing w:after="0"/>
              <w:rPr>
                <w:sz w:val="7"/>
                <w:szCs w:val="7"/>
                <w:color w:val="auto"/>
              </w:rPr>
            </w:pPr>
          </w:p>
        </w:tc>
        <w:tc>
          <w:tcPr>
            <w:tcW w:w="460" w:type="dxa"/>
            <w:vAlign w:val="bottom"/>
            <w:tcBorders>
              <w:top w:val="single" w:sz="8" w:color="auto"/>
            </w:tcBorders>
            <w:shd w:val="clear" w:color="auto" w:fill="CCECF8"/>
          </w:tcPr>
          <w:p>
            <w:pPr>
              <w:jc w:val="right"/>
              <w:spacing w:after="0" w:line="82" w:lineRule="exact"/>
              <w:rPr>
                <w:sz w:val="20"/>
                <w:szCs w:val="20"/>
                <w:color w:val="auto"/>
              </w:rPr>
            </w:pPr>
            <w:r>
              <w:rPr>
                <w:rFonts w:ascii="Arial" w:cs="Arial" w:eastAsia="Arial" w:hAnsi="Arial"/>
                <w:sz w:val="9"/>
                <w:szCs w:val="9"/>
                <w:color w:val="auto"/>
              </w:rPr>
              <w:t>2/14/2017</w:t>
            </w:r>
          </w:p>
        </w:tc>
        <w:tc>
          <w:tcPr>
            <w:tcW w:w="280" w:type="dxa"/>
            <w:vAlign w:val="bottom"/>
            <w:tcBorders>
              <w:top w:val="single" w:sz="8" w:color="CCECF8"/>
            </w:tcBorders>
            <w:shd w:val="clear" w:color="auto" w:fill="CCECF8"/>
          </w:tcPr>
          <w:p>
            <w:pPr>
              <w:spacing w:after="0"/>
              <w:rPr>
                <w:sz w:val="7"/>
                <w:szCs w:val="7"/>
                <w:color w:val="auto"/>
              </w:rPr>
            </w:pPr>
          </w:p>
        </w:tc>
        <w:tc>
          <w:tcPr>
            <w:tcW w:w="480" w:type="dxa"/>
            <w:vAlign w:val="bottom"/>
            <w:tcBorders>
              <w:top w:val="single" w:sz="8" w:color="auto"/>
            </w:tcBorders>
            <w:shd w:val="clear" w:color="auto" w:fill="CCECF8"/>
          </w:tcPr>
          <w:p>
            <w:pPr>
              <w:ind w:left="380"/>
              <w:spacing w:after="0" w:line="82" w:lineRule="exact"/>
              <w:rPr>
                <w:sz w:val="20"/>
                <w:szCs w:val="20"/>
                <w:color w:val="auto"/>
              </w:rPr>
            </w:pPr>
            <w:r>
              <w:rPr>
                <w:rFonts w:ascii="Arial" w:cs="Arial" w:eastAsia="Arial" w:hAnsi="Arial"/>
                <w:sz w:val="9"/>
                <w:szCs w:val="9"/>
                <w:color w:val="auto"/>
                <w:w w:val="88"/>
              </w:rPr>
              <w:t>—</w:t>
            </w:r>
          </w:p>
        </w:tc>
        <w:tc>
          <w:tcPr>
            <w:tcW w:w="280" w:type="dxa"/>
            <w:vAlign w:val="bottom"/>
            <w:tcBorders>
              <w:top w:val="single" w:sz="8" w:color="CCECF8"/>
            </w:tcBorders>
            <w:shd w:val="clear" w:color="auto" w:fill="CCECF8"/>
          </w:tcPr>
          <w:p>
            <w:pPr>
              <w:spacing w:after="0"/>
              <w:rPr>
                <w:sz w:val="7"/>
                <w:szCs w:val="7"/>
                <w:color w:val="auto"/>
              </w:rPr>
            </w:pPr>
          </w:p>
        </w:tc>
        <w:tc>
          <w:tcPr>
            <w:tcW w:w="620" w:type="dxa"/>
            <w:vAlign w:val="bottom"/>
            <w:tcBorders>
              <w:top w:val="single" w:sz="8" w:color="auto"/>
            </w:tcBorders>
            <w:shd w:val="clear" w:color="auto" w:fill="CCECF8"/>
          </w:tcPr>
          <w:p>
            <w:pPr>
              <w:jc w:val="right"/>
              <w:spacing w:after="0" w:line="82" w:lineRule="exact"/>
              <w:rPr>
                <w:sz w:val="20"/>
                <w:szCs w:val="20"/>
                <w:color w:val="auto"/>
              </w:rPr>
            </w:pPr>
            <w:r>
              <w:rPr>
                <w:rFonts w:ascii="Arial" w:cs="Arial" w:eastAsia="Arial" w:hAnsi="Arial"/>
                <w:sz w:val="9"/>
                <w:szCs w:val="9"/>
                <w:color w:val="auto"/>
              </w:rPr>
              <w:t>—</w:t>
            </w:r>
          </w:p>
        </w:tc>
        <w:tc>
          <w:tcPr>
            <w:tcW w:w="280" w:type="dxa"/>
            <w:vAlign w:val="bottom"/>
            <w:tcBorders>
              <w:top w:val="single" w:sz="8" w:color="CCECF8"/>
            </w:tcBorders>
            <w:shd w:val="clear" w:color="auto" w:fill="CCECF8"/>
          </w:tcPr>
          <w:p>
            <w:pPr>
              <w:spacing w:after="0"/>
              <w:rPr>
                <w:sz w:val="7"/>
                <w:szCs w:val="7"/>
                <w:color w:val="auto"/>
              </w:rPr>
            </w:pPr>
          </w:p>
        </w:tc>
        <w:tc>
          <w:tcPr>
            <w:tcW w:w="740" w:type="dxa"/>
            <w:vAlign w:val="bottom"/>
            <w:tcBorders>
              <w:top w:val="single" w:sz="8" w:color="auto"/>
            </w:tcBorders>
            <w:shd w:val="clear" w:color="auto" w:fill="CCECF8"/>
          </w:tcPr>
          <w:p>
            <w:pPr>
              <w:jc w:val="right"/>
              <w:spacing w:after="0" w:line="82" w:lineRule="exact"/>
              <w:rPr>
                <w:sz w:val="20"/>
                <w:szCs w:val="20"/>
                <w:color w:val="auto"/>
              </w:rPr>
            </w:pPr>
            <w:r>
              <w:rPr>
                <w:rFonts w:ascii="Arial" w:cs="Arial" w:eastAsia="Arial" w:hAnsi="Arial"/>
                <w:sz w:val="9"/>
                <w:szCs w:val="9"/>
                <w:color w:val="auto"/>
              </w:rPr>
              <w:t>20,197</w:t>
            </w:r>
          </w:p>
        </w:tc>
        <w:tc>
          <w:tcPr>
            <w:tcW w:w="280" w:type="dxa"/>
            <w:vAlign w:val="bottom"/>
            <w:tcBorders>
              <w:top w:val="single" w:sz="8" w:color="CCECF8"/>
            </w:tcBorders>
            <w:shd w:val="clear" w:color="auto" w:fill="CCECF8"/>
          </w:tcPr>
          <w:p>
            <w:pPr>
              <w:spacing w:after="0"/>
              <w:rPr>
                <w:sz w:val="7"/>
                <w:szCs w:val="7"/>
                <w:color w:val="auto"/>
              </w:rPr>
            </w:pPr>
          </w:p>
        </w:tc>
        <w:tc>
          <w:tcPr>
            <w:tcW w:w="760" w:type="dxa"/>
            <w:vAlign w:val="bottom"/>
            <w:tcBorders>
              <w:top w:val="single" w:sz="8" w:color="auto"/>
            </w:tcBorders>
            <w:shd w:val="clear" w:color="auto" w:fill="CCECF8"/>
          </w:tcPr>
          <w:p>
            <w:pPr>
              <w:jc w:val="right"/>
              <w:spacing w:after="0" w:line="82" w:lineRule="exact"/>
              <w:rPr>
                <w:sz w:val="20"/>
                <w:szCs w:val="20"/>
                <w:color w:val="auto"/>
              </w:rPr>
            </w:pPr>
            <w:r>
              <w:rPr>
                <w:rFonts w:ascii="Arial" w:cs="Arial" w:eastAsia="Arial" w:hAnsi="Arial"/>
                <w:sz w:val="9"/>
                <w:szCs w:val="9"/>
                <w:color w:val="auto"/>
              </w:rPr>
              <w:t>981,372</w:t>
            </w:r>
          </w:p>
        </w:tc>
        <w:tc>
          <w:tcPr>
            <w:tcW w:w="20" w:type="dxa"/>
            <w:vAlign w:val="bottom"/>
            <w:tcBorders>
              <w:top w:val="single" w:sz="8" w:color="CCECF8"/>
            </w:tcBorders>
            <w:shd w:val="clear" w:color="auto" w:fill="CCECF8"/>
          </w:tcPr>
          <w:p>
            <w:pPr>
              <w:spacing w:after="0"/>
              <w:rPr>
                <w:sz w:val="7"/>
                <w:szCs w:val="7"/>
                <w:color w:val="auto"/>
              </w:rPr>
            </w:pPr>
          </w:p>
        </w:tc>
      </w:tr>
      <w:tr>
        <w:trPr>
          <w:trHeight w:val="118"/>
        </w:trPr>
        <w:tc>
          <w:tcPr>
            <w:tcW w:w="280" w:type="dxa"/>
            <w:vAlign w:val="bottom"/>
            <w:shd w:val="clear" w:color="auto" w:fill="CCECF8"/>
          </w:tcPr>
          <w:p>
            <w:pPr>
              <w:spacing w:after="0"/>
              <w:rPr>
                <w:sz w:val="10"/>
                <w:szCs w:val="10"/>
                <w:color w:val="auto"/>
              </w:rPr>
            </w:pPr>
          </w:p>
        </w:tc>
        <w:tc>
          <w:tcPr>
            <w:tcW w:w="1260" w:type="dxa"/>
            <w:vAlign w:val="bottom"/>
            <w:shd w:val="clear" w:color="auto" w:fill="CCECF8"/>
          </w:tcPr>
          <w:p>
            <w:pPr>
              <w:spacing w:after="0"/>
              <w:rPr>
                <w:sz w:val="10"/>
                <w:szCs w:val="10"/>
                <w:color w:val="auto"/>
              </w:rPr>
            </w:pPr>
          </w:p>
        </w:tc>
        <w:tc>
          <w:tcPr>
            <w:tcW w:w="600" w:type="dxa"/>
            <w:vAlign w:val="bottom"/>
            <w:shd w:val="clear" w:color="auto" w:fill="CCECF8"/>
          </w:tcPr>
          <w:p>
            <w:pPr>
              <w:spacing w:after="0"/>
              <w:rPr>
                <w:sz w:val="10"/>
                <w:szCs w:val="10"/>
                <w:color w:val="auto"/>
              </w:rPr>
            </w:pPr>
          </w:p>
        </w:tc>
        <w:tc>
          <w:tcPr>
            <w:tcW w:w="480" w:type="dxa"/>
            <w:vAlign w:val="bottom"/>
            <w:gridSpan w:val="2"/>
            <w:shd w:val="clear" w:color="auto" w:fill="CCECF8"/>
          </w:tcPr>
          <w:p>
            <w:pPr>
              <w:jc w:val="right"/>
              <w:ind w:right="20"/>
              <w:spacing w:after="0" w:line="119" w:lineRule="exact"/>
              <w:rPr>
                <w:sz w:val="20"/>
                <w:szCs w:val="20"/>
                <w:color w:val="auto"/>
              </w:rPr>
            </w:pPr>
            <w:r>
              <w:rPr>
                <w:rFonts w:ascii="Arial" w:cs="Arial" w:eastAsia="Arial" w:hAnsi="Arial"/>
                <w:sz w:val="11"/>
                <w:szCs w:val="11"/>
                <w:color w:val="auto"/>
                <w:w w:val="89"/>
              </w:rPr>
              <w:t>2/10/2012</w:t>
            </w:r>
          </w:p>
        </w:tc>
        <w:tc>
          <w:tcPr>
            <w:tcW w:w="920" w:type="dxa"/>
            <w:vAlign w:val="bottom"/>
            <w:gridSpan w:val="2"/>
            <w:shd w:val="clear" w:color="auto" w:fill="CCECF8"/>
          </w:tcPr>
          <w:p>
            <w:pPr>
              <w:jc w:val="right"/>
              <w:spacing w:after="0" w:line="119" w:lineRule="exact"/>
              <w:rPr>
                <w:sz w:val="20"/>
                <w:szCs w:val="20"/>
                <w:color w:val="auto"/>
              </w:rPr>
            </w:pPr>
            <w:r>
              <w:rPr>
                <w:rFonts w:ascii="Arial" w:cs="Arial" w:eastAsia="Arial" w:hAnsi="Arial"/>
                <w:sz w:val="11"/>
                <w:szCs w:val="11"/>
                <w:color w:val="auto"/>
              </w:rPr>
              <w:t>31,521</w:t>
            </w:r>
          </w:p>
        </w:tc>
        <w:tc>
          <w:tcPr>
            <w:tcW w:w="280" w:type="dxa"/>
            <w:vAlign w:val="bottom"/>
            <w:shd w:val="clear" w:color="auto" w:fill="CCECF8"/>
          </w:tcPr>
          <w:p>
            <w:pPr>
              <w:spacing w:after="0"/>
              <w:rPr>
                <w:sz w:val="10"/>
                <w:szCs w:val="10"/>
                <w:color w:val="auto"/>
              </w:rPr>
            </w:pPr>
          </w:p>
        </w:tc>
        <w:tc>
          <w:tcPr>
            <w:tcW w:w="1060" w:type="dxa"/>
            <w:vAlign w:val="bottom"/>
            <w:gridSpan w:val="2"/>
            <w:shd w:val="clear" w:color="auto" w:fill="CCECF8"/>
          </w:tcPr>
          <w:p>
            <w:pPr>
              <w:jc w:val="right"/>
              <w:ind w:right="260"/>
              <w:spacing w:after="0" w:line="119"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CF8"/>
          </w:tcPr>
          <w:p>
            <w:pPr>
              <w:ind w:left="160"/>
              <w:spacing w:after="0" w:line="119" w:lineRule="exact"/>
              <w:rPr>
                <w:sz w:val="20"/>
                <w:szCs w:val="20"/>
                <w:color w:val="auto"/>
              </w:rPr>
            </w:pPr>
            <w:r>
              <w:rPr>
                <w:rFonts w:ascii="Arial" w:cs="Arial" w:eastAsia="Arial" w:hAnsi="Arial"/>
                <w:sz w:val="11"/>
                <w:szCs w:val="11"/>
                <w:color w:val="auto"/>
              </w:rPr>
              <w:t>25.32</w:t>
            </w:r>
          </w:p>
        </w:tc>
        <w:tc>
          <w:tcPr>
            <w:tcW w:w="100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2/10/2019</w:t>
            </w:r>
          </w:p>
        </w:tc>
        <w:tc>
          <w:tcPr>
            <w:tcW w:w="74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w w:val="89"/>
              </w:rPr>
              <w:t>2/14/2017</w:t>
            </w:r>
          </w:p>
        </w:tc>
        <w:tc>
          <w:tcPr>
            <w:tcW w:w="76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26,929</w:t>
            </w:r>
          </w:p>
        </w:tc>
        <w:tc>
          <w:tcPr>
            <w:tcW w:w="62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1,308,480</w:t>
            </w:r>
          </w:p>
        </w:tc>
        <w:tc>
          <w:tcPr>
            <w:tcW w:w="280" w:type="dxa"/>
            <w:vAlign w:val="bottom"/>
            <w:shd w:val="clear" w:color="auto" w:fill="CCECF8"/>
          </w:tcPr>
          <w:p>
            <w:pPr>
              <w:spacing w:after="0"/>
              <w:rPr>
                <w:sz w:val="10"/>
                <w:szCs w:val="10"/>
                <w:color w:val="auto"/>
              </w:rPr>
            </w:pPr>
          </w:p>
        </w:tc>
        <w:tc>
          <w:tcPr>
            <w:tcW w:w="102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CF8"/>
          </w:tcPr>
          <w:p>
            <w:pPr>
              <w:jc w:val="right"/>
              <w:ind w:right="20"/>
              <w:spacing w:after="0" w:line="119" w:lineRule="exact"/>
              <w:rPr>
                <w:sz w:val="20"/>
                <w:szCs w:val="20"/>
                <w:color w:val="auto"/>
              </w:rPr>
            </w:pPr>
            <w:r>
              <w:rPr>
                <w:rFonts w:ascii="Arial" w:cs="Arial" w:eastAsia="Arial" w:hAnsi="Arial"/>
                <w:sz w:val="11"/>
                <w:szCs w:val="11"/>
                <w:color w:val="auto"/>
              </w:rPr>
              <w:t>—</w:t>
            </w:r>
          </w:p>
        </w:tc>
      </w:tr>
      <w:tr>
        <w:trPr>
          <w:trHeight w:val="118"/>
        </w:trPr>
        <w:tc>
          <w:tcPr>
            <w:tcW w:w="280" w:type="dxa"/>
            <w:vAlign w:val="bottom"/>
            <w:shd w:val="clear" w:color="auto" w:fill="CCECF8"/>
          </w:tcPr>
          <w:p>
            <w:pPr>
              <w:spacing w:after="0"/>
              <w:rPr>
                <w:sz w:val="10"/>
                <w:szCs w:val="10"/>
                <w:color w:val="auto"/>
              </w:rPr>
            </w:pPr>
          </w:p>
        </w:tc>
        <w:tc>
          <w:tcPr>
            <w:tcW w:w="1260" w:type="dxa"/>
            <w:vAlign w:val="bottom"/>
            <w:shd w:val="clear" w:color="auto" w:fill="CCECF8"/>
          </w:tcPr>
          <w:p>
            <w:pPr>
              <w:spacing w:after="0"/>
              <w:rPr>
                <w:sz w:val="10"/>
                <w:szCs w:val="10"/>
                <w:color w:val="auto"/>
              </w:rPr>
            </w:pPr>
          </w:p>
        </w:tc>
        <w:tc>
          <w:tcPr>
            <w:tcW w:w="600" w:type="dxa"/>
            <w:vAlign w:val="bottom"/>
            <w:shd w:val="clear" w:color="auto" w:fill="CCECF8"/>
          </w:tcPr>
          <w:p>
            <w:pPr>
              <w:spacing w:after="0"/>
              <w:rPr>
                <w:sz w:val="10"/>
                <w:szCs w:val="10"/>
                <w:color w:val="auto"/>
              </w:rPr>
            </w:pPr>
          </w:p>
        </w:tc>
        <w:tc>
          <w:tcPr>
            <w:tcW w:w="480" w:type="dxa"/>
            <w:vAlign w:val="bottom"/>
            <w:gridSpan w:val="2"/>
            <w:shd w:val="clear" w:color="auto" w:fill="CCECF8"/>
          </w:tcPr>
          <w:p>
            <w:pPr>
              <w:jc w:val="right"/>
              <w:ind w:right="20"/>
              <w:spacing w:after="0" w:line="119" w:lineRule="exact"/>
              <w:rPr>
                <w:sz w:val="20"/>
                <w:szCs w:val="20"/>
                <w:color w:val="auto"/>
              </w:rPr>
            </w:pPr>
            <w:r>
              <w:rPr>
                <w:rFonts w:ascii="Arial" w:cs="Arial" w:eastAsia="Arial" w:hAnsi="Arial"/>
                <w:sz w:val="11"/>
                <w:szCs w:val="11"/>
                <w:color w:val="auto"/>
              </w:rPr>
              <w:t>2/8/2013</w:t>
            </w:r>
          </w:p>
        </w:tc>
        <w:tc>
          <w:tcPr>
            <w:tcW w:w="920" w:type="dxa"/>
            <w:vAlign w:val="bottom"/>
            <w:gridSpan w:val="2"/>
            <w:shd w:val="clear" w:color="auto" w:fill="CCECF8"/>
          </w:tcPr>
          <w:p>
            <w:pPr>
              <w:jc w:val="right"/>
              <w:spacing w:after="0" w:line="119" w:lineRule="exact"/>
              <w:rPr>
                <w:sz w:val="20"/>
                <w:szCs w:val="20"/>
                <w:color w:val="auto"/>
              </w:rPr>
            </w:pPr>
            <w:r>
              <w:rPr>
                <w:rFonts w:ascii="Arial" w:cs="Arial" w:eastAsia="Arial" w:hAnsi="Arial"/>
                <w:sz w:val="11"/>
                <w:szCs w:val="11"/>
                <w:color w:val="auto"/>
              </w:rPr>
              <w:t>33,929</w:t>
            </w:r>
          </w:p>
        </w:tc>
        <w:tc>
          <w:tcPr>
            <w:tcW w:w="280" w:type="dxa"/>
            <w:vAlign w:val="bottom"/>
            <w:shd w:val="clear" w:color="auto" w:fill="CCECF8"/>
          </w:tcPr>
          <w:p>
            <w:pPr>
              <w:spacing w:after="0"/>
              <w:rPr>
                <w:sz w:val="10"/>
                <w:szCs w:val="10"/>
                <w:color w:val="auto"/>
              </w:rPr>
            </w:pPr>
          </w:p>
        </w:tc>
        <w:tc>
          <w:tcPr>
            <w:tcW w:w="1060" w:type="dxa"/>
            <w:vAlign w:val="bottom"/>
            <w:gridSpan w:val="2"/>
            <w:shd w:val="clear" w:color="auto" w:fill="CCECF8"/>
          </w:tcPr>
          <w:p>
            <w:pPr>
              <w:jc w:val="right"/>
              <w:ind w:right="260"/>
              <w:spacing w:after="0" w:line="119"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CF8"/>
          </w:tcPr>
          <w:p>
            <w:pPr>
              <w:ind w:left="160"/>
              <w:spacing w:after="0" w:line="119" w:lineRule="exact"/>
              <w:rPr>
                <w:sz w:val="20"/>
                <w:szCs w:val="20"/>
                <w:color w:val="auto"/>
              </w:rPr>
            </w:pPr>
            <w:r>
              <w:rPr>
                <w:rFonts w:ascii="Arial" w:cs="Arial" w:eastAsia="Arial" w:hAnsi="Arial"/>
                <w:sz w:val="11"/>
                <w:szCs w:val="11"/>
                <w:color w:val="auto"/>
              </w:rPr>
              <w:t>39.01</w:t>
            </w:r>
          </w:p>
        </w:tc>
        <w:tc>
          <w:tcPr>
            <w:tcW w:w="100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2/8/2020</w:t>
            </w:r>
          </w:p>
        </w:tc>
        <w:tc>
          <w:tcPr>
            <w:tcW w:w="74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2/5/2016</w:t>
            </w:r>
          </w:p>
        </w:tc>
        <w:tc>
          <w:tcPr>
            <w:tcW w:w="76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13,801</w:t>
            </w:r>
          </w:p>
        </w:tc>
        <w:tc>
          <w:tcPr>
            <w:tcW w:w="62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670,591</w:t>
            </w:r>
          </w:p>
        </w:tc>
        <w:tc>
          <w:tcPr>
            <w:tcW w:w="280" w:type="dxa"/>
            <w:vAlign w:val="bottom"/>
            <w:shd w:val="clear" w:color="auto" w:fill="CCECF8"/>
          </w:tcPr>
          <w:p>
            <w:pPr>
              <w:spacing w:after="0"/>
              <w:rPr>
                <w:sz w:val="10"/>
                <w:szCs w:val="10"/>
                <w:color w:val="auto"/>
              </w:rPr>
            </w:pPr>
          </w:p>
        </w:tc>
        <w:tc>
          <w:tcPr>
            <w:tcW w:w="102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CF8"/>
          </w:tcPr>
          <w:p>
            <w:pPr>
              <w:jc w:val="right"/>
              <w:ind w:right="20"/>
              <w:spacing w:after="0" w:line="119" w:lineRule="exact"/>
              <w:rPr>
                <w:sz w:val="20"/>
                <w:szCs w:val="20"/>
                <w:color w:val="auto"/>
              </w:rPr>
            </w:pPr>
            <w:r>
              <w:rPr>
                <w:rFonts w:ascii="Arial" w:cs="Arial" w:eastAsia="Arial" w:hAnsi="Arial"/>
                <w:sz w:val="11"/>
                <w:szCs w:val="11"/>
                <w:color w:val="auto"/>
              </w:rPr>
              <w:t>—</w:t>
            </w:r>
          </w:p>
        </w:tc>
      </w:tr>
      <w:tr>
        <w:trPr>
          <w:trHeight w:val="118"/>
        </w:trPr>
        <w:tc>
          <w:tcPr>
            <w:tcW w:w="280" w:type="dxa"/>
            <w:vAlign w:val="bottom"/>
            <w:shd w:val="clear" w:color="auto" w:fill="CCECF8"/>
          </w:tcPr>
          <w:p>
            <w:pPr>
              <w:spacing w:after="0"/>
              <w:rPr>
                <w:sz w:val="10"/>
                <w:szCs w:val="10"/>
                <w:color w:val="auto"/>
              </w:rPr>
            </w:pPr>
          </w:p>
        </w:tc>
        <w:tc>
          <w:tcPr>
            <w:tcW w:w="1260" w:type="dxa"/>
            <w:vAlign w:val="bottom"/>
            <w:shd w:val="clear" w:color="auto" w:fill="CCECF8"/>
          </w:tcPr>
          <w:p>
            <w:pPr>
              <w:spacing w:after="0"/>
              <w:rPr>
                <w:sz w:val="10"/>
                <w:szCs w:val="10"/>
                <w:color w:val="auto"/>
              </w:rPr>
            </w:pPr>
          </w:p>
        </w:tc>
        <w:tc>
          <w:tcPr>
            <w:tcW w:w="600" w:type="dxa"/>
            <w:vAlign w:val="bottom"/>
            <w:shd w:val="clear" w:color="auto" w:fill="CCECF8"/>
          </w:tcPr>
          <w:p>
            <w:pPr>
              <w:spacing w:after="0"/>
              <w:rPr>
                <w:sz w:val="10"/>
                <w:szCs w:val="10"/>
                <w:color w:val="auto"/>
              </w:rPr>
            </w:pPr>
          </w:p>
        </w:tc>
        <w:tc>
          <w:tcPr>
            <w:tcW w:w="46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2/5/2016</w:t>
            </w:r>
          </w:p>
        </w:tc>
        <w:tc>
          <w:tcPr>
            <w:tcW w:w="20" w:type="dxa"/>
            <w:vAlign w:val="bottom"/>
            <w:shd w:val="clear" w:color="auto" w:fill="CCECF8"/>
          </w:tcPr>
          <w:p>
            <w:pPr>
              <w:spacing w:after="0"/>
              <w:rPr>
                <w:sz w:val="10"/>
                <w:szCs w:val="10"/>
                <w:color w:val="auto"/>
              </w:rPr>
            </w:pPr>
          </w:p>
        </w:tc>
        <w:tc>
          <w:tcPr>
            <w:tcW w:w="920" w:type="dxa"/>
            <w:vAlign w:val="bottom"/>
            <w:gridSpan w:val="2"/>
            <w:shd w:val="clear" w:color="auto" w:fill="CCECF8"/>
          </w:tcPr>
          <w:p>
            <w:pPr>
              <w:jc w:val="right"/>
              <w:spacing w:after="0" w:line="119" w:lineRule="exact"/>
              <w:rPr>
                <w:sz w:val="20"/>
                <w:szCs w:val="20"/>
                <w:color w:val="auto"/>
              </w:rPr>
            </w:pPr>
            <w:r>
              <w:rPr>
                <w:rFonts w:ascii="Arial" w:cs="Arial" w:eastAsia="Arial" w:hAnsi="Arial"/>
                <w:sz w:val="11"/>
                <w:szCs w:val="11"/>
                <w:color w:val="auto"/>
              </w:rPr>
              <w:t>34,920</w:t>
            </w:r>
          </w:p>
        </w:tc>
        <w:tc>
          <w:tcPr>
            <w:tcW w:w="280" w:type="dxa"/>
            <w:vAlign w:val="bottom"/>
            <w:shd w:val="clear" w:color="auto" w:fill="CCECF8"/>
          </w:tcPr>
          <w:p>
            <w:pPr>
              <w:spacing w:after="0"/>
              <w:rPr>
                <w:sz w:val="10"/>
                <w:szCs w:val="10"/>
                <w:color w:val="auto"/>
              </w:rPr>
            </w:pPr>
          </w:p>
        </w:tc>
        <w:tc>
          <w:tcPr>
            <w:tcW w:w="80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41,270</w:t>
            </w:r>
          </w:p>
        </w:tc>
        <w:tc>
          <w:tcPr>
            <w:tcW w:w="260" w:type="dxa"/>
            <w:vAlign w:val="bottom"/>
            <w:shd w:val="clear" w:color="auto" w:fill="CCECF8"/>
          </w:tcPr>
          <w:p>
            <w:pPr>
              <w:spacing w:after="0"/>
              <w:rPr>
                <w:sz w:val="10"/>
                <w:szCs w:val="10"/>
                <w:color w:val="auto"/>
              </w:rPr>
            </w:pPr>
          </w:p>
        </w:tc>
        <w:tc>
          <w:tcPr>
            <w:tcW w:w="660" w:type="dxa"/>
            <w:vAlign w:val="bottom"/>
            <w:gridSpan w:val="2"/>
            <w:shd w:val="clear" w:color="auto" w:fill="CCECF8"/>
          </w:tcPr>
          <w:p>
            <w:pPr>
              <w:ind w:left="160"/>
              <w:spacing w:after="0" w:line="119" w:lineRule="exact"/>
              <w:rPr>
                <w:sz w:val="20"/>
                <w:szCs w:val="20"/>
                <w:color w:val="auto"/>
              </w:rPr>
            </w:pPr>
            <w:r>
              <w:rPr>
                <w:rFonts w:ascii="Arial" w:cs="Arial" w:eastAsia="Arial" w:hAnsi="Arial"/>
                <w:sz w:val="11"/>
                <w:szCs w:val="11"/>
                <w:color w:val="auto"/>
              </w:rPr>
              <w:t>48.08</w:t>
            </w:r>
          </w:p>
        </w:tc>
        <w:tc>
          <w:tcPr>
            <w:tcW w:w="100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2/5/ 2023</w:t>
            </w:r>
          </w:p>
        </w:tc>
        <w:tc>
          <w:tcPr>
            <w:tcW w:w="74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w w:val="89"/>
              </w:rPr>
              <w:t>2/10/2014</w:t>
            </w:r>
          </w:p>
        </w:tc>
        <w:tc>
          <w:tcPr>
            <w:tcW w:w="76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391</w:t>
            </w:r>
          </w:p>
        </w:tc>
        <w:tc>
          <w:tcPr>
            <w:tcW w:w="62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18,999</w:t>
            </w:r>
          </w:p>
        </w:tc>
        <w:tc>
          <w:tcPr>
            <w:tcW w:w="280" w:type="dxa"/>
            <w:vAlign w:val="bottom"/>
            <w:shd w:val="clear" w:color="auto" w:fill="CCECF8"/>
          </w:tcPr>
          <w:p>
            <w:pPr>
              <w:spacing w:after="0"/>
              <w:rPr>
                <w:sz w:val="10"/>
                <w:szCs w:val="10"/>
                <w:color w:val="auto"/>
              </w:rPr>
            </w:pPr>
          </w:p>
        </w:tc>
        <w:tc>
          <w:tcPr>
            <w:tcW w:w="102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CF8"/>
          </w:tcPr>
          <w:p>
            <w:pPr>
              <w:jc w:val="right"/>
              <w:ind w:right="20"/>
              <w:spacing w:after="0" w:line="119" w:lineRule="exact"/>
              <w:rPr>
                <w:sz w:val="20"/>
                <w:szCs w:val="20"/>
                <w:color w:val="auto"/>
              </w:rPr>
            </w:pPr>
            <w:r>
              <w:rPr>
                <w:rFonts w:ascii="Arial" w:cs="Arial" w:eastAsia="Arial" w:hAnsi="Arial"/>
                <w:sz w:val="11"/>
                <w:szCs w:val="11"/>
                <w:color w:val="auto"/>
              </w:rPr>
              <w:t>—</w:t>
            </w:r>
          </w:p>
        </w:tc>
      </w:tr>
      <w:tr>
        <w:trPr>
          <w:trHeight w:val="118"/>
        </w:trPr>
        <w:tc>
          <w:tcPr>
            <w:tcW w:w="280" w:type="dxa"/>
            <w:vAlign w:val="bottom"/>
            <w:shd w:val="clear" w:color="auto" w:fill="CCECF8"/>
          </w:tcPr>
          <w:p>
            <w:pPr>
              <w:spacing w:after="0"/>
              <w:rPr>
                <w:sz w:val="10"/>
                <w:szCs w:val="10"/>
                <w:color w:val="auto"/>
              </w:rPr>
            </w:pPr>
          </w:p>
        </w:tc>
        <w:tc>
          <w:tcPr>
            <w:tcW w:w="1260" w:type="dxa"/>
            <w:vAlign w:val="bottom"/>
            <w:shd w:val="clear" w:color="auto" w:fill="CCECF8"/>
          </w:tcPr>
          <w:p>
            <w:pPr>
              <w:spacing w:after="0"/>
              <w:rPr>
                <w:sz w:val="10"/>
                <w:szCs w:val="10"/>
                <w:color w:val="auto"/>
              </w:rPr>
            </w:pPr>
          </w:p>
        </w:tc>
        <w:tc>
          <w:tcPr>
            <w:tcW w:w="600" w:type="dxa"/>
            <w:vAlign w:val="bottom"/>
            <w:shd w:val="clear" w:color="auto" w:fill="CCECF8"/>
          </w:tcPr>
          <w:p>
            <w:pPr>
              <w:spacing w:after="0"/>
              <w:rPr>
                <w:sz w:val="10"/>
                <w:szCs w:val="10"/>
                <w:color w:val="auto"/>
              </w:rPr>
            </w:pPr>
          </w:p>
        </w:tc>
        <w:tc>
          <w:tcPr>
            <w:tcW w:w="46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w w:val="89"/>
              </w:rPr>
              <w:t>2/14/2017</w:t>
            </w:r>
          </w:p>
        </w:tc>
        <w:tc>
          <w:tcPr>
            <w:tcW w:w="20" w:type="dxa"/>
            <w:vAlign w:val="bottom"/>
            <w:shd w:val="clear" w:color="auto" w:fill="CCECF8"/>
          </w:tcPr>
          <w:p>
            <w:pPr>
              <w:spacing w:after="0"/>
              <w:rPr>
                <w:sz w:val="10"/>
                <w:szCs w:val="10"/>
                <w:color w:val="auto"/>
              </w:rPr>
            </w:pPr>
          </w:p>
        </w:tc>
        <w:tc>
          <w:tcPr>
            <w:tcW w:w="260" w:type="dxa"/>
            <w:vAlign w:val="bottom"/>
            <w:shd w:val="clear" w:color="auto" w:fill="CCECF8"/>
          </w:tcPr>
          <w:p>
            <w:pPr>
              <w:spacing w:after="0"/>
              <w:rPr>
                <w:sz w:val="10"/>
                <w:szCs w:val="10"/>
                <w:color w:val="auto"/>
              </w:rPr>
            </w:pPr>
          </w:p>
        </w:tc>
        <w:tc>
          <w:tcPr>
            <w:tcW w:w="940" w:type="dxa"/>
            <w:vAlign w:val="bottom"/>
            <w:gridSpan w:val="2"/>
            <w:shd w:val="clear" w:color="auto" w:fill="CCECF8"/>
          </w:tcPr>
          <w:p>
            <w:pPr>
              <w:ind w:left="560"/>
              <w:spacing w:after="0" w:line="119" w:lineRule="exact"/>
              <w:rPr>
                <w:sz w:val="20"/>
                <w:szCs w:val="20"/>
                <w:color w:val="auto"/>
              </w:rPr>
            </w:pPr>
            <w:r>
              <w:rPr>
                <w:rFonts w:ascii="Arial" w:cs="Arial" w:eastAsia="Arial" w:hAnsi="Arial"/>
                <w:sz w:val="11"/>
                <w:szCs w:val="11"/>
                <w:color w:val="auto"/>
              </w:rPr>
              <w:t>—</w:t>
            </w:r>
          </w:p>
        </w:tc>
        <w:tc>
          <w:tcPr>
            <w:tcW w:w="80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39,343</w:t>
            </w:r>
          </w:p>
        </w:tc>
        <w:tc>
          <w:tcPr>
            <w:tcW w:w="260" w:type="dxa"/>
            <w:vAlign w:val="bottom"/>
            <w:shd w:val="clear" w:color="auto" w:fill="CCECF8"/>
          </w:tcPr>
          <w:p>
            <w:pPr>
              <w:spacing w:after="0"/>
              <w:rPr>
                <w:sz w:val="10"/>
                <w:szCs w:val="10"/>
                <w:color w:val="auto"/>
              </w:rPr>
            </w:pPr>
          </w:p>
        </w:tc>
        <w:tc>
          <w:tcPr>
            <w:tcW w:w="660" w:type="dxa"/>
            <w:vAlign w:val="bottom"/>
            <w:gridSpan w:val="2"/>
            <w:shd w:val="clear" w:color="auto" w:fill="CCECF8"/>
          </w:tcPr>
          <w:p>
            <w:pPr>
              <w:ind w:left="160"/>
              <w:spacing w:after="0" w:line="119" w:lineRule="exact"/>
              <w:rPr>
                <w:sz w:val="20"/>
                <w:szCs w:val="20"/>
                <w:color w:val="auto"/>
              </w:rPr>
            </w:pPr>
            <w:r>
              <w:rPr>
                <w:rFonts w:ascii="Arial" w:cs="Arial" w:eastAsia="Arial" w:hAnsi="Arial"/>
                <w:sz w:val="11"/>
                <w:szCs w:val="11"/>
                <w:color w:val="auto"/>
              </w:rPr>
              <w:t>55.70</w:t>
            </w:r>
          </w:p>
        </w:tc>
        <w:tc>
          <w:tcPr>
            <w:tcW w:w="100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2/14/2024</w:t>
            </w:r>
          </w:p>
        </w:tc>
        <w:tc>
          <w:tcPr>
            <w:tcW w:w="74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w w:val="89"/>
              </w:rPr>
              <w:t>4/27/2015</w:t>
            </w:r>
          </w:p>
        </w:tc>
        <w:tc>
          <w:tcPr>
            <w:tcW w:w="76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1,209</w:t>
            </w:r>
          </w:p>
        </w:tc>
        <w:tc>
          <w:tcPr>
            <w:tcW w:w="62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58,745</w:t>
            </w:r>
          </w:p>
        </w:tc>
        <w:tc>
          <w:tcPr>
            <w:tcW w:w="280" w:type="dxa"/>
            <w:vAlign w:val="bottom"/>
            <w:shd w:val="clear" w:color="auto" w:fill="CCECF8"/>
          </w:tcPr>
          <w:p>
            <w:pPr>
              <w:spacing w:after="0"/>
              <w:rPr>
                <w:sz w:val="10"/>
                <w:szCs w:val="10"/>
                <w:color w:val="auto"/>
              </w:rPr>
            </w:pPr>
          </w:p>
        </w:tc>
        <w:tc>
          <w:tcPr>
            <w:tcW w:w="102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CF8"/>
          </w:tcPr>
          <w:p>
            <w:pPr>
              <w:jc w:val="right"/>
              <w:ind w:right="20"/>
              <w:spacing w:after="0" w:line="119" w:lineRule="exact"/>
              <w:rPr>
                <w:sz w:val="20"/>
                <w:szCs w:val="20"/>
                <w:color w:val="auto"/>
              </w:rPr>
            </w:pPr>
            <w:r>
              <w:rPr>
                <w:rFonts w:ascii="Arial" w:cs="Arial" w:eastAsia="Arial" w:hAnsi="Arial"/>
                <w:sz w:val="11"/>
                <w:szCs w:val="11"/>
                <w:color w:val="auto"/>
              </w:rPr>
              <w:t>—</w:t>
            </w:r>
          </w:p>
        </w:tc>
      </w:tr>
      <w:tr>
        <w:trPr>
          <w:trHeight w:val="118"/>
        </w:trPr>
        <w:tc>
          <w:tcPr>
            <w:tcW w:w="280" w:type="dxa"/>
            <w:vAlign w:val="bottom"/>
            <w:shd w:val="clear" w:color="auto" w:fill="CCECF8"/>
          </w:tcPr>
          <w:p>
            <w:pPr>
              <w:spacing w:after="0"/>
              <w:rPr>
                <w:sz w:val="10"/>
                <w:szCs w:val="10"/>
                <w:color w:val="auto"/>
              </w:rPr>
            </w:pPr>
          </w:p>
        </w:tc>
        <w:tc>
          <w:tcPr>
            <w:tcW w:w="1260" w:type="dxa"/>
            <w:vAlign w:val="bottom"/>
            <w:shd w:val="clear" w:color="auto" w:fill="CCECF8"/>
          </w:tcPr>
          <w:p>
            <w:pPr>
              <w:spacing w:after="0"/>
              <w:rPr>
                <w:sz w:val="10"/>
                <w:szCs w:val="10"/>
                <w:color w:val="auto"/>
              </w:rPr>
            </w:pPr>
          </w:p>
        </w:tc>
        <w:tc>
          <w:tcPr>
            <w:tcW w:w="600" w:type="dxa"/>
            <w:vAlign w:val="bottom"/>
            <w:shd w:val="clear" w:color="auto" w:fill="CCECF8"/>
          </w:tcPr>
          <w:p>
            <w:pPr>
              <w:spacing w:after="0"/>
              <w:rPr>
                <w:sz w:val="10"/>
                <w:szCs w:val="10"/>
                <w:color w:val="auto"/>
              </w:rPr>
            </w:pPr>
          </w:p>
        </w:tc>
        <w:tc>
          <w:tcPr>
            <w:tcW w:w="46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w w:val="89"/>
              </w:rPr>
              <w:t>2/10/2014</w:t>
            </w:r>
          </w:p>
        </w:tc>
        <w:tc>
          <w:tcPr>
            <w:tcW w:w="20" w:type="dxa"/>
            <w:vAlign w:val="bottom"/>
            <w:shd w:val="clear" w:color="auto" w:fill="CCECF8"/>
          </w:tcPr>
          <w:p>
            <w:pPr>
              <w:spacing w:after="0"/>
              <w:rPr>
                <w:sz w:val="10"/>
                <w:szCs w:val="10"/>
                <w:color w:val="auto"/>
              </w:rPr>
            </w:pPr>
          </w:p>
        </w:tc>
        <w:tc>
          <w:tcPr>
            <w:tcW w:w="260" w:type="dxa"/>
            <w:vAlign w:val="bottom"/>
            <w:shd w:val="clear" w:color="auto" w:fill="CCECF8"/>
          </w:tcPr>
          <w:p>
            <w:pPr>
              <w:spacing w:after="0"/>
              <w:rPr>
                <w:sz w:val="10"/>
                <w:szCs w:val="10"/>
                <w:color w:val="auto"/>
              </w:rPr>
            </w:pPr>
          </w:p>
        </w:tc>
        <w:tc>
          <w:tcPr>
            <w:tcW w:w="66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22,569</w:t>
            </w:r>
          </w:p>
        </w:tc>
        <w:tc>
          <w:tcPr>
            <w:tcW w:w="280" w:type="dxa"/>
            <w:vAlign w:val="bottom"/>
            <w:shd w:val="clear" w:color="auto" w:fill="CCECF8"/>
          </w:tcPr>
          <w:p>
            <w:pPr>
              <w:spacing w:after="0"/>
              <w:rPr>
                <w:sz w:val="10"/>
                <w:szCs w:val="10"/>
                <w:color w:val="auto"/>
              </w:rPr>
            </w:pPr>
          </w:p>
        </w:tc>
        <w:tc>
          <w:tcPr>
            <w:tcW w:w="80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982</w:t>
            </w:r>
          </w:p>
        </w:tc>
        <w:tc>
          <w:tcPr>
            <w:tcW w:w="260" w:type="dxa"/>
            <w:vAlign w:val="bottom"/>
            <w:shd w:val="clear" w:color="auto" w:fill="CCECF8"/>
          </w:tcPr>
          <w:p>
            <w:pPr>
              <w:spacing w:after="0"/>
              <w:rPr>
                <w:sz w:val="10"/>
                <w:szCs w:val="10"/>
                <w:color w:val="auto"/>
              </w:rPr>
            </w:pPr>
          </w:p>
        </w:tc>
        <w:tc>
          <w:tcPr>
            <w:tcW w:w="660" w:type="dxa"/>
            <w:vAlign w:val="bottom"/>
            <w:gridSpan w:val="2"/>
            <w:shd w:val="clear" w:color="auto" w:fill="CCECF8"/>
          </w:tcPr>
          <w:p>
            <w:pPr>
              <w:ind w:left="160"/>
              <w:spacing w:after="0" w:line="119" w:lineRule="exact"/>
              <w:rPr>
                <w:sz w:val="20"/>
                <w:szCs w:val="20"/>
                <w:color w:val="auto"/>
              </w:rPr>
            </w:pPr>
            <w:r>
              <w:rPr>
                <w:rFonts w:ascii="Arial" w:cs="Arial" w:eastAsia="Arial" w:hAnsi="Arial"/>
                <w:sz w:val="11"/>
                <w:szCs w:val="11"/>
                <w:color w:val="auto"/>
              </w:rPr>
              <w:t>65.95</w:t>
            </w:r>
          </w:p>
        </w:tc>
        <w:tc>
          <w:tcPr>
            <w:tcW w:w="100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2/10/2021</w:t>
            </w:r>
          </w:p>
        </w:tc>
        <w:tc>
          <w:tcPr>
            <w:tcW w:w="74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2/9/2015</w:t>
            </w:r>
          </w:p>
        </w:tc>
        <w:tc>
          <w:tcPr>
            <w:tcW w:w="76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2,858</w:t>
            </w:r>
          </w:p>
        </w:tc>
        <w:tc>
          <w:tcPr>
            <w:tcW w:w="62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138,870</w:t>
            </w:r>
          </w:p>
        </w:tc>
        <w:tc>
          <w:tcPr>
            <w:tcW w:w="280" w:type="dxa"/>
            <w:vAlign w:val="bottom"/>
            <w:shd w:val="clear" w:color="auto" w:fill="CCECF8"/>
          </w:tcPr>
          <w:p>
            <w:pPr>
              <w:spacing w:after="0"/>
              <w:rPr>
                <w:sz w:val="10"/>
                <w:szCs w:val="10"/>
                <w:color w:val="auto"/>
              </w:rPr>
            </w:pPr>
          </w:p>
        </w:tc>
        <w:tc>
          <w:tcPr>
            <w:tcW w:w="102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CF8"/>
          </w:tcPr>
          <w:p>
            <w:pPr>
              <w:jc w:val="right"/>
              <w:ind w:right="20"/>
              <w:spacing w:after="0" w:line="119" w:lineRule="exact"/>
              <w:rPr>
                <w:sz w:val="20"/>
                <w:szCs w:val="20"/>
                <w:color w:val="auto"/>
              </w:rPr>
            </w:pPr>
            <w:r>
              <w:rPr>
                <w:rFonts w:ascii="Arial" w:cs="Arial" w:eastAsia="Arial" w:hAnsi="Arial"/>
                <w:sz w:val="11"/>
                <w:szCs w:val="11"/>
                <w:color w:val="auto"/>
              </w:rPr>
              <w:t>—</w:t>
            </w:r>
          </w:p>
        </w:tc>
      </w:tr>
      <w:tr>
        <w:trPr>
          <w:trHeight w:val="118"/>
        </w:trPr>
        <w:tc>
          <w:tcPr>
            <w:tcW w:w="280" w:type="dxa"/>
            <w:vAlign w:val="bottom"/>
            <w:shd w:val="clear" w:color="auto" w:fill="CCECF8"/>
          </w:tcPr>
          <w:p>
            <w:pPr>
              <w:spacing w:after="0"/>
              <w:rPr>
                <w:sz w:val="10"/>
                <w:szCs w:val="10"/>
                <w:color w:val="auto"/>
              </w:rPr>
            </w:pPr>
          </w:p>
        </w:tc>
        <w:tc>
          <w:tcPr>
            <w:tcW w:w="1260" w:type="dxa"/>
            <w:vAlign w:val="bottom"/>
            <w:shd w:val="clear" w:color="auto" w:fill="CCECF8"/>
          </w:tcPr>
          <w:p>
            <w:pPr>
              <w:spacing w:after="0"/>
              <w:rPr>
                <w:sz w:val="10"/>
                <w:szCs w:val="10"/>
                <w:color w:val="auto"/>
              </w:rPr>
            </w:pPr>
          </w:p>
        </w:tc>
        <w:tc>
          <w:tcPr>
            <w:tcW w:w="600" w:type="dxa"/>
            <w:vAlign w:val="bottom"/>
            <w:shd w:val="clear" w:color="auto" w:fill="CCECF8"/>
          </w:tcPr>
          <w:p>
            <w:pPr>
              <w:spacing w:after="0"/>
              <w:rPr>
                <w:sz w:val="10"/>
                <w:szCs w:val="10"/>
                <w:color w:val="auto"/>
              </w:rPr>
            </w:pPr>
          </w:p>
        </w:tc>
        <w:tc>
          <w:tcPr>
            <w:tcW w:w="46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2/9/2015</w:t>
            </w:r>
          </w:p>
        </w:tc>
        <w:tc>
          <w:tcPr>
            <w:tcW w:w="20" w:type="dxa"/>
            <w:vAlign w:val="bottom"/>
            <w:shd w:val="clear" w:color="auto" w:fill="CCECF8"/>
          </w:tcPr>
          <w:p>
            <w:pPr>
              <w:spacing w:after="0"/>
              <w:rPr>
                <w:sz w:val="10"/>
                <w:szCs w:val="10"/>
                <w:color w:val="auto"/>
              </w:rPr>
            </w:pPr>
          </w:p>
        </w:tc>
        <w:tc>
          <w:tcPr>
            <w:tcW w:w="260" w:type="dxa"/>
            <w:vAlign w:val="bottom"/>
            <w:shd w:val="clear" w:color="auto" w:fill="CCECF8"/>
          </w:tcPr>
          <w:p>
            <w:pPr>
              <w:spacing w:after="0"/>
              <w:rPr>
                <w:sz w:val="10"/>
                <w:szCs w:val="10"/>
                <w:color w:val="auto"/>
              </w:rPr>
            </w:pPr>
          </w:p>
        </w:tc>
        <w:tc>
          <w:tcPr>
            <w:tcW w:w="66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20,009</w:t>
            </w:r>
          </w:p>
        </w:tc>
        <w:tc>
          <w:tcPr>
            <w:tcW w:w="280" w:type="dxa"/>
            <w:vAlign w:val="bottom"/>
            <w:shd w:val="clear" w:color="auto" w:fill="CCECF8"/>
          </w:tcPr>
          <w:p>
            <w:pPr>
              <w:spacing w:after="0"/>
              <w:rPr>
                <w:sz w:val="10"/>
                <w:szCs w:val="10"/>
                <w:color w:val="auto"/>
              </w:rPr>
            </w:pPr>
          </w:p>
        </w:tc>
        <w:tc>
          <w:tcPr>
            <w:tcW w:w="80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8,240</w:t>
            </w:r>
          </w:p>
        </w:tc>
        <w:tc>
          <w:tcPr>
            <w:tcW w:w="260" w:type="dxa"/>
            <w:vAlign w:val="bottom"/>
            <w:shd w:val="clear" w:color="auto" w:fill="CCECF8"/>
          </w:tcPr>
          <w:p>
            <w:pPr>
              <w:spacing w:after="0"/>
              <w:rPr>
                <w:sz w:val="10"/>
                <w:szCs w:val="10"/>
                <w:color w:val="auto"/>
              </w:rPr>
            </w:pPr>
          </w:p>
        </w:tc>
        <w:tc>
          <w:tcPr>
            <w:tcW w:w="660" w:type="dxa"/>
            <w:vAlign w:val="bottom"/>
            <w:gridSpan w:val="2"/>
            <w:shd w:val="clear" w:color="auto" w:fill="CCECF8"/>
          </w:tcPr>
          <w:p>
            <w:pPr>
              <w:ind w:left="160"/>
              <w:spacing w:after="0" w:line="119" w:lineRule="exact"/>
              <w:rPr>
                <w:sz w:val="20"/>
                <w:szCs w:val="20"/>
                <w:color w:val="auto"/>
              </w:rPr>
            </w:pPr>
            <w:r>
              <w:rPr>
                <w:rFonts w:ascii="Arial" w:cs="Arial" w:eastAsia="Arial" w:hAnsi="Arial"/>
                <w:sz w:val="11"/>
                <w:szCs w:val="11"/>
                <w:color w:val="auto"/>
              </w:rPr>
              <w:t>67.10</w:t>
            </w:r>
          </w:p>
        </w:tc>
        <w:tc>
          <w:tcPr>
            <w:tcW w:w="100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2/9/2022</w:t>
            </w:r>
          </w:p>
        </w:tc>
        <w:tc>
          <w:tcPr>
            <w:tcW w:w="74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CF8"/>
          </w:tcPr>
          <w:p>
            <w:pPr>
              <w:jc w:val="right"/>
              <w:ind w:right="20"/>
              <w:spacing w:after="0" w:line="119" w:lineRule="exact"/>
              <w:rPr>
                <w:sz w:val="20"/>
                <w:szCs w:val="20"/>
                <w:color w:val="auto"/>
              </w:rPr>
            </w:pPr>
            <w:r>
              <w:rPr>
                <w:rFonts w:ascii="Arial" w:cs="Arial" w:eastAsia="Arial" w:hAnsi="Arial"/>
                <w:sz w:val="11"/>
                <w:szCs w:val="11"/>
                <w:color w:val="auto"/>
              </w:rPr>
              <w:t>—</w:t>
            </w:r>
          </w:p>
        </w:tc>
      </w:tr>
      <w:tr>
        <w:trPr>
          <w:trHeight w:val="128"/>
        </w:trPr>
        <w:tc>
          <w:tcPr>
            <w:tcW w:w="280" w:type="dxa"/>
            <w:vAlign w:val="bottom"/>
            <w:shd w:val="clear" w:color="auto" w:fill="CCECF8"/>
          </w:tcPr>
          <w:p>
            <w:pPr>
              <w:spacing w:after="0"/>
              <w:rPr>
                <w:sz w:val="11"/>
                <w:szCs w:val="11"/>
                <w:color w:val="auto"/>
              </w:rPr>
            </w:pPr>
          </w:p>
        </w:tc>
        <w:tc>
          <w:tcPr>
            <w:tcW w:w="1260" w:type="dxa"/>
            <w:vAlign w:val="bottom"/>
            <w:shd w:val="clear" w:color="auto" w:fill="CCECF8"/>
          </w:tcPr>
          <w:p>
            <w:pPr>
              <w:spacing w:after="0"/>
              <w:rPr>
                <w:sz w:val="11"/>
                <w:szCs w:val="11"/>
                <w:color w:val="auto"/>
              </w:rPr>
            </w:pPr>
          </w:p>
        </w:tc>
        <w:tc>
          <w:tcPr>
            <w:tcW w:w="600" w:type="dxa"/>
            <w:vAlign w:val="bottom"/>
            <w:shd w:val="clear" w:color="auto" w:fill="CCECF8"/>
          </w:tcPr>
          <w:p>
            <w:pPr>
              <w:spacing w:after="0"/>
              <w:rPr>
                <w:sz w:val="11"/>
                <w:szCs w:val="11"/>
                <w:color w:val="auto"/>
              </w:rPr>
            </w:pPr>
          </w:p>
        </w:tc>
        <w:tc>
          <w:tcPr>
            <w:tcW w:w="460" w:type="dxa"/>
            <w:vAlign w:val="bottom"/>
            <w:shd w:val="clear" w:color="auto" w:fill="CCECF8"/>
          </w:tcPr>
          <w:p>
            <w:pPr>
              <w:jc w:val="right"/>
              <w:spacing w:after="0"/>
              <w:rPr>
                <w:sz w:val="20"/>
                <w:szCs w:val="20"/>
                <w:color w:val="auto"/>
              </w:rPr>
            </w:pPr>
            <w:r>
              <w:rPr>
                <w:rFonts w:ascii="Arial" w:cs="Arial" w:eastAsia="Arial" w:hAnsi="Arial"/>
                <w:sz w:val="11"/>
                <w:szCs w:val="11"/>
                <w:color w:val="auto"/>
                <w:w w:val="89"/>
              </w:rPr>
              <w:t>4/27/2015</w:t>
            </w:r>
          </w:p>
        </w:tc>
        <w:tc>
          <w:tcPr>
            <w:tcW w:w="20" w:type="dxa"/>
            <w:vAlign w:val="bottom"/>
            <w:shd w:val="clear" w:color="auto" w:fill="CCECF8"/>
          </w:tcPr>
          <w:p>
            <w:pPr>
              <w:spacing w:after="0"/>
              <w:rPr>
                <w:sz w:val="11"/>
                <w:szCs w:val="11"/>
                <w:color w:val="auto"/>
              </w:rPr>
            </w:pPr>
          </w:p>
        </w:tc>
        <w:tc>
          <w:tcPr>
            <w:tcW w:w="260" w:type="dxa"/>
            <w:vAlign w:val="bottom"/>
            <w:shd w:val="clear" w:color="auto" w:fill="CCECF8"/>
          </w:tcPr>
          <w:p>
            <w:pPr>
              <w:spacing w:after="0"/>
              <w:rPr>
                <w:sz w:val="11"/>
                <w:szCs w:val="11"/>
                <w:color w:val="auto"/>
              </w:rPr>
            </w:pPr>
          </w:p>
        </w:tc>
        <w:tc>
          <w:tcPr>
            <w:tcW w:w="660" w:type="dxa"/>
            <w:vAlign w:val="bottom"/>
            <w:shd w:val="clear" w:color="auto" w:fill="CCECF8"/>
          </w:tcPr>
          <w:p>
            <w:pPr>
              <w:jc w:val="right"/>
              <w:spacing w:after="0"/>
              <w:rPr>
                <w:sz w:val="20"/>
                <w:szCs w:val="20"/>
                <w:color w:val="auto"/>
              </w:rPr>
            </w:pPr>
            <w:r>
              <w:rPr>
                <w:rFonts w:ascii="Arial" w:cs="Arial" w:eastAsia="Arial" w:hAnsi="Arial"/>
                <w:sz w:val="11"/>
                <w:szCs w:val="11"/>
                <w:color w:val="auto"/>
              </w:rPr>
              <w:t>7,154</w:t>
            </w:r>
          </w:p>
        </w:tc>
        <w:tc>
          <w:tcPr>
            <w:tcW w:w="280" w:type="dxa"/>
            <w:vAlign w:val="bottom"/>
            <w:shd w:val="clear" w:color="auto" w:fill="CCECF8"/>
          </w:tcPr>
          <w:p>
            <w:pPr>
              <w:spacing w:after="0"/>
              <w:rPr>
                <w:sz w:val="11"/>
                <w:szCs w:val="11"/>
                <w:color w:val="auto"/>
              </w:rPr>
            </w:pPr>
          </w:p>
        </w:tc>
        <w:tc>
          <w:tcPr>
            <w:tcW w:w="800" w:type="dxa"/>
            <w:vAlign w:val="bottom"/>
            <w:shd w:val="clear" w:color="auto" w:fill="CCECF8"/>
          </w:tcPr>
          <w:p>
            <w:pPr>
              <w:jc w:val="right"/>
              <w:spacing w:after="0"/>
              <w:rPr>
                <w:sz w:val="20"/>
                <w:szCs w:val="20"/>
                <w:color w:val="auto"/>
              </w:rPr>
            </w:pPr>
            <w:r>
              <w:rPr>
                <w:rFonts w:ascii="Arial" w:cs="Arial" w:eastAsia="Arial" w:hAnsi="Arial"/>
                <w:sz w:val="11"/>
                <w:szCs w:val="11"/>
                <w:color w:val="auto"/>
              </w:rPr>
              <w:t>3,577</w:t>
            </w:r>
          </w:p>
        </w:tc>
        <w:tc>
          <w:tcPr>
            <w:tcW w:w="260" w:type="dxa"/>
            <w:vAlign w:val="bottom"/>
            <w:shd w:val="clear" w:color="auto" w:fill="CCECF8"/>
          </w:tcPr>
          <w:p>
            <w:pPr>
              <w:spacing w:after="0"/>
              <w:rPr>
                <w:sz w:val="11"/>
                <w:szCs w:val="11"/>
                <w:color w:val="auto"/>
              </w:rPr>
            </w:pPr>
          </w:p>
        </w:tc>
        <w:tc>
          <w:tcPr>
            <w:tcW w:w="660" w:type="dxa"/>
            <w:vAlign w:val="bottom"/>
            <w:gridSpan w:val="2"/>
            <w:shd w:val="clear" w:color="auto" w:fill="CCECF8"/>
          </w:tcPr>
          <w:p>
            <w:pPr>
              <w:ind w:left="160"/>
              <w:spacing w:after="0"/>
              <w:rPr>
                <w:sz w:val="20"/>
                <w:szCs w:val="20"/>
                <w:color w:val="auto"/>
              </w:rPr>
            </w:pPr>
            <w:r>
              <w:rPr>
                <w:rFonts w:ascii="Arial" w:cs="Arial" w:eastAsia="Arial" w:hAnsi="Arial"/>
                <w:sz w:val="11"/>
                <w:szCs w:val="11"/>
                <w:color w:val="auto"/>
              </w:rPr>
              <w:t>68.95</w:t>
            </w:r>
          </w:p>
        </w:tc>
        <w:tc>
          <w:tcPr>
            <w:tcW w:w="1000" w:type="dxa"/>
            <w:vAlign w:val="bottom"/>
            <w:gridSpan w:val="2"/>
            <w:shd w:val="clear" w:color="auto" w:fill="CCECF8"/>
          </w:tcPr>
          <w:p>
            <w:pPr>
              <w:jc w:val="right"/>
              <w:ind w:right="280"/>
              <w:spacing w:after="0"/>
              <w:rPr>
                <w:sz w:val="20"/>
                <w:szCs w:val="20"/>
                <w:color w:val="auto"/>
              </w:rPr>
            </w:pPr>
            <w:r>
              <w:rPr>
                <w:rFonts w:ascii="Arial" w:cs="Arial" w:eastAsia="Arial" w:hAnsi="Arial"/>
                <w:sz w:val="11"/>
                <w:szCs w:val="11"/>
                <w:color w:val="auto"/>
              </w:rPr>
              <w:t>4/27/2022</w:t>
            </w:r>
          </w:p>
        </w:tc>
        <w:tc>
          <w:tcPr>
            <w:tcW w:w="740" w:type="dxa"/>
            <w:vAlign w:val="bottom"/>
            <w:gridSpan w:val="2"/>
            <w:shd w:val="clear" w:color="auto" w:fill="CCECF8"/>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CF8"/>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8"/>
          </w:tcPr>
          <w:p>
            <w:pPr>
              <w:jc w:val="right"/>
              <w:ind w:right="2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8"/>
          </w:tcPr>
          <w:p>
            <w:pPr>
              <w:jc w:val="right"/>
              <w:ind w:right="28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CF8"/>
          </w:tcPr>
          <w:p>
            <w:pPr>
              <w:jc w:val="right"/>
              <w:ind w:right="20"/>
              <w:spacing w:after="0"/>
              <w:rPr>
                <w:sz w:val="20"/>
                <w:szCs w:val="20"/>
                <w:color w:val="auto"/>
              </w:rPr>
            </w:pPr>
            <w:r>
              <w:rPr>
                <w:rFonts w:ascii="Arial" w:cs="Arial" w:eastAsia="Arial" w:hAnsi="Arial"/>
                <w:sz w:val="11"/>
                <w:szCs w:val="11"/>
                <w:color w:val="auto"/>
              </w:rPr>
              <w:t>—</w:t>
            </w:r>
          </w:p>
        </w:tc>
      </w:tr>
      <w:tr>
        <w:trPr>
          <w:trHeight w:val="109"/>
        </w:trPr>
        <w:tc>
          <w:tcPr>
            <w:tcW w:w="1540" w:type="dxa"/>
            <w:vAlign w:val="bottom"/>
            <w:gridSpan w:val="2"/>
          </w:tcPr>
          <w:p>
            <w:pPr>
              <w:spacing w:after="0" w:line="109" w:lineRule="exact"/>
              <w:rPr>
                <w:sz w:val="20"/>
                <w:szCs w:val="20"/>
                <w:color w:val="auto"/>
              </w:rPr>
            </w:pPr>
            <w:r>
              <w:rPr>
                <w:rFonts w:ascii="Arial" w:cs="Arial" w:eastAsia="Arial" w:hAnsi="Arial"/>
                <w:sz w:val="11"/>
                <w:szCs w:val="11"/>
                <w:color w:val="auto"/>
              </w:rPr>
              <w:t>Kimberly K. Nelson</w:t>
            </w:r>
          </w:p>
        </w:tc>
        <w:tc>
          <w:tcPr>
            <w:tcW w:w="600" w:type="dxa"/>
            <w:vAlign w:val="bottom"/>
          </w:tcPr>
          <w:p>
            <w:pPr>
              <w:spacing w:after="0"/>
              <w:rPr>
                <w:sz w:val="9"/>
                <w:szCs w:val="9"/>
                <w:color w:val="auto"/>
              </w:rPr>
            </w:pPr>
          </w:p>
        </w:tc>
        <w:tc>
          <w:tcPr>
            <w:tcW w:w="460" w:type="dxa"/>
            <w:vAlign w:val="bottom"/>
          </w:tcPr>
          <w:p>
            <w:pPr>
              <w:jc w:val="right"/>
              <w:spacing w:after="0" w:line="109" w:lineRule="exact"/>
              <w:rPr>
                <w:sz w:val="20"/>
                <w:szCs w:val="20"/>
                <w:color w:val="auto"/>
              </w:rPr>
            </w:pPr>
            <w:r>
              <w:rPr>
                <w:rFonts w:ascii="Arial" w:cs="Arial" w:eastAsia="Arial" w:hAnsi="Arial"/>
                <w:sz w:val="11"/>
                <w:szCs w:val="11"/>
                <w:color w:val="auto"/>
                <w:w w:val="89"/>
              </w:rPr>
              <w:t>4/27/2010</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jc w:val="right"/>
              <w:spacing w:after="0" w:line="109" w:lineRule="exact"/>
              <w:rPr>
                <w:sz w:val="20"/>
                <w:szCs w:val="20"/>
                <w:color w:val="auto"/>
              </w:rPr>
            </w:pPr>
            <w:r>
              <w:rPr>
                <w:rFonts w:ascii="Arial" w:cs="Arial" w:eastAsia="Arial" w:hAnsi="Arial"/>
                <w:sz w:val="11"/>
                <w:szCs w:val="11"/>
                <w:color w:val="auto"/>
              </w:rPr>
              <w:t>6,700</w:t>
            </w:r>
          </w:p>
        </w:tc>
        <w:tc>
          <w:tcPr>
            <w:tcW w:w="280" w:type="dxa"/>
            <w:vAlign w:val="bottom"/>
          </w:tcPr>
          <w:p>
            <w:pPr>
              <w:spacing w:after="0"/>
              <w:rPr>
                <w:sz w:val="9"/>
                <w:szCs w:val="9"/>
                <w:color w:val="auto"/>
              </w:rPr>
            </w:pPr>
          </w:p>
        </w:tc>
        <w:tc>
          <w:tcPr>
            <w:tcW w:w="1060" w:type="dxa"/>
            <w:vAlign w:val="bottom"/>
            <w:gridSpan w:val="2"/>
          </w:tcPr>
          <w:p>
            <w:pPr>
              <w:jc w:val="right"/>
              <w:ind w:right="260"/>
              <w:spacing w:after="0" w:line="109" w:lineRule="exact"/>
              <w:rPr>
                <w:sz w:val="20"/>
                <w:szCs w:val="20"/>
                <w:color w:val="auto"/>
              </w:rPr>
            </w:pPr>
            <w:r>
              <w:rPr>
                <w:rFonts w:ascii="Arial" w:cs="Arial" w:eastAsia="Arial" w:hAnsi="Arial"/>
                <w:sz w:val="11"/>
                <w:szCs w:val="11"/>
                <w:color w:val="auto"/>
              </w:rPr>
              <w:t>—</w:t>
            </w:r>
          </w:p>
        </w:tc>
        <w:tc>
          <w:tcPr>
            <w:tcW w:w="660" w:type="dxa"/>
            <w:vAlign w:val="bottom"/>
            <w:gridSpan w:val="2"/>
          </w:tcPr>
          <w:p>
            <w:pPr>
              <w:ind w:left="160"/>
              <w:spacing w:after="0" w:line="109" w:lineRule="exact"/>
              <w:rPr>
                <w:sz w:val="20"/>
                <w:szCs w:val="20"/>
                <w:color w:val="auto"/>
              </w:rPr>
            </w:pPr>
            <w:r>
              <w:rPr>
                <w:rFonts w:ascii="Arial" w:cs="Arial" w:eastAsia="Arial" w:hAnsi="Arial"/>
                <w:sz w:val="11"/>
                <w:szCs w:val="11"/>
                <w:color w:val="auto"/>
              </w:rPr>
              <w:t>12.00</w:t>
            </w:r>
          </w:p>
        </w:tc>
        <w:tc>
          <w:tcPr>
            <w:tcW w:w="1000" w:type="dxa"/>
            <w:vAlign w:val="bottom"/>
            <w:gridSpan w:val="2"/>
          </w:tcPr>
          <w:p>
            <w:pPr>
              <w:jc w:val="right"/>
              <w:ind w:right="280"/>
              <w:spacing w:after="0" w:line="109" w:lineRule="exact"/>
              <w:rPr>
                <w:sz w:val="20"/>
                <w:szCs w:val="20"/>
                <w:color w:val="auto"/>
              </w:rPr>
            </w:pPr>
            <w:r>
              <w:rPr>
                <w:rFonts w:ascii="Arial" w:cs="Arial" w:eastAsia="Arial" w:hAnsi="Arial"/>
                <w:sz w:val="11"/>
                <w:szCs w:val="11"/>
                <w:color w:val="auto"/>
              </w:rPr>
              <w:t>4/27/2020</w:t>
            </w:r>
          </w:p>
        </w:tc>
        <w:tc>
          <w:tcPr>
            <w:tcW w:w="740" w:type="dxa"/>
            <w:vAlign w:val="bottom"/>
            <w:gridSpan w:val="2"/>
          </w:tcPr>
          <w:p>
            <w:pPr>
              <w:jc w:val="right"/>
              <w:ind w:right="280"/>
              <w:spacing w:after="0" w:line="109" w:lineRule="exact"/>
              <w:rPr>
                <w:sz w:val="20"/>
                <w:szCs w:val="20"/>
                <w:color w:val="auto"/>
              </w:rPr>
            </w:pPr>
            <w:r>
              <w:rPr>
                <w:rFonts w:ascii="Arial" w:cs="Arial" w:eastAsia="Arial" w:hAnsi="Arial"/>
                <w:sz w:val="11"/>
                <w:szCs w:val="11"/>
                <w:color w:val="auto"/>
                <w:w w:val="89"/>
              </w:rPr>
              <w:t>2/14/2017</w:t>
            </w:r>
          </w:p>
        </w:tc>
        <w:tc>
          <w:tcPr>
            <w:tcW w:w="760" w:type="dxa"/>
            <w:vAlign w:val="bottom"/>
            <w:gridSpan w:val="2"/>
          </w:tcPr>
          <w:p>
            <w:pPr>
              <w:jc w:val="right"/>
              <w:ind w:right="280"/>
              <w:spacing w:after="0" w:line="109"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80"/>
              <w:spacing w:after="0" w:line="109"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09" w:lineRule="exact"/>
              <w:rPr>
                <w:sz w:val="20"/>
                <w:szCs w:val="20"/>
                <w:color w:val="auto"/>
              </w:rPr>
            </w:pPr>
            <w:r>
              <w:rPr>
                <w:rFonts w:ascii="Arial" w:cs="Arial" w:eastAsia="Arial" w:hAnsi="Arial"/>
                <w:sz w:val="11"/>
                <w:szCs w:val="11"/>
                <w:color w:val="auto"/>
              </w:rPr>
              <w:t>8,247</w:t>
            </w:r>
          </w:p>
        </w:tc>
        <w:tc>
          <w:tcPr>
            <w:tcW w:w="28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1"/>
                <w:szCs w:val="11"/>
                <w:color w:val="auto"/>
              </w:rPr>
              <w:t>400,721</w:t>
            </w:r>
          </w:p>
        </w:tc>
        <w:tc>
          <w:tcPr>
            <w:tcW w:w="20" w:type="dxa"/>
            <w:vAlign w:val="bottom"/>
          </w:tcPr>
          <w:p>
            <w:pPr>
              <w:spacing w:after="0"/>
              <w:rPr>
                <w:sz w:val="9"/>
                <w:szCs w:val="9"/>
                <w:color w:val="auto"/>
              </w:rPr>
            </w:pPr>
          </w:p>
        </w:tc>
      </w:tr>
      <w:tr>
        <w:trPr>
          <w:trHeight w:val="118"/>
        </w:trPr>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80" w:type="dxa"/>
            <w:vAlign w:val="bottom"/>
            <w:gridSpan w:val="3"/>
          </w:tcPr>
          <w:p>
            <w:pPr>
              <w:jc w:val="right"/>
              <w:ind w:right="20"/>
              <w:spacing w:after="0" w:line="119" w:lineRule="exact"/>
              <w:rPr>
                <w:sz w:val="20"/>
                <w:szCs w:val="20"/>
                <w:color w:val="auto"/>
              </w:rPr>
            </w:pPr>
            <w:r>
              <w:rPr>
                <w:rFonts w:ascii="Arial" w:cs="Arial" w:eastAsia="Arial" w:hAnsi="Arial"/>
                <w:sz w:val="11"/>
                <w:szCs w:val="11"/>
                <w:color w:val="auto"/>
              </w:rPr>
              <w:t>2/11/2011</w:t>
            </w:r>
          </w:p>
        </w:tc>
        <w:tc>
          <w:tcPr>
            <w:tcW w:w="92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34,322</w:t>
            </w:r>
          </w:p>
        </w:tc>
        <w:tc>
          <w:tcPr>
            <w:tcW w:w="280" w:type="dxa"/>
            <w:vAlign w:val="bottom"/>
          </w:tcPr>
          <w:p>
            <w:pPr>
              <w:spacing w:after="0"/>
              <w:rPr>
                <w:sz w:val="10"/>
                <w:szCs w:val="10"/>
                <w:color w:val="auto"/>
              </w:rPr>
            </w:pPr>
          </w:p>
        </w:tc>
        <w:tc>
          <w:tcPr>
            <w:tcW w:w="1060" w:type="dxa"/>
            <w:vAlign w:val="bottom"/>
            <w:gridSpan w:val="2"/>
          </w:tcPr>
          <w:p>
            <w:pPr>
              <w:jc w:val="right"/>
              <w:ind w:right="260"/>
              <w:spacing w:after="0" w:line="119" w:lineRule="exact"/>
              <w:rPr>
                <w:sz w:val="20"/>
                <w:szCs w:val="20"/>
                <w:color w:val="auto"/>
              </w:rPr>
            </w:pPr>
            <w:r>
              <w:rPr>
                <w:rFonts w:ascii="Arial" w:cs="Arial" w:eastAsia="Arial" w:hAnsi="Arial"/>
                <w:sz w:val="11"/>
                <w:szCs w:val="11"/>
                <w:color w:val="auto"/>
              </w:rPr>
              <w:t>—</w:t>
            </w:r>
          </w:p>
        </w:tc>
        <w:tc>
          <w:tcPr>
            <w:tcW w:w="660" w:type="dxa"/>
            <w:vAlign w:val="bottom"/>
            <w:gridSpan w:val="2"/>
          </w:tcPr>
          <w:p>
            <w:pPr>
              <w:ind w:left="160"/>
              <w:spacing w:after="0" w:line="119" w:lineRule="exact"/>
              <w:rPr>
                <w:sz w:val="20"/>
                <w:szCs w:val="20"/>
                <w:color w:val="auto"/>
              </w:rPr>
            </w:pPr>
            <w:r>
              <w:rPr>
                <w:rFonts w:ascii="Arial" w:cs="Arial" w:eastAsia="Arial" w:hAnsi="Arial"/>
                <w:sz w:val="11"/>
                <w:szCs w:val="11"/>
                <w:color w:val="auto"/>
              </w:rPr>
              <w:t>16.64</w:t>
            </w:r>
          </w:p>
        </w:tc>
        <w:tc>
          <w:tcPr>
            <w:tcW w:w="100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2/11/2021</w:t>
            </w:r>
          </w:p>
        </w:tc>
        <w:tc>
          <w:tcPr>
            <w:tcW w:w="74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w w:val="89"/>
              </w:rPr>
              <w:t>2/14/2017</w:t>
            </w:r>
          </w:p>
        </w:tc>
        <w:tc>
          <w:tcPr>
            <w:tcW w:w="76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10,996</w:t>
            </w:r>
          </w:p>
        </w:tc>
        <w:tc>
          <w:tcPr>
            <w:tcW w:w="620" w:type="dxa"/>
            <w:vAlign w:val="bottom"/>
          </w:tcPr>
          <w:p>
            <w:pPr>
              <w:jc w:val="right"/>
              <w:spacing w:after="0" w:line="119" w:lineRule="exact"/>
              <w:rPr>
                <w:sz w:val="20"/>
                <w:szCs w:val="20"/>
                <w:color w:val="auto"/>
              </w:rPr>
            </w:pPr>
            <w:r>
              <w:rPr>
                <w:rFonts w:ascii="Arial" w:cs="Arial" w:eastAsia="Arial" w:hAnsi="Arial"/>
                <w:sz w:val="11"/>
                <w:szCs w:val="11"/>
                <w:color w:val="auto"/>
              </w:rPr>
              <w:t>534,296</w:t>
            </w:r>
          </w:p>
        </w:tc>
        <w:tc>
          <w:tcPr>
            <w:tcW w:w="280" w:type="dxa"/>
            <w:vAlign w:val="bottom"/>
          </w:tcPr>
          <w:p>
            <w:pPr>
              <w:spacing w:after="0"/>
              <w:rPr>
                <w:sz w:val="10"/>
                <w:szCs w:val="10"/>
                <w:color w:val="auto"/>
              </w:rPr>
            </w:pPr>
          </w:p>
        </w:tc>
        <w:tc>
          <w:tcPr>
            <w:tcW w:w="102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
              <w:spacing w:after="0" w:line="119" w:lineRule="exact"/>
              <w:rPr>
                <w:sz w:val="20"/>
                <w:szCs w:val="20"/>
                <w:color w:val="auto"/>
              </w:rPr>
            </w:pPr>
            <w:r>
              <w:rPr>
                <w:rFonts w:ascii="Arial" w:cs="Arial" w:eastAsia="Arial" w:hAnsi="Arial"/>
                <w:sz w:val="11"/>
                <w:szCs w:val="11"/>
                <w:color w:val="auto"/>
              </w:rPr>
              <w:t>—</w:t>
            </w:r>
          </w:p>
        </w:tc>
      </w:tr>
      <w:tr>
        <w:trPr>
          <w:trHeight w:val="118"/>
        </w:trPr>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80" w:type="dxa"/>
            <w:vAlign w:val="bottom"/>
            <w:gridSpan w:val="3"/>
          </w:tcPr>
          <w:p>
            <w:pPr>
              <w:jc w:val="right"/>
              <w:ind w:right="20"/>
              <w:spacing w:after="0" w:line="119" w:lineRule="exact"/>
              <w:rPr>
                <w:sz w:val="20"/>
                <w:szCs w:val="20"/>
                <w:color w:val="auto"/>
              </w:rPr>
            </w:pPr>
            <w:r>
              <w:rPr>
                <w:rFonts w:ascii="Arial" w:cs="Arial" w:eastAsia="Arial" w:hAnsi="Arial"/>
                <w:sz w:val="11"/>
                <w:szCs w:val="11"/>
                <w:color w:val="auto"/>
              </w:rPr>
              <w:t>2/10/2012</w:t>
            </w:r>
          </w:p>
        </w:tc>
        <w:tc>
          <w:tcPr>
            <w:tcW w:w="92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15,968</w:t>
            </w:r>
          </w:p>
        </w:tc>
        <w:tc>
          <w:tcPr>
            <w:tcW w:w="280" w:type="dxa"/>
            <w:vAlign w:val="bottom"/>
          </w:tcPr>
          <w:p>
            <w:pPr>
              <w:spacing w:after="0"/>
              <w:rPr>
                <w:sz w:val="10"/>
                <w:szCs w:val="10"/>
                <w:color w:val="auto"/>
              </w:rPr>
            </w:pPr>
          </w:p>
        </w:tc>
        <w:tc>
          <w:tcPr>
            <w:tcW w:w="1060" w:type="dxa"/>
            <w:vAlign w:val="bottom"/>
            <w:gridSpan w:val="2"/>
          </w:tcPr>
          <w:p>
            <w:pPr>
              <w:jc w:val="right"/>
              <w:ind w:right="260"/>
              <w:spacing w:after="0" w:line="119" w:lineRule="exact"/>
              <w:rPr>
                <w:sz w:val="20"/>
                <w:szCs w:val="20"/>
                <w:color w:val="auto"/>
              </w:rPr>
            </w:pPr>
            <w:r>
              <w:rPr>
                <w:rFonts w:ascii="Arial" w:cs="Arial" w:eastAsia="Arial" w:hAnsi="Arial"/>
                <w:sz w:val="11"/>
                <w:szCs w:val="11"/>
                <w:color w:val="auto"/>
              </w:rPr>
              <w:t>—</w:t>
            </w:r>
          </w:p>
        </w:tc>
        <w:tc>
          <w:tcPr>
            <w:tcW w:w="660" w:type="dxa"/>
            <w:vAlign w:val="bottom"/>
            <w:gridSpan w:val="2"/>
          </w:tcPr>
          <w:p>
            <w:pPr>
              <w:ind w:left="160"/>
              <w:spacing w:after="0" w:line="119" w:lineRule="exact"/>
              <w:rPr>
                <w:sz w:val="20"/>
                <w:szCs w:val="20"/>
                <w:color w:val="auto"/>
              </w:rPr>
            </w:pPr>
            <w:r>
              <w:rPr>
                <w:rFonts w:ascii="Arial" w:cs="Arial" w:eastAsia="Arial" w:hAnsi="Arial"/>
                <w:sz w:val="11"/>
                <w:szCs w:val="11"/>
                <w:color w:val="auto"/>
              </w:rPr>
              <w:t>25.32</w:t>
            </w:r>
          </w:p>
        </w:tc>
        <w:tc>
          <w:tcPr>
            <w:tcW w:w="100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2/10/2019</w:t>
            </w:r>
          </w:p>
        </w:tc>
        <w:tc>
          <w:tcPr>
            <w:tcW w:w="74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2/9/2015</w:t>
            </w:r>
          </w:p>
        </w:tc>
        <w:tc>
          <w:tcPr>
            <w:tcW w:w="76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1,952</w:t>
            </w:r>
          </w:p>
        </w:tc>
        <w:tc>
          <w:tcPr>
            <w:tcW w:w="620" w:type="dxa"/>
            <w:vAlign w:val="bottom"/>
          </w:tcPr>
          <w:p>
            <w:pPr>
              <w:jc w:val="right"/>
              <w:spacing w:after="0" w:line="119" w:lineRule="exact"/>
              <w:rPr>
                <w:sz w:val="20"/>
                <w:szCs w:val="20"/>
                <w:color w:val="auto"/>
              </w:rPr>
            </w:pPr>
            <w:r>
              <w:rPr>
                <w:rFonts w:ascii="Arial" w:cs="Arial" w:eastAsia="Arial" w:hAnsi="Arial"/>
                <w:sz w:val="11"/>
                <w:szCs w:val="11"/>
                <w:color w:val="auto"/>
              </w:rPr>
              <w:t>94,848</w:t>
            </w:r>
          </w:p>
        </w:tc>
        <w:tc>
          <w:tcPr>
            <w:tcW w:w="280" w:type="dxa"/>
            <w:vAlign w:val="bottom"/>
          </w:tcPr>
          <w:p>
            <w:pPr>
              <w:spacing w:after="0"/>
              <w:rPr>
                <w:sz w:val="10"/>
                <w:szCs w:val="10"/>
                <w:color w:val="auto"/>
              </w:rPr>
            </w:pPr>
          </w:p>
        </w:tc>
        <w:tc>
          <w:tcPr>
            <w:tcW w:w="102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
              <w:spacing w:after="0" w:line="119" w:lineRule="exact"/>
              <w:rPr>
                <w:sz w:val="20"/>
                <w:szCs w:val="20"/>
                <w:color w:val="auto"/>
              </w:rPr>
            </w:pPr>
            <w:r>
              <w:rPr>
                <w:rFonts w:ascii="Arial" w:cs="Arial" w:eastAsia="Arial" w:hAnsi="Arial"/>
                <w:sz w:val="11"/>
                <w:szCs w:val="11"/>
                <w:color w:val="auto"/>
              </w:rPr>
              <w:t>—</w:t>
            </w:r>
          </w:p>
        </w:tc>
      </w:tr>
      <w:tr>
        <w:trPr>
          <w:trHeight w:val="118"/>
        </w:trPr>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80" w:type="dxa"/>
            <w:vAlign w:val="bottom"/>
            <w:gridSpan w:val="3"/>
          </w:tcPr>
          <w:p>
            <w:pPr>
              <w:jc w:val="right"/>
              <w:ind w:right="20"/>
              <w:spacing w:after="0" w:line="119" w:lineRule="exact"/>
              <w:rPr>
                <w:sz w:val="20"/>
                <w:szCs w:val="20"/>
                <w:color w:val="auto"/>
              </w:rPr>
            </w:pPr>
            <w:r>
              <w:rPr>
                <w:rFonts w:ascii="Arial" w:cs="Arial" w:eastAsia="Arial" w:hAnsi="Arial"/>
                <w:sz w:val="11"/>
                <w:szCs w:val="11"/>
                <w:color w:val="auto"/>
              </w:rPr>
              <w:t>2/8/2013</w:t>
            </w:r>
          </w:p>
        </w:tc>
        <w:tc>
          <w:tcPr>
            <w:tcW w:w="92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18,215</w:t>
            </w:r>
          </w:p>
        </w:tc>
        <w:tc>
          <w:tcPr>
            <w:tcW w:w="280" w:type="dxa"/>
            <w:vAlign w:val="bottom"/>
          </w:tcPr>
          <w:p>
            <w:pPr>
              <w:spacing w:after="0"/>
              <w:rPr>
                <w:sz w:val="10"/>
                <w:szCs w:val="10"/>
                <w:color w:val="auto"/>
              </w:rPr>
            </w:pPr>
          </w:p>
        </w:tc>
        <w:tc>
          <w:tcPr>
            <w:tcW w:w="1060" w:type="dxa"/>
            <w:vAlign w:val="bottom"/>
            <w:gridSpan w:val="2"/>
          </w:tcPr>
          <w:p>
            <w:pPr>
              <w:jc w:val="right"/>
              <w:ind w:right="260"/>
              <w:spacing w:after="0" w:line="119" w:lineRule="exact"/>
              <w:rPr>
                <w:sz w:val="20"/>
                <w:szCs w:val="20"/>
                <w:color w:val="auto"/>
              </w:rPr>
            </w:pPr>
            <w:r>
              <w:rPr>
                <w:rFonts w:ascii="Arial" w:cs="Arial" w:eastAsia="Arial" w:hAnsi="Arial"/>
                <w:sz w:val="11"/>
                <w:szCs w:val="11"/>
                <w:color w:val="auto"/>
              </w:rPr>
              <w:t>—</w:t>
            </w:r>
          </w:p>
        </w:tc>
        <w:tc>
          <w:tcPr>
            <w:tcW w:w="660" w:type="dxa"/>
            <w:vAlign w:val="bottom"/>
            <w:gridSpan w:val="2"/>
          </w:tcPr>
          <w:p>
            <w:pPr>
              <w:ind w:left="160"/>
              <w:spacing w:after="0" w:line="119" w:lineRule="exact"/>
              <w:rPr>
                <w:sz w:val="20"/>
                <w:szCs w:val="20"/>
                <w:color w:val="auto"/>
              </w:rPr>
            </w:pPr>
            <w:r>
              <w:rPr>
                <w:rFonts w:ascii="Arial" w:cs="Arial" w:eastAsia="Arial" w:hAnsi="Arial"/>
                <w:sz w:val="11"/>
                <w:szCs w:val="11"/>
                <w:color w:val="auto"/>
              </w:rPr>
              <w:t>39.01</w:t>
            </w:r>
          </w:p>
        </w:tc>
        <w:tc>
          <w:tcPr>
            <w:tcW w:w="100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2/8/2020</w:t>
            </w:r>
          </w:p>
        </w:tc>
        <w:tc>
          <w:tcPr>
            <w:tcW w:w="74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w w:val="89"/>
              </w:rPr>
              <w:t>2/10/2014</w:t>
            </w:r>
          </w:p>
        </w:tc>
        <w:tc>
          <w:tcPr>
            <w:tcW w:w="76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166</w:t>
            </w:r>
          </w:p>
        </w:tc>
        <w:tc>
          <w:tcPr>
            <w:tcW w:w="620" w:type="dxa"/>
            <w:vAlign w:val="bottom"/>
          </w:tcPr>
          <w:p>
            <w:pPr>
              <w:jc w:val="right"/>
              <w:spacing w:after="0" w:line="119" w:lineRule="exact"/>
              <w:rPr>
                <w:sz w:val="20"/>
                <w:szCs w:val="20"/>
                <w:color w:val="auto"/>
              </w:rPr>
            </w:pPr>
            <w:r>
              <w:rPr>
                <w:rFonts w:ascii="Arial" w:cs="Arial" w:eastAsia="Arial" w:hAnsi="Arial"/>
                <w:sz w:val="11"/>
                <w:szCs w:val="11"/>
                <w:color w:val="auto"/>
              </w:rPr>
              <w:t>8,066</w:t>
            </w:r>
          </w:p>
        </w:tc>
        <w:tc>
          <w:tcPr>
            <w:tcW w:w="280" w:type="dxa"/>
            <w:vAlign w:val="bottom"/>
          </w:tcPr>
          <w:p>
            <w:pPr>
              <w:spacing w:after="0"/>
              <w:rPr>
                <w:sz w:val="10"/>
                <w:szCs w:val="10"/>
                <w:color w:val="auto"/>
              </w:rPr>
            </w:pPr>
          </w:p>
        </w:tc>
        <w:tc>
          <w:tcPr>
            <w:tcW w:w="102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
              <w:spacing w:after="0" w:line="119" w:lineRule="exact"/>
              <w:rPr>
                <w:sz w:val="20"/>
                <w:szCs w:val="20"/>
                <w:color w:val="auto"/>
              </w:rPr>
            </w:pPr>
            <w:r>
              <w:rPr>
                <w:rFonts w:ascii="Arial" w:cs="Arial" w:eastAsia="Arial" w:hAnsi="Arial"/>
                <w:sz w:val="11"/>
                <w:szCs w:val="11"/>
                <w:color w:val="auto"/>
              </w:rPr>
              <w:t>—</w:t>
            </w:r>
          </w:p>
        </w:tc>
      </w:tr>
      <w:tr>
        <w:trPr>
          <w:trHeight w:val="118"/>
        </w:trPr>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80" w:type="dxa"/>
            <w:vAlign w:val="bottom"/>
            <w:gridSpan w:val="3"/>
          </w:tcPr>
          <w:p>
            <w:pPr>
              <w:jc w:val="right"/>
              <w:ind w:right="20"/>
              <w:spacing w:after="0" w:line="119" w:lineRule="exact"/>
              <w:rPr>
                <w:sz w:val="20"/>
                <w:szCs w:val="20"/>
                <w:color w:val="auto"/>
              </w:rPr>
            </w:pPr>
            <w:r>
              <w:rPr>
                <w:rFonts w:ascii="Arial" w:cs="Arial" w:eastAsia="Arial" w:hAnsi="Arial"/>
                <w:sz w:val="11"/>
                <w:szCs w:val="11"/>
                <w:color w:val="auto"/>
              </w:rPr>
              <w:t>2/5/2016</w:t>
            </w:r>
          </w:p>
        </w:tc>
        <w:tc>
          <w:tcPr>
            <w:tcW w:w="92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15,678</w:t>
            </w:r>
          </w:p>
        </w:tc>
        <w:tc>
          <w:tcPr>
            <w:tcW w:w="28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1"/>
                <w:szCs w:val="11"/>
                <w:color w:val="auto"/>
              </w:rPr>
              <w:t>18,530</w:t>
            </w:r>
          </w:p>
        </w:tc>
        <w:tc>
          <w:tcPr>
            <w:tcW w:w="260" w:type="dxa"/>
            <w:vAlign w:val="bottom"/>
          </w:tcPr>
          <w:p>
            <w:pPr>
              <w:spacing w:after="0"/>
              <w:rPr>
                <w:sz w:val="10"/>
                <w:szCs w:val="10"/>
                <w:color w:val="auto"/>
              </w:rPr>
            </w:pPr>
          </w:p>
        </w:tc>
        <w:tc>
          <w:tcPr>
            <w:tcW w:w="660" w:type="dxa"/>
            <w:vAlign w:val="bottom"/>
            <w:gridSpan w:val="2"/>
          </w:tcPr>
          <w:p>
            <w:pPr>
              <w:ind w:left="160"/>
              <w:spacing w:after="0" w:line="119" w:lineRule="exact"/>
              <w:rPr>
                <w:sz w:val="20"/>
                <w:szCs w:val="20"/>
                <w:color w:val="auto"/>
              </w:rPr>
            </w:pPr>
            <w:r>
              <w:rPr>
                <w:rFonts w:ascii="Arial" w:cs="Arial" w:eastAsia="Arial" w:hAnsi="Arial"/>
                <w:sz w:val="11"/>
                <w:szCs w:val="11"/>
                <w:color w:val="auto"/>
              </w:rPr>
              <w:t>48.08</w:t>
            </w:r>
          </w:p>
        </w:tc>
        <w:tc>
          <w:tcPr>
            <w:tcW w:w="100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2/5/ 2023</w:t>
            </w:r>
          </w:p>
        </w:tc>
        <w:tc>
          <w:tcPr>
            <w:tcW w:w="74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2/5/2016</w:t>
            </w:r>
          </w:p>
        </w:tc>
        <w:tc>
          <w:tcPr>
            <w:tcW w:w="76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6,197</w:t>
            </w:r>
          </w:p>
        </w:tc>
        <w:tc>
          <w:tcPr>
            <w:tcW w:w="620" w:type="dxa"/>
            <w:vAlign w:val="bottom"/>
          </w:tcPr>
          <w:p>
            <w:pPr>
              <w:jc w:val="right"/>
              <w:spacing w:after="0" w:line="119" w:lineRule="exact"/>
              <w:rPr>
                <w:sz w:val="20"/>
                <w:szCs w:val="20"/>
                <w:color w:val="auto"/>
              </w:rPr>
            </w:pPr>
            <w:r>
              <w:rPr>
                <w:rFonts w:ascii="Arial" w:cs="Arial" w:eastAsia="Arial" w:hAnsi="Arial"/>
                <w:sz w:val="11"/>
                <w:szCs w:val="11"/>
                <w:color w:val="auto"/>
              </w:rPr>
              <w:t>301,112</w:t>
            </w:r>
          </w:p>
        </w:tc>
        <w:tc>
          <w:tcPr>
            <w:tcW w:w="280" w:type="dxa"/>
            <w:vAlign w:val="bottom"/>
          </w:tcPr>
          <w:p>
            <w:pPr>
              <w:spacing w:after="0"/>
              <w:rPr>
                <w:sz w:val="10"/>
                <w:szCs w:val="10"/>
                <w:color w:val="auto"/>
              </w:rPr>
            </w:pPr>
          </w:p>
        </w:tc>
        <w:tc>
          <w:tcPr>
            <w:tcW w:w="102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
              <w:spacing w:after="0" w:line="119" w:lineRule="exact"/>
              <w:rPr>
                <w:sz w:val="20"/>
                <w:szCs w:val="20"/>
                <w:color w:val="auto"/>
              </w:rPr>
            </w:pPr>
            <w:r>
              <w:rPr>
                <w:rFonts w:ascii="Arial" w:cs="Arial" w:eastAsia="Arial" w:hAnsi="Arial"/>
                <w:sz w:val="11"/>
                <w:szCs w:val="11"/>
                <w:color w:val="auto"/>
              </w:rPr>
              <w:t>—</w:t>
            </w:r>
          </w:p>
        </w:tc>
      </w:tr>
      <w:tr>
        <w:trPr>
          <w:trHeight w:val="118"/>
        </w:trPr>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80" w:type="dxa"/>
            <w:vAlign w:val="bottom"/>
            <w:gridSpan w:val="3"/>
          </w:tcPr>
          <w:p>
            <w:pPr>
              <w:jc w:val="right"/>
              <w:ind w:right="20"/>
              <w:spacing w:after="0" w:line="119" w:lineRule="exact"/>
              <w:rPr>
                <w:sz w:val="20"/>
                <w:szCs w:val="20"/>
                <w:color w:val="auto"/>
              </w:rPr>
            </w:pPr>
            <w:r>
              <w:rPr>
                <w:rFonts w:ascii="Arial" w:cs="Arial" w:eastAsia="Arial" w:hAnsi="Arial"/>
                <w:sz w:val="11"/>
                <w:szCs w:val="11"/>
                <w:color w:val="auto"/>
              </w:rPr>
              <w:t>2/14/2017</w:t>
            </w:r>
          </w:p>
        </w:tc>
        <w:tc>
          <w:tcPr>
            <w:tcW w:w="260" w:type="dxa"/>
            <w:vAlign w:val="bottom"/>
          </w:tcPr>
          <w:p>
            <w:pPr>
              <w:spacing w:after="0"/>
              <w:rPr>
                <w:sz w:val="10"/>
                <w:szCs w:val="10"/>
                <w:color w:val="auto"/>
              </w:rPr>
            </w:pPr>
          </w:p>
        </w:tc>
        <w:tc>
          <w:tcPr>
            <w:tcW w:w="940" w:type="dxa"/>
            <w:vAlign w:val="bottom"/>
            <w:gridSpan w:val="2"/>
          </w:tcPr>
          <w:p>
            <w:pPr>
              <w:ind w:left="560"/>
              <w:spacing w:after="0" w:line="119"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19" w:lineRule="exact"/>
              <w:rPr>
                <w:sz w:val="20"/>
                <w:szCs w:val="20"/>
                <w:color w:val="auto"/>
              </w:rPr>
            </w:pPr>
            <w:r>
              <w:rPr>
                <w:rFonts w:ascii="Arial" w:cs="Arial" w:eastAsia="Arial" w:hAnsi="Arial"/>
                <w:sz w:val="11"/>
                <w:szCs w:val="11"/>
                <w:color w:val="auto"/>
              </w:rPr>
              <w:t>16,065</w:t>
            </w:r>
          </w:p>
        </w:tc>
        <w:tc>
          <w:tcPr>
            <w:tcW w:w="260" w:type="dxa"/>
            <w:vAlign w:val="bottom"/>
          </w:tcPr>
          <w:p>
            <w:pPr>
              <w:spacing w:after="0"/>
              <w:rPr>
                <w:sz w:val="10"/>
                <w:szCs w:val="10"/>
                <w:color w:val="auto"/>
              </w:rPr>
            </w:pPr>
          </w:p>
        </w:tc>
        <w:tc>
          <w:tcPr>
            <w:tcW w:w="660" w:type="dxa"/>
            <w:vAlign w:val="bottom"/>
            <w:gridSpan w:val="2"/>
          </w:tcPr>
          <w:p>
            <w:pPr>
              <w:ind w:left="160"/>
              <w:spacing w:after="0" w:line="119" w:lineRule="exact"/>
              <w:rPr>
                <w:sz w:val="20"/>
                <w:szCs w:val="20"/>
                <w:color w:val="auto"/>
              </w:rPr>
            </w:pPr>
            <w:r>
              <w:rPr>
                <w:rFonts w:ascii="Arial" w:cs="Arial" w:eastAsia="Arial" w:hAnsi="Arial"/>
                <w:sz w:val="11"/>
                <w:szCs w:val="11"/>
                <w:color w:val="auto"/>
              </w:rPr>
              <w:t>55.70</w:t>
            </w:r>
          </w:p>
        </w:tc>
        <w:tc>
          <w:tcPr>
            <w:tcW w:w="100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2/14/2024</w:t>
            </w:r>
          </w:p>
        </w:tc>
        <w:tc>
          <w:tcPr>
            <w:tcW w:w="74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
              <w:spacing w:after="0" w:line="119" w:lineRule="exact"/>
              <w:rPr>
                <w:sz w:val="20"/>
                <w:szCs w:val="20"/>
                <w:color w:val="auto"/>
              </w:rPr>
            </w:pPr>
            <w:r>
              <w:rPr>
                <w:rFonts w:ascii="Arial" w:cs="Arial" w:eastAsia="Arial" w:hAnsi="Arial"/>
                <w:sz w:val="11"/>
                <w:szCs w:val="11"/>
                <w:color w:val="auto"/>
              </w:rPr>
              <w:t>—</w:t>
            </w:r>
          </w:p>
        </w:tc>
      </w:tr>
      <w:tr>
        <w:trPr>
          <w:trHeight w:val="118"/>
        </w:trPr>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80" w:type="dxa"/>
            <w:vAlign w:val="bottom"/>
            <w:gridSpan w:val="3"/>
          </w:tcPr>
          <w:p>
            <w:pPr>
              <w:jc w:val="right"/>
              <w:ind w:right="20"/>
              <w:spacing w:after="0" w:line="119" w:lineRule="exact"/>
              <w:rPr>
                <w:sz w:val="20"/>
                <w:szCs w:val="20"/>
                <w:color w:val="auto"/>
              </w:rPr>
            </w:pPr>
            <w:r>
              <w:rPr>
                <w:rFonts w:ascii="Arial" w:cs="Arial" w:eastAsia="Arial" w:hAnsi="Arial"/>
                <w:sz w:val="11"/>
                <w:szCs w:val="11"/>
                <w:color w:val="auto"/>
              </w:rPr>
              <w:t>2/10/2014</w:t>
            </w:r>
          </w:p>
        </w:tc>
        <w:tc>
          <w:tcPr>
            <w:tcW w:w="92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9,591</w:t>
            </w:r>
          </w:p>
        </w:tc>
        <w:tc>
          <w:tcPr>
            <w:tcW w:w="28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1"/>
                <w:szCs w:val="11"/>
                <w:color w:val="auto"/>
              </w:rPr>
              <w:t>418</w:t>
            </w:r>
          </w:p>
        </w:tc>
        <w:tc>
          <w:tcPr>
            <w:tcW w:w="260" w:type="dxa"/>
            <w:vAlign w:val="bottom"/>
          </w:tcPr>
          <w:p>
            <w:pPr>
              <w:spacing w:after="0"/>
              <w:rPr>
                <w:sz w:val="10"/>
                <w:szCs w:val="10"/>
                <w:color w:val="auto"/>
              </w:rPr>
            </w:pPr>
          </w:p>
        </w:tc>
        <w:tc>
          <w:tcPr>
            <w:tcW w:w="660" w:type="dxa"/>
            <w:vAlign w:val="bottom"/>
            <w:gridSpan w:val="2"/>
          </w:tcPr>
          <w:p>
            <w:pPr>
              <w:ind w:left="160"/>
              <w:spacing w:after="0" w:line="119" w:lineRule="exact"/>
              <w:rPr>
                <w:sz w:val="20"/>
                <w:szCs w:val="20"/>
                <w:color w:val="auto"/>
              </w:rPr>
            </w:pPr>
            <w:r>
              <w:rPr>
                <w:rFonts w:ascii="Arial" w:cs="Arial" w:eastAsia="Arial" w:hAnsi="Arial"/>
                <w:sz w:val="11"/>
                <w:szCs w:val="11"/>
                <w:color w:val="auto"/>
              </w:rPr>
              <w:t>65.95</w:t>
            </w:r>
          </w:p>
        </w:tc>
        <w:tc>
          <w:tcPr>
            <w:tcW w:w="100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2/10/2021</w:t>
            </w:r>
          </w:p>
        </w:tc>
        <w:tc>
          <w:tcPr>
            <w:tcW w:w="74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
              <w:spacing w:after="0" w:line="119" w:lineRule="exact"/>
              <w:rPr>
                <w:sz w:val="20"/>
                <w:szCs w:val="20"/>
                <w:color w:val="auto"/>
              </w:rPr>
            </w:pPr>
            <w:r>
              <w:rPr>
                <w:rFonts w:ascii="Arial" w:cs="Arial" w:eastAsia="Arial" w:hAnsi="Arial"/>
                <w:sz w:val="11"/>
                <w:szCs w:val="11"/>
                <w:color w:val="auto"/>
              </w:rPr>
              <w:t>—</w:t>
            </w:r>
          </w:p>
        </w:tc>
      </w:tr>
      <w:tr>
        <w:trPr>
          <w:trHeight w:val="128"/>
        </w:trPr>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1"/>
                <w:szCs w:val="11"/>
                <w:color w:val="auto"/>
              </w:rPr>
              <w:t>2/9/2015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13,664</w:t>
            </w:r>
          </w:p>
        </w:tc>
        <w:tc>
          <w:tcPr>
            <w:tcW w:w="2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5,627</w:t>
            </w:r>
          </w:p>
        </w:tc>
        <w:tc>
          <w:tcPr>
            <w:tcW w:w="260" w:type="dxa"/>
            <w:vAlign w:val="bottom"/>
          </w:tcPr>
          <w:p>
            <w:pPr>
              <w:spacing w:after="0"/>
              <w:rPr>
                <w:sz w:val="11"/>
                <w:szCs w:val="11"/>
                <w:color w:val="auto"/>
              </w:rPr>
            </w:pPr>
          </w:p>
        </w:tc>
        <w:tc>
          <w:tcPr>
            <w:tcW w:w="660" w:type="dxa"/>
            <w:vAlign w:val="bottom"/>
            <w:gridSpan w:val="2"/>
          </w:tcPr>
          <w:p>
            <w:pPr>
              <w:ind w:left="160"/>
              <w:spacing w:after="0"/>
              <w:rPr>
                <w:sz w:val="20"/>
                <w:szCs w:val="20"/>
                <w:color w:val="auto"/>
              </w:rPr>
            </w:pPr>
            <w:r>
              <w:rPr>
                <w:rFonts w:ascii="Arial" w:cs="Arial" w:eastAsia="Arial" w:hAnsi="Arial"/>
                <w:sz w:val="11"/>
                <w:szCs w:val="11"/>
                <w:color w:val="auto"/>
              </w:rPr>
              <w:t>67.10</w:t>
            </w:r>
          </w:p>
        </w:tc>
        <w:tc>
          <w:tcPr>
            <w:tcW w:w="1000" w:type="dxa"/>
            <w:vAlign w:val="bottom"/>
            <w:gridSpan w:val="2"/>
          </w:tcPr>
          <w:p>
            <w:pPr>
              <w:jc w:val="right"/>
              <w:ind w:right="280"/>
              <w:spacing w:after="0"/>
              <w:rPr>
                <w:sz w:val="20"/>
                <w:szCs w:val="20"/>
                <w:color w:val="auto"/>
              </w:rPr>
            </w:pPr>
            <w:r>
              <w:rPr>
                <w:rFonts w:ascii="Arial" w:cs="Arial" w:eastAsia="Arial" w:hAnsi="Arial"/>
                <w:sz w:val="11"/>
                <w:szCs w:val="11"/>
                <w:color w:val="auto"/>
              </w:rPr>
              <w:t>2/9/2022</w:t>
            </w:r>
          </w:p>
        </w:tc>
        <w:tc>
          <w:tcPr>
            <w:tcW w:w="7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r>
      <w:tr>
        <w:trPr>
          <w:trHeight w:val="109"/>
        </w:trPr>
        <w:tc>
          <w:tcPr>
            <w:tcW w:w="1540" w:type="dxa"/>
            <w:vAlign w:val="bottom"/>
            <w:gridSpan w:val="2"/>
            <w:shd w:val="clear" w:color="auto" w:fill="CCECF8"/>
          </w:tcPr>
          <w:p>
            <w:pPr>
              <w:spacing w:after="0" w:line="109" w:lineRule="exact"/>
              <w:rPr>
                <w:sz w:val="20"/>
                <w:szCs w:val="20"/>
                <w:color w:val="auto"/>
              </w:rPr>
            </w:pPr>
            <w:r>
              <w:rPr>
                <w:rFonts w:ascii="Arial" w:cs="Arial" w:eastAsia="Arial" w:hAnsi="Arial"/>
                <w:sz w:val="11"/>
                <w:szCs w:val="11"/>
                <w:color w:val="auto"/>
              </w:rPr>
              <w:t>James J. Frome</w:t>
            </w:r>
          </w:p>
        </w:tc>
        <w:tc>
          <w:tcPr>
            <w:tcW w:w="1080" w:type="dxa"/>
            <w:vAlign w:val="bottom"/>
            <w:gridSpan w:val="3"/>
            <w:shd w:val="clear" w:color="auto" w:fill="CCECF8"/>
          </w:tcPr>
          <w:p>
            <w:pPr>
              <w:jc w:val="right"/>
              <w:ind w:right="20"/>
              <w:spacing w:after="0" w:line="109" w:lineRule="exact"/>
              <w:rPr>
                <w:sz w:val="20"/>
                <w:szCs w:val="20"/>
                <w:color w:val="auto"/>
              </w:rPr>
            </w:pPr>
            <w:r>
              <w:rPr>
                <w:rFonts w:ascii="Arial" w:cs="Arial" w:eastAsia="Arial" w:hAnsi="Arial"/>
                <w:sz w:val="11"/>
                <w:szCs w:val="11"/>
                <w:color w:val="auto"/>
              </w:rPr>
              <w:t>8/9/2012</w:t>
            </w:r>
          </w:p>
        </w:tc>
        <w:tc>
          <w:tcPr>
            <w:tcW w:w="920" w:type="dxa"/>
            <w:vAlign w:val="bottom"/>
            <w:gridSpan w:val="2"/>
            <w:shd w:val="clear" w:color="auto" w:fill="CCECF8"/>
          </w:tcPr>
          <w:p>
            <w:pPr>
              <w:jc w:val="right"/>
              <w:spacing w:after="0" w:line="109" w:lineRule="exact"/>
              <w:rPr>
                <w:sz w:val="20"/>
                <w:szCs w:val="20"/>
                <w:color w:val="auto"/>
              </w:rPr>
            </w:pPr>
            <w:r>
              <w:rPr>
                <w:rFonts w:ascii="Arial" w:cs="Arial" w:eastAsia="Arial" w:hAnsi="Arial"/>
                <w:sz w:val="11"/>
                <w:szCs w:val="11"/>
                <w:color w:val="auto"/>
              </w:rPr>
              <w:t>3,280</w:t>
            </w:r>
          </w:p>
        </w:tc>
        <w:tc>
          <w:tcPr>
            <w:tcW w:w="280" w:type="dxa"/>
            <w:vAlign w:val="bottom"/>
            <w:shd w:val="clear" w:color="auto" w:fill="CCECF8"/>
          </w:tcPr>
          <w:p>
            <w:pPr>
              <w:spacing w:after="0"/>
              <w:rPr>
                <w:sz w:val="9"/>
                <w:szCs w:val="9"/>
                <w:color w:val="auto"/>
              </w:rPr>
            </w:pPr>
          </w:p>
        </w:tc>
        <w:tc>
          <w:tcPr>
            <w:tcW w:w="1060" w:type="dxa"/>
            <w:vAlign w:val="bottom"/>
            <w:gridSpan w:val="2"/>
            <w:shd w:val="clear" w:color="auto" w:fill="CCECF8"/>
          </w:tcPr>
          <w:p>
            <w:pPr>
              <w:jc w:val="right"/>
              <w:ind w:right="260"/>
              <w:spacing w:after="0" w:line="109"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CF8"/>
          </w:tcPr>
          <w:p>
            <w:pPr>
              <w:ind w:left="160"/>
              <w:spacing w:after="0" w:line="109" w:lineRule="exact"/>
              <w:rPr>
                <w:sz w:val="20"/>
                <w:szCs w:val="20"/>
                <w:color w:val="auto"/>
              </w:rPr>
            </w:pPr>
            <w:r>
              <w:rPr>
                <w:rFonts w:ascii="Arial" w:cs="Arial" w:eastAsia="Arial" w:hAnsi="Arial"/>
                <w:sz w:val="11"/>
                <w:szCs w:val="11"/>
                <w:color w:val="auto"/>
              </w:rPr>
              <w:t>30.89</w:t>
            </w:r>
          </w:p>
        </w:tc>
        <w:tc>
          <w:tcPr>
            <w:tcW w:w="1000" w:type="dxa"/>
            <w:vAlign w:val="bottom"/>
            <w:gridSpan w:val="2"/>
            <w:shd w:val="clear" w:color="auto" w:fill="CCECF8"/>
          </w:tcPr>
          <w:p>
            <w:pPr>
              <w:jc w:val="right"/>
              <w:ind w:right="280"/>
              <w:spacing w:after="0" w:line="109" w:lineRule="exact"/>
              <w:rPr>
                <w:sz w:val="20"/>
                <w:szCs w:val="20"/>
                <w:color w:val="auto"/>
              </w:rPr>
            </w:pPr>
            <w:r>
              <w:rPr>
                <w:rFonts w:ascii="Arial" w:cs="Arial" w:eastAsia="Arial" w:hAnsi="Arial"/>
                <w:sz w:val="11"/>
                <w:szCs w:val="11"/>
                <w:color w:val="auto"/>
              </w:rPr>
              <w:t>8/9/2019</w:t>
            </w:r>
          </w:p>
        </w:tc>
        <w:tc>
          <w:tcPr>
            <w:tcW w:w="740" w:type="dxa"/>
            <w:vAlign w:val="bottom"/>
            <w:gridSpan w:val="2"/>
            <w:shd w:val="clear" w:color="auto" w:fill="CCECF8"/>
          </w:tcPr>
          <w:p>
            <w:pPr>
              <w:jc w:val="right"/>
              <w:ind w:right="280"/>
              <w:spacing w:after="0" w:line="109" w:lineRule="exact"/>
              <w:rPr>
                <w:sz w:val="20"/>
                <w:szCs w:val="20"/>
                <w:color w:val="auto"/>
              </w:rPr>
            </w:pPr>
            <w:r>
              <w:rPr>
                <w:rFonts w:ascii="Arial" w:cs="Arial" w:eastAsia="Arial" w:hAnsi="Arial"/>
                <w:sz w:val="11"/>
                <w:szCs w:val="11"/>
                <w:color w:val="auto"/>
                <w:w w:val="89"/>
              </w:rPr>
              <w:t>2/14/2017</w:t>
            </w:r>
          </w:p>
        </w:tc>
        <w:tc>
          <w:tcPr>
            <w:tcW w:w="760" w:type="dxa"/>
            <w:vAlign w:val="bottom"/>
            <w:gridSpan w:val="2"/>
            <w:shd w:val="clear" w:color="auto" w:fill="CCECF8"/>
          </w:tcPr>
          <w:p>
            <w:pPr>
              <w:jc w:val="right"/>
              <w:ind w:right="280"/>
              <w:spacing w:after="0" w:line="109"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8"/>
          </w:tcPr>
          <w:p>
            <w:pPr>
              <w:jc w:val="right"/>
              <w:ind w:right="280"/>
              <w:spacing w:after="0" w:line="109" w:lineRule="exact"/>
              <w:rPr>
                <w:sz w:val="20"/>
                <w:szCs w:val="20"/>
                <w:color w:val="auto"/>
              </w:rPr>
            </w:pPr>
            <w:r>
              <w:rPr>
                <w:rFonts w:ascii="Arial" w:cs="Arial" w:eastAsia="Arial" w:hAnsi="Arial"/>
                <w:sz w:val="11"/>
                <w:szCs w:val="11"/>
                <w:color w:val="auto"/>
              </w:rPr>
              <w:t>—</w:t>
            </w:r>
          </w:p>
        </w:tc>
        <w:tc>
          <w:tcPr>
            <w:tcW w:w="740" w:type="dxa"/>
            <w:vAlign w:val="bottom"/>
            <w:shd w:val="clear" w:color="auto" w:fill="CCECF8"/>
          </w:tcPr>
          <w:p>
            <w:pPr>
              <w:jc w:val="right"/>
              <w:spacing w:after="0" w:line="109" w:lineRule="exact"/>
              <w:rPr>
                <w:sz w:val="20"/>
                <w:szCs w:val="20"/>
                <w:color w:val="auto"/>
              </w:rPr>
            </w:pPr>
            <w:r>
              <w:rPr>
                <w:rFonts w:ascii="Arial" w:cs="Arial" w:eastAsia="Arial" w:hAnsi="Arial"/>
                <w:sz w:val="11"/>
                <w:szCs w:val="11"/>
                <w:color w:val="auto"/>
              </w:rPr>
              <w:t>8,381</w:t>
            </w:r>
          </w:p>
        </w:tc>
        <w:tc>
          <w:tcPr>
            <w:tcW w:w="280" w:type="dxa"/>
            <w:vAlign w:val="bottom"/>
            <w:shd w:val="clear" w:color="auto" w:fill="CCECF8"/>
          </w:tcPr>
          <w:p>
            <w:pPr>
              <w:spacing w:after="0"/>
              <w:rPr>
                <w:sz w:val="9"/>
                <w:szCs w:val="9"/>
                <w:color w:val="auto"/>
              </w:rPr>
            </w:pPr>
          </w:p>
        </w:tc>
        <w:tc>
          <w:tcPr>
            <w:tcW w:w="760" w:type="dxa"/>
            <w:vAlign w:val="bottom"/>
            <w:shd w:val="clear" w:color="auto" w:fill="CCECF8"/>
          </w:tcPr>
          <w:p>
            <w:pPr>
              <w:jc w:val="right"/>
              <w:spacing w:after="0" w:line="109" w:lineRule="exact"/>
              <w:rPr>
                <w:sz w:val="20"/>
                <w:szCs w:val="20"/>
                <w:color w:val="auto"/>
              </w:rPr>
            </w:pPr>
            <w:r>
              <w:rPr>
                <w:rFonts w:ascii="Arial" w:cs="Arial" w:eastAsia="Arial" w:hAnsi="Arial"/>
                <w:sz w:val="11"/>
                <w:szCs w:val="11"/>
                <w:color w:val="auto"/>
              </w:rPr>
              <w:t>407,232</w:t>
            </w:r>
          </w:p>
        </w:tc>
        <w:tc>
          <w:tcPr>
            <w:tcW w:w="20" w:type="dxa"/>
            <w:vAlign w:val="bottom"/>
            <w:shd w:val="clear" w:color="auto" w:fill="CCECF8"/>
          </w:tcPr>
          <w:p>
            <w:pPr>
              <w:spacing w:after="0"/>
              <w:rPr>
                <w:sz w:val="9"/>
                <w:szCs w:val="9"/>
                <w:color w:val="auto"/>
              </w:rPr>
            </w:pPr>
          </w:p>
        </w:tc>
      </w:tr>
      <w:tr>
        <w:trPr>
          <w:trHeight w:val="118"/>
        </w:trPr>
        <w:tc>
          <w:tcPr>
            <w:tcW w:w="280" w:type="dxa"/>
            <w:vAlign w:val="bottom"/>
            <w:shd w:val="clear" w:color="auto" w:fill="CCECF8"/>
          </w:tcPr>
          <w:p>
            <w:pPr>
              <w:spacing w:after="0"/>
              <w:rPr>
                <w:sz w:val="10"/>
                <w:szCs w:val="10"/>
                <w:color w:val="auto"/>
              </w:rPr>
            </w:pPr>
          </w:p>
        </w:tc>
        <w:tc>
          <w:tcPr>
            <w:tcW w:w="1260" w:type="dxa"/>
            <w:vAlign w:val="bottom"/>
            <w:shd w:val="clear" w:color="auto" w:fill="CCECF8"/>
          </w:tcPr>
          <w:p>
            <w:pPr>
              <w:spacing w:after="0"/>
              <w:rPr>
                <w:sz w:val="10"/>
                <w:szCs w:val="10"/>
                <w:color w:val="auto"/>
              </w:rPr>
            </w:pPr>
          </w:p>
        </w:tc>
        <w:tc>
          <w:tcPr>
            <w:tcW w:w="600" w:type="dxa"/>
            <w:vAlign w:val="bottom"/>
            <w:shd w:val="clear" w:color="auto" w:fill="CCECF8"/>
          </w:tcPr>
          <w:p>
            <w:pPr>
              <w:spacing w:after="0"/>
              <w:rPr>
                <w:sz w:val="10"/>
                <w:szCs w:val="10"/>
                <w:color w:val="auto"/>
              </w:rPr>
            </w:pPr>
          </w:p>
        </w:tc>
        <w:tc>
          <w:tcPr>
            <w:tcW w:w="480" w:type="dxa"/>
            <w:vAlign w:val="bottom"/>
            <w:gridSpan w:val="2"/>
            <w:shd w:val="clear" w:color="auto" w:fill="CCECF8"/>
          </w:tcPr>
          <w:p>
            <w:pPr>
              <w:jc w:val="right"/>
              <w:ind w:right="20"/>
              <w:spacing w:after="0" w:line="119" w:lineRule="exact"/>
              <w:rPr>
                <w:sz w:val="20"/>
                <w:szCs w:val="20"/>
                <w:color w:val="auto"/>
              </w:rPr>
            </w:pPr>
            <w:r>
              <w:rPr>
                <w:rFonts w:ascii="Arial" w:cs="Arial" w:eastAsia="Arial" w:hAnsi="Arial"/>
                <w:sz w:val="11"/>
                <w:szCs w:val="11"/>
                <w:color w:val="auto"/>
              </w:rPr>
              <w:t>2/8/2013</w:t>
            </w:r>
          </w:p>
        </w:tc>
        <w:tc>
          <w:tcPr>
            <w:tcW w:w="920" w:type="dxa"/>
            <w:vAlign w:val="bottom"/>
            <w:gridSpan w:val="2"/>
            <w:shd w:val="clear" w:color="auto" w:fill="CCECF8"/>
          </w:tcPr>
          <w:p>
            <w:pPr>
              <w:jc w:val="right"/>
              <w:spacing w:after="0" w:line="119" w:lineRule="exact"/>
              <w:rPr>
                <w:sz w:val="20"/>
                <w:szCs w:val="20"/>
                <w:color w:val="auto"/>
              </w:rPr>
            </w:pPr>
            <w:r>
              <w:rPr>
                <w:rFonts w:ascii="Arial" w:cs="Arial" w:eastAsia="Arial" w:hAnsi="Arial"/>
                <w:sz w:val="11"/>
                <w:szCs w:val="11"/>
                <w:color w:val="auto"/>
              </w:rPr>
              <w:t>18,215</w:t>
            </w:r>
          </w:p>
        </w:tc>
        <w:tc>
          <w:tcPr>
            <w:tcW w:w="280" w:type="dxa"/>
            <w:vAlign w:val="bottom"/>
            <w:shd w:val="clear" w:color="auto" w:fill="CCECF8"/>
          </w:tcPr>
          <w:p>
            <w:pPr>
              <w:spacing w:after="0"/>
              <w:rPr>
                <w:sz w:val="10"/>
                <w:szCs w:val="10"/>
                <w:color w:val="auto"/>
              </w:rPr>
            </w:pPr>
          </w:p>
        </w:tc>
        <w:tc>
          <w:tcPr>
            <w:tcW w:w="1060" w:type="dxa"/>
            <w:vAlign w:val="bottom"/>
            <w:gridSpan w:val="2"/>
            <w:shd w:val="clear" w:color="auto" w:fill="CCECF8"/>
          </w:tcPr>
          <w:p>
            <w:pPr>
              <w:jc w:val="right"/>
              <w:ind w:right="260"/>
              <w:spacing w:after="0" w:line="119"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CF8"/>
          </w:tcPr>
          <w:p>
            <w:pPr>
              <w:ind w:left="160"/>
              <w:spacing w:after="0" w:line="119" w:lineRule="exact"/>
              <w:rPr>
                <w:sz w:val="20"/>
                <w:szCs w:val="20"/>
                <w:color w:val="auto"/>
              </w:rPr>
            </w:pPr>
            <w:r>
              <w:rPr>
                <w:rFonts w:ascii="Arial" w:cs="Arial" w:eastAsia="Arial" w:hAnsi="Arial"/>
                <w:sz w:val="11"/>
                <w:szCs w:val="11"/>
                <w:color w:val="auto"/>
              </w:rPr>
              <w:t>39.01</w:t>
            </w:r>
          </w:p>
        </w:tc>
        <w:tc>
          <w:tcPr>
            <w:tcW w:w="100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2/8/2020</w:t>
            </w:r>
          </w:p>
        </w:tc>
        <w:tc>
          <w:tcPr>
            <w:tcW w:w="74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w w:val="89"/>
              </w:rPr>
              <w:t>2/14/2017</w:t>
            </w:r>
          </w:p>
        </w:tc>
        <w:tc>
          <w:tcPr>
            <w:tcW w:w="76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11,175</w:t>
            </w:r>
          </w:p>
        </w:tc>
        <w:tc>
          <w:tcPr>
            <w:tcW w:w="62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542,993</w:t>
            </w:r>
          </w:p>
        </w:tc>
        <w:tc>
          <w:tcPr>
            <w:tcW w:w="280" w:type="dxa"/>
            <w:vAlign w:val="bottom"/>
            <w:shd w:val="clear" w:color="auto" w:fill="CCECF8"/>
          </w:tcPr>
          <w:p>
            <w:pPr>
              <w:spacing w:after="0"/>
              <w:rPr>
                <w:sz w:val="10"/>
                <w:szCs w:val="10"/>
                <w:color w:val="auto"/>
              </w:rPr>
            </w:pPr>
          </w:p>
        </w:tc>
        <w:tc>
          <w:tcPr>
            <w:tcW w:w="102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CF8"/>
          </w:tcPr>
          <w:p>
            <w:pPr>
              <w:jc w:val="right"/>
              <w:ind w:right="20"/>
              <w:spacing w:after="0" w:line="119" w:lineRule="exact"/>
              <w:rPr>
                <w:sz w:val="20"/>
                <w:szCs w:val="20"/>
                <w:color w:val="auto"/>
              </w:rPr>
            </w:pPr>
            <w:r>
              <w:rPr>
                <w:rFonts w:ascii="Arial" w:cs="Arial" w:eastAsia="Arial" w:hAnsi="Arial"/>
                <w:sz w:val="11"/>
                <w:szCs w:val="11"/>
                <w:color w:val="auto"/>
              </w:rPr>
              <w:t>—</w:t>
            </w:r>
          </w:p>
        </w:tc>
      </w:tr>
      <w:tr>
        <w:trPr>
          <w:trHeight w:val="118"/>
        </w:trPr>
        <w:tc>
          <w:tcPr>
            <w:tcW w:w="280" w:type="dxa"/>
            <w:vAlign w:val="bottom"/>
            <w:shd w:val="clear" w:color="auto" w:fill="CCECF8"/>
          </w:tcPr>
          <w:p>
            <w:pPr>
              <w:spacing w:after="0"/>
              <w:rPr>
                <w:sz w:val="10"/>
                <w:szCs w:val="10"/>
                <w:color w:val="auto"/>
              </w:rPr>
            </w:pPr>
          </w:p>
        </w:tc>
        <w:tc>
          <w:tcPr>
            <w:tcW w:w="1260" w:type="dxa"/>
            <w:vAlign w:val="bottom"/>
            <w:shd w:val="clear" w:color="auto" w:fill="CCECF8"/>
          </w:tcPr>
          <w:p>
            <w:pPr>
              <w:spacing w:after="0"/>
              <w:rPr>
                <w:sz w:val="10"/>
                <w:szCs w:val="10"/>
                <w:color w:val="auto"/>
              </w:rPr>
            </w:pPr>
          </w:p>
        </w:tc>
        <w:tc>
          <w:tcPr>
            <w:tcW w:w="600" w:type="dxa"/>
            <w:vAlign w:val="bottom"/>
            <w:shd w:val="clear" w:color="auto" w:fill="CCECF8"/>
          </w:tcPr>
          <w:p>
            <w:pPr>
              <w:spacing w:after="0"/>
              <w:rPr>
                <w:sz w:val="10"/>
                <w:szCs w:val="10"/>
                <w:color w:val="auto"/>
              </w:rPr>
            </w:pPr>
          </w:p>
        </w:tc>
        <w:tc>
          <w:tcPr>
            <w:tcW w:w="480" w:type="dxa"/>
            <w:vAlign w:val="bottom"/>
            <w:gridSpan w:val="2"/>
            <w:shd w:val="clear" w:color="auto" w:fill="CCECF8"/>
          </w:tcPr>
          <w:p>
            <w:pPr>
              <w:jc w:val="right"/>
              <w:ind w:right="20"/>
              <w:spacing w:after="0" w:line="119" w:lineRule="exact"/>
              <w:rPr>
                <w:sz w:val="20"/>
                <w:szCs w:val="20"/>
                <w:color w:val="auto"/>
              </w:rPr>
            </w:pPr>
            <w:r>
              <w:rPr>
                <w:rFonts w:ascii="Arial" w:cs="Arial" w:eastAsia="Arial" w:hAnsi="Arial"/>
                <w:sz w:val="11"/>
                <w:szCs w:val="11"/>
                <w:color w:val="auto"/>
              </w:rPr>
              <w:t>2/5/2016</w:t>
            </w:r>
          </w:p>
        </w:tc>
        <w:tc>
          <w:tcPr>
            <w:tcW w:w="920" w:type="dxa"/>
            <w:vAlign w:val="bottom"/>
            <w:gridSpan w:val="2"/>
            <w:shd w:val="clear" w:color="auto" w:fill="CCECF8"/>
          </w:tcPr>
          <w:p>
            <w:pPr>
              <w:jc w:val="right"/>
              <w:spacing w:after="0" w:line="119" w:lineRule="exact"/>
              <w:rPr>
                <w:sz w:val="20"/>
                <w:szCs w:val="20"/>
                <w:color w:val="auto"/>
              </w:rPr>
            </w:pPr>
            <w:r>
              <w:rPr>
                <w:rFonts w:ascii="Arial" w:cs="Arial" w:eastAsia="Arial" w:hAnsi="Arial"/>
                <w:sz w:val="11"/>
                <w:szCs w:val="11"/>
                <w:color w:val="auto"/>
              </w:rPr>
              <w:t>15,678</w:t>
            </w:r>
          </w:p>
        </w:tc>
        <w:tc>
          <w:tcPr>
            <w:tcW w:w="280" w:type="dxa"/>
            <w:vAlign w:val="bottom"/>
            <w:shd w:val="clear" w:color="auto" w:fill="CCECF8"/>
          </w:tcPr>
          <w:p>
            <w:pPr>
              <w:spacing w:after="0"/>
              <w:rPr>
                <w:sz w:val="10"/>
                <w:szCs w:val="10"/>
                <w:color w:val="auto"/>
              </w:rPr>
            </w:pPr>
          </w:p>
        </w:tc>
        <w:tc>
          <w:tcPr>
            <w:tcW w:w="80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18,530</w:t>
            </w:r>
          </w:p>
        </w:tc>
        <w:tc>
          <w:tcPr>
            <w:tcW w:w="260" w:type="dxa"/>
            <w:vAlign w:val="bottom"/>
            <w:shd w:val="clear" w:color="auto" w:fill="CCECF8"/>
          </w:tcPr>
          <w:p>
            <w:pPr>
              <w:spacing w:after="0"/>
              <w:rPr>
                <w:sz w:val="10"/>
                <w:szCs w:val="10"/>
                <w:color w:val="auto"/>
              </w:rPr>
            </w:pPr>
          </w:p>
        </w:tc>
        <w:tc>
          <w:tcPr>
            <w:tcW w:w="660" w:type="dxa"/>
            <w:vAlign w:val="bottom"/>
            <w:gridSpan w:val="2"/>
            <w:shd w:val="clear" w:color="auto" w:fill="CCECF8"/>
          </w:tcPr>
          <w:p>
            <w:pPr>
              <w:ind w:left="160"/>
              <w:spacing w:after="0" w:line="119" w:lineRule="exact"/>
              <w:rPr>
                <w:sz w:val="20"/>
                <w:szCs w:val="20"/>
                <w:color w:val="auto"/>
              </w:rPr>
            </w:pPr>
            <w:r>
              <w:rPr>
                <w:rFonts w:ascii="Arial" w:cs="Arial" w:eastAsia="Arial" w:hAnsi="Arial"/>
                <w:sz w:val="11"/>
                <w:szCs w:val="11"/>
                <w:color w:val="auto"/>
              </w:rPr>
              <w:t>48.08</w:t>
            </w:r>
          </w:p>
        </w:tc>
        <w:tc>
          <w:tcPr>
            <w:tcW w:w="100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2/5/2023</w:t>
            </w:r>
          </w:p>
        </w:tc>
        <w:tc>
          <w:tcPr>
            <w:tcW w:w="74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2/5/2016</w:t>
            </w:r>
          </w:p>
        </w:tc>
        <w:tc>
          <w:tcPr>
            <w:tcW w:w="76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6,197</w:t>
            </w:r>
          </w:p>
        </w:tc>
        <w:tc>
          <w:tcPr>
            <w:tcW w:w="62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301,112</w:t>
            </w:r>
          </w:p>
        </w:tc>
        <w:tc>
          <w:tcPr>
            <w:tcW w:w="280" w:type="dxa"/>
            <w:vAlign w:val="bottom"/>
            <w:shd w:val="clear" w:color="auto" w:fill="CCECF8"/>
          </w:tcPr>
          <w:p>
            <w:pPr>
              <w:spacing w:after="0"/>
              <w:rPr>
                <w:sz w:val="10"/>
                <w:szCs w:val="10"/>
                <w:color w:val="auto"/>
              </w:rPr>
            </w:pPr>
          </w:p>
        </w:tc>
        <w:tc>
          <w:tcPr>
            <w:tcW w:w="102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CF8"/>
          </w:tcPr>
          <w:p>
            <w:pPr>
              <w:jc w:val="right"/>
              <w:ind w:right="20"/>
              <w:spacing w:after="0" w:line="119" w:lineRule="exact"/>
              <w:rPr>
                <w:sz w:val="20"/>
                <w:szCs w:val="20"/>
                <w:color w:val="auto"/>
              </w:rPr>
            </w:pPr>
            <w:r>
              <w:rPr>
                <w:rFonts w:ascii="Arial" w:cs="Arial" w:eastAsia="Arial" w:hAnsi="Arial"/>
                <w:sz w:val="11"/>
                <w:szCs w:val="11"/>
                <w:color w:val="auto"/>
              </w:rPr>
              <w:t>—</w:t>
            </w:r>
          </w:p>
        </w:tc>
      </w:tr>
      <w:tr>
        <w:trPr>
          <w:trHeight w:val="118"/>
        </w:trPr>
        <w:tc>
          <w:tcPr>
            <w:tcW w:w="280" w:type="dxa"/>
            <w:vAlign w:val="bottom"/>
            <w:shd w:val="clear" w:color="auto" w:fill="CCECF8"/>
          </w:tcPr>
          <w:p>
            <w:pPr>
              <w:spacing w:after="0"/>
              <w:rPr>
                <w:sz w:val="10"/>
                <w:szCs w:val="10"/>
                <w:color w:val="auto"/>
              </w:rPr>
            </w:pPr>
          </w:p>
        </w:tc>
        <w:tc>
          <w:tcPr>
            <w:tcW w:w="1260" w:type="dxa"/>
            <w:vAlign w:val="bottom"/>
            <w:shd w:val="clear" w:color="auto" w:fill="CCECF8"/>
          </w:tcPr>
          <w:p>
            <w:pPr>
              <w:spacing w:after="0"/>
              <w:rPr>
                <w:sz w:val="10"/>
                <w:szCs w:val="10"/>
                <w:color w:val="auto"/>
              </w:rPr>
            </w:pPr>
          </w:p>
        </w:tc>
        <w:tc>
          <w:tcPr>
            <w:tcW w:w="600" w:type="dxa"/>
            <w:vAlign w:val="bottom"/>
            <w:shd w:val="clear" w:color="auto" w:fill="CCECF8"/>
          </w:tcPr>
          <w:p>
            <w:pPr>
              <w:spacing w:after="0"/>
              <w:rPr>
                <w:sz w:val="10"/>
                <w:szCs w:val="10"/>
                <w:color w:val="auto"/>
              </w:rPr>
            </w:pPr>
          </w:p>
        </w:tc>
        <w:tc>
          <w:tcPr>
            <w:tcW w:w="46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w w:val="89"/>
              </w:rPr>
              <w:t>2/14/2017</w:t>
            </w:r>
          </w:p>
        </w:tc>
        <w:tc>
          <w:tcPr>
            <w:tcW w:w="20" w:type="dxa"/>
            <w:vAlign w:val="bottom"/>
            <w:shd w:val="clear" w:color="auto" w:fill="CCECF8"/>
          </w:tcPr>
          <w:p>
            <w:pPr>
              <w:spacing w:after="0"/>
              <w:rPr>
                <w:sz w:val="10"/>
                <w:szCs w:val="10"/>
                <w:color w:val="auto"/>
              </w:rPr>
            </w:pPr>
          </w:p>
        </w:tc>
        <w:tc>
          <w:tcPr>
            <w:tcW w:w="260" w:type="dxa"/>
            <w:vAlign w:val="bottom"/>
            <w:shd w:val="clear" w:color="auto" w:fill="CCECF8"/>
          </w:tcPr>
          <w:p>
            <w:pPr>
              <w:spacing w:after="0"/>
              <w:rPr>
                <w:sz w:val="10"/>
                <w:szCs w:val="10"/>
                <w:color w:val="auto"/>
              </w:rPr>
            </w:pPr>
          </w:p>
        </w:tc>
        <w:tc>
          <w:tcPr>
            <w:tcW w:w="940" w:type="dxa"/>
            <w:vAlign w:val="bottom"/>
            <w:gridSpan w:val="2"/>
            <w:shd w:val="clear" w:color="auto" w:fill="CCECF8"/>
          </w:tcPr>
          <w:p>
            <w:pPr>
              <w:ind w:left="560"/>
              <w:spacing w:after="0" w:line="119" w:lineRule="exact"/>
              <w:rPr>
                <w:sz w:val="20"/>
                <w:szCs w:val="20"/>
                <w:color w:val="auto"/>
              </w:rPr>
            </w:pPr>
            <w:r>
              <w:rPr>
                <w:rFonts w:ascii="Arial" w:cs="Arial" w:eastAsia="Arial" w:hAnsi="Arial"/>
                <w:sz w:val="11"/>
                <w:szCs w:val="11"/>
                <w:color w:val="auto"/>
              </w:rPr>
              <w:t>—</w:t>
            </w:r>
          </w:p>
        </w:tc>
        <w:tc>
          <w:tcPr>
            <w:tcW w:w="80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16,327</w:t>
            </w:r>
          </w:p>
        </w:tc>
        <w:tc>
          <w:tcPr>
            <w:tcW w:w="260" w:type="dxa"/>
            <w:vAlign w:val="bottom"/>
            <w:shd w:val="clear" w:color="auto" w:fill="CCECF8"/>
          </w:tcPr>
          <w:p>
            <w:pPr>
              <w:spacing w:after="0"/>
              <w:rPr>
                <w:sz w:val="10"/>
                <w:szCs w:val="10"/>
                <w:color w:val="auto"/>
              </w:rPr>
            </w:pPr>
          </w:p>
        </w:tc>
        <w:tc>
          <w:tcPr>
            <w:tcW w:w="660" w:type="dxa"/>
            <w:vAlign w:val="bottom"/>
            <w:gridSpan w:val="2"/>
            <w:shd w:val="clear" w:color="auto" w:fill="CCECF8"/>
          </w:tcPr>
          <w:p>
            <w:pPr>
              <w:ind w:left="160"/>
              <w:spacing w:after="0" w:line="119" w:lineRule="exact"/>
              <w:rPr>
                <w:sz w:val="20"/>
                <w:szCs w:val="20"/>
                <w:color w:val="auto"/>
              </w:rPr>
            </w:pPr>
            <w:r>
              <w:rPr>
                <w:rFonts w:ascii="Arial" w:cs="Arial" w:eastAsia="Arial" w:hAnsi="Arial"/>
                <w:sz w:val="11"/>
                <w:szCs w:val="11"/>
                <w:color w:val="auto"/>
              </w:rPr>
              <w:t>55.70</w:t>
            </w:r>
          </w:p>
        </w:tc>
        <w:tc>
          <w:tcPr>
            <w:tcW w:w="100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2/14/2024</w:t>
            </w:r>
          </w:p>
        </w:tc>
        <w:tc>
          <w:tcPr>
            <w:tcW w:w="74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2/9/2015</w:t>
            </w:r>
          </w:p>
        </w:tc>
        <w:tc>
          <w:tcPr>
            <w:tcW w:w="76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1,993</w:t>
            </w:r>
          </w:p>
        </w:tc>
        <w:tc>
          <w:tcPr>
            <w:tcW w:w="62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96,840</w:t>
            </w:r>
          </w:p>
        </w:tc>
        <w:tc>
          <w:tcPr>
            <w:tcW w:w="280" w:type="dxa"/>
            <w:vAlign w:val="bottom"/>
            <w:shd w:val="clear" w:color="auto" w:fill="CCECF8"/>
          </w:tcPr>
          <w:p>
            <w:pPr>
              <w:spacing w:after="0"/>
              <w:rPr>
                <w:sz w:val="10"/>
                <w:szCs w:val="10"/>
                <w:color w:val="auto"/>
              </w:rPr>
            </w:pPr>
          </w:p>
        </w:tc>
        <w:tc>
          <w:tcPr>
            <w:tcW w:w="102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CF8"/>
          </w:tcPr>
          <w:p>
            <w:pPr>
              <w:jc w:val="right"/>
              <w:ind w:right="20"/>
              <w:spacing w:after="0" w:line="119" w:lineRule="exact"/>
              <w:rPr>
                <w:sz w:val="20"/>
                <w:szCs w:val="20"/>
                <w:color w:val="auto"/>
              </w:rPr>
            </w:pPr>
            <w:r>
              <w:rPr>
                <w:rFonts w:ascii="Arial" w:cs="Arial" w:eastAsia="Arial" w:hAnsi="Arial"/>
                <w:sz w:val="11"/>
                <w:szCs w:val="11"/>
                <w:color w:val="auto"/>
              </w:rPr>
              <w:t>—</w:t>
            </w:r>
          </w:p>
        </w:tc>
      </w:tr>
      <w:tr>
        <w:trPr>
          <w:trHeight w:val="118"/>
        </w:trPr>
        <w:tc>
          <w:tcPr>
            <w:tcW w:w="280" w:type="dxa"/>
            <w:vAlign w:val="bottom"/>
            <w:shd w:val="clear" w:color="auto" w:fill="CCECF8"/>
          </w:tcPr>
          <w:p>
            <w:pPr>
              <w:spacing w:after="0"/>
              <w:rPr>
                <w:sz w:val="10"/>
                <w:szCs w:val="10"/>
                <w:color w:val="auto"/>
              </w:rPr>
            </w:pPr>
          </w:p>
        </w:tc>
        <w:tc>
          <w:tcPr>
            <w:tcW w:w="1260" w:type="dxa"/>
            <w:vAlign w:val="bottom"/>
            <w:shd w:val="clear" w:color="auto" w:fill="CCECF8"/>
          </w:tcPr>
          <w:p>
            <w:pPr>
              <w:spacing w:after="0"/>
              <w:rPr>
                <w:sz w:val="10"/>
                <w:szCs w:val="10"/>
                <w:color w:val="auto"/>
              </w:rPr>
            </w:pPr>
          </w:p>
        </w:tc>
        <w:tc>
          <w:tcPr>
            <w:tcW w:w="600" w:type="dxa"/>
            <w:vAlign w:val="bottom"/>
            <w:shd w:val="clear" w:color="auto" w:fill="CCECF8"/>
          </w:tcPr>
          <w:p>
            <w:pPr>
              <w:spacing w:after="0"/>
              <w:rPr>
                <w:sz w:val="10"/>
                <w:szCs w:val="10"/>
                <w:color w:val="auto"/>
              </w:rPr>
            </w:pPr>
          </w:p>
        </w:tc>
        <w:tc>
          <w:tcPr>
            <w:tcW w:w="46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w w:val="89"/>
              </w:rPr>
              <w:t>2/10/2014</w:t>
            </w:r>
          </w:p>
        </w:tc>
        <w:tc>
          <w:tcPr>
            <w:tcW w:w="20" w:type="dxa"/>
            <w:vAlign w:val="bottom"/>
            <w:shd w:val="clear" w:color="auto" w:fill="CCECF8"/>
          </w:tcPr>
          <w:p>
            <w:pPr>
              <w:spacing w:after="0"/>
              <w:rPr>
                <w:sz w:val="10"/>
                <w:szCs w:val="10"/>
                <w:color w:val="auto"/>
              </w:rPr>
            </w:pPr>
          </w:p>
        </w:tc>
        <w:tc>
          <w:tcPr>
            <w:tcW w:w="920" w:type="dxa"/>
            <w:vAlign w:val="bottom"/>
            <w:gridSpan w:val="2"/>
            <w:shd w:val="clear" w:color="auto" w:fill="CCECF8"/>
          </w:tcPr>
          <w:p>
            <w:pPr>
              <w:jc w:val="right"/>
              <w:spacing w:after="0" w:line="119" w:lineRule="exact"/>
              <w:rPr>
                <w:sz w:val="20"/>
                <w:szCs w:val="20"/>
                <w:color w:val="auto"/>
              </w:rPr>
            </w:pPr>
            <w:r>
              <w:rPr>
                <w:rFonts w:ascii="Arial" w:cs="Arial" w:eastAsia="Arial" w:hAnsi="Arial"/>
                <w:sz w:val="11"/>
                <w:szCs w:val="11"/>
                <w:color w:val="auto"/>
              </w:rPr>
              <w:t>9,591</w:t>
            </w:r>
          </w:p>
        </w:tc>
        <w:tc>
          <w:tcPr>
            <w:tcW w:w="280" w:type="dxa"/>
            <w:vAlign w:val="bottom"/>
            <w:shd w:val="clear" w:color="auto" w:fill="CCECF8"/>
          </w:tcPr>
          <w:p>
            <w:pPr>
              <w:spacing w:after="0"/>
              <w:rPr>
                <w:sz w:val="10"/>
                <w:szCs w:val="10"/>
                <w:color w:val="auto"/>
              </w:rPr>
            </w:pPr>
          </w:p>
        </w:tc>
        <w:tc>
          <w:tcPr>
            <w:tcW w:w="80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418</w:t>
            </w:r>
          </w:p>
        </w:tc>
        <w:tc>
          <w:tcPr>
            <w:tcW w:w="260" w:type="dxa"/>
            <w:vAlign w:val="bottom"/>
            <w:shd w:val="clear" w:color="auto" w:fill="CCECF8"/>
          </w:tcPr>
          <w:p>
            <w:pPr>
              <w:spacing w:after="0"/>
              <w:rPr>
                <w:sz w:val="10"/>
                <w:szCs w:val="10"/>
                <w:color w:val="auto"/>
              </w:rPr>
            </w:pPr>
          </w:p>
        </w:tc>
        <w:tc>
          <w:tcPr>
            <w:tcW w:w="660" w:type="dxa"/>
            <w:vAlign w:val="bottom"/>
            <w:gridSpan w:val="2"/>
            <w:shd w:val="clear" w:color="auto" w:fill="CCECF8"/>
          </w:tcPr>
          <w:p>
            <w:pPr>
              <w:ind w:left="160"/>
              <w:spacing w:after="0" w:line="119" w:lineRule="exact"/>
              <w:rPr>
                <w:sz w:val="20"/>
                <w:szCs w:val="20"/>
                <w:color w:val="auto"/>
              </w:rPr>
            </w:pPr>
            <w:r>
              <w:rPr>
                <w:rFonts w:ascii="Arial" w:cs="Arial" w:eastAsia="Arial" w:hAnsi="Arial"/>
                <w:sz w:val="11"/>
                <w:szCs w:val="11"/>
                <w:color w:val="auto"/>
              </w:rPr>
              <w:t>65.95</w:t>
            </w:r>
          </w:p>
        </w:tc>
        <w:tc>
          <w:tcPr>
            <w:tcW w:w="100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2/10/2021</w:t>
            </w:r>
          </w:p>
        </w:tc>
        <w:tc>
          <w:tcPr>
            <w:tcW w:w="74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w w:val="89"/>
              </w:rPr>
              <w:t>2/10/2014</w:t>
            </w:r>
          </w:p>
        </w:tc>
        <w:tc>
          <w:tcPr>
            <w:tcW w:w="76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166</w:t>
            </w:r>
          </w:p>
        </w:tc>
        <w:tc>
          <w:tcPr>
            <w:tcW w:w="620" w:type="dxa"/>
            <w:vAlign w:val="bottom"/>
            <w:shd w:val="clear" w:color="auto" w:fill="CCECF8"/>
          </w:tcPr>
          <w:p>
            <w:pPr>
              <w:jc w:val="right"/>
              <w:spacing w:after="0" w:line="119" w:lineRule="exact"/>
              <w:rPr>
                <w:sz w:val="20"/>
                <w:szCs w:val="20"/>
                <w:color w:val="auto"/>
              </w:rPr>
            </w:pPr>
            <w:r>
              <w:rPr>
                <w:rFonts w:ascii="Arial" w:cs="Arial" w:eastAsia="Arial" w:hAnsi="Arial"/>
                <w:sz w:val="11"/>
                <w:szCs w:val="11"/>
                <w:color w:val="auto"/>
              </w:rPr>
              <w:t>8,066</w:t>
            </w:r>
          </w:p>
        </w:tc>
        <w:tc>
          <w:tcPr>
            <w:tcW w:w="280" w:type="dxa"/>
            <w:vAlign w:val="bottom"/>
            <w:shd w:val="clear" w:color="auto" w:fill="CCECF8"/>
          </w:tcPr>
          <w:p>
            <w:pPr>
              <w:spacing w:after="0"/>
              <w:rPr>
                <w:sz w:val="10"/>
                <w:szCs w:val="10"/>
                <w:color w:val="auto"/>
              </w:rPr>
            </w:pPr>
          </w:p>
        </w:tc>
        <w:tc>
          <w:tcPr>
            <w:tcW w:w="1020" w:type="dxa"/>
            <w:vAlign w:val="bottom"/>
            <w:gridSpan w:val="2"/>
            <w:shd w:val="clear" w:color="auto" w:fill="CCECF8"/>
          </w:tcPr>
          <w:p>
            <w:pPr>
              <w:jc w:val="right"/>
              <w:ind w:right="280"/>
              <w:spacing w:after="0" w:line="119"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CF8"/>
          </w:tcPr>
          <w:p>
            <w:pPr>
              <w:jc w:val="right"/>
              <w:ind w:right="20"/>
              <w:spacing w:after="0" w:line="119" w:lineRule="exact"/>
              <w:rPr>
                <w:sz w:val="20"/>
                <w:szCs w:val="20"/>
                <w:color w:val="auto"/>
              </w:rPr>
            </w:pPr>
            <w:r>
              <w:rPr>
                <w:rFonts w:ascii="Arial" w:cs="Arial" w:eastAsia="Arial" w:hAnsi="Arial"/>
                <w:sz w:val="11"/>
                <w:szCs w:val="11"/>
                <w:color w:val="auto"/>
              </w:rPr>
              <w:t>—</w:t>
            </w:r>
          </w:p>
        </w:tc>
      </w:tr>
      <w:tr>
        <w:trPr>
          <w:trHeight w:val="128"/>
        </w:trPr>
        <w:tc>
          <w:tcPr>
            <w:tcW w:w="280" w:type="dxa"/>
            <w:vAlign w:val="bottom"/>
            <w:shd w:val="clear" w:color="auto" w:fill="CCECF8"/>
          </w:tcPr>
          <w:p>
            <w:pPr>
              <w:spacing w:after="0"/>
              <w:rPr>
                <w:sz w:val="11"/>
                <w:szCs w:val="11"/>
                <w:color w:val="auto"/>
              </w:rPr>
            </w:pPr>
          </w:p>
        </w:tc>
        <w:tc>
          <w:tcPr>
            <w:tcW w:w="1260" w:type="dxa"/>
            <w:vAlign w:val="bottom"/>
            <w:shd w:val="clear" w:color="auto" w:fill="CCECF8"/>
          </w:tcPr>
          <w:p>
            <w:pPr>
              <w:spacing w:after="0"/>
              <w:rPr>
                <w:sz w:val="11"/>
                <w:szCs w:val="11"/>
                <w:color w:val="auto"/>
              </w:rPr>
            </w:pPr>
          </w:p>
        </w:tc>
        <w:tc>
          <w:tcPr>
            <w:tcW w:w="600" w:type="dxa"/>
            <w:vAlign w:val="bottom"/>
            <w:shd w:val="clear" w:color="auto" w:fill="CCECF8"/>
          </w:tcPr>
          <w:p>
            <w:pPr>
              <w:spacing w:after="0"/>
              <w:rPr>
                <w:sz w:val="11"/>
                <w:szCs w:val="11"/>
                <w:color w:val="auto"/>
              </w:rPr>
            </w:pPr>
          </w:p>
        </w:tc>
        <w:tc>
          <w:tcPr>
            <w:tcW w:w="460" w:type="dxa"/>
            <w:vAlign w:val="bottom"/>
            <w:shd w:val="clear" w:color="auto" w:fill="CCECF8"/>
          </w:tcPr>
          <w:p>
            <w:pPr>
              <w:jc w:val="right"/>
              <w:spacing w:after="0"/>
              <w:rPr>
                <w:sz w:val="20"/>
                <w:szCs w:val="20"/>
                <w:color w:val="auto"/>
              </w:rPr>
            </w:pPr>
            <w:r>
              <w:rPr>
                <w:rFonts w:ascii="Arial" w:cs="Arial" w:eastAsia="Arial" w:hAnsi="Arial"/>
                <w:sz w:val="11"/>
                <w:szCs w:val="11"/>
                <w:color w:val="auto"/>
              </w:rPr>
              <w:t>2/9/2015</w:t>
            </w:r>
          </w:p>
        </w:tc>
        <w:tc>
          <w:tcPr>
            <w:tcW w:w="20" w:type="dxa"/>
            <w:vAlign w:val="bottom"/>
            <w:shd w:val="clear" w:color="auto" w:fill="CCECF8"/>
          </w:tcPr>
          <w:p>
            <w:pPr>
              <w:spacing w:after="0"/>
              <w:rPr>
                <w:sz w:val="11"/>
                <w:szCs w:val="11"/>
                <w:color w:val="auto"/>
              </w:rPr>
            </w:pPr>
          </w:p>
        </w:tc>
        <w:tc>
          <w:tcPr>
            <w:tcW w:w="920" w:type="dxa"/>
            <w:vAlign w:val="bottom"/>
            <w:gridSpan w:val="2"/>
            <w:shd w:val="clear" w:color="auto" w:fill="CCECF8"/>
          </w:tcPr>
          <w:p>
            <w:pPr>
              <w:jc w:val="right"/>
              <w:spacing w:after="0"/>
              <w:rPr>
                <w:sz w:val="20"/>
                <w:szCs w:val="20"/>
                <w:color w:val="auto"/>
              </w:rPr>
            </w:pPr>
            <w:r>
              <w:rPr>
                <w:rFonts w:ascii="Arial" w:cs="Arial" w:eastAsia="Arial" w:hAnsi="Arial"/>
                <w:sz w:val="11"/>
                <w:szCs w:val="11"/>
                <w:color w:val="auto"/>
              </w:rPr>
              <w:t>13,953</w:t>
            </w:r>
          </w:p>
        </w:tc>
        <w:tc>
          <w:tcPr>
            <w:tcW w:w="280" w:type="dxa"/>
            <w:vAlign w:val="bottom"/>
            <w:shd w:val="clear" w:color="auto" w:fill="CCECF8"/>
          </w:tcPr>
          <w:p>
            <w:pPr>
              <w:spacing w:after="0"/>
              <w:rPr>
                <w:sz w:val="11"/>
                <w:szCs w:val="11"/>
                <w:color w:val="auto"/>
              </w:rPr>
            </w:pPr>
          </w:p>
        </w:tc>
        <w:tc>
          <w:tcPr>
            <w:tcW w:w="800" w:type="dxa"/>
            <w:vAlign w:val="bottom"/>
            <w:shd w:val="clear" w:color="auto" w:fill="CCECF8"/>
          </w:tcPr>
          <w:p>
            <w:pPr>
              <w:jc w:val="right"/>
              <w:spacing w:after="0"/>
              <w:rPr>
                <w:sz w:val="20"/>
                <w:szCs w:val="20"/>
                <w:color w:val="auto"/>
              </w:rPr>
            </w:pPr>
            <w:r>
              <w:rPr>
                <w:rFonts w:ascii="Arial" w:cs="Arial" w:eastAsia="Arial" w:hAnsi="Arial"/>
                <w:sz w:val="11"/>
                <w:szCs w:val="11"/>
                <w:color w:val="auto"/>
              </w:rPr>
              <w:t>5,746</w:t>
            </w:r>
          </w:p>
        </w:tc>
        <w:tc>
          <w:tcPr>
            <w:tcW w:w="260" w:type="dxa"/>
            <w:vAlign w:val="bottom"/>
            <w:shd w:val="clear" w:color="auto" w:fill="CCECF8"/>
          </w:tcPr>
          <w:p>
            <w:pPr>
              <w:spacing w:after="0"/>
              <w:rPr>
                <w:sz w:val="11"/>
                <w:szCs w:val="11"/>
                <w:color w:val="auto"/>
              </w:rPr>
            </w:pPr>
          </w:p>
        </w:tc>
        <w:tc>
          <w:tcPr>
            <w:tcW w:w="660" w:type="dxa"/>
            <w:vAlign w:val="bottom"/>
            <w:gridSpan w:val="2"/>
            <w:shd w:val="clear" w:color="auto" w:fill="CCECF8"/>
          </w:tcPr>
          <w:p>
            <w:pPr>
              <w:ind w:left="160"/>
              <w:spacing w:after="0"/>
              <w:rPr>
                <w:sz w:val="20"/>
                <w:szCs w:val="20"/>
                <w:color w:val="auto"/>
              </w:rPr>
            </w:pPr>
            <w:r>
              <w:rPr>
                <w:rFonts w:ascii="Arial" w:cs="Arial" w:eastAsia="Arial" w:hAnsi="Arial"/>
                <w:sz w:val="11"/>
                <w:szCs w:val="11"/>
                <w:color w:val="auto"/>
              </w:rPr>
              <w:t>67.10</w:t>
            </w:r>
          </w:p>
        </w:tc>
        <w:tc>
          <w:tcPr>
            <w:tcW w:w="1000" w:type="dxa"/>
            <w:vAlign w:val="bottom"/>
            <w:gridSpan w:val="2"/>
            <w:shd w:val="clear" w:color="auto" w:fill="CCECF8"/>
          </w:tcPr>
          <w:p>
            <w:pPr>
              <w:jc w:val="right"/>
              <w:ind w:right="280"/>
              <w:spacing w:after="0"/>
              <w:rPr>
                <w:sz w:val="20"/>
                <w:szCs w:val="20"/>
                <w:color w:val="auto"/>
              </w:rPr>
            </w:pPr>
            <w:r>
              <w:rPr>
                <w:rFonts w:ascii="Arial" w:cs="Arial" w:eastAsia="Arial" w:hAnsi="Arial"/>
                <w:sz w:val="11"/>
                <w:szCs w:val="11"/>
                <w:color w:val="auto"/>
              </w:rPr>
              <w:t>2/9/2022</w:t>
            </w:r>
          </w:p>
        </w:tc>
        <w:tc>
          <w:tcPr>
            <w:tcW w:w="740" w:type="dxa"/>
            <w:vAlign w:val="bottom"/>
            <w:gridSpan w:val="2"/>
            <w:shd w:val="clear" w:color="auto" w:fill="CCECF8"/>
          </w:tcPr>
          <w:p>
            <w:pPr>
              <w:jc w:val="right"/>
              <w:ind w:right="2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CF8"/>
          </w:tcPr>
          <w:p>
            <w:pPr>
              <w:jc w:val="right"/>
              <w:ind w:right="28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CF8"/>
          </w:tcPr>
          <w:p>
            <w:pPr>
              <w:jc w:val="right"/>
              <w:ind w:right="280"/>
              <w:spacing w:after="0"/>
              <w:rPr>
                <w:sz w:val="20"/>
                <w:szCs w:val="20"/>
                <w:color w:val="auto"/>
              </w:rPr>
            </w:pPr>
            <w:r>
              <w:rPr>
                <w:rFonts w:ascii="Arial" w:cs="Arial" w:eastAsia="Arial" w:hAnsi="Arial"/>
                <w:sz w:val="11"/>
                <w:szCs w:val="11"/>
                <w:color w:val="auto"/>
              </w:rPr>
              <w:t>—</w:t>
            </w:r>
          </w:p>
        </w:tc>
        <w:tc>
          <w:tcPr>
            <w:tcW w:w="1020" w:type="dxa"/>
            <w:vAlign w:val="bottom"/>
            <w:gridSpan w:val="2"/>
            <w:shd w:val="clear" w:color="auto" w:fill="CCECF8"/>
          </w:tcPr>
          <w:p>
            <w:pPr>
              <w:jc w:val="right"/>
              <w:ind w:right="28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CF8"/>
          </w:tcPr>
          <w:p>
            <w:pPr>
              <w:jc w:val="right"/>
              <w:ind w:right="20"/>
              <w:spacing w:after="0"/>
              <w:rPr>
                <w:sz w:val="20"/>
                <w:szCs w:val="20"/>
                <w:color w:val="auto"/>
              </w:rPr>
            </w:pPr>
            <w:r>
              <w:rPr>
                <w:rFonts w:ascii="Arial" w:cs="Arial" w:eastAsia="Arial" w:hAnsi="Arial"/>
                <w:sz w:val="11"/>
                <w:szCs w:val="11"/>
                <w:color w:val="auto"/>
              </w:rPr>
              <w:t>—</w:t>
            </w:r>
          </w:p>
        </w:tc>
      </w:tr>
    </w:tbl>
    <w:p>
      <w:pPr>
        <w:spacing w:after="0" w:line="224" w:lineRule="exact"/>
        <w:rPr>
          <w:sz w:val="20"/>
          <w:szCs w:val="20"/>
          <w:color w:val="auto"/>
        </w:rPr>
      </w:pPr>
    </w:p>
    <w:p>
      <w:pPr>
        <w:ind w:left="760" w:right="100" w:hanging="413"/>
        <w:spacing w:after="0" w:line="261"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Options vest as to one-fourth of the shares on the first anniversary of their grant date. The remaining shares vest in a series of 36 successive equal monthly installments upon completion of each additional month of service thereafter.</w:t>
      </w:r>
    </w:p>
    <w:p>
      <w:pPr>
        <w:spacing w:after="0" w:line="89" w:lineRule="exact"/>
        <w:rPr>
          <w:rFonts w:ascii="Arial" w:cs="Arial" w:eastAsia="Arial" w:hAnsi="Arial"/>
          <w:sz w:val="18"/>
          <w:szCs w:val="18"/>
          <w:color w:val="auto"/>
        </w:rPr>
      </w:pPr>
    </w:p>
    <w:p>
      <w:pPr>
        <w:ind w:left="760" w:right="740" w:hanging="413"/>
        <w:spacing w:after="0" w:line="261"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RSUs vest as to one-fourth of the shares on the first anniversary of their grant date. The remaining underlying units vest in a series of 36 successive equal monthly installments upon completion of each additional month of service thereafter.</w:t>
      </w:r>
    </w:p>
    <w:p>
      <w:pPr>
        <w:spacing w:after="0" w:line="89" w:lineRule="exact"/>
        <w:rPr>
          <w:rFonts w:ascii="Arial" w:cs="Arial" w:eastAsia="Arial" w:hAnsi="Arial"/>
          <w:sz w:val="18"/>
          <w:szCs w:val="18"/>
          <w:color w:val="auto"/>
        </w:rPr>
      </w:pPr>
    </w:p>
    <w:p>
      <w:pPr>
        <w:ind w:left="760" w:right="560" w:hanging="413"/>
        <w:spacing w:after="0" w:line="261"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Dollar values are calculated using the year end closing sale price of a share of our common stock on the Nasdaq Global Market, which was $48.59.</w:t>
      </w:r>
    </w:p>
    <w:p>
      <w:pPr>
        <w:spacing w:after="0" w:line="89" w:lineRule="exact"/>
        <w:rPr>
          <w:rFonts w:ascii="Arial" w:cs="Arial" w:eastAsia="Arial" w:hAnsi="Arial"/>
          <w:sz w:val="18"/>
          <w:szCs w:val="18"/>
          <w:color w:val="auto"/>
        </w:rPr>
      </w:pPr>
    </w:p>
    <w:p>
      <w:pPr>
        <w:ind w:left="760" w:right="400" w:hanging="413"/>
        <w:spacing w:after="0" w:line="324"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PSUs vest in accordance with the successful attainment of pre-determined revenue targets over the course of a three-year performance period ending in 2019. The number of PSUs reported is the threshold number established by the compensation committee.</w:t>
      </w:r>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240" w:top="451" w:right="57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220980</wp:posOffset>
            </wp:positionV>
            <wp:extent cx="68160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34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2017 Options Exercised and Stock Vested Table</w:t>
      </w:r>
    </w:p>
    <w:p>
      <w:pPr>
        <w:spacing w:after="0" w:line="112" w:lineRule="exact"/>
        <w:rPr>
          <w:sz w:val="20"/>
          <w:szCs w:val="20"/>
          <w:color w:val="auto"/>
        </w:rPr>
      </w:pPr>
    </w:p>
    <w:p>
      <w:pPr>
        <w:ind w:left="340" w:right="480" w:firstLine="429"/>
        <w:spacing w:after="0" w:line="261" w:lineRule="auto"/>
        <w:rPr>
          <w:sz w:val="20"/>
          <w:szCs w:val="20"/>
          <w:color w:val="auto"/>
        </w:rPr>
      </w:pPr>
      <w:r>
        <w:rPr>
          <w:rFonts w:ascii="Arial" w:cs="Arial" w:eastAsia="Arial" w:hAnsi="Arial"/>
          <w:sz w:val="18"/>
          <w:szCs w:val="18"/>
          <w:color w:val="auto"/>
        </w:rPr>
        <w:t>The following table sets forth certain information regarding stock awards vested and stock option exercises by our named executive officers during 2017:</w:t>
      </w:r>
    </w:p>
    <w:p>
      <w:pPr>
        <w:spacing w:after="0" w:line="89" w:lineRule="exact"/>
        <w:rPr>
          <w:sz w:val="20"/>
          <w:szCs w:val="20"/>
          <w:color w:val="auto"/>
        </w:rPr>
      </w:pPr>
    </w:p>
    <w:tbl>
      <w:tblPr>
        <w:tblLayout w:type="fixed"/>
        <w:tblInd w:w="340" w:type="dxa"/>
        <w:tblCellMar>
          <w:top w:w="0" w:type="dxa"/>
          <w:left w:w="0" w:type="dxa"/>
          <w:bottom w:w="0" w:type="dxa"/>
          <w:right w:w="0" w:type="dxa"/>
        </w:tblCellMar>
      </w:tblPr>
      <w:tr>
        <w:trPr>
          <w:trHeight w:val="158"/>
        </w:trPr>
        <w:tc>
          <w:tcPr>
            <w:tcW w:w="3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b w:val="1"/>
                <w:bCs w:val="1"/>
                <w:color w:val="auto"/>
              </w:rPr>
              <w:t>Option Awards</w:t>
            </w:r>
          </w:p>
        </w:tc>
        <w:tc>
          <w:tcPr>
            <w:tcW w:w="920" w:type="dxa"/>
            <w:vAlign w:val="bottom"/>
            <w:tcBorders>
              <w:bottom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2360" w:type="dxa"/>
            <w:vAlign w:val="bottom"/>
            <w:tcBorders>
              <w:bottom w:val="single" w:sz="8" w:color="auto"/>
            </w:tcBorders>
            <w:gridSpan w:val="2"/>
          </w:tcPr>
          <w:p>
            <w:pPr>
              <w:ind w:left="1220"/>
              <w:spacing w:after="0"/>
              <w:rPr>
                <w:sz w:val="20"/>
                <w:szCs w:val="20"/>
                <w:color w:val="auto"/>
              </w:rPr>
            </w:pPr>
            <w:r>
              <w:rPr>
                <w:rFonts w:ascii="Arial" w:cs="Arial" w:eastAsia="Arial" w:hAnsi="Arial"/>
                <w:sz w:val="13"/>
                <w:szCs w:val="13"/>
                <w:b w:val="1"/>
                <w:bCs w:val="1"/>
                <w:color w:val="auto"/>
              </w:rPr>
              <w:t>Stock Awards</w:t>
            </w:r>
          </w:p>
        </w:tc>
        <w:tc>
          <w:tcPr>
            <w:tcW w:w="8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25"/>
        </w:trPr>
        <w:tc>
          <w:tcPr>
            <w:tcW w:w="3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jc w:val="right"/>
              <w:spacing w:after="0" w:line="125" w:lineRule="exact"/>
              <w:rPr>
                <w:sz w:val="20"/>
                <w:szCs w:val="20"/>
                <w:color w:val="auto"/>
              </w:rPr>
            </w:pPr>
            <w:r>
              <w:rPr>
                <w:rFonts w:ascii="Arial" w:cs="Arial" w:eastAsia="Arial" w:hAnsi="Arial"/>
                <w:sz w:val="13"/>
                <w:szCs w:val="13"/>
                <w:b w:val="1"/>
                <w:bCs w:val="1"/>
                <w:color w:val="auto"/>
                <w:w w:val="94"/>
              </w:rPr>
              <w:t>Value Realized</w:t>
            </w:r>
          </w:p>
        </w:tc>
        <w:tc>
          <w:tcPr>
            <w:tcW w:w="9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3"/>
                <w:szCs w:val="13"/>
                <w:b w:val="1"/>
                <w:bCs w:val="1"/>
                <w:color w:val="auto"/>
                <w:w w:val="90"/>
              </w:rPr>
              <w:t>Value Realized</w:t>
            </w:r>
          </w:p>
        </w:tc>
        <w:tc>
          <w:tcPr>
            <w:tcW w:w="60" w:type="dxa"/>
            <w:vAlign w:val="bottom"/>
          </w:tcPr>
          <w:p>
            <w:pPr>
              <w:spacing w:after="0"/>
              <w:rPr>
                <w:sz w:val="10"/>
                <w:szCs w:val="10"/>
                <w:color w:val="auto"/>
              </w:rPr>
            </w:pPr>
          </w:p>
        </w:tc>
      </w:tr>
      <w:tr>
        <w:trPr>
          <w:trHeight w:val="145"/>
        </w:trPr>
        <w:tc>
          <w:tcPr>
            <w:tcW w:w="3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60" w:type="dxa"/>
            <w:vAlign w:val="bottom"/>
            <w:gridSpan w:val="2"/>
          </w:tcPr>
          <w:p>
            <w:pPr>
              <w:jc w:val="right"/>
              <w:ind w:right="1180"/>
              <w:spacing w:after="0" w:line="145" w:lineRule="exact"/>
              <w:rPr>
                <w:sz w:val="20"/>
                <w:szCs w:val="20"/>
                <w:color w:val="auto"/>
              </w:rPr>
            </w:pPr>
            <w:r>
              <w:rPr>
                <w:rFonts w:ascii="Arial" w:cs="Arial" w:eastAsia="Arial" w:hAnsi="Arial"/>
                <w:sz w:val="13"/>
                <w:szCs w:val="13"/>
                <w:b w:val="1"/>
                <w:bCs w:val="1"/>
                <w:color w:val="auto"/>
              </w:rPr>
              <w:t>Number of Shares</w:t>
            </w:r>
          </w:p>
        </w:tc>
        <w:tc>
          <w:tcPr>
            <w:tcW w:w="1820" w:type="dxa"/>
            <w:vAlign w:val="bottom"/>
            <w:gridSpan w:val="2"/>
          </w:tcPr>
          <w:p>
            <w:pPr>
              <w:ind w:left="80"/>
              <w:spacing w:after="0" w:line="145" w:lineRule="exact"/>
              <w:rPr>
                <w:sz w:val="20"/>
                <w:szCs w:val="20"/>
                <w:color w:val="auto"/>
              </w:rPr>
            </w:pPr>
            <w:r>
              <w:rPr>
                <w:rFonts w:ascii="Arial" w:cs="Arial" w:eastAsia="Arial" w:hAnsi="Arial"/>
                <w:sz w:val="13"/>
                <w:szCs w:val="13"/>
                <w:b w:val="1"/>
                <w:bCs w:val="1"/>
                <w:color w:val="auto"/>
              </w:rPr>
              <w:t>on Exercise ($)</w:t>
            </w:r>
          </w:p>
        </w:tc>
        <w:tc>
          <w:tcPr>
            <w:tcW w:w="2360" w:type="dxa"/>
            <w:vAlign w:val="bottom"/>
            <w:gridSpan w:val="2"/>
          </w:tcPr>
          <w:p>
            <w:pPr>
              <w:ind w:left="220"/>
              <w:spacing w:after="0" w:line="145" w:lineRule="exact"/>
              <w:rPr>
                <w:sz w:val="20"/>
                <w:szCs w:val="20"/>
                <w:color w:val="auto"/>
              </w:rPr>
            </w:pPr>
            <w:r>
              <w:rPr>
                <w:rFonts w:ascii="Arial" w:cs="Arial" w:eastAsia="Arial" w:hAnsi="Arial"/>
                <w:sz w:val="13"/>
                <w:szCs w:val="13"/>
                <w:b w:val="1"/>
                <w:bCs w:val="1"/>
                <w:color w:val="auto"/>
              </w:rPr>
              <w:t>Number of Shares</w:t>
            </w:r>
          </w:p>
        </w:tc>
        <w:tc>
          <w:tcPr>
            <w:tcW w:w="900" w:type="dxa"/>
            <w:vAlign w:val="bottom"/>
            <w:gridSpan w:val="2"/>
          </w:tcPr>
          <w:p>
            <w:pPr>
              <w:jc w:val="right"/>
              <w:ind w:right="60"/>
              <w:spacing w:after="0" w:line="145" w:lineRule="exact"/>
              <w:rPr>
                <w:sz w:val="20"/>
                <w:szCs w:val="20"/>
                <w:color w:val="auto"/>
              </w:rPr>
            </w:pPr>
            <w:r>
              <w:rPr>
                <w:rFonts w:ascii="Arial" w:cs="Arial" w:eastAsia="Arial" w:hAnsi="Arial"/>
                <w:sz w:val="13"/>
                <w:szCs w:val="13"/>
                <w:b w:val="1"/>
                <w:bCs w:val="1"/>
                <w:color w:val="auto"/>
                <w:w w:val="95"/>
              </w:rPr>
              <w:t>on Vesting ($)</w:t>
            </w:r>
          </w:p>
        </w:tc>
      </w:tr>
      <w:tr>
        <w:trPr>
          <w:trHeight w:val="178"/>
        </w:trPr>
        <w:tc>
          <w:tcPr>
            <w:tcW w:w="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0"/>
              </w:rPr>
              <w:t>Name</w:t>
            </w:r>
          </w:p>
        </w:tc>
        <w:tc>
          <w:tcPr>
            <w:tcW w:w="2000" w:type="dxa"/>
            <w:vAlign w:val="bottom"/>
            <w:tcBorders>
              <w:bottom w:val="single" w:sz="8" w:color="CCECF8"/>
            </w:tcBorders>
          </w:tcPr>
          <w:p>
            <w:pPr>
              <w:spacing w:after="0"/>
              <w:rPr>
                <w:sz w:val="15"/>
                <w:szCs w:val="15"/>
                <w:color w:val="auto"/>
              </w:rPr>
            </w:pPr>
          </w:p>
        </w:tc>
        <w:tc>
          <w:tcPr>
            <w:tcW w:w="860" w:type="dxa"/>
            <w:vAlign w:val="bottom"/>
            <w:tcBorders>
              <w:bottom w:val="single" w:sz="8" w:color="CCECF8"/>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Acquired on Exercise (#)</w:t>
            </w:r>
          </w:p>
        </w:tc>
        <w:tc>
          <w:tcPr>
            <w:tcW w:w="900" w:type="dxa"/>
            <w:vAlign w:val="bottom"/>
            <w:tcBorders>
              <w:bottom w:val="single" w:sz="8" w:color="CCECF8"/>
            </w:tcBorders>
          </w:tcPr>
          <w:p>
            <w:pPr>
              <w:spacing w:after="0"/>
              <w:rPr>
                <w:sz w:val="15"/>
                <w:szCs w:val="15"/>
                <w:color w:val="auto"/>
              </w:rPr>
            </w:pPr>
          </w:p>
        </w:tc>
        <w:tc>
          <w:tcPr>
            <w:tcW w:w="92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(1)</w:t>
            </w:r>
          </w:p>
        </w:tc>
        <w:tc>
          <w:tcPr>
            <w:tcW w:w="900" w:type="dxa"/>
            <w:vAlign w:val="bottom"/>
            <w:tcBorders>
              <w:bottom w:val="single" w:sz="8" w:color="CCECF8"/>
            </w:tcBorders>
          </w:tcPr>
          <w:p>
            <w:pPr>
              <w:spacing w:after="0"/>
              <w:rPr>
                <w:sz w:val="15"/>
                <w:szCs w:val="15"/>
                <w:color w:val="auto"/>
              </w:rPr>
            </w:pP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b w:val="1"/>
                <w:bCs w:val="1"/>
                <w:color w:val="auto"/>
                <w:w w:val="93"/>
              </w:rPr>
              <w:t>Acquired on Vesting (#)</w:t>
            </w:r>
          </w:p>
        </w:tc>
        <w:tc>
          <w:tcPr>
            <w:tcW w:w="900" w:type="dxa"/>
            <w:vAlign w:val="bottom"/>
            <w:tcBorders>
              <w:bottom w:val="single" w:sz="8" w:color="CCECF8"/>
            </w:tcBorders>
          </w:tcPr>
          <w:p>
            <w:pPr>
              <w:spacing w:after="0"/>
              <w:rPr>
                <w:sz w:val="15"/>
                <w:szCs w:val="15"/>
                <w:color w:val="auto"/>
              </w:rPr>
            </w:pPr>
          </w:p>
        </w:tc>
        <w:tc>
          <w:tcPr>
            <w:tcW w:w="84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b w:val="1"/>
                <w:bCs w:val="1"/>
                <w:color w:val="auto"/>
              </w:rPr>
              <w:t>(2)</w:t>
            </w:r>
          </w:p>
        </w:tc>
        <w:tc>
          <w:tcPr>
            <w:tcW w:w="60" w:type="dxa"/>
            <w:vAlign w:val="bottom"/>
            <w:tcBorders>
              <w:bottom w:val="single" w:sz="8" w:color="CCECF8"/>
            </w:tcBorders>
          </w:tcPr>
          <w:p>
            <w:pPr>
              <w:spacing w:after="0"/>
              <w:rPr>
                <w:sz w:val="15"/>
                <w:szCs w:val="15"/>
                <w:color w:val="auto"/>
              </w:rPr>
            </w:pPr>
          </w:p>
        </w:tc>
      </w:tr>
      <w:tr>
        <w:trPr>
          <w:trHeight w:val="184"/>
        </w:trPr>
        <w:tc>
          <w:tcPr>
            <w:tcW w:w="2340" w:type="dxa"/>
            <w:vAlign w:val="bottom"/>
            <w:gridSpan w:val="2"/>
            <w:shd w:val="clear" w:color="auto" w:fill="CCECF8"/>
          </w:tcPr>
          <w:p>
            <w:pPr>
              <w:spacing w:after="0" w:line="183" w:lineRule="exact"/>
              <w:rPr>
                <w:sz w:val="20"/>
                <w:szCs w:val="20"/>
                <w:color w:val="auto"/>
              </w:rPr>
            </w:pPr>
            <w:r>
              <w:rPr>
                <w:rFonts w:ascii="Arial" w:cs="Arial" w:eastAsia="Arial" w:hAnsi="Arial"/>
                <w:sz w:val="18"/>
                <w:szCs w:val="18"/>
                <w:color w:val="auto"/>
              </w:rPr>
              <w:t>Archie C. Black</w:t>
            </w:r>
          </w:p>
        </w:tc>
        <w:tc>
          <w:tcPr>
            <w:tcW w:w="860" w:type="dxa"/>
            <w:vAlign w:val="bottom"/>
            <w:shd w:val="clear" w:color="auto" w:fill="CCECF8"/>
          </w:tcPr>
          <w:p>
            <w:pPr>
              <w:spacing w:after="0"/>
              <w:rPr>
                <w:sz w:val="15"/>
                <w:szCs w:val="15"/>
                <w:color w:val="auto"/>
              </w:rPr>
            </w:pPr>
          </w:p>
        </w:tc>
        <w:tc>
          <w:tcPr>
            <w:tcW w:w="1560" w:type="dxa"/>
            <w:vAlign w:val="bottom"/>
            <w:shd w:val="clear" w:color="auto" w:fill="CCECF8"/>
          </w:tcPr>
          <w:p>
            <w:pPr>
              <w:jc w:val="right"/>
              <w:spacing w:after="0" w:line="183" w:lineRule="exact"/>
              <w:rPr>
                <w:sz w:val="20"/>
                <w:szCs w:val="20"/>
                <w:color w:val="auto"/>
              </w:rPr>
            </w:pPr>
            <w:r>
              <w:rPr>
                <w:rFonts w:ascii="Arial" w:cs="Arial" w:eastAsia="Arial" w:hAnsi="Arial"/>
                <w:sz w:val="18"/>
                <w:szCs w:val="18"/>
                <w:color w:val="auto"/>
              </w:rPr>
              <w:t>45,000</w:t>
            </w:r>
          </w:p>
        </w:tc>
        <w:tc>
          <w:tcPr>
            <w:tcW w:w="900" w:type="dxa"/>
            <w:vAlign w:val="bottom"/>
            <w:shd w:val="clear" w:color="auto" w:fill="CCECF8"/>
          </w:tcPr>
          <w:p>
            <w:pPr>
              <w:spacing w:after="0"/>
              <w:rPr>
                <w:sz w:val="15"/>
                <w:szCs w:val="15"/>
                <w:color w:val="auto"/>
              </w:rPr>
            </w:pPr>
          </w:p>
        </w:tc>
        <w:tc>
          <w:tcPr>
            <w:tcW w:w="920" w:type="dxa"/>
            <w:vAlign w:val="bottom"/>
            <w:shd w:val="clear" w:color="auto" w:fill="CCECF8"/>
          </w:tcPr>
          <w:p>
            <w:pPr>
              <w:jc w:val="right"/>
              <w:spacing w:after="0" w:line="183" w:lineRule="exact"/>
              <w:rPr>
                <w:sz w:val="20"/>
                <w:szCs w:val="20"/>
                <w:color w:val="auto"/>
              </w:rPr>
            </w:pPr>
            <w:r>
              <w:rPr>
                <w:rFonts w:ascii="Arial" w:cs="Arial" w:eastAsia="Arial" w:hAnsi="Arial"/>
                <w:sz w:val="18"/>
                <w:szCs w:val="18"/>
                <w:color w:val="auto"/>
              </w:rPr>
              <w:t>2,149,441</w:t>
            </w:r>
          </w:p>
        </w:tc>
        <w:tc>
          <w:tcPr>
            <w:tcW w:w="900" w:type="dxa"/>
            <w:vAlign w:val="bottom"/>
            <w:shd w:val="clear" w:color="auto" w:fill="CCECF8"/>
          </w:tcPr>
          <w:p>
            <w:pPr>
              <w:spacing w:after="0"/>
              <w:rPr>
                <w:sz w:val="15"/>
                <w:szCs w:val="15"/>
                <w:color w:val="auto"/>
              </w:rPr>
            </w:pPr>
          </w:p>
        </w:tc>
        <w:tc>
          <w:tcPr>
            <w:tcW w:w="1460" w:type="dxa"/>
            <w:vAlign w:val="bottom"/>
            <w:shd w:val="clear" w:color="auto" w:fill="CCECF8"/>
          </w:tcPr>
          <w:p>
            <w:pPr>
              <w:jc w:val="right"/>
              <w:spacing w:after="0" w:line="183" w:lineRule="exact"/>
              <w:rPr>
                <w:sz w:val="20"/>
                <w:szCs w:val="20"/>
                <w:color w:val="auto"/>
              </w:rPr>
            </w:pPr>
            <w:r>
              <w:rPr>
                <w:rFonts w:ascii="Arial" w:cs="Arial" w:eastAsia="Arial" w:hAnsi="Arial"/>
                <w:sz w:val="18"/>
                <w:szCs w:val="18"/>
                <w:color w:val="auto"/>
              </w:rPr>
              <w:t>31,347</w:t>
            </w:r>
          </w:p>
        </w:tc>
        <w:tc>
          <w:tcPr>
            <w:tcW w:w="900" w:type="dxa"/>
            <w:vAlign w:val="bottom"/>
            <w:shd w:val="clear" w:color="auto" w:fill="CCECF8"/>
          </w:tcPr>
          <w:p>
            <w:pPr>
              <w:spacing w:after="0"/>
              <w:rPr>
                <w:sz w:val="15"/>
                <w:szCs w:val="15"/>
                <w:color w:val="auto"/>
              </w:rPr>
            </w:pPr>
          </w:p>
        </w:tc>
        <w:tc>
          <w:tcPr>
            <w:tcW w:w="840" w:type="dxa"/>
            <w:vAlign w:val="bottom"/>
            <w:shd w:val="clear" w:color="auto" w:fill="CCECF8"/>
          </w:tcPr>
          <w:p>
            <w:pPr>
              <w:jc w:val="right"/>
              <w:spacing w:after="0" w:line="183" w:lineRule="exact"/>
              <w:rPr>
                <w:sz w:val="20"/>
                <w:szCs w:val="20"/>
                <w:color w:val="auto"/>
              </w:rPr>
            </w:pPr>
            <w:r>
              <w:rPr>
                <w:rFonts w:ascii="Arial" w:cs="Arial" w:eastAsia="Arial" w:hAnsi="Arial"/>
                <w:sz w:val="18"/>
                <w:szCs w:val="18"/>
                <w:color w:val="auto"/>
              </w:rPr>
              <w:t>1,750,264</w:t>
            </w:r>
          </w:p>
        </w:tc>
        <w:tc>
          <w:tcPr>
            <w:tcW w:w="60" w:type="dxa"/>
            <w:vAlign w:val="bottom"/>
            <w:shd w:val="clear" w:color="auto" w:fill="CCECF8"/>
          </w:tcPr>
          <w:p>
            <w:pPr>
              <w:spacing w:after="0"/>
              <w:rPr>
                <w:sz w:val="15"/>
                <w:szCs w:val="15"/>
                <w:color w:val="auto"/>
              </w:rPr>
            </w:pPr>
          </w:p>
        </w:tc>
      </w:tr>
      <w:tr>
        <w:trPr>
          <w:trHeight w:val="276"/>
        </w:trPr>
        <w:tc>
          <w:tcPr>
            <w:tcW w:w="234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3320" w:type="dxa"/>
            <w:vAlign w:val="bottom"/>
            <w:gridSpan w:val="3"/>
          </w:tcPr>
          <w:p>
            <w:pPr>
              <w:jc w:val="right"/>
              <w:ind w:right="900"/>
              <w:spacing w:after="0"/>
              <w:rPr>
                <w:sz w:val="20"/>
                <w:szCs w:val="20"/>
                <w:color w:val="auto"/>
              </w:rPr>
            </w:pPr>
            <w:r>
              <w:rPr>
                <w:rFonts w:ascii="Arial" w:cs="Arial" w:eastAsia="Arial" w:hAnsi="Arial"/>
                <w:sz w:val="18"/>
                <w:szCs w:val="18"/>
                <w:color w:val="auto"/>
              </w:rPr>
              <w:t>0</w:t>
            </w:r>
          </w:p>
        </w:tc>
        <w:tc>
          <w:tcPr>
            <w:tcW w:w="1820" w:type="dxa"/>
            <w:vAlign w:val="bottom"/>
            <w:gridSpan w:val="2"/>
          </w:tcPr>
          <w:p>
            <w:pPr>
              <w:jc w:val="right"/>
              <w:ind w:right="900"/>
              <w:spacing w:after="0"/>
              <w:rPr>
                <w:sz w:val="20"/>
                <w:szCs w:val="20"/>
                <w:color w:val="auto"/>
              </w:rPr>
            </w:pPr>
            <w:r>
              <w:rPr>
                <w:rFonts w:ascii="Arial" w:cs="Arial" w:eastAsia="Arial" w:hAnsi="Arial"/>
                <w:sz w:val="18"/>
                <w:szCs w:val="18"/>
                <w:color w:val="auto"/>
              </w:rPr>
              <w:t>0</w:t>
            </w:r>
          </w:p>
        </w:tc>
        <w:tc>
          <w:tcPr>
            <w:tcW w:w="2360" w:type="dxa"/>
            <w:vAlign w:val="bottom"/>
            <w:gridSpan w:val="2"/>
          </w:tcPr>
          <w:p>
            <w:pPr>
              <w:jc w:val="right"/>
              <w:ind w:right="900"/>
              <w:spacing w:after="0"/>
              <w:rPr>
                <w:sz w:val="20"/>
                <w:szCs w:val="20"/>
                <w:color w:val="auto"/>
              </w:rPr>
            </w:pPr>
            <w:r>
              <w:rPr>
                <w:rFonts w:ascii="Arial" w:cs="Arial" w:eastAsia="Arial" w:hAnsi="Arial"/>
                <w:sz w:val="18"/>
                <w:szCs w:val="18"/>
                <w:color w:val="auto"/>
              </w:rPr>
              <w:t>13,681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768,564</w:t>
            </w:r>
          </w:p>
        </w:tc>
      </w:tr>
      <w:tr>
        <w:trPr>
          <w:trHeight w:val="277"/>
        </w:trPr>
        <w:tc>
          <w:tcPr>
            <w:tcW w:w="2340" w:type="dxa"/>
            <w:vAlign w:val="bottom"/>
            <w:gridSpan w:val="2"/>
            <w:shd w:val="clear" w:color="auto" w:fill="CCECF8"/>
          </w:tcPr>
          <w:p>
            <w:pPr>
              <w:spacing w:after="0"/>
              <w:rPr>
                <w:sz w:val="20"/>
                <w:szCs w:val="20"/>
                <w:color w:val="auto"/>
              </w:rPr>
            </w:pPr>
            <w:r>
              <w:rPr>
                <w:rFonts w:ascii="Arial" w:cs="Arial" w:eastAsia="Arial" w:hAnsi="Arial"/>
                <w:sz w:val="18"/>
                <w:szCs w:val="18"/>
                <w:color w:val="auto"/>
              </w:rPr>
              <w:t>James J. Frome</w:t>
            </w:r>
          </w:p>
        </w:tc>
        <w:tc>
          <w:tcPr>
            <w:tcW w:w="3320" w:type="dxa"/>
            <w:vAlign w:val="bottom"/>
            <w:gridSpan w:val="3"/>
            <w:shd w:val="clear" w:color="auto" w:fill="CCECF8"/>
          </w:tcPr>
          <w:p>
            <w:pPr>
              <w:jc w:val="right"/>
              <w:ind w:right="900"/>
              <w:spacing w:after="0"/>
              <w:rPr>
                <w:sz w:val="20"/>
                <w:szCs w:val="20"/>
                <w:color w:val="auto"/>
              </w:rPr>
            </w:pPr>
            <w:r>
              <w:rPr>
                <w:rFonts w:ascii="Arial" w:cs="Arial" w:eastAsia="Arial" w:hAnsi="Arial"/>
                <w:sz w:val="18"/>
                <w:szCs w:val="18"/>
                <w:color w:val="auto"/>
              </w:rPr>
              <w:t>0</w:t>
            </w:r>
          </w:p>
        </w:tc>
        <w:tc>
          <w:tcPr>
            <w:tcW w:w="1820" w:type="dxa"/>
            <w:vAlign w:val="bottom"/>
            <w:gridSpan w:val="2"/>
            <w:shd w:val="clear" w:color="auto" w:fill="CCECF8"/>
          </w:tcPr>
          <w:p>
            <w:pPr>
              <w:jc w:val="right"/>
              <w:ind w:right="900"/>
              <w:spacing w:after="0"/>
              <w:rPr>
                <w:sz w:val="20"/>
                <w:szCs w:val="20"/>
                <w:color w:val="auto"/>
              </w:rPr>
            </w:pPr>
            <w:r>
              <w:rPr>
                <w:rFonts w:ascii="Arial" w:cs="Arial" w:eastAsia="Arial" w:hAnsi="Arial"/>
                <w:sz w:val="18"/>
                <w:szCs w:val="18"/>
                <w:color w:val="auto"/>
              </w:rPr>
              <w:t>0</w:t>
            </w:r>
          </w:p>
        </w:tc>
        <w:tc>
          <w:tcPr>
            <w:tcW w:w="2360" w:type="dxa"/>
            <w:vAlign w:val="bottom"/>
            <w:gridSpan w:val="2"/>
            <w:shd w:val="clear" w:color="auto" w:fill="CCECF8"/>
          </w:tcPr>
          <w:p>
            <w:pPr>
              <w:jc w:val="right"/>
              <w:ind w:right="900"/>
              <w:spacing w:after="0"/>
              <w:rPr>
                <w:sz w:val="20"/>
                <w:szCs w:val="20"/>
                <w:color w:val="auto"/>
              </w:rPr>
            </w:pPr>
            <w:r>
              <w:rPr>
                <w:rFonts w:ascii="Arial" w:cs="Arial" w:eastAsia="Arial" w:hAnsi="Arial"/>
                <w:sz w:val="18"/>
                <w:szCs w:val="18"/>
                <w:color w:val="auto"/>
              </w:rPr>
              <w:t>13,807</w:t>
            </w:r>
          </w:p>
        </w:tc>
        <w:tc>
          <w:tcPr>
            <w:tcW w:w="900" w:type="dxa"/>
            <w:vAlign w:val="bottom"/>
            <w:gridSpan w:val="2"/>
            <w:shd w:val="clear" w:color="auto" w:fill="CCECF8"/>
          </w:tcPr>
          <w:p>
            <w:pPr>
              <w:jc w:val="right"/>
              <w:ind w:right="60"/>
              <w:spacing w:after="0"/>
              <w:rPr>
                <w:sz w:val="20"/>
                <w:szCs w:val="20"/>
                <w:color w:val="auto"/>
              </w:rPr>
            </w:pPr>
            <w:r>
              <w:rPr>
                <w:rFonts w:ascii="Arial" w:cs="Arial" w:eastAsia="Arial" w:hAnsi="Arial"/>
                <w:sz w:val="18"/>
                <w:szCs w:val="18"/>
                <w:color w:val="auto"/>
              </w:rPr>
              <w:t>775,008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83820</wp:posOffset>
            </wp:positionV>
            <wp:extent cx="2006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0660" cy="8255"/>
                    </a:xfrm>
                    <a:prstGeom prst="rect">
                      <a:avLst/>
                    </a:prstGeom>
                    <a:noFill/>
                  </pic:spPr>
                </pic:pic>
              </a:graphicData>
            </a:graphic>
          </wp:anchor>
        </w:drawing>
      </w:r>
    </w:p>
    <w:p>
      <w:pPr>
        <w:spacing w:after="0" w:line="152" w:lineRule="exact"/>
        <w:rPr>
          <w:sz w:val="20"/>
          <w:szCs w:val="20"/>
          <w:color w:val="auto"/>
        </w:rPr>
      </w:pPr>
    </w:p>
    <w:p>
      <w:pPr>
        <w:ind w:left="760" w:hanging="413"/>
        <w:spacing w:after="0" w:line="248"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the aggregate value realized on exercise in 2017 by each named executive officer by multiplying (1) the difference between (a) the market price of our common stock on the exercise date and (b) the per share exercise price, by (2) the number of shares of our common stock acquired on exercise.</w:t>
      </w:r>
    </w:p>
    <w:p>
      <w:pPr>
        <w:spacing w:after="0" w:line="1" w:lineRule="exact"/>
        <w:rPr>
          <w:rFonts w:ascii="Arial" w:cs="Arial" w:eastAsia="Arial" w:hAnsi="Arial"/>
          <w:sz w:val="18"/>
          <w:szCs w:val="18"/>
          <w:color w:val="auto"/>
        </w:rPr>
      </w:pPr>
    </w:p>
    <w:p>
      <w:pPr>
        <w:ind w:left="760" w:right="20" w:hanging="413"/>
        <w:spacing w:after="0" w:line="248"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the aggregate value realized by each named executive officer by multiplying the number of shares of our common stock vested by the fair market value of our common stock of a share of our common stock on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154940</wp:posOffset>
            </wp:positionV>
            <wp:extent cx="68160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Pension Benefits</w:t>
      </w:r>
    </w:p>
    <w:p>
      <w:pPr>
        <w:spacing w:after="0" w:line="11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do not offer pension benefits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168910</wp:posOffset>
            </wp:positionV>
            <wp:extent cx="68160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71"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Non-Qualified Deferred Compensation</w:t>
      </w:r>
    </w:p>
    <w:p>
      <w:pPr>
        <w:spacing w:after="0" w:line="11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do not offer non-qualified deferred compensation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168910</wp:posOffset>
            </wp:positionV>
            <wp:extent cx="68160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71"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Employment Agreements</w:t>
      </w:r>
    </w:p>
    <w:p>
      <w:pPr>
        <w:spacing w:after="0" w:line="112" w:lineRule="exact"/>
        <w:rPr>
          <w:sz w:val="20"/>
          <w:szCs w:val="20"/>
          <w:color w:val="auto"/>
        </w:rPr>
      </w:pPr>
    </w:p>
    <w:p>
      <w:pPr>
        <w:ind w:left="340" w:right="540" w:firstLine="429"/>
        <w:spacing w:after="0" w:line="287" w:lineRule="auto"/>
        <w:rPr>
          <w:sz w:val="20"/>
          <w:szCs w:val="20"/>
          <w:color w:val="auto"/>
        </w:rPr>
      </w:pPr>
      <w:r>
        <w:rPr>
          <w:rFonts w:ascii="Arial" w:cs="Arial" w:eastAsia="Arial" w:hAnsi="Arial"/>
          <w:sz w:val="16"/>
          <w:szCs w:val="16"/>
          <w:color w:val="auto"/>
        </w:rPr>
        <w:t>In November 2017, we entered into a new employment agreement with Mr. Black. The term of the “at-will” agreement expires upon the termination of Mr. Black’s employment with us. In connection with entering into the new employment agreement, Mr. Black entered into a new non-competition and non-solicitation agreement with the company pursuant to which he agreed not to compete with our company or solicit our customers or employees for two years following termination of employment. Prior to entering into this agreement, Mr. Black was not subject to a non-compete or non-solicitation agreement with the company.</w:t>
      </w:r>
    </w:p>
    <w:p>
      <w:pPr>
        <w:spacing w:after="0" w:line="163" w:lineRule="exact"/>
        <w:rPr>
          <w:sz w:val="20"/>
          <w:szCs w:val="20"/>
          <w:color w:val="auto"/>
        </w:rPr>
      </w:pPr>
    </w:p>
    <w:p>
      <w:pPr>
        <w:ind w:left="340" w:right="60" w:firstLine="429"/>
        <w:spacing w:after="0" w:line="248" w:lineRule="auto"/>
        <w:rPr>
          <w:sz w:val="20"/>
          <w:szCs w:val="20"/>
          <w:color w:val="auto"/>
        </w:rPr>
      </w:pPr>
      <w:r>
        <w:rPr>
          <w:rFonts w:ascii="Arial" w:cs="Arial" w:eastAsia="Arial" w:hAnsi="Arial"/>
          <w:sz w:val="18"/>
          <w:szCs w:val="18"/>
          <w:color w:val="auto"/>
        </w:rPr>
        <w:t>In February 2016, we entered into revised employment agreements with each of our named executive officers other than Mr. Black. These “at-will” agreements continue in effect until the executive officer’s employment is terminated. We have confidentiality and non-competition agreements with each of these executive officers requiring the executive officers not to disclose our confidential information at any time. The agreements also require the executive officers not to compete with us or solicit our employees to engage in other employment during the term of their employment with us and for one year thereafter.</w:t>
      </w:r>
    </w:p>
    <w:p>
      <w:pPr>
        <w:spacing w:after="0" w:line="193" w:lineRule="exact"/>
        <w:rPr>
          <w:sz w:val="20"/>
          <w:szCs w:val="20"/>
          <w:color w:val="auto"/>
        </w:rPr>
      </w:pPr>
    </w:p>
    <w:p>
      <w:pPr>
        <w:ind w:left="340" w:right="440" w:firstLine="429"/>
        <w:spacing w:after="0" w:line="291" w:lineRule="auto"/>
        <w:rPr>
          <w:sz w:val="20"/>
          <w:szCs w:val="20"/>
          <w:color w:val="auto"/>
        </w:rPr>
      </w:pPr>
      <w:r>
        <w:rPr>
          <w:rFonts w:ascii="Arial" w:cs="Arial" w:eastAsia="Arial" w:hAnsi="Arial"/>
          <w:sz w:val="16"/>
          <w:szCs w:val="16"/>
          <w:color w:val="auto"/>
        </w:rPr>
        <w:t>The employment agreements with our named executive officers address various termination of employment and change in control scenarios. Payment of amounts under these circumstances is subject to certain conditions and limitations, including that the executive officer must execute a release of claims against us. The terms of potential payments under these agreements upon a termination of employment or change in control are summarized below under “— Potential Payments Upon Termination or Change-in-Control.”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134620</wp:posOffset>
            </wp:positionV>
            <wp:extent cx="68160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Potential Payments Upon Termination or Change-in-Control</w:t>
      </w:r>
    </w:p>
    <w:p>
      <w:pPr>
        <w:spacing w:after="0" w:line="112" w:lineRule="exact"/>
        <w:rPr>
          <w:sz w:val="20"/>
          <w:szCs w:val="20"/>
          <w:color w:val="auto"/>
        </w:rPr>
      </w:pPr>
    </w:p>
    <w:p>
      <w:pPr>
        <w:ind w:left="340" w:right="40" w:firstLine="429"/>
        <w:spacing w:after="0" w:line="324" w:lineRule="auto"/>
        <w:rPr>
          <w:sz w:val="20"/>
          <w:szCs w:val="20"/>
          <w:color w:val="auto"/>
        </w:rPr>
      </w:pPr>
      <w:r>
        <w:rPr>
          <w:rFonts w:ascii="Arial" w:cs="Arial" w:eastAsia="Arial" w:hAnsi="Arial"/>
          <w:sz w:val="16"/>
          <w:szCs w:val="16"/>
          <w:color w:val="auto"/>
        </w:rPr>
        <w:t>We have entered into various agreements that will require us to provide certain payments and benefits to our named executive officers in the event of certain specified termination of employment, including a termination of employment in connection with a change in control of the Company.</w:t>
      </w:r>
    </w:p>
    <w:p>
      <w:pPr>
        <w:spacing w:after="0" w:line="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240" w:top="450" w:right="57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Employment Agreements</w:t>
      </w:r>
    </w:p>
    <w:p>
      <w:pPr>
        <w:spacing w:after="0" w:line="1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Mr. Black</w:t>
      </w:r>
    </w:p>
    <w:p>
      <w:pPr>
        <w:spacing w:after="0" w:line="109" w:lineRule="exact"/>
        <w:rPr>
          <w:sz w:val="20"/>
          <w:szCs w:val="20"/>
          <w:color w:val="auto"/>
        </w:rPr>
      </w:pPr>
    </w:p>
    <w:p>
      <w:pPr>
        <w:ind w:left="340" w:right="220" w:firstLine="429"/>
        <w:spacing w:after="0" w:line="261" w:lineRule="auto"/>
        <w:rPr>
          <w:sz w:val="20"/>
          <w:szCs w:val="20"/>
          <w:color w:val="auto"/>
        </w:rPr>
      </w:pPr>
      <w:r>
        <w:rPr>
          <w:rFonts w:ascii="Arial" w:cs="Arial" w:eastAsia="Arial" w:hAnsi="Arial"/>
          <w:sz w:val="18"/>
          <w:szCs w:val="18"/>
          <w:color w:val="auto"/>
        </w:rPr>
        <w:t>Mr. Black’s employment agreement provides that if we terminate Mr. Black without cause, or if he terminates his employment with us for good reason, we will:</w:t>
      </w:r>
    </w:p>
    <w:p>
      <w:pPr>
        <w:spacing w:after="0" w:line="50" w:lineRule="exact"/>
        <w:rPr>
          <w:sz w:val="20"/>
          <w:szCs w:val="20"/>
          <w:color w:val="auto"/>
        </w:rPr>
      </w:pPr>
    </w:p>
    <w:p>
      <w:pPr>
        <w:ind w:left="1080" w:hanging="31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his base salary for 12 months in accordance with our regular payroll practices; and</w:t>
      </w:r>
    </w:p>
    <w:p>
      <w:pPr>
        <w:spacing w:after="0" w:line="82" w:lineRule="exact"/>
        <w:rPr>
          <w:rFonts w:ascii="Arial" w:cs="Arial" w:eastAsia="Arial" w:hAnsi="Arial"/>
          <w:sz w:val="18"/>
          <w:szCs w:val="18"/>
          <w:color w:val="auto"/>
        </w:rPr>
      </w:pPr>
    </w:p>
    <w:p>
      <w:pPr>
        <w:ind w:left="1080" w:right="100" w:hanging="312"/>
        <w:spacing w:after="0" w:line="261"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health care benefits to him and his family for up to 12 months after the date of termination on the same terms as they are provided as of the date of termination.</w:t>
      </w:r>
    </w:p>
    <w:p>
      <w:pPr>
        <w:spacing w:after="0" w:line="76" w:lineRule="exact"/>
        <w:rPr>
          <w:sz w:val="20"/>
          <w:szCs w:val="20"/>
          <w:color w:val="auto"/>
        </w:rPr>
      </w:pPr>
    </w:p>
    <w:p>
      <w:pPr>
        <w:ind w:left="340" w:right="340"/>
        <w:spacing w:after="0" w:line="261" w:lineRule="auto"/>
        <w:rPr>
          <w:sz w:val="20"/>
          <w:szCs w:val="20"/>
          <w:color w:val="auto"/>
        </w:rPr>
      </w:pPr>
      <w:r>
        <w:rPr>
          <w:rFonts w:ascii="Arial" w:cs="Arial" w:eastAsia="Arial" w:hAnsi="Arial"/>
          <w:sz w:val="18"/>
          <w:szCs w:val="18"/>
          <w:color w:val="auto"/>
        </w:rPr>
        <w:t>Retirement provisions in the new agreement provide that if the sum of Mr. Black’s age plus years of service as an employee of the company is 74 or greater and Mr. Black provides the requisite notice regarding his retirement, then:</w:t>
      </w:r>
    </w:p>
    <w:p>
      <w:pPr>
        <w:spacing w:after="0" w:line="50" w:lineRule="exact"/>
        <w:rPr>
          <w:sz w:val="20"/>
          <w:szCs w:val="20"/>
          <w:color w:val="auto"/>
        </w:rPr>
      </w:pPr>
    </w:p>
    <w:p>
      <w:pPr>
        <w:ind w:left="1080" w:hanging="31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of his unvested stock options and RSUs will become fully vested;</w:t>
      </w:r>
    </w:p>
    <w:p>
      <w:pPr>
        <w:spacing w:after="0" w:line="82" w:lineRule="exact"/>
        <w:rPr>
          <w:rFonts w:ascii="Arial" w:cs="Arial" w:eastAsia="Arial" w:hAnsi="Arial"/>
          <w:sz w:val="18"/>
          <w:szCs w:val="18"/>
          <w:color w:val="auto"/>
        </w:rPr>
      </w:pPr>
    </w:p>
    <w:p>
      <w:pPr>
        <w:ind w:left="1080" w:right="140" w:hanging="312"/>
        <w:spacing w:after="0" w:line="252"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outstanding PSUs will continue to vest on each originally scheduled vesting date in an amount equal to the number of units subject to the awards that would otherwise have been determined to have been earned by Mr. Black had he remained continuously employed by the company through the originally scheduled vesting dates; and</w:t>
      </w:r>
    </w:p>
    <w:p>
      <w:pPr>
        <w:spacing w:after="0" w:line="58" w:lineRule="exact"/>
        <w:rPr>
          <w:rFonts w:ascii="Arial" w:cs="Arial" w:eastAsia="Arial" w:hAnsi="Arial"/>
          <w:sz w:val="18"/>
          <w:szCs w:val="18"/>
          <w:color w:val="auto"/>
        </w:rPr>
      </w:pPr>
    </w:p>
    <w:p>
      <w:pPr>
        <w:ind w:left="1080" w:hanging="31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Black shall receive a pro-rated portion of any target annual cash incentive bonus for the year of his retirement.</w:t>
      </w:r>
    </w:p>
    <w:p>
      <w:pPr>
        <w:spacing w:after="0" w:line="214"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Mr. Black is currently eligible for retirement under the terms of the employment agreement. The agreement further provides that in the event a change in control, all of Mr. Black’s unvested stock options, RSUs and PSUs (at target level) outstanding as of the change in control will become fully vested as of the change in control.</w:t>
      </w:r>
    </w:p>
    <w:p>
      <w:pPr>
        <w:spacing w:after="0" w:line="85" w:lineRule="exact"/>
        <w:rPr>
          <w:sz w:val="20"/>
          <w:szCs w:val="20"/>
          <w:color w:val="auto"/>
        </w:rPr>
      </w:pPr>
    </w:p>
    <w:p>
      <w:pPr>
        <w:ind w:left="340" w:right="380" w:firstLine="429"/>
        <w:spacing w:after="0" w:line="282" w:lineRule="auto"/>
        <w:rPr>
          <w:sz w:val="20"/>
          <w:szCs w:val="20"/>
          <w:color w:val="auto"/>
        </w:rPr>
      </w:pPr>
      <w:r>
        <w:rPr>
          <w:rFonts w:ascii="Arial" w:cs="Arial" w:eastAsia="Arial" w:hAnsi="Arial"/>
          <w:sz w:val="16"/>
          <w:szCs w:val="16"/>
          <w:color w:val="auto"/>
        </w:rPr>
        <w:t>For purposes of his employment agreement, “cause” means (i) failure by Mr. Black to cure a material breach of the terms of any non-competition/non-solicitation agreement with us within 30 days of receiving written notice of breach from us, (ii) gross negligence or willful misconduct, (iii) conviction of any crime involving moral turpitude or any felony, (iv) willful violation of specific and lawful instructions from the Board that are reasonably related to Mr. Black’s employment by the Company, and (v) fraud, embezzlement, theft or proven dishonesty against the company. “Good Reason” is defined to mean the occurrence of any of the following events, in each case without Mr. Black’s consent: (i) a material reduction in Mr. Black’s base salary or annual bonus opportunity, (ii) a material reduction in Mr. Black’s employment responsibilities, or (iii) a relocation of Mr. Black’s primary work location by more than 30 miles.</w:t>
      </w:r>
    </w:p>
    <w:p>
      <w:pPr>
        <w:spacing w:after="0" w:line="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 Named Executive Officers</w:t>
      </w:r>
    </w:p>
    <w:p>
      <w:pPr>
        <w:spacing w:after="0" w:line="109" w:lineRule="exact"/>
        <w:rPr>
          <w:sz w:val="20"/>
          <w:szCs w:val="20"/>
          <w:color w:val="auto"/>
        </w:rPr>
      </w:pPr>
    </w:p>
    <w:p>
      <w:pPr>
        <w:ind w:left="340" w:right="700" w:firstLine="429"/>
        <w:spacing w:after="0" w:line="261" w:lineRule="auto"/>
        <w:rPr>
          <w:sz w:val="20"/>
          <w:szCs w:val="20"/>
          <w:color w:val="auto"/>
        </w:rPr>
      </w:pPr>
      <w:r>
        <w:rPr>
          <w:rFonts w:ascii="Arial" w:cs="Arial" w:eastAsia="Arial" w:hAnsi="Arial"/>
          <w:sz w:val="18"/>
          <w:szCs w:val="18"/>
          <w:color w:val="auto"/>
        </w:rPr>
        <w:t>The employment agreements with each of our other named executive officers provide that, if we terminate the named executive officer’s employment without cause, we will pay the executive officer:</w:t>
      </w:r>
    </w:p>
    <w:p>
      <w:pPr>
        <w:spacing w:after="0" w:line="89" w:lineRule="exact"/>
        <w:rPr>
          <w:sz w:val="20"/>
          <w:szCs w:val="20"/>
          <w:color w:val="auto"/>
        </w:rPr>
      </w:pPr>
    </w:p>
    <w:p>
      <w:pPr>
        <w:ind w:left="1080" w:hanging="31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12 months of his or her then-current base salary over a 12-month period in accordance with our normal payroll practices;</w:t>
      </w:r>
    </w:p>
    <w:p>
      <w:pPr>
        <w:spacing w:after="0" w:line="82" w:lineRule="exact"/>
        <w:rPr>
          <w:rFonts w:ascii="Arial" w:cs="Arial" w:eastAsia="Arial" w:hAnsi="Arial"/>
          <w:sz w:val="18"/>
          <w:szCs w:val="18"/>
          <w:color w:val="auto"/>
        </w:rPr>
      </w:pPr>
    </w:p>
    <w:p>
      <w:pPr>
        <w:ind w:left="1080" w:right="860" w:hanging="312"/>
        <w:spacing w:after="0" w:line="324"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lump-sum payment equal to 100% of his or her target annual cash incentive bonus for the fiscal year in which the termination of employment occurs (payable in a lump sum no later than 60 calendar days after the date of termination); and</w:t>
      </w:r>
    </w:p>
    <w:p>
      <w:pPr>
        <w:spacing w:after="0" w:line="3" w:lineRule="exact"/>
        <w:rPr>
          <w:rFonts w:ascii="Arial" w:cs="Arial" w:eastAsia="Arial" w:hAnsi="Arial"/>
          <w:sz w:val="16"/>
          <w:szCs w:val="16"/>
          <w:color w:val="auto"/>
        </w:rPr>
      </w:pPr>
    </w:p>
    <w:p>
      <w:pPr>
        <w:ind w:left="1080" w:hanging="31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 to 12 months of continued payment of health insurance premiums.</w:t>
      </w:r>
    </w:p>
    <w:p>
      <w:pPr>
        <w:spacing w:after="0" w:line="10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If the executive officer resigns for good reason of the Company, we will pay the executive officer:</w:t>
      </w:r>
    </w:p>
    <w:p>
      <w:pPr>
        <w:spacing w:after="0" w:line="82" w:lineRule="exact"/>
        <w:rPr>
          <w:sz w:val="20"/>
          <w:szCs w:val="20"/>
          <w:color w:val="auto"/>
        </w:rPr>
      </w:pPr>
    </w:p>
    <w:p>
      <w:pPr>
        <w:ind w:left="1080" w:hanging="31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six months of his or her then-current base salary over a six-month period in accordance with our normal payroll practices;</w:t>
      </w:r>
    </w:p>
    <w:p>
      <w:pPr>
        <w:spacing w:after="0" w:line="82" w:lineRule="exact"/>
        <w:rPr>
          <w:rFonts w:ascii="Arial" w:cs="Arial" w:eastAsia="Arial" w:hAnsi="Arial"/>
          <w:sz w:val="18"/>
          <w:szCs w:val="18"/>
          <w:color w:val="auto"/>
        </w:rPr>
      </w:pPr>
    </w:p>
    <w:p>
      <w:pPr>
        <w:ind w:left="1080" w:right="20" w:hanging="312"/>
        <w:spacing w:after="0" w:line="261"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lump-sum payment equal to 50% of his or her target annual cash incentive bonus for the fiscal year in which the termination of employment occurs (payable in a lump sum no later than 60 calendar days after the date of termination); and</w:t>
      </w:r>
    </w:p>
    <w:p>
      <w:pPr>
        <w:spacing w:after="0" w:line="49" w:lineRule="exact"/>
        <w:rPr>
          <w:rFonts w:ascii="Arial" w:cs="Arial" w:eastAsia="Arial" w:hAnsi="Arial"/>
          <w:sz w:val="18"/>
          <w:szCs w:val="18"/>
          <w:color w:val="auto"/>
        </w:rPr>
      </w:pPr>
    </w:p>
    <w:p>
      <w:pPr>
        <w:ind w:left="1080" w:hanging="31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 to six months of continued payment of health insurance premiums.</w:t>
      </w:r>
    </w:p>
    <w:p>
      <w:pPr>
        <w:spacing w:after="0" w:line="14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60"/>
          </w:cols>
          <w:pgMar w:left="240" w:top="451" w:right="59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60" w:firstLine="429"/>
        <w:spacing w:after="0" w:line="252" w:lineRule="auto"/>
        <w:rPr>
          <w:sz w:val="20"/>
          <w:szCs w:val="20"/>
          <w:color w:val="auto"/>
        </w:rPr>
      </w:pPr>
      <w:r>
        <w:rPr>
          <w:rFonts w:ascii="Arial" w:cs="Arial" w:eastAsia="Arial" w:hAnsi="Arial"/>
          <w:sz w:val="18"/>
          <w:szCs w:val="18"/>
          <w:color w:val="auto"/>
        </w:rPr>
        <w:t>If we terminate the executive officer’s employment without cause upon or within 12 months after a change in control of the Company, or if the executive officer terminates his or her employment for good reason upon or within 12 months after a change in control of the Company, we will pay the named executive officer:</w:t>
      </w:r>
    </w:p>
    <w:p>
      <w:pPr>
        <w:spacing w:after="0" w:line="58" w:lineRule="exact"/>
        <w:rPr>
          <w:sz w:val="20"/>
          <w:szCs w:val="20"/>
          <w:color w:val="auto"/>
        </w:rPr>
      </w:pPr>
    </w:p>
    <w:p>
      <w:pPr>
        <w:ind w:left="1080" w:hanging="31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12 months of his or her then-current base salary over a 12-month period in accordance with our normal payroll practices;</w:t>
      </w:r>
    </w:p>
    <w:p>
      <w:pPr>
        <w:spacing w:after="0" w:line="82" w:lineRule="exact"/>
        <w:rPr>
          <w:rFonts w:ascii="Arial" w:cs="Arial" w:eastAsia="Arial" w:hAnsi="Arial"/>
          <w:sz w:val="18"/>
          <w:szCs w:val="18"/>
          <w:color w:val="auto"/>
        </w:rPr>
      </w:pPr>
    </w:p>
    <w:p>
      <w:pPr>
        <w:ind w:left="1080" w:right="860" w:hanging="312"/>
        <w:spacing w:after="0" w:line="324"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lump-sum payment equal to 100% of his or her target annual cash incentive bonus for the fiscal year in which the termination of employment occurs (payable in a lump sum no later than 60 calendar days after the date of termination); and</w:t>
      </w:r>
    </w:p>
    <w:p>
      <w:pPr>
        <w:spacing w:after="0" w:line="3" w:lineRule="exact"/>
        <w:rPr>
          <w:rFonts w:ascii="Arial" w:cs="Arial" w:eastAsia="Arial" w:hAnsi="Arial"/>
          <w:sz w:val="16"/>
          <w:szCs w:val="16"/>
          <w:color w:val="auto"/>
        </w:rPr>
      </w:pPr>
    </w:p>
    <w:p>
      <w:pPr>
        <w:ind w:left="1080" w:hanging="31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 to 12 months of continued payment of health insurance premiums.</w:t>
      </w:r>
    </w:p>
    <w:p>
      <w:pPr>
        <w:spacing w:after="0" w:line="109" w:lineRule="exact"/>
        <w:rPr>
          <w:sz w:val="20"/>
          <w:szCs w:val="20"/>
          <w:color w:val="auto"/>
        </w:rPr>
      </w:pPr>
    </w:p>
    <w:p>
      <w:pPr>
        <w:ind w:left="340" w:right="120" w:firstLine="429"/>
        <w:spacing w:after="0" w:line="261" w:lineRule="auto"/>
        <w:rPr>
          <w:sz w:val="20"/>
          <w:szCs w:val="20"/>
          <w:color w:val="auto"/>
        </w:rPr>
      </w:pPr>
      <w:r>
        <w:rPr>
          <w:rFonts w:ascii="Arial" w:cs="Arial" w:eastAsia="Arial" w:hAnsi="Arial"/>
          <w:sz w:val="18"/>
          <w:szCs w:val="18"/>
          <w:color w:val="auto"/>
        </w:rPr>
        <w:t>In addition, the employment agreements with each of our other named executive officers provide that all unvested stock options, RSUs and other equity awards will become fully vested as of the change in control.</w:t>
      </w:r>
    </w:p>
    <w:p>
      <w:pPr>
        <w:spacing w:after="0" w:line="76" w:lineRule="exact"/>
        <w:rPr>
          <w:sz w:val="20"/>
          <w:szCs w:val="20"/>
          <w:color w:val="auto"/>
        </w:rPr>
      </w:pPr>
    </w:p>
    <w:p>
      <w:pPr>
        <w:ind w:left="340" w:right="320" w:firstLine="429"/>
        <w:spacing w:after="0" w:line="282" w:lineRule="auto"/>
        <w:rPr>
          <w:sz w:val="20"/>
          <w:szCs w:val="20"/>
          <w:color w:val="auto"/>
        </w:rPr>
      </w:pPr>
      <w:r>
        <w:rPr>
          <w:rFonts w:ascii="Arial" w:cs="Arial" w:eastAsia="Arial" w:hAnsi="Arial"/>
          <w:sz w:val="16"/>
          <w:szCs w:val="16"/>
          <w:color w:val="auto"/>
        </w:rPr>
        <w:t>For purposes of his employment agreement, “cause” means (i) failure by the executive to cure a material breach of the terms of any non-competition/non-solicitation agreement with us within 30 days of receiving written notice of breach from us, (ii) gross negligence or willful misconduct, (iii) conviction of any crime involving moral turpitude or any felony, (iv) willful violation of specific and lawful instructions from the Board or CEO that are reasonably related to the executive’s employment by the company, and (v) fraud, embezzlement, theft or proven dishonesty against the company. “Good Reason” is defined to mean the occurrence of any of the following events, in each case without the executive officer’s consent: (i) a material reduction in the executive officer’s base salary or annual bonus opportunity, (ii) a material reduction in the executive officer’s employment responsibilities, or (iii) a relocation of the executive officer’s primary work location by more than 30 miles.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Stock Option, RSU and PSU Award Agreements</w:t>
      </w:r>
    </w:p>
    <w:p>
      <w:pPr>
        <w:spacing w:after="0" w:line="109" w:lineRule="exact"/>
        <w:rPr>
          <w:sz w:val="20"/>
          <w:szCs w:val="20"/>
          <w:color w:val="auto"/>
        </w:rPr>
      </w:pPr>
    </w:p>
    <w:p>
      <w:pPr>
        <w:ind w:left="340" w:right="80" w:firstLine="429"/>
        <w:spacing w:after="0" w:line="310" w:lineRule="auto"/>
        <w:rPr>
          <w:sz w:val="20"/>
          <w:szCs w:val="20"/>
          <w:color w:val="auto"/>
        </w:rPr>
      </w:pPr>
      <w:r>
        <w:rPr>
          <w:rFonts w:ascii="Arial" w:cs="Arial" w:eastAsia="Arial" w:hAnsi="Arial"/>
          <w:sz w:val="15"/>
          <w:szCs w:val="15"/>
          <w:color w:val="auto"/>
        </w:rPr>
        <w:t>Generally, option agreements executed pursuant to our 2001 Stock Option Plan, provide that, in the event of a change in control of the Company, outstanding stock options granted to senior management, including our named executive officers, immediately become exercisable as to 50% of the unvested shares of our common stock subject to the option. Our option agreements with our named executive officers also provide that if his or her employment with us is terminated, or his or her employment responsibilities or base salary are materially reduced, other than for cause, prior to the first anniversary of the change in control, all remaining unvested shares of our common stock subject to the option immediately become fully exercisable.</w:t>
      </w:r>
    </w:p>
    <w:p>
      <w:pPr>
        <w:spacing w:after="0" w:line="149" w:lineRule="exact"/>
        <w:rPr>
          <w:sz w:val="20"/>
          <w:szCs w:val="20"/>
          <w:color w:val="auto"/>
        </w:rPr>
      </w:pPr>
    </w:p>
    <w:p>
      <w:pPr>
        <w:ind w:left="340" w:right="20" w:firstLine="429"/>
        <w:spacing w:after="0" w:line="281" w:lineRule="auto"/>
        <w:rPr>
          <w:sz w:val="20"/>
          <w:szCs w:val="20"/>
          <w:color w:val="auto"/>
        </w:rPr>
      </w:pPr>
      <w:r>
        <w:rPr>
          <w:rFonts w:ascii="Arial" w:cs="Arial" w:eastAsia="Arial" w:hAnsi="Arial"/>
          <w:sz w:val="16"/>
          <w:szCs w:val="16"/>
          <w:color w:val="auto"/>
        </w:rPr>
        <w:t>For these purposes a “change in control” includes (i) any person’s acquisition of beneficial ownership of 50% or more of our outstanding common stock; (ii) a failure to have a majority of our board of directors be people for whose election our board solicited proxies; (iii) approval by our stockholders of a reorganization, merger or consolidation, unless our stockholders immediately prior to the transaction own more than 50% of the voting power of the corporation resulting from the transaction; or (iv) approval by our stockholders of the disposition of all or substantially all of our assets. “Cause” for termination exists upon (i) failure by the named executive officer to cure his or her material breach of the terms of a non-competition/non-solicitation agreement between us and the officer within 30 days of receipt of written notice of breach from us; (ii) gross negligence or willful misconduct by the officer; (iii) conviction of the officer of a crime involving moral turpitude or any felony; (iv) willful violation of instructions from our board of directors or Chief Executive Officer; or (v) fraud, embezzlement, theft or proven dishonesty against us.</w:t>
      </w:r>
    </w:p>
    <w:p>
      <w:pPr>
        <w:spacing w:after="0" w:line="171" w:lineRule="exact"/>
        <w:rPr>
          <w:sz w:val="20"/>
          <w:szCs w:val="20"/>
          <w:color w:val="auto"/>
        </w:rPr>
      </w:pPr>
    </w:p>
    <w:p>
      <w:pPr>
        <w:ind w:left="340" w:firstLine="429"/>
        <w:spacing w:after="0" w:line="247" w:lineRule="auto"/>
        <w:rPr>
          <w:sz w:val="20"/>
          <w:szCs w:val="20"/>
          <w:color w:val="auto"/>
        </w:rPr>
      </w:pPr>
      <w:r>
        <w:rPr>
          <w:rFonts w:ascii="Arial" w:cs="Arial" w:eastAsia="Arial" w:hAnsi="Arial"/>
          <w:sz w:val="18"/>
          <w:szCs w:val="18"/>
          <w:color w:val="auto"/>
        </w:rPr>
        <w:t>Generally, option agreements and RSU agreements executed pursuant to our 2010 Equity Incentive Plan provide that in the event of a sale of all or substantially all of our assets or a merger, consolidation or share exchange involving our company, the surviving or successor entity may continue, assume or replace some or all of the outstanding awards under the 2010 Equity Incentive Plan. Our awards agreements with our named executive officers typically provide that if awards granted to him or her under the 2010 Equity Incentive Plan are continued, assumed or replaced in connection with such an event and if within one year after the event he or she experiences an involuntary termination of service other than for cause, then his or her outstanding awards will</w:t>
      </w:r>
    </w:p>
    <w:p>
      <w:pPr>
        <w:spacing w:after="0" w:line="1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60"/>
          </w:cols>
          <w:pgMar w:left="240" w:top="451" w:right="59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40"/>
        <w:spacing w:after="0" w:line="280" w:lineRule="auto"/>
        <w:rPr>
          <w:sz w:val="20"/>
          <w:szCs w:val="20"/>
          <w:color w:val="auto"/>
        </w:rPr>
      </w:pPr>
      <w:r>
        <w:rPr>
          <w:rFonts w:ascii="Arial" w:cs="Arial" w:eastAsia="Arial" w:hAnsi="Arial"/>
          <w:sz w:val="16"/>
          <w:szCs w:val="16"/>
          <w:color w:val="auto"/>
        </w:rPr>
        <w:t>vest in full, will immediately become fully exercisable and will remain exercisable for one year following the date of termination. If awards granted to any participant are not continued, assumed or replaced, the administrator may provide for the surrender of any outstanding award in exchange for payment to the holder of the amount of the consideration that would have been received in the event for the number of shares subject to the award less the aggregate exercise price (if any) of the award. In the event of a change in control (as defined in the 2010 Equity Incentive Plan) of the Company that does not involve a merger, consolidation, share exchange or sale of all or substantially all of our company’s assets, the plan administrator, in its discretion, may provide that any outstanding award will become fully vested and exercisable upon the change in control or upon the involuntary termination of employment of the participant within one year after the change in control or that any outstanding award will be surrendered in exchange for payment to the holder of the amount of the consideration that would have been received in the change in control for the number of shares subject to the award less the aggregate exercise price (if any) of the award.</w:t>
      </w:r>
    </w:p>
    <w:p>
      <w:pPr>
        <w:spacing w:after="0" w:line="173" w:lineRule="exact"/>
        <w:rPr>
          <w:sz w:val="20"/>
          <w:szCs w:val="20"/>
          <w:color w:val="auto"/>
        </w:rPr>
      </w:pPr>
    </w:p>
    <w:p>
      <w:pPr>
        <w:ind w:left="340" w:firstLine="429"/>
        <w:spacing w:after="0" w:line="280" w:lineRule="auto"/>
        <w:rPr>
          <w:sz w:val="20"/>
          <w:szCs w:val="20"/>
          <w:color w:val="auto"/>
        </w:rPr>
      </w:pPr>
      <w:r>
        <w:rPr>
          <w:rFonts w:ascii="Arial" w:cs="Arial" w:eastAsia="Arial" w:hAnsi="Arial"/>
          <w:sz w:val="16"/>
          <w:szCs w:val="16"/>
          <w:color w:val="auto"/>
        </w:rPr>
        <w:t>The PSU agreements executed pursuant to our 2010 Equity Incentive Plan provide that in the event a change in control of the company occurs prior to a scheduled vesting date of a PSU award, that as of the date of the change in control (provided the executive’s service to the company continues as of such date) a number of PSUs shall vest that is equal to (i) a pro rata portion of the target number of PSUs minus (ii) the number of PSUs that vested prior to the date of the change in control. The pro rata portion of the target number of PSUs is determined by multiplying the target number of PSUs by 1/3 if the change in control occurs during the first year of the three-year performance period, by 2/3 if it occurs during the second year of the three-year performance period, and by 3/3 if it occurs during the third year of the three-year performance period. If the number of PSUs that vested prior to the date of the change in control is equal to or greater than the pro rata portion of the target number of PSUs as described above, then no additional PSUs will be eligible to vest as of the date of the change in control. The PSU award agreements provide that the preceding determination of the number of PSUs to be paid out upon a change in control shall be deemed to satisfy any applicable change in control acceleration provisions contained in the executive officer’s employment or severance agreements.</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240" w:top="451" w:right="59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40" w:firstLine="429"/>
        <w:spacing w:after="0" w:line="282" w:lineRule="auto"/>
        <w:rPr>
          <w:sz w:val="20"/>
          <w:szCs w:val="20"/>
          <w:color w:val="auto"/>
        </w:rPr>
      </w:pPr>
      <w:r>
        <w:rPr>
          <w:rFonts w:ascii="Arial" w:cs="Arial" w:eastAsia="Arial" w:hAnsi="Arial"/>
          <w:sz w:val="16"/>
          <w:szCs w:val="16"/>
          <w:color w:val="auto"/>
        </w:rPr>
        <w:t>The following table lists the potential payments and benefits a termination of employment or change in control of the Company for our named executive officers. The tables assume the triggering event for the payments or provision of benefits occurred on December 31, 2017, the last day of our last completed fiscal year. Amounts in the table for the acceleration of unvested stock options are calculated based on the number of share of our common stock subject to accelerated stock options multiplied by the difference between $48.59, the closing price for a share of our common stock on the Nasdaq Global Market on December 29, 2017, the last trading day of our last completed fiscal year, and the per share exercise price. The amounts in the table for the acceleration of RSUs and PSUs are determined by multiplying the number of accelerated units by $48.59, the closing price for our common stock on December 29, 2017.</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197"/>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gridSpan w:val="3"/>
          </w:tcPr>
          <w:p>
            <w:pPr>
              <w:spacing w:after="0"/>
              <w:rPr>
                <w:sz w:val="20"/>
                <w:szCs w:val="20"/>
                <w:color w:val="auto"/>
              </w:rPr>
            </w:pPr>
            <w:r>
              <w:rPr>
                <w:rFonts w:ascii="Arial" w:cs="Arial" w:eastAsia="Arial" w:hAnsi="Arial"/>
                <w:sz w:val="16"/>
                <w:szCs w:val="16"/>
                <w:b w:val="1"/>
                <w:bCs w:val="1"/>
                <w:color w:val="auto"/>
              </w:rPr>
              <w:t>Termination</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1"/>
              </w:rPr>
              <w:t>for Good</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1"/>
              <w:spacing w:after="0"/>
              <w:rPr>
                <w:sz w:val="20"/>
                <w:szCs w:val="20"/>
                <w:color w:val="auto"/>
              </w:rPr>
            </w:pPr>
            <w:r>
              <w:rPr>
                <w:rFonts w:ascii="Arial" w:cs="Arial" w:eastAsia="Arial" w:hAnsi="Arial"/>
                <w:sz w:val="16"/>
                <w:szCs w:val="16"/>
                <w:b w:val="1"/>
                <w:bCs w:val="1"/>
                <w:color w:val="auto"/>
                <w:w w:val="91"/>
              </w:rPr>
              <w:t>Termination</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86"/>
              </w:rPr>
              <w:t>Reason</w:t>
            </w:r>
          </w:p>
        </w:tc>
        <w:tc>
          <w:tcPr>
            <w:tcW w:w="140" w:type="dxa"/>
            <w:vAlign w:val="bottom"/>
          </w:tcPr>
          <w:p>
            <w:pPr>
              <w:spacing w:after="0"/>
              <w:rPr>
                <w:sz w:val="17"/>
                <w:szCs w:val="17"/>
                <w:color w:val="auto"/>
              </w:rPr>
            </w:pPr>
          </w:p>
        </w:tc>
        <w:tc>
          <w:tcPr>
            <w:tcW w:w="15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1"/>
              </w:rPr>
              <w:t>Termination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w w:val="87"/>
              </w:rPr>
              <w:t>Without Cause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89"/>
              </w:rPr>
              <w:t>Unrelated</w:t>
            </w:r>
          </w:p>
        </w:tc>
        <w:tc>
          <w:tcPr>
            <w:tcW w:w="1660" w:type="dxa"/>
            <w:vAlign w:val="bottom"/>
            <w:gridSpan w:val="3"/>
          </w:tcPr>
          <w:p>
            <w:pPr>
              <w:spacing w:after="0"/>
              <w:rPr>
                <w:sz w:val="20"/>
                <w:szCs w:val="20"/>
                <w:color w:val="auto"/>
              </w:rPr>
            </w:pPr>
            <w:r>
              <w:rPr>
                <w:rFonts w:ascii="Arial" w:cs="Arial" w:eastAsia="Arial" w:hAnsi="Arial"/>
                <w:sz w:val="16"/>
                <w:szCs w:val="16"/>
                <w:b w:val="1"/>
                <w:bCs w:val="1"/>
                <w:color w:val="auto"/>
              </w:rPr>
              <w:t>Without Cause or</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1"/>
              <w:spacing w:after="0"/>
              <w:rPr>
                <w:sz w:val="20"/>
                <w:szCs w:val="20"/>
                <w:color w:val="auto"/>
              </w:rPr>
            </w:pPr>
            <w:r>
              <w:rPr>
                <w:rFonts w:ascii="Arial" w:cs="Arial" w:eastAsia="Arial" w:hAnsi="Arial"/>
                <w:sz w:val="16"/>
                <w:szCs w:val="16"/>
                <w:b w:val="1"/>
                <w:bCs w:val="1"/>
                <w:color w:val="auto"/>
                <w:w w:val="89"/>
              </w:rPr>
              <w:t>Unrelated to</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to</w:t>
            </w:r>
          </w:p>
        </w:tc>
        <w:tc>
          <w:tcPr>
            <w:tcW w:w="166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87"/>
              </w:rPr>
              <w:t>for Good Reason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1"/>
              <w:spacing w:after="0"/>
              <w:rPr>
                <w:sz w:val="20"/>
                <w:szCs w:val="20"/>
                <w:color w:val="auto"/>
              </w:rPr>
            </w:pPr>
            <w:r>
              <w:rPr>
                <w:rFonts w:ascii="Arial" w:cs="Arial" w:eastAsia="Arial" w:hAnsi="Arial"/>
                <w:sz w:val="16"/>
                <w:szCs w:val="16"/>
                <w:b w:val="1"/>
                <w:bCs w:val="1"/>
                <w:color w:val="auto"/>
                <w:w w:val="87"/>
              </w:rPr>
              <w:t>Change in</w:t>
            </w:r>
          </w:p>
        </w:tc>
        <w:tc>
          <w:tcPr>
            <w:tcW w:w="460" w:type="dxa"/>
            <w:vAlign w:val="bottom"/>
          </w:tcPr>
          <w:p>
            <w:pPr>
              <w:spacing w:after="0"/>
              <w:rPr>
                <w:sz w:val="17"/>
                <w:szCs w:val="17"/>
                <w:color w:val="auto"/>
              </w:rPr>
            </w:pPr>
          </w:p>
        </w:tc>
        <w:tc>
          <w:tcPr>
            <w:tcW w:w="12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0"/>
              </w:rPr>
              <w:t>Change in</w:t>
            </w:r>
          </w:p>
        </w:tc>
        <w:tc>
          <w:tcPr>
            <w:tcW w:w="166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88"/>
              </w:rPr>
              <w:t>and a Change in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500" w:type="dxa"/>
            <w:vAlign w:val="bottom"/>
            <w:vMerge w:val="restart"/>
          </w:tcPr>
          <w:p>
            <w:pPr>
              <w:spacing w:after="0"/>
              <w:rPr>
                <w:sz w:val="20"/>
                <w:szCs w:val="20"/>
                <w:color w:val="auto"/>
              </w:rPr>
            </w:pPr>
            <w:r>
              <w:rPr>
                <w:rFonts w:ascii="Arial" w:cs="Arial" w:eastAsia="Arial" w:hAnsi="Arial"/>
                <w:sz w:val="16"/>
                <w:szCs w:val="16"/>
                <w:b w:val="1"/>
                <w:bCs w:val="1"/>
                <w:color w:val="auto"/>
              </w:rPr>
              <w:t>Archie C. Black</w:t>
            </w:r>
          </w:p>
        </w:tc>
        <w:tc>
          <w:tcPr>
            <w:tcW w:w="12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w w:val="93"/>
              </w:rPr>
              <w:t>Retirement</w:t>
            </w:r>
          </w:p>
        </w:tc>
        <w:tc>
          <w:tcPr>
            <w:tcW w:w="80" w:type="dxa"/>
            <w:vAlign w:val="bottom"/>
          </w:tcPr>
          <w:p>
            <w:pPr>
              <w:spacing w:after="0"/>
              <w:rPr>
                <w:sz w:val="18"/>
                <w:szCs w:val="18"/>
                <w:color w:val="auto"/>
              </w:rPr>
            </w:pPr>
          </w:p>
        </w:tc>
        <w:tc>
          <w:tcPr>
            <w:tcW w:w="920" w:type="dxa"/>
            <w:vAlign w:val="bottom"/>
          </w:tcPr>
          <w:p>
            <w:pPr>
              <w:jc w:val="center"/>
              <w:ind w:right="1"/>
              <w:spacing w:after="0"/>
              <w:rPr>
                <w:sz w:val="20"/>
                <w:szCs w:val="20"/>
                <w:color w:val="auto"/>
              </w:rPr>
            </w:pPr>
            <w:r>
              <w:rPr>
                <w:rFonts w:ascii="Arial" w:cs="Arial" w:eastAsia="Arial" w:hAnsi="Arial"/>
                <w:sz w:val="16"/>
                <w:szCs w:val="16"/>
                <w:b w:val="1"/>
                <w:bCs w:val="1"/>
                <w:color w:val="auto"/>
                <w:w w:val="91"/>
              </w:rPr>
              <w:t>Control</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Control</w:t>
            </w:r>
          </w:p>
        </w:tc>
        <w:tc>
          <w:tcPr>
            <w:tcW w:w="140" w:type="dxa"/>
            <w:vAlign w:val="bottom"/>
          </w:tcPr>
          <w:p>
            <w:pPr>
              <w:spacing w:after="0"/>
              <w:rPr>
                <w:sz w:val="18"/>
                <w:szCs w:val="18"/>
                <w:color w:val="auto"/>
              </w:rPr>
            </w:pPr>
          </w:p>
        </w:tc>
        <w:tc>
          <w:tcPr>
            <w:tcW w:w="15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1"/>
              </w:rPr>
              <w:t>Control</w:t>
            </w:r>
          </w:p>
        </w:tc>
        <w:tc>
          <w:tcPr>
            <w:tcW w:w="1300" w:type="dxa"/>
            <w:vAlign w:val="bottom"/>
            <w:gridSpan w:val="3"/>
          </w:tcPr>
          <w:p>
            <w:pPr>
              <w:spacing w:after="0"/>
              <w:rPr>
                <w:sz w:val="20"/>
                <w:szCs w:val="20"/>
                <w:color w:val="auto"/>
              </w:rPr>
            </w:pPr>
            <w:r>
              <w:rPr>
                <w:rFonts w:ascii="Arial" w:cs="Arial" w:eastAsia="Arial" w:hAnsi="Arial"/>
                <w:sz w:val="16"/>
                <w:szCs w:val="16"/>
                <w:b w:val="1"/>
                <w:bCs w:val="1"/>
                <w:color w:val="auto"/>
                <w:w w:val="92"/>
              </w:rPr>
              <w:t>Change in Control</w:t>
            </w:r>
          </w:p>
        </w:tc>
        <w:tc>
          <w:tcPr>
            <w:tcW w:w="0" w:type="dxa"/>
            <w:vAlign w:val="bottom"/>
          </w:tcPr>
          <w:p>
            <w:pPr>
              <w:spacing w:after="0"/>
              <w:rPr>
                <w:sz w:val="1"/>
                <w:szCs w:val="1"/>
                <w:color w:val="auto"/>
              </w:rPr>
            </w:pPr>
          </w:p>
        </w:tc>
      </w:tr>
      <w:tr>
        <w:trPr>
          <w:trHeight w:val="177"/>
        </w:trPr>
        <w:tc>
          <w:tcPr>
            <w:tcW w:w="3500" w:type="dxa"/>
            <w:vAlign w:val="bottom"/>
            <w:vMerge w:val="continue"/>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00" w:type="dxa"/>
            <w:vAlign w:val="bottom"/>
            <w:shd w:val="clear" w:color="auto" w:fill="CCECF8"/>
          </w:tcPr>
          <w:p>
            <w:pPr>
              <w:ind w:left="160"/>
              <w:spacing w:after="0"/>
              <w:rPr>
                <w:sz w:val="20"/>
                <w:szCs w:val="20"/>
                <w:color w:val="auto"/>
              </w:rPr>
            </w:pPr>
            <w:r>
              <w:rPr>
                <w:rFonts w:ascii="Arial" w:cs="Arial" w:eastAsia="Arial" w:hAnsi="Arial"/>
                <w:sz w:val="16"/>
                <w:szCs w:val="16"/>
                <w:color w:val="auto"/>
              </w:rPr>
              <w:t>Salary/Bonus</w:t>
            </w:r>
          </w:p>
        </w:tc>
        <w:tc>
          <w:tcPr>
            <w:tcW w:w="120" w:type="dxa"/>
            <w:vAlign w:val="bottom"/>
            <w:shd w:val="clear" w:color="auto" w:fill="CCECF8"/>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CF8"/>
          </w:tcPr>
          <w:p>
            <w:pPr>
              <w:jc w:val="right"/>
              <w:ind w:right="460"/>
              <w:spacing w:after="0"/>
              <w:rPr>
                <w:sz w:val="20"/>
                <w:szCs w:val="20"/>
                <w:color w:val="auto"/>
              </w:rPr>
            </w:pPr>
            <w:r>
              <w:rPr>
                <w:rFonts w:ascii="Arial" w:cs="Arial" w:eastAsia="Arial" w:hAnsi="Arial"/>
                <w:sz w:val="16"/>
                <w:szCs w:val="16"/>
                <w:color w:val="auto"/>
              </w:rPr>
              <w:t>495,000</w:t>
            </w:r>
          </w:p>
        </w:tc>
        <w:tc>
          <w:tcPr>
            <w:tcW w:w="80" w:type="dxa"/>
            <w:vAlign w:val="bottom"/>
            <w:shd w:val="clear" w:color="auto" w:fill="CCECF8"/>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CF8"/>
          </w:tcPr>
          <w:p>
            <w:pPr>
              <w:jc w:val="right"/>
              <w:spacing w:after="0"/>
              <w:rPr>
                <w:sz w:val="20"/>
                <w:szCs w:val="20"/>
                <w:color w:val="auto"/>
              </w:rPr>
            </w:pPr>
            <w:r>
              <w:rPr>
                <w:rFonts w:ascii="Arial" w:cs="Arial" w:eastAsia="Arial" w:hAnsi="Arial"/>
                <w:sz w:val="16"/>
                <w:szCs w:val="16"/>
                <w:color w:val="auto"/>
              </w:rPr>
              <w:t>495,000</w:t>
            </w:r>
          </w:p>
        </w:tc>
        <w:tc>
          <w:tcPr>
            <w:tcW w:w="540" w:type="dxa"/>
            <w:vAlign w:val="bottom"/>
            <w:gridSpan w:val="2"/>
            <w:shd w:val="clear" w:color="auto" w:fill="CCECF8"/>
          </w:tcPr>
          <w:p>
            <w:pPr>
              <w:ind w:left="46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CF8"/>
          </w:tcPr>
          <w:p>
            <w:pPr>
              <w:jc w:val="right"/>
              <w:ind w:right="440"/>
              <w:spacing w:after="0"/>
              <w:rPr>
                <w:sz w:val="20"/>
                <w:szCs w:val="20"/>
                <w:color w:val="auto"/>
              </w:rPr>
            </w:pPr>
            <w:r>
              <w:rPr>
                <w:rFonts w:ascii="Arial" w:cs="Arial" w:eastAsia="Arial" w:hAnsi="Arial"/>
                <w:sz w:val="16"/>
                <w:szCs w:val="16"/>
                <w:color w:val="auto"/>
              </w:rPr>
              <w:t>495,000</w:t>
            </w:r>
          </w:p>
        </w:tc>
        <w:tc>
          <w:tcPr>
            <w:tcW w:w="140" w:type="dxa"/>
            <w:vAlign w:val="bottom"/>
            <w:shd w:val="clear" w:color="auto" w:fill="CCECF8"/>
          </w:tcPr>
          <w:p>
            <w:pPr>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CF8"/>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CF8"/>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CF8"/>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3500" w:type="dxa"/>
            <w:vAlign w:val="bottom"/>
          </w:tcPr>
          <w:p>
            <w:pPr>
              <w:ind w:left="160"/>
              <w:spacing w:after="0"/>
              <w:rPr>
                <w:sz w:val="20"/>
                <w:szCs w:val="20"/>
                <w:color w:val="auto"/>
              </w:rPr>
            </w:pPr>
            <w:r>
              <w:rPr>
                <w:rFonts w:ascii="Arial" w:cs="Arial" w:eastAsia="Arial" w:hAnsi="Arial"/>
                <w:sz w:val="16"/>
                <w:szCs w:val="16"/>
                <w:color w:val="auto"/>
              </w:rPr>
              <w:t>Health Benefits (1)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10,259</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10,259</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3500" w:type="dxa"/>
            <w:vAlign w:val="bottom"/>
            <w:shd w:val="clear" w:color="auto" w:fill="CCECF8"/>
          </w:tcPr>
          <w:p>
            <w:pPr>
              <w:ind w:left="160"/>
              <w:spacing w:after="0"/>
              <w:rPr>
                <w:sz w:val="20"/>
                <w:szCs w:val="20"/>
                <w:color w:val="auto"/>
              </w:rPr>
            </w:pPr>
            <w:r>
              <w:rPr>
                <w:rFonts w:ascii="Arial" w:cs="Arial" w:eastAsia="Arial" w:hAnsi="Arial"/>
                <w:sz w:val="16"/>
                <w:szCs w:val="16"/>
                <w:color w:val="auto"/>
              </w:rPr>
              <w:t>Value of Accelerated RSUs</w:t>
            </w:r>
          </w:p>
        </w:tc>
        <w:tc>
          <w:tcPr>
            <w:tcW w:w="120" w:type="dxa"/>
            <w:vAlign w:val="bottom"/>
            <w:shd w:val="clear" w:color="auto" w:fill="CCECF8"/>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CF8"/>
          </w:tcPr>
          <w:p>
            <w:pPr>
              <w:jc w:val="right"/>
              <w:ind w:right="460"/>
              <w:spacing w:after="0"/>
              <w:rPr>
                <w:sz w:val="20"/>
                <w:szCs w:val="20"/>
                <w:color w:val="auto"/>
              </w:rPr>
            </w:pPr>
            <w:r>
              <w:rPr>
                <w:rFonts w:ascii="Arial" w:cs="Arial" w:eastAsia="Arial" w:hAnsi="Arial"/>
                <w:sz w:val="16"/>
                <w:szCs w:val="16"/>
                <w:color w:val="auto"/>
              </w:rPr>
              <w:t>2,195,685</w:t>
            </w:r>
          </w:p>
        </w:tc>
        <w:tc>
          <w:tcPr>
            <w:tcW w:w="80" w:type="dxa"/>
            <w:vAlign w:val="bottom"/>
            <w:shd w:val="clear" w:color="auto" w:fill="CCECF8"/>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CF8"/>
          </w:tcPr>
          <w:p>
            <w:pPr>
              <w:ind w:left="46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CF8"/>
          </w:tcPr>
          <w:p>
            <w:pPr>
              <w:jc w:val="right"/>
              <w:ind w:righ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8"/>
          </w:tcPr>
          <w:p>
            <w:pPr>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CF8"/>
          </w:tcPr>
          <w:p>
            <w:pPr>
              <w:jc w:val="right"/>
              <w:ind w:right="440"/>
              <w:spacing w:after="0"/>
              <w:rPr>
                <w:sz w:val="20"/>
                <w:szCs w:val="20"/>
                <w:color w:val="auto"/>
              </w:rPr>
            </w:pPr>
            <w:r>
              <w:rPr>
                <w:rFonts w:ascii="Arial" w:cs="Arial" w:eastAsia="Arial" w:hAnsi="Arial"/>
                <w:sz w:val="16"/>
                <w:szCs w:val="16"/>
                <w:color w:val="auto"/>
              </w:rPr>
              <w:t>2,195,685</w:t>
            </w:r>
          </w:p>
        </w:tc>
        <w:tc>
          <w:tcPr>
            <w:tcW w:w="280" w:type="dxa"/>
            <w:vAlign w:val="bottom"/>
            <w:shd w:val="clear" w:color="auto" w:fill="CCECF8"/>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CF8"/>
          </w:tcPr>
          <w:p>
            <w:pPr>
              <w:jc w:val="right"/>
              <w:ind w:right="81"/>
              <w:spacing w:after="0"/>
              <w:rPr>
                <w:sz w:val="20"/>
                <w:szCs w:val="20"/>
                <w:color w:val="auto"/>
              </w:rPr>
            </w:pPr>
            <w:r>
              <w:rPr>
                <w:rFonts w:ascii="Arial" w:cs="Arial" w:eastAsia="Arial" w:hAnsi="Arial"/>
                <w:sz w:val="16"/>
                <w:szCs w:val="16"/>
                <w:color w:val="auto"/>
              </w:rPr>
              <w:t>2,195,685</w:t>
            </w:r>
          </w:p>
        </w:tc>
        <w:tc>
          <w:tcPr>
            <w:tcW w:w="40" w:type="dxa"/>
            <w:vAlign w:val="bottom"/>
            <w:shd w:val="clear" w:color="auto" w:fill="CCECF8"/>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00" w:type="dxa"/>
            <w:vAlign w:val="bottom"/>
          </w:tcPr>
          <w:p>
            <w:pPr>
              <w:ind w:left="160"/>
              <w:spacing w:after="0"/>
              <w:rPr>
                <w:sz w:val="20"/>
                <w:szCs w:val="20"/>
                <w:color w:val="auto"/>
              </w:rPr>
            </w:pPr>
            <w:r>
              <w:rPr>
                <w:rFonts w:ascii="Arial" w:cs="Arial" w:eastAsia="Arial" w:hAnsi="Arial"/>
                <w:sz w:val="16"/>
                <w:szCs w:val="16"/>
                <w:color w:val="auto"/>
              </w:rPr>
              <w:t>Value of Accelerated Options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60"/>
              <w:spacing w:after="0"/>
              <w:rPr>
                <w:sz w:val="20"/>
                <w:szCs w:val="20"/>
                <w:color w:val="auto"/>
              </w:rPr>
            </w:pPr>
            <w:r>
              <w:rPr>
                <w:rFonts w:ascii="Arial" w:cs="Arial" w:eastAsia="Arial" w:hAnsi="Arial"/>
                <w:sz w:val="16"/>
                <w:szCs w:val="16"/>
                <w:color w:val="auto"/>
              </w:rPr>
              <w:t>21,048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440"/>
              <w:spacing w:after="0"/>
              <w:rPr>
                <w:sz w:val="20"/>
                <w:szCs w:val="20"/>
                <w:color w:val="auto"/>
              </w:rPr>
            </w:pPr>
            <w:r>
              <w:rPr>
                <w:rFonts w:ascii="Arial" w:cs="Arial" w:eastAsia="Arial" w:hAnsi="Arial"/>
                <w:sz w:val="16"/>
                <w:szCs w:val="16"/>
                <w:color w:val="auto"/>
              </w:rPr>
              <w:t>21,048</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21,048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00" w:type="dxa"/>
            <w:vAlign w:val="bottom"/>
            <w:shd w:val="clear" w:color="auto" w:fill="CCECF8"/>
          </w:tcPr>
          <w:p>
            <w:pPr>
              <w:ind w:left="160"/>
              <w:spacing w:after="0"/>
              <w:rPr>
                <w:sz w:val="20"/>
                <w:szCs w:val="20"/>
                <w:color w:val="auto"/>
              </w:rPr>
            </w:pPr>
            <w:r>
              <w:rPr>
                <w:rFonts w:ascii="Arial" w:cs="Arial" w:eastAsia="Arial" w:hAnsi="Arial"/>
                <w:sz w:val="16"/>
                <w:szCs w:val="16"/>
                <w:color w:val="auto"/>
              </w:rPr>
              <w:t>Value of Accelerated PSUs(2)</w:t>
            </w:r>
          </w:p>
        </w:tc>
        <w:tc>
          <w:tcPr>
            <w:tcW w:w="120" w:type="dxa"/>
            <w:vAlign w:val="bottom"/>
            <w:shd w:val="clear" w:color="auto" w:fill="CCECF8"/>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CF8"/>
          </w:tcPr>
          <w:p>
            <w:pPr>
              <w:jc w:val="right"/>
              <w:ind w:right="460"/>
              <w:spacing w:after="0"/>
              <w:rPr>
                <w:sz w:val="20"/>
                <w:szCs w:val="20"/>
                <w:color w:val="auto"/>
              </w:rPr>
            </w:pPr>
            <w:r>
              <w:rPr>
                <w:rFonts w:ascii="Arial" w:cs="Arial" w:eastAsia="Arial" w:hAnsi="Arial"/>
                <w:sz w:val="16"/>
                <w:szCs w:val="16"/>
                <w:color w:val="auto"/>
              </w:rPr>
              <w:t>981,372</w:t>
            </w:r>
          </w:p>
        </w:tc>
        <w:tc>
          <w:tcPr>
            <w:tcW w:w="80" w:type="dxa"/>
            <w:vAlign w:val="bottom"/>
            <w:shd w:val="clear" w:color="auto" w:fill="CCECF8"/>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CF8"/>
          </w:tcPr>
          <w:p>
            <w:pPr>
              <w:ind w:left="46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CF8"/>
          </w:tcPr>
          <w:p>
            <w:pPr>
              <w:jc w:val="right"/>
              <w:ind w:righ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8"/>
          </w:tcPr>
          <w:p>
            <w:pPr>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CF8"/>
          </w:tcPr>
          <w:p>
            <w:pPr>
              <w:jc w:val="right"/>
              <w:ind w:right="440"/>
              <w:spacing w:after="0"/>
              <w:rPr>
                <w:sz w:val="20"/>
                <w:szCs w:val="20"/>
                <w:color w:val="auto"/>
              </w:rPr>
            </w:pPr>
            <w:r>
              <w:rPr>
                <w:rFonts w:ascii="Arial" w:cs="Arial" w:eastAsia="Arial" w:hAnsi="Arial"/>
                <w:sz w:val="16"/>
                <w:szCs w:val="16"/>
                <w:color w:val="auto"/>
              </w:rPr>
              <w:t>749,982</w:t>
            </w:r>
          </w:p>
        </w:tc>
        <w:tc>
          <w:tcPr>
            <w:tcW w:w="280" w:type="dxa"/>
            <w:vAlign w:val="bottom"/>
            <w:shd w:val="clear" w:color="auto" w:fill="CCECF8"/>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CF8"/>
          </w:tcPr>
          <w:p>
            <w:pPr>
              <w:jc w:val="right"/>
              <w:ind w:right="81"/>
              <w:spacing w:after="0"/>
              <w:rPr>
                <w:sz w:val="20"/>
                <w:szCs w:val="20"/>
                <w:color w:val="auto"/>
              </w:rPr>
            </w:pPr>
            <w:r>
              <w:rPr>
                <w:rFonts w:ascii="Arial" w:cs="Arial" w:eastAsia="Arial" w:hAnsi="Arial"/>
                <w:sz w:val="16"/>
                <w:szCs w:val="16"/>
                <w:color w:val="auto"/>
              </w:rPr>
              <w:t>749,982</w:t>
            </w:r>
          </w:p>
        </w:tc>
        <w:tc>
          <w:tcPr>
            <w:tcW w:w="40" w:type="dxa"/>
            <w:vAlign w:val="bottom"/>
            <w:shd w:val="clear" w:color="auto" w:fill="CCECF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ind w:left="32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00" w:type="dxa"/>
            <w:vAlign w:val="bottom"/>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60"/>
              <w:spacing w:after="0"/>
              <w:rPr>
                <w:sz w:val="20"/>
                <w:szCs w:val="20"/>
                <w:color w:val="auto"/>
              </w:rPr>
            </w:pPr>
            <w:r>
              <w:rPr>
                <w:rFonts w:ascii="Arial" w:cs="Arial" w:eastAsia="Arial" w:hAnsi="Arial"/>
                <w:sz w:val="16"/>
                <w:szCs w:val="16"/>
                <w:color w:val="auto"/>
              </w:rPr>
              <w:t>3,693,105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505,259</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505,259</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440"/>
              <w:spacing w:after="0"/>
              <w:rPr>
                <w:sz w:val="20"/>
                <w:szCs w:val="20"/>
                <w:color w:val="auto"/>
              </w:rPr>
            </w:pPr>
            <w:r>
              <w:rPr>
                <w:rFonts w:ascii="Arial" w:cs="Arial" w:eastAsia="Arial" w:hAnsi="Arial"/>
                <w:sz w:val="16"/>
                <w:szCs w:val="16"/>
                <w:color w:val="auto"/>
              </w:rPr>
              <w:t>2,966,715</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2,966,715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00" w:type="dxa"/>
            <w:vAlign w:val="bottom"/>
          </w:tcPr>
          <w:p>
            <w:pPr>
              <w:spacing w:after="0"/>
              <w:rPr>
                <w:sz w:val="20"/>
                <w:szCs w:val="20"/>
                <w:color w:val="auto"/>
              </w:rPr>
            </w:pPr>
            <w:r>
              <w:rPr>
                <w:rFonts w:ascii="Arial" w:cs="Arial" w:eastAsia="Arial" w:hAnsi="Arial"/>
                <w:sz w:val="16"/>
                <w:szCs w:val="16"/>
                <w:b w:val="1"/>
                <w:bCs w:val="1"/>
                <w:color w:val="auto"/>
              </w:rPr>
              <w:t>Kimberly K. Nelson</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00" w:type="dxa"/>
            <w:vAlign w:val="bottom"/>
            <w:shd w:val="clear" w:color="auto" w:fill="CCECF8"/>
          </w:tcPr>
          <w:p>
            <w:pPr>
              <w:ind w:left="160"/>
              <w:spacing w:after="0"/>
              <w:rPr>
                <w:sz w:val="20"/>
                <w:szCs w:val="20"/>
                <w:color w:val="auto"/>
              </w:rPr>
            </w:pPr>
            <w:r>
              <w:rPr>
                <w:rFonts w:ascii="Arial" w:cs="Arial" w:eastAsia="Arial" w:hAnsi="Arial"/>
                <w:sz w:val="16"/>
                <w:szCs w:val="16"/>
                <w:color w:val="auto"/>
              </w:rPr>
              <w:t>Salary/Bonus</w:t>
            </w:r>
          </w:p>
        </w:tc>
        <w:tc>
          <w:tcPr>
            <w:tcW w:w="120" w:type="dxa"/>
            <w:vAlign w:val="bottom"/>
            <w:shd w:val="clear" w:color="auto" w:fill="CCECF8"/>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CF8"/>
          </w:tcPr>
          <w:p>
            <w:pPr>
              <w:jc w:val="right"/>
              <w:ind w:right="4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CF8"/>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CF8"/>
          </w:tcPr>
          <w:p>
            <w:pPr>
              <w:jc w:val="right"/>
              <w:spacing w:after="0"/>
              <w:rPr>
                <w:sz w:val="20"/>
                <w:szCs w:val="20"/>
                <w:color w:val="auto"/>
              </w:rPr>
            </w:pPr>
            <w:r>
              <w:rPr>
                <w:rFonts w:ascii="Arial" w:cs="Arial" w:eastAsia="Arial" w:hAnsi="Arial"/>
                <w:sz w:val="16"/>
                <w:szCs w:val="16"/>
                <w:color w:val="auto"/>
              </w:rPr>
              <w:t>605,000</w:t>
            </w:r>
          </w:p>
        </w:tc>
        <w:tc>
          <w:tcPr>
            <w:tcW w:w="540" w:type="dxa"/>
            <w:vAlign w:val="bottom"/>
            <w:gridSpan w:val="2"/>
            <w:shd w:val="clear" w:color="auto" w:fill="CCECF8"/>
          </w:tcPr>
          <w:p>
            <w:pPr>
              <w:ind w:left="46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CF8"/>
          </w:tcPr>
          <w:p>
            <w:pPr>
              <w:jc w:val="right"/>
              <w:ind w:right="440"/>
              <w:spacing w:after="0"/>
              <w:rPr>
                <w:sz w:val="20"/>
                <w:szCs w:val="20"/>
                <w:color w:val="auto"/>
              </w:rPr>
            </w:pPr>
            <w:r>
              <w:rPr>
                <w:rFonts w:ascii="Arial" w:cs="Arial" w:eastAsia="Arial" w:hAnsi="Arial"/>
                <w:sz w:val="16"/>
                <w:szCs w:val="16"/>
                <w:color w:val="auto"/>
              </w:rPr>
              <w:t>302,500</w:t>
            </w:r>
          </w:p>
        </w:tc>
        <w:tc>
          <w:tcPr>
            <w:tcW w:w="140" w:type="dxa"/>
            <w:vAlign w:val="bottom"/>
            <w:shd w:val="clear" w:color="auto" w:fill="CCECF8"/>
          </w:tcPr>
          <w:p>
            <w:pPr>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CF8"/>
          </w:tcPr>
          <w:p>
            <w:pPr>
              <w:jc w:val="right"/>
              <w:ind w:right="440"/>
              <w:spacing w:after="0"/>
              <w:rPr>
                <w:sz w:val="20"/>
                <w:szCs w:val="20"/>
                <w:color w:val="auto"/>
              </w:rPr>
            </w:pPr>
            <w:r>
              <w:rPr>
                <w:rFonts w:ascii="Arial" w:cs="Arial" w:eastAsia="Arial" w:hAnsi="Arial"/>
                <w:sz w:val="16"/>
                <w:szCs w:val="16"/>
                <w:color w:val="auto"/>
              </w:rPr>
              <w:t>605,000</w:t>
            </w:r>
          </w:p>
        </w:tc>
        <w:tc>
          <w:tcPr>
            <w:tcW w:w="280" w:type="dxa"/>
            <w:vAlign w:val="bottom"/>
            <w:shd w:val="clear" w:color="auto" w:fill="CCECF8"/>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CF8"/>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3500" w:type="dxa"/>
            <w:vAlign w:val="bottom"/>
          </w:tcPr>
          <w:p>
            <w:pPr>
              <w:ind w:left="160"/>
              <w:spacing w:after="0"/>
              <w:rPr>
                <w:sz w:val="20"/>
                <w:szCs w:val="20"/>
                <w:color w:val="auto"/>
              </w:rPr>
            </w:pPr>
            <w:r>
              <w:rPr>
                <w:rFonts w:ascii="Arial" w:cs="Arial" w:eastAsia="Arial" w:hAnsi="Arial"/>
                <w:sz w:val="16"/>
                <w:szCs w:val="16"/>
                <w:color w:val="auto"/>
              </w:rPr>
              <w:t>Health Benefits (1)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8,150</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4,075</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440"/>
              <w:spacing w:after="0"/>
              <w:rPr>
                <w:sz w:val="20"/>
                <w:szCs w:val="20"/>
                <w:color w:val="auto"/>
              </w:rPr>
            </w:pPr>
            <w:r>
              <w:rPr>
                <w:rFonts w:ascii="Arial" w:cs="Arial" w:eastAsia="Arial" w:hAnsi="Arial"/>
                <w:sz w:val="16"/>
                <w:szCs w:val="16"/>
                <w:color w:val="auto"/>
              </w:rPr>
              <w:t>8,150</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3500" w:type="dxa"/>
            <w:vAlign w:val="bottom"/>
            <w:shd w:val="clear" w:color="auto" w:fill="CCECF8"/>
          </w:tcPr>
          <w:p>
            <w:pPr>
              <w:ind w:left="160"/>
              <w:spacing w:after="0"/>
              <w:rPr>
                <w:sz w:val="20"/>
                <w:szCs w:val="20"/>
                <w:color w:val="auto"/>
              </w:rPr>
            </w:pPr>
            <w:r>
              <w:rPr>
                <w:rFonts w:ascii="Arial" w:cs="Arial" w:eastAsia="Arial" w:hAnsi="Arial"/>
                <w:sz w:val="16"/>
                <w:szCs w:val="16"/>
                <w:color w:val="auto"/>
              </w:rPr>
              <w:t>Value of Accelerated RSUs</w:t>
            </w:r>
          </w:p>
        </w:tc>
        <w:tc>
          <w:tcPr>
            <w:tcW w:w="120" w:type="dxa"/>
            <w:vAlign w:val="bottom"/>
            <w:shd w:val="clear" w:color="auto" w:fill="CCECF8"/>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CF8"/>
          </w:tcPr>
          <w:p>
            <w:pPr>
              <w:jc w:val="right"/>
              <w:ind w:right="4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CF8"/>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CF8"/>
          </w:tcPr>
          <w:p>
            <w:pPr>
              <w:ind w:left="46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CF8"/>
          </w:tcPr>
          <w:p>
            <w:pPr>
              <w:jc w:val="right"/>
              <w:ind w:righ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8"/>
          </w:tcPr>
          <w:p>
            <w:pPr>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CF8"/>
          </w:tcPr>
          <w:p>
            <w:pPr>
              <w:jc w:val="right"/>
              <w:ind w:right="440"/>
              <w:spacing w:after="0"/>
              <w:rPr>
                <w:sz w:val="20"/>
                <w:szCs w:val="20"/>
                <w:color w:val="auto"/>
              </w:rPr>
            </w:pPr>
            <w:r>
              <w:rPr>
                <w:rFonts w:ascii="Arial" w:cs="Arial" w:eastAsia="Arial" w:hAnsi="Arial"/>
                <w:sz w:val="16"/>
                <w:szCs w:val="16"/>
                <w:color w:val="auto"/>
              </w:rPr>
              <w:t>938,321</w:t>
            </w:r>
          </w:p>
        </w:tc>
        <w:tc>
          <w:tcPr>
            <w:tcW w:w="280" w:type="dxa"/>
            <w:vAlign w:val="bottom"/>
            <w:shd w:val="clear" w:color="auto" w:fill="CCECF8"/>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CF8"/>
          </w:tcPr>
          <w:p>
            <w:pPr>
              <w:jc w:val="right"/>
              <w:ind w:right="81"/>
              <w:spacing w:after="0"/>
              <w:rPr>
                <w:sz w:val="20"/>
                <w:szCs w:val="20"/>
                <w:color w:val="auto"/>
              </w:rPr>
            </w:pPr>
            <w:r>
              <w:rPr>
                <w:rFonts w:ascii="Arial" w:cs="Arial" w:eastAsia="Arial" w:hAnsi="Arial"/>
                <w:sz w:val="16"/>
                <w:szCs w:val="16"/>
                <w:color w:val="auto"/>
              </w:rPr>
              <w:t>938,321</w:t>
            </w:r>
          </w:p>
        </w:tc>
        <w:tc>
          <w:tcPr>
            <w:tcW w:w="40" w:type="dxa"/>
            <w:vAlign w:val="bottom"/>
            <w:shd w:val="clear" w:color="auto" w:fill="CCECF8"/>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00" w:type="dxa"/>
            <w:vAlign w:val="bottom"/>
          </w:tcPr>
          <w:p>
            <w:pPr>
              <w:ind w:left="160"/>
              <w:spacing w:after="0"/>
              <w:rPr>
                <w:sz w:val="20"/>
                <w:szCs w:val="20"/>
                <w:color w:val="auto"/>
              </w:rPr>
            </w:pPr>
            <w:r>
              <w:rPr>
                <w:rFonts w:ascii="Arial" w:cs="Arial" w:eastAsia="Arial" w:hAnsi="Arial"/>
                <w:sz w:val="16"/>
                <w:szCs w:val="16"/>
                <w:color w:val="auto"/>
              </w:rPr>
              <w:t>Value of Accelerated Options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440"/>
              <w:spacing w:after="0"/>
              <w:rPr>
                <w:sz w:val="20"/>
                <w:szCs w:val="20"/>
                <w:color w:val="auto"/>
              </w:rPr>
            </w:pPr>
            <w:r>
              <w:rPr>
                <w:rFonts w:ascii="Arial" w:cs="Arial" w:eastAsia="Arial" w:hAnsi="Arial"/>
                <w:sz w:val="16"/>
                <w:szCs w:val="16"/>
                <w:color w:val="auto"/>
              </w:rPr>
              <w:t>9,450</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9,450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00" w:type="dxa"/>
            <w:vAlign w:val="bottom"/>
            <w:shd w:val="clear" w:color="auto" w:fill="CCECF8"/>
          </w:tcPr>
          <w:p>
            <w:pPr>
              <w:ind w:left="160"/>
              <w:spacing w:after="0"/>
              <w:rPr>
                <w:sz w:val="20"/>
                <w:szCs w:val="20"/>
                <w:color w:val="auto"/>
              </w:rPr>
            </w:pPr>
            <w:r>
              <w:rPr>
                <w:rFonts w:ascii="Arial" w:cs="Arial" w:eastAsia="Arial" w:hAnsi="Arial"/>
                <w:sz w:val="16"/>
                <w:szCs w:val="16"/>
                <w:color w:val="auto"/>
              </w:rPr>
              <w:t>Value of Accelerated PSUs</w:t>
            </w:r>
          </w:p>
        </w:tc>
        <w:tc>
          <w:tcPr>
            <w:tcW w:w="120" w:type="dxa"/>
            <w:vAlign w:val="bottom"/>
            <w:shd w:val="clear" w:color="auto" w:fill="CCECF8"/>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CF8"/>
          </w:tcPr>
          <w:p>
            <w:pPr>
              <w:jc w:val="right"/>
              <w:ind w:right="4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CF8"/>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CF8"/>
          </w:tcPr>
          <w:p>
            <w:pPr>
              <w:ind w:left="46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CF8"/>
          </w:tcPr>
          <w:p>
            <w:pPr>
              <w:jc w:val="right"/>
              <w:ind w:righ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8"/>
          </w:tcPr>
          <w:p>
            <w:pPr>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CF8"/>
          </w:tcPr>
          <w:p>
            <w:pPr>
              <w:jc w:val="right"/>
              <w:ind w:right="440"/>
              <w:spacing w:after="0"/>
              <w:rPr>
                <w:sz w:val="20"/>
                <w:szCs w:val="20"/>
                <w:color w:val="auto"/>
              </w:rPr>
            </w:pPr>
            <w:r>
              <w:rPr>
                <w:rFonts w:ascii="Arial" w:cs="Arial" w:eastAsia="Arial" w:hAnsi="Arial"/>
                <w:sz w:val="16"/>
                <w:szCs w:val="16"/>
                <w:color w:val="auto"/>
              </w:rPr>
              <w:t>306,239</w:t>
            </w:r>
          </w:p>
        </w:tc>
        <w:tc>
          <w:tcPr>
            <w:tcW w:w="280" w:type="dxa"/>
            <w:vAlign w:val="bottom"/>
            <w:shd w:val="clear" w:color="auto" w:fill="CCECF8"/>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CF8"/>
          </w:tcPr>
          <w:p>
            <w:pPr>
              <w:jc w:val="right"/>
              <w:ind w:right="81"/>
              <w:spacing w:after="0"/>
              <w:rPr>
                <w:sz w:val="20"/>
                <w:szCs w:val="20"/>
                <w:color w:val="auto"/>
              </w:rPr>
            </w:pPr>
            <w:r>
              <w:rPr>
                <w:rFonts w:ascii="Arial" w:cs="Arial" w:eastAsia="Arial" w:hAnsi="Arial"/>
                <w:sz w:val="16"/>
                <w:szCs w:val="16"/>
                <w:color w:val="auto"/>
              </w:rPr>
              <w:t>306,239</w:t>
            </w:r>
          </w:p>
        </w:tc>
        <w:tc>
          <w:tcPr>
            <w:tcW w:w="40" w:type="dxa"/>
            <w:vAlign w:val="bottom"/>
            <w:shd w:val="clear" w:color="auto" w:fill="CCECF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ind w:left="32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00" w:type="dxa"/>
            <w:vAlign w:val="bottom"/>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613,150</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306,575</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440"/>
              <w:spacing w:after="0"/>
              <w:rPr>
                <w:sz w:val="20"/>
                <w:szCs w:val="20"/>
                <w:color w:val="auto"/>
              </w:rPr>
            </w:pPr>
            <w:r>
              <w:rPr>
                <w:rFonts w:ascii="Arial" w:cs="Arial" w:eastAsia="Arial" w:hAnsi="Arial"/>
                <w:sz w:val="16"/>
                <w:szCs w:val="16"/>
                <w:color w:val="auto"/>
              </w:rPr>
              <w:t>1,867,160</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1,254,010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500" w:type="dxa"/>
            <w:vAlign w:val="bottom"/>
          </w:tcPr>
          <w:p>
            <w:pPr>
              <w:spacing w:after="0"/>
              <w:rPr>
                <w:sz w:val="20"/>
                <w:szCs w:val="20"/>
                <w:color w:val="auto"/>
              </w:rPr>
            </w:pPr>
            <w:r>
              <w:rPr>
                <w:rFonts w:ascii="Arial" w:cs="Arial" w:eastAsia="Arial" w:hAnsi="Arial"/>
                <w:sz w:val="16"/>
                <w:szCs w:val="16"/>
                <w:b w:val="1"/>
                <w:bCs w:val="1"/>
                <w:color w:val="auto"/>
              </w:rPr>
              <w:t>James J. Frome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00" w:type="dxa"/>
            <w:vAlign w:val="bottom"/>
            <w:shd w:val="clear" w:color="auto" w:fill="CCECF8"/>
          </w:tcPr>
          <w:p>
            <w:pPr>
              <w:ind w:left="160"/>
              <w:spacing w:after="0"/>
              <w:rPr>
                <w:sz w:val="20"/>
                <w:szCs w:val="20"/>
                <w:color w:val="auto"/>
              </w:rPr>
            </w:pPr>
            <w:r>
              <w:rPr>
                <w:rFonts w:ascii="Arial" w:cs="Arial" w:eastAsia="Arial" w:hAnsi="Arial"/>
                <w:sz w:val="16"/>
                <w:szCs w:val="16"/>
                <w:color w:val="auto"/>
              </w:rPr>
              <w:t>Salary/Bonus</w:t>
            </w:r>
          </w:p>
        </w:tc>
        <w:tc>
          <w:tcPr>
            <w:tcW w:w="120" w:type="dxa"/>
            <w:vAlign w:val="bottom"/>
            <w:shd w:val="clear" w:color="auto" w:fill="CCECF8"/>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CF8"/>
          </w:tcPr>
          <w:p>
            <w:pPr>
              <w:jc w:val="right"/>
              <w:ind w:right="4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CF8"/>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CF8"/>
          </w:tcPr>
          <w:p>
            <w:pPr>
              <w:jc w:val="right"/>
              <w:spacing w:after="0"/>
              <w:rPr>
                <w:sz w:val="20"/>
                <w:szCs w:val="20"/>
                <w:color w:val="auto"/>
              </w:rPr>
            </w:pPr>
            <w:r>
              <w:rPr>
                <w:rFonts w:ascii="Arial" w:cs="Arial" w:eastAsia="Arial" w:hAnsi="Arial"/>
                <w:sz w:val="16"/>
                <w:szCs w:val="16"/>
                <w:color w:val="auto"/>
              </w:rPr>
              <w:t>630,000</w:t>
            </w:r>
          </w:p>
        </w:tc>
        <w:tc>
          <w:tcPr>
            <w:tcW w:w="540" w:type="dxa"/>
            <w:vAlign w:val="bottom"/>
            <w:gridSpan w:val="2"/>
            <w:shd w:val="clear" w:color="auto" w:fill="CCECF8"/>
          </w:tcPr>
          <w:p>
            <w:pPr>
              <w:ind w:left="46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CF8"/>
          </w:tcPr>
          <w:p>
            <w:pPr>
              <w:jc w:val="right"/>
              <w:ind w:right="440"/>
              <w:spacing w:after="0"/>
              <w:rPr>
                <w:sz w:val="20"/>
                <w:szCs w:val="20"/>
                <w:color w:val="auto"/>
              </w:rPr>
            </w:pPr>
            <w:r>
              <w:rPr>
                <w:rFonts w:ascii="Arial" w:cs="Arial" w:eastAsia="Arial" w:hAnsi="Arial"/>
                <w:sz w:val="16"/>
                <w:szCs w:val="16"/>
                <w:color w:val="auto"/>
              </w:rPr>
              <w:t>315,000</w:t>
            </w:r>
          </w:p>
        </w:tc>
        <w:tc>
          <w:tcPr>
            <w:tcW w:w="140" w:type="dxa"/>
            <w:vAlign w:val="bottom"/>
            <w:shd w:val="clear" w:color="auto" w:fill="CCECF8"/>
          </w:tcPr>
          <w:p>
            <w:pPr>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CF8"/>
          </w:tcPr>
          <w:p>
            <w:pPr>
              <w:jc w:val="right"/>
              <w:ind w:right="440"/>
              <w:spacing w:after="0"/>
              <w:rPr>
                <w:sz w:val="20"/>
                <w:szCs w:val="20"/>
                <w:color w:val="auto"/>
              </w:rPr>
            </w:pPr>
            <w:r>
              <w:rPr>
                <w:rFonts w:ascii="Arial" w:cs="Arial" w:eastAsia="Arial" w:hAnsi="Arial"/>
                <w:sz w:val="16"/>
                <w:szCs w:val="16"/>
                <w:color w:val="auto"/>
              </w:rPr>
              <w:t>630,000</w:t>
            </w:r>
          </w:p>
        </w:tc>
        <w:tc>
          <w:tcPr>
            <w:tcW w:w="280" w:type="dxa"/>
            <w:vAlign w:val="bottom"/>
            <w:shd w:val="clear" w:color="auto" w:fill="CCECF8"/>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CF8"/>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3500" w:type="dxa"/>
            <w:vAlign w:val="bottom"/>
          </w:tcPr>
          <w:p>
            <w:pPr>
              <w:ind w:left="160"/>
              <w:spacing w:after="0"/>
              <w:rPr>
                <w:sz w:val="20"/>
                <w:szCs w:val="20"/>
                <w:color w:val="auto"/>
              </w:rPr>
            </w:pPr>
            <w:r>
              <w:rPr>
                <w:rFonts w:ascii="Arial" w:cs="Arial" w:eastAsia="Arial" w:hAnsi="Arial"/>
                <w:sz w:val="16"/>
                <w:szCs w:val="16"/>
                <w:color w:val="auto"/>
              </w:rPr>
              <w:t>Health Benefits (1)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10,259</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5,130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440"/>
              <w:spacing w:after="0"/>
              <w:rPr>
                <w:sz w:val="20"/>
                <w:szCs w:val="20"/>
                <w:color w:val="auto"/>
              </w:rPr>
            </w:pPr>
            <w:r>
              <w:rPr>
                <w:rFonts w:ascii="Arial" w:cs="Arial" w:eastAsia="Arial" w:hAnsi="Arial"/>
                <w:sz w:val="16"/>
                <w:szCs w:val="16"/>
                <w:color w:val="auto"/>
              </w:rPr>
              <w:t>10,259</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3500" w:type="dxa"/>
            <w:vAlign w:val="bottom"/>
            <w:shd w:val="clear" w:color="auto" w:fill="CCECF8"/>
          </w:tcPr>
          <w:p>
            <w:pPr>
              <w:ind w:left="160"/>
              <w:spacing w:after="0"/>
              <w:rPr>
                <w:sz w:val="20"/>
                <w:szCs w:val="20"/>
                <w:color w:val="auto"/>
              </w:rPr>
            </w:pPr>
            <w:r>
              <w:rPr>
                <w:rFonts w:ascii="Arial" w:cs="Arial" w:eastAsia="Arial" w:hAnsi="Arial"/>
                <w:sz w:val="16"/>
                <w:szCs w:val="16"/>
                <w:color w:val="auto"/>
              </w:rPr>
              <w:t>Value of Accelerated RSUs</w:t>
            </w:r>
          </w:p>
        </w:tc>
        <w:tc>
          <w:tcPr>
            <w:tcW w:w="120" w:type="dxa"/>
            <w:vAlign w:val="bottom"/>
            <w:shd w:val="clear" w:color="auto" w:fill="CCECF8"/>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CF8"/>
          </w:tcPr>
          <w:p>
            <w:pPr>
              <w:jc w:val="right"/>
              <w:ind w:right="4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CF8"/>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CF8"/>
          </w:tcPr>
          <w:p>
            <w:pPr>
              <w:ind w:left="46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CF8"/>
          </w:tcPr>
          <w:p>
            <w:pPr>
              <w:jc w:val="right"/>
              <w:ind w:righ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8"/>
          </w:tcPr>
          <w:p>
            <w:pPr>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CF8"/>
          </w:tcPr>
          <w:p>
            <w:pPr>
              <w:jc w:val="right"/>
              <w:ind w:right="440"/>
              <w:spacing w:after="0"/>
              <w:rPr>
                <w:sz w:val="20"/>
                <w:szCs w:val="20"/>
                <w:color w:val="auto"/>
              </w:rPr>
            </w:pPr>
            <w:r>
              <w:rPr>
                <w:rFonts w:ascii="Arial" w:cs="Arial" w:eastAsia="Arial" w:hAnsi="Arial"/>
                <w:sz w:val="16"/>
                <w:szCs w:val="16"/>
                <w:color w:val="auto"/>
              </w:rPr>
              <w:t>949,011</w:t>
            </w:r>
          </w:p>
        </w:tc>
        <w:tc>
          <w:tcPr>
            <w:tcW w:w="280" w:type="dxa"/>
            <w:vAlign w:val="bottom"/>
            <w:shd w:val="clear" w:color="auto" w:fill="CCECF8"/>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CF8"/>
          </w:tcPr>
          <w:p>
            <w:pPr>
              <w:jc w:val="right"/>
              <w:ind w:right="81"/>
              <w:spacing w:after="0"/>
              <w:rPr>
                <w:sz w:val="20"/>
                <w:szCs w:val="20"/>
                <w:color w:val="auto"/>
              </w:rPr>
            </w:pPr>
            <w:r>
              <w:rPr>
                <w:rFonts w:ascii="Arial" w:cs="Arial" w:eastAsia="Arial" w:hAnsi="Arial"/>
                <w:sz w:val="16"/>
                <w:szCs w:val="16"/>
                <w:color w:val="auto"/>
              </w:rPr>
              <w:t>949,011</w:t>
            </w:r>
          </w:p>
        </w:tc>
        <w:tc>
          <w:tcPr>
            <w:tcW w:w="40" w:type="dxa"/>
            <w:vAlign w:val="bottom"/>
            <w:shd w:val="clear" w:color="auto" w:fill="CCECF8"/>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00" w:type="dxa"/>
            <w:vAlign w:val="bottom"/>
          </w:tcPr>
          <w:p>
            <w:pPr>
              <w:ind w:left="160"/>
              <w:spacing w:after="0"/>
              <w:rPr>
                <w:sz w:val="20"/>
                <w:szCs w:val="20"/>
                <w:color w:val="auto"/>
              </w:rPr>
            </w:pPr>
            <w:r>
              <w:rPr>
                <w:rFonts w:ascii="Arial" w:cs="Arial" w:eastAsia="Arial" w:hAnsi="Arial"/>
                <w:sz w:val="16"/>
                <w:szCs w:val="16"/>
                <w:color w:val="auto"/>
              </w:rPr>
              <w:t>Value of Accelerated Options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440"/>
              <w:spacing w:after="0"/>
              <w:rPr>
                <w:sz w:val="20"/>
                <w:szCs w:val="20"/>
                <w:color w:val="auto"/>
              </w:rPr>
            </w:pPr>
            <w:r>
              <w:rPr>
                <w:rFonts w:ascii="Arial" w:cs="Arial" w:eastAsia="Arial" w:hAnsi="Arial"/>
                <w:sz w:val="16"/>
                <w:szCs w:val="16"/>
                <w:color w:val="auto"/>
              </w:rPr>
              <w:t>9,450</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9,450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00" w:type="dxa"/>
            <w:vAlign w:val="bottom"/>
            <w:shd w:val="clear" w:color="auto" w:fill="CCECF8"/>
          </w:tcPr>
          <w:p>
            <w:pPr>
              <w:ind w:left="160"/>
              <w:spacing w:after="0"/>
              <w:rPr>
                <w:sz w:val="20"/>
                <w:szCs w:val="20"/>
                <w:color w:val="auto"/>
              </w:rPr>
            </w:pPr>
            <w:r>
              <w:rPr>
                <w:rFonts w:ascii="Arial" w:cs="Arial" w:eastAsia="Arial" w:hAnsi="Arial"/>
                <w:sz w:val="16"/>
                <w:szCs w:val="16"/>
                <w:color w:val="auto"/>
              </w:rPr>
              <w:t>Value of Accelerated PSUs</w:t>
            </w:r>
          </w:p>
        </w:tc>
        <w:tc>
          <w:tcPr>
            <w:tcW w:w="120" w:type="dxa"/>
            <w:vAlign w:val="bottom"/>
            <w:shd w:val="clear" w:color="auto" w:fill="CCECF8"/>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CF8"/>
          </w:tcPr>
          <w:p>
            <w:pPr>
              <w:jc w:val="right"/>
              <w:ind w:right="4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CF8"/>
          </w:tcPr>
          <w:p>
            <w:pPr>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CF8"/>
          </w:tcPr>
          <w:p>
            <w:pPr>
              <w:ind w:left="46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CF8"/>
          </w:tcPr>
          <w:p>
            <w:pPr>
              <w:jc w:val="right"/>
              <w:ind w:righ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CF8"/>
          </w:tcPr>
          <w:p>
            <w:pPr>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CF8"/>
          </w:tcPr>
          <w:p>
            <w:pPr>
              <w:jc w:val="right"/>
              <w:ind w:right="440"/>
              <w:spacing w:after="0"/>
              <w:rPr>
                <w:sz w:val="20"/>
                <w:szCs w:val="20"/>
                <w:color w:val="auto"/>
              </w:rPr>
            </w:pPr>
            <w:r>
              <w:rPr>
                <w:rFonts w:ascii="Arial" w:cs="Arial" w:eastAsia="Arial" w:hAnsi="Arial"/>
                <w:sz w:val="16"/>
                <w:szCs w:val="16"/>
                <w:color w:val="auto"/>
              </w:rPr>
              <w:t>311,233</w:t>
            </w:r>
          </w:p>
        </w:tc>
        <w:tc>
          <w:tcPr>
            <w:tcW w:w="280" w:type="dxa"/>
            <w:vAlign w:val="bottom"/>
            <w:shd w:val="clear" w:color="auto" w:fill="CCECF8"/>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CF8"/>
          </w:tcPr>
          <w:p>
            <w:pPr>
              <w:jc w:val="right"/>
              <w:ind w:right="81"/>
              <w:spacing w:after="0"/>
              <w:rPr>
                <w:sz w:val="20"/>
                <w:szCs w:val="20"/>
                <w:color w:val="auto"/>
              </w:rPr>
            </w:pPr>
            <w:r>
              <w:rPr>
                <w:rFonts w:ascii="Arial" w:cs="Arial" w:eastAsia="Arial" w:hAnsi="Arial"/>
                <w:sz w:val="16"/>
                <w:szCs w:val="16"/>
                <w:color w:val="auto"/>
              </w:rPr>
              <w:t>311,233</w:t>
            </w:r>
          </w:p>
        </w:tc>
        <w:tc>
          <w:tcPr>
            <w:tcW w:w="40" w:type="dxa"/>
            <w:vAlign w:val="bottom"/>
            <w:shd w:val="clear" w:color="auto" w:fill="CCECF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ind w:left="32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640,259</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40"/>
              <w:spacing w:after="0"/>
              <w:rPr>
                <w:sz w:val="20"/>
                <w:szCs w:val="20"/>
                <w:color w:val="auto"/>
              </w:rPr>
            </w:pPr>
            <w:r>
              <w:rPr>
                <w:rFonts w:ascii="Arial" w:cs="Arial" w:eastAsia="Arial" w:hAnsi="Arial"/>
                <w:sz w:val="16"/>
                <w:szCs w:val="16"/>
                <w:color w:val="auto"/>
              </w:rPr>
              <w:t>320,130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440"/>
              <w:spacing w:after="0"/>
              <w:rPr>
                <w:sz w:val="20"/>
                <w:szCs w:val="20"/>
                <w:color w:val="auto"/>
              </w:rPr>
            </w:pPr>
            <w:r>
              <w:rPr>
                <w:rFonts w:ascii="Arial" w:cs="Arial" w:eastAsia="Arial" w:hAnsi="Arial"/>
                <w:sz w:val="16"/>
                <w:szCs w:val="16"/>
                <w:color w:val="auto"/>
              </w:rPr>
              <w:t>1,909,953</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1,269,694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87630</wp:posOffset>
            </wp:positionV>
            <wp:extent cx="2006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0660" cy="8255"/>
                    </a:xfrm>
                    <a:prstGeom prst="rect">
                      <a:avLst/>
                    </a:prstGeom>
                    <a:noFill/>
                  </pic:spPr>
                </pic:pic>
              </a:graphicData>
            </a:graphic>
          </wp:anchor>
        </w:drawing>
      </w:r>
    </w:p>
    <w:p>
      <w:pPr>
        <w:spacing w:after="0" w:line="158" w:lineRule="exact"/>
        <w:rPr>
          <w:sz w:val="20"/>
          <w:szCs w:val="20"/>
          <w:color w:val="auto"/>
        </w:rPr>
      </w:pPr>
    </w:p>
    <w:p>
      <w:pPr>
        <w:ind w:left="760" w:hanging="413"/>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amounts for health benefits were calculated by multiplying our standard monthly rates for family health and dental benefits by 12.</w:t>
      </w:r>
    </w:p>
    <w:p>
      <w:pPr>
        <w:spacing w:after="0" w:line="38" w:lineRule="exact"/>
        <w:rPr>
          <w:rFonts w:ascii="Arial" w:cs="Arial" w:eastAsia="Arial" w:hAnsi="Arial"/>
          <w:sz w:val="16"/>
          <w:szCs w:val="16"/>
          <w:color w:val="auto"/>
        </w:rPr>
      </w:pPr>
    </w:p>
    <w:p>
      <w:pPr>
        <w:ind w:left="760" w:hanging="413"/>
        <w:spacing w:after="0" w:line="283"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accordance with the terms of Mr. Black’s employment agreement, if Mr. Black retires from the company all of his outstanding PSUs will continue to vest on each originally scheduled vesting date in an amount equal to the number of units subject to the awards that would otherwise have been determined to have been earned by Mr. Black had he remained continuously employed by the company through the originally scheduled vesting dates. Because these determinations cannot be made until after fiscal 2018 and fiscal 2019, the amount included in the Retirement column reflects the value of Mr. Black’s outstanding PSUs assuming performance at the threshold level is achieved.</w:t>
      </w:r>
    </w:p>
    <w:p>
      <w:pPr>
        <w:spacing w:after="0" w:line="1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240" w:top="451" w:right="57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220980</wp:posOffset>
            </wp:positionV>
            <wp:extent cx="68160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34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Equity Compensation Plan Information</w:t>
      </w:r>
    </w:p>
    <w:p>
      <w:pPr>
        <w:spacing w:after="0" w:line="112" w:lineRule="exact"/>
        <w:rPr>
          <w:sz w:val="20"/>
          <w:szCs w:val="20"/>
          <w:color w:val="auto"/>
        </w:rPr>
      </w:pPr>
    </w:p>
    <w:p>
      <w:pPr>
        <w:ind w:left="340" w:right="160" w:firstLine="429"/>
        <w:spacing w:after="0" w:line="249" w:lineRule="auto"/>
        <w:rPr>
          <w:sz w:val="20"/>
          <w:szCs w:val="20"/>
          <w:color w:val="auto"/>
        </w:rPr>
      </w:pPr>
      <w:r>
        <w:rPr>
          <w:rFonts w:ascii="Arial" w:cs="Arial" w:eastAsia="Arial" w:hAnsi="Arial"/>
          <w:sz w:val="18"/>
          <w:szCs w:val="18"/>
          <w:color w:val="auto"/>
        </w:rPr>
        <w:t>The following table summarizes, as of December 31, 2017, the number of shares of our common stock to be issued upon exercise of outstanding stock options and settlement of restricted stock unit awards granted under our equity plans as of December 31, 2017. The table also includes the weighted-average exercise price of outstanding stock options and the number of shares of our common stock remaining available for future issuance under the plans for all awards.</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89"/>
              </w:rPr>
              <w:t>Number of shares</w:t>
            </w: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Number of shares</w:t>
            </w:r>
          </w:p>
        </w:tc>
        <w:tc>
          <w:tcPr>
            <w:tcW w:w="0" w:type="dxa"/>
            <w:vAlign w:val="bottom"/>
          </w:tcPr>
          <w:p>
            <w:pPr>
              <w:spacing w:after="0"/>
              <w:rPr>
                <w:sz w:val="1"/>
                <w:szCs w:val="1"/>
                <w:color w:val="auto"/>
              </w:rPr>
            </w:pPr>
          </w:p>
        </w:tc>
      </w:tr>
      <w:tr>
        <w:trPr>
          <w:trHeight w:val="145"/>
        </w:trPr>
        <w:tc>
          <w:tcPr>
            <w:tcW w:w="4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90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89"/>
              </w:rPr>
              <w:t>Weighted-average</w:t>
            </w:r>
          </w:p>
        </w:tc>
        <w:tc>
          <w:tcPr>
            <w:tcW w:w="15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remaining available</w:t>
            </w:r>
          </w:p>
        </w:tc>
        <w:tc>
          <w:tcPr>
            <w:tcW w:w="0" w:type="dxa"/>
            <w:vAlign w:val="bottom"/>
          </w:tcPr>
          <w:p>
            <w:pPr>
              <w:spacing w:after="0"/>
              <w:rPr>
                <w:sz w:val="1"/>
                <w:szCs w:val="1"/>
                <w:color w:val="auto"/>
              </w:rPr>
            </w:pPr>
          </w:p>
        </w:tc>
      </w:tr>
      <w:tr>
        <w:trPr>
          <w:trHeight w:val="145"/>
        </w:trPr>
        <w:tc>
          <w:tcPr>
            <w:tcW w:w="4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60" w:type="dxa"/>
            <w:vAlign w:val="bottom"/>
            <w:gridSpan w:val="2"/>
          </w:tcPr>
          <w:p>
            <w:pPr>
              <w:jc w:val="center"/>
              <w:ind w:right="760"/>
              <w:spacing w:after="0" w:line="145" w:lineRule="exact"/>
              <w:rPr>
                <w:sz w:val="20"/>
                <w:szCs w:val="20"/>
                <w:color w:val="auto"/>
              </w:rPr>
            </w:pPr>
            <w:r>
              <w:rPr>
                <w:rFonts w:ascii="Arial" w:cs="Arial" w:eastAsia="Arial" w:hAnsi="Arial"/>
                <w:sz w:val="14"/>
                <w:szCs w:val="14"/>
                <w:b w:val="1"/>
                <w:bCs w:val="1"/>
                <w:color w:val="auto"/>
                <w:w w:val="85"/>
              </w:rPr>
              <w:t>to be issued upon</w:t>
            </w:r>
          </w:p>
        </w:tc>
        <w:tc>
          <w:tcPr>
            <w:tcW w:w="1900" w:type="dxa"/>
            <w:vAlign w:val="bottom"/>
            <w:gridSpan w:val="2"/>
            <w:vMerge w:val="continue"/>
          </w:tcPr>
          <w:p>
            <w:pPr>
              <w:spacing w:after="0"/>
              <w:rPr>
                <w:sz w:val="12"/>
                <w:szCs w:val="12"/>
                <w:color w:val="auto"/>
              </w:rPr>
            </w:pPr>
          </w:p>
        </w:tc>
        <w:tc>
          <w:tcPr>
            <w:tcW w:w="15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8"/>
              </w:rPr>
              <w:t>for future issuance</w:t>
            </w:r>
          </w:p>
        </w:tc>
        <w:tc>
          <w:tcPr>
            <w:tcW w:w="0" w:type="dxa"/>
            <w:vAlign w:val="bottom"/>
          </w:tcPr>
          <w:p>
            <w:pPr>
              <w:spacing w:after="0"/>
              <w:rPr>
                <w:sz w:val="1"/>
                <w:szCs w:val="1"/>
                <w:color w:val="auto"/>
              </w:rPr>
            </w:pPr>
          </w:p>
        </w:tc>
      </w:tr>
      <w:tr>
        <w:trPr>
          <w:trHeight w:val="145"/>
        </w:trPr>
        <w:tc>
          <w:tcPr>
            <w:tcW w:w="4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60" w:type="dxa"/>
            <w:vAlign w:val="bottom"/>
            <w:gridSpan w:val="2"/>
          </w:tcPr>
          <w:p>
            <w:pPr>
              <w:jc w:val="center"/>
              <w:ind w:right="760"/>
              <w:spacing w:after="0" w:line="145" w:lineRule="exact"/>
              <w:rPr>
                <w:sz w:val="20"/>
                <w:szCs w:val="20"/>
                <w:color w:val="auto"/>
              </w:rPr>
            </w:pPr>
            <w:r>
              <w:rPr>
                <w:rFonts w:ascii="Arial" w:cs="Arial" w:eastAsia="Arial" w:hAnsi="Arial"/>
                <w:sz w:val="14"/>
                <w:szCs w:val="14"/>
                <w:b w:val="1"/>
                <w:bCs w:val="1"/>
                <w:color w:val="auto"/>
                <w:w w:val="84"/>
              </w:rPr>
              <w:t>exercise of</w:t>
            </w:r>
          </w:p>
        </w:tc>
        <w:tc>
          <w:tcPr>
            <w:tcW w:w="1900" w:type="dxa"/>
            <w:vAlign w:val="bottom"/>
            <w:gridSpan w:val="2"/>
          </w:tcPr>
          <w:p>
            <w:pPr>
              <w:jc w:val="center"/>
              <w:ind w:right="740"/>
              <w:spacing w:after="0" w:line="145" w:lineRule="exact"/>
              <w:rPr>
                <w:sz w:val="20"/>
                <w:szCs w:val="20"/>
                <w:color w:val="auto"/>
              </w:rPr>
            </w:pPr>
            <w:r>
              <w:rPr>
                <w:rFonts w:ascii="Arial" w:cs="Arial" w:eastAsia="Arial" w:hAnsi="Arial"/>
                <w:sz w:val="14"/>
                <w:szCs w:val="14"/>
                <w:b w:val="1"/>
                <w:bCs w:val="1"/>
                <w:color w:val="auto"/>
                <w:w w:val="86"/>
              </w:rPr>
              <w:t>exercise price of</w:t>
            </w:r>
          </w:p>
        </w:tc>
        <w:tc>
          <w:tcPr>
            <w:tcW w:w="15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5"/>
        </w:trPr>
        <w:tc>
          <w:tcPr>
            <w:tcW w:w="4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60" w:type="dxa"/>
            <w:vAlign w:val="bottom"/>
            <w:gridSpan w:val="2"/>
          </w:tcPr>
          <w:p>
            <w:pPr>
              <w:jc w:val="center"/>
              <w:ind w:right="760"/>
              <w:spacing w:after="0" w:line="145" w:lineRule="exact"/>
              <w:rPr>
                <w:sz w:val="20"/>
                <w:szCs w:val="20"/>
                <w:color w:val="auto"/>
              </w:rPr>
            </w:pPr>
            <w:r>
              <w:rPr>
                <w:rFonts w:ascii="Arial" w:cs="Arial" w:eastAsia="Arial" w:hAnsi="Arial"/>
                <w:sz w:val="14"/>
                <w:szCs w:val="14"/>
                <w:b w:val="1"/>
                <w:bCs w:val="1"/>
                <w:color w:val="auto"/>
                <w:w w:val="87"/>
              </w:rPr>
              <w:t>outstanding</w:t>
            </w:r>
          </w:p>
        </w:tc>
        <w:tc>
          <w:tcPr>
            <w:tcW w:w="1900" w:type="dxa"/>
            <w:vAlign w:val="bottom"/>
            <w:gridSpan w:val="2"/>
          </w:tcPr>
          <w:p>
            <w:pPr>
              <w:jc w:val="center"/>
              <w:ind w:right="760"/>
              <w:spacing w:after="0" w:line="145" w:lineRule="exact"/>
              <w:rPr>
                <w:sz w:val="20"/>
                <w:szCs w:val="20"/>
                <w:color w:val="auto"/>
              </w:rPr>
            </w:pPr>
            <w:r>
              <w:rPr>
                <w:rFonts w:ascii="Arial" w:cs="Arial" w:eastAsia="Arial" w:hAnsi="Arial"/>
                <w:sz w:val="14"/>
                <w:szCs w:val="14"/>
                <w:b w:val="1"/>
                <w:bCs w:val="1"/>
                <w:color w:val="auto"/>
                <w:w w:val="87"/>
              </w:rPr>
              <w:t>outstanding</w:t>
            </w:r>
          </w:p>
        </w:tc>
        <w:tc>
          <w:tcPr>
            <w:tcW w:w="15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7"/>
              </w:rPr>
              <w:t>compensation plans</w:t>
            </w:r>
          </w:p>
        </w:tc>
        <w:tc>
          <w:tcPr>
            <w:tcW w:w="0" w:type="dxa"/>
            <w:vAlign w:val="bottom"/>
          </w:tcPr>
          <w:p>
            <w:pPr>
              <w:spacing w:after="0"/>
              <w:rPr>
                <w:sz w:val="1"/>
                <w:szCs w:val="1"/>
                <w:color w:val="auto"/>
              </w:rPr>
            </w:pPr>
          </w:p>
        </w:tc>
      </w:tr>
      <w:tr>
        <w:trPr>
          <w:trHeight w:val="145"/>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500" w:type="dxa"/>
            <w:vAlign w:val="bottom"/>
            <w:vMerge w:val="restart"/>
          </w:tcPr>
          <w:p>
            <w:pPr>
              <w:spacing w:after="0"/>
              <w:rPr>
                <w:sz w:val="12"/>
                <w:szCs w:val="12"/>
                <w:color w:val="auto"/>
              </w:rPr>
            </w:pPr>
          </w:p>
        </w:tc>
        <w:tc>
          <w:tcPr>
            <w:tcW w:w="1860" w:type="dxa"/>
            <w:vAlign w:val="bottom"/>
            <w:gridSpan w:val="2"/>
          </w:tcPr>
          <w:p>
            <w:pPr>
              <w:jc w:val="center"/>
              <w:ind w:right="760"/>
              <w:spacing w:after="0" w:line="145" w:lineRule="exact"/>
              <w:rPr>
                <w:sz w:val="20"/>
                <w:szCs w:val="20"/>
                <w:color w:val="auto"/>
              </w:rPr>
            </w:pPr>
            <w:r>
              <w:rPr>
                <w:rFonts w:ascii="Arial" w:cs="Arial" w:eastAsia="Arial" w:hAnsi="Arial"/>
                <w:sz w:val="14"/>
                <w:szCs w:val="14"/>
                <w:b w:val="1"/>
                <w:bCs w:val="1"/>
                <w:color w:val="auto"/>
                <w:w w:val="90"/>
              </w:rPr>
              <w:t>options, warrants</w:t>
            </w:r>
          </w:p>
        </w:tc>
        <w:tc>
          <w:tcPr>
            <w:tcW w:w="1900" w:type="dxa"/>
            <w:vAlign w:val="bottom"/>
            <w:gridSpan w:val="2"/>
          </w:tcPr>
          <w:p>
            <w:pPr>
              <w:jc w:val="center"/>
              <w:ind w:right="760"/>
              <w:spacing w:after="0" w:line="145" w:lineRule="exact"/>
              <w:rPr>
                <w:sz w:val="20"/>
                <w:szCs w:val="20"/>
                <w:color w:val="auto"/>
              </w:rPr>
            </w:pPr>
            <w:r>
              <w:rPr>
                <w:rFonts w:ascii="Arial" w:cs="Arial" w:eastAsia="Arial" w:hAnsi="Arial"/>
                <w:sz w:val="14"/>
                <w:szCs w:val="14"/>
                <w:b w:val="1"/>
                <w:bCs w:val="1"/>
                <w:color w:val="auto"/>
                <w:w w:val="90"/>
              </w:rPr>
              <w:t>options, warrants</w:t>
            </w:r>
          </w:p>
        </w:tc>
        <w:tc>
          <w:tcPr>
            <w:tcW w:w="15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7"/>
              </w:rPr>
              <w:t>(excluding shares</w:t>
            </w:r>
          </w:p>
        </w:tc>
        <w:tc>
          <w:tcPr>
            <w:tcW w:w="0" w:type="dxa"/>
            <w:vAlign w:val="bottom"/>
          </w:tcPr>
          <w:p>
            <w:pPr>
              <w:spacing w:after="0"/>
              <w:rPr>
                <w:sz w:val="1"/>
                <w:szCs w:val="1"/>
                <w:color w:val="auto"/>
              </w:rPr>
            </w:pPr>
          </w:p>
        </w:tc>
      </w:tr>
      <w:tr>
        <w:trPr>
          <w:trHeight w:val="167"/>
        </w:trPr>
        <w:tc>
          <w:tcPr>
            <w:tcW w:w="494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CCECF8"/>
            </w:tcBorders>
            <w:vMerge w:val="continue"/>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760" w:type="dxa"/>
            <w:vAlign w:val="bottom"/>
            <w:tcBorders>
              <w:bottom w:val="single" w:sz="8" w:color="CCECF8"/>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740" w:type="dxa"/>
            <w:vAlign w:val="bottom"/>
            <w:tcBorders>
              <w:bottom w:val="single" w:sz="8" w:color="CCECF8"/>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first column)</w:t>
            </w:r>
          </w:p>
        </w:tc>
        <w:tc>
          <w:tcPr>
            <w:tcW w:w="240" w:type="dxa"/>
            <w:vAlign w:val="bottom"/>
            <w:tcBorders>
              <w:bottom w:val="single" w:sz="8" w:color="CCECF8"/>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940" w:type="dxa"/>
            <w:vAlign w:val="bottom"/>
            <w:shd w:val="clear" w:color="auto" w:fill="CCECF8"/>
          </w:tcPr>
          <w:p>
            <w:pPr>
              <w:spacing w:after="0" w:line="204" w:lineRule="exact"/>
              <w:rPr>
                <w:sz w:val="20"/>
                <w:szCs w:val="20"/>
                <w:color w:val="auto"/>
              </w:rPr>
            </w:pPr>
            <w:r>
              <w:rPr>
                <w:rFonts w:ascii="Arial" w:cs="Arial" w:eastAsia="Arial" w:hAnsi="Arial"/>
                <w:sz w:val="18"/>
                <w:szCs w:val="18"/>
                <w:color w:val="auto"/>
              </w:rPr>
              <w:t>Equity compensation plans approved by stockholders(1)(2)</w:t>
            </w:r>
          </w:p>
        </w:tc>
        <w:tc>
          <w:tcPr>
            <w:tcW w:w="500" w:type="dxa"/>
            <w:vAlign w:val="bottom"/>
            <w:shd w:val="clear" w:color="auto" w:fill="CCECF8"/>
          </w:tcPr>
          <w:p>
            <w:pPr>
              <w:spacing w:after="0"/>
              <w:rPr>
                <w:sz w:val="17"/>
                <w:szCs w:val="17"/>
                <w:color w:val="auto"/>
              </w:rPr>
            </w:pPr>
          </w:p>
        </w:tc>
        <w:tc>
          <w:tcPr>
            <w:tcW w:w="1100" w:type="dxa"/>
            <w:vAlign w:val="bottom"/>
            <w:shd w:val="clear" w:color="auto" w:fill="CCECF8"/>
          </w:tcPr>
          <w:p>
            <w:pPr>
              <w:jc w:val="right"/>
              <w:spacing w:after="0" w:line="204" w:lineRule="exact"/>
              <w:rPr>
                <w:sz w:val="20"/>
                <w:szCs w:val="20"/>
                <w:color w:val="auto"/>
              </w:rPr>
            </w:pPr>
            <w:r>
              <w:rPr>
                <w:rFonts w:ascii="Arial" w:cs="Arial" w:eastAsia="Arial" w:hAnsi="Arial"/>
                <w:sz w:val="18"/>
                <w:szCs w:val="18"/>
                <w:color w:val="auto"/>
              </w:rPr>
              <w:t>1,419,243(3)</w:t>
            </w:r>
          </w:p>
        </w:tc>
        <w:tc>
          <w:tcPr>
            <w:tcW w:w="760" w:type="dxa"/>
            <w:vAlign w:val="bottom"/>
            <w:shd w:val="clear" w:color="auto" w:fill="CCECF8"/>
          </w:tcPr>
          <w:p>
            <w:pPr>
              <w:spacing w:after="0"/>
              <w:rPr>
                <w:sz w:val="17"/>
                <w:szCs w:val="17"/>
                <w:color w:val="auto"/>
              </w:rPr>
            </w:pPr>
          </w:p>
        </w:tc>
        <w:tc>
          <w:tcPr>
            <w:tcW w:w="1900" w:type="dxa"/>
            <w:vAlign w:val="bottom"/>
            <w:gridSpan w:val="2"/>
            <w:shd w:val="clear" w:color="auto" w:fill="CCECF8"/>
          </w:tcPr>
          <w:p>
            <w:pPr>
              <w:jc w:val="right"/>
              <w:ind w:right="540"/>
              <w:spacing w:after="0" w:line="204" w:lineRule="exact"/>
              <w:rPr>
                <w:sz w:val="20"/>
                <w:szCs w:val="20"/>
                <w:color w:val="auto"/>
              </w:rPr>
            </w:pPr>
            <w:r>
              <w:rPr>
                <w:rFonts w:ascii="Arial" w:cs="Arial" w:eastAsia="Arial" w:hAnsi="Arial"/>
                <w:sz w:val="18"/>
                <w:szCs w:val="18"/>
                <w:color w:val="auto"/>
              </w:rPr>
              <w:t>47.60(4)</w:t>
            </w:r>
          </w:p>
        </w:tc>
        <w:tc>
          <w:tcPr>
            <w:tcW w:w="1300" w:type="dxa"/>
            <w:vAlign w:val="bottom"/>
            <w:shd w:val="clear" w:color="auto" w:fill="CCECF8"/>
          </w:tcPr>
          <w:p>
            <w:pPr>
              <w:jc w:val="right"/>
              <w:spacing w:after="0" w:line="204" w:lineRule="exact"/>
              <w:rPr>
                <w:sz w:val="20"/>
                <w:szCs w:val="20"/>
                <w:color w:val="auto"/>
              </w:rPr>
            </w:pPr>
            <w:r>
              <w:rPr>
                <w:rFonts w:ascii="Arial" w:cs="Arial" w:eastAsia="Arial" w:hAnsi="Arial"/>
                <w:sz w:val="18"/>
                <w:szCs w:val="18"/>
                <w:color w:val="auto"/>
              </w:rPr>
              <w:t>5,573,383(5)</w:t>
            </w:r>
          </w:p>
        </w:tc>
        <w:tc>
          <w:tcPr>
            <w:tcW w:w="240" w:type="dxa"/>
            <w:vAlign w:val="bottom"/>
            <w:shd w:val="clear" w:color="auto" w:fill="CCECF8"/>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4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rPr>
              <w:t>None</w:t>
            </w:r>
          </w:p>
        </w:tc>
        <w:tc>
          <w:tcPr>
            <w:tcW w:w="1900" w:type="dxa"/>
            <w:vAlign w:val="bottom"/>
            <w:gridSpan w:val="2"/>
          </w:tcPr>
          <w:p>
            <w:pPr>
              <w:jc w:val="right"/>
              <w:ind w:right="740"/>
              <w:spacing w:after="0"/>
              <w:rPr>
                <w:sz w:val="20"/>
                <w:szCs w:val="20"/>
                <w:color w:val="auto"/>
              </w:rPr>
            </w:pPr>
            <w:r>
              <w:rPr>
                <w:rFonts w:ascii="Arial" w:cs="Arial" w:eastAsia="Arial" w:hAnsi="Arial"/>
                <w:sz w:val="18"/>
                <w:szCs w:val="18"/>
                <w:color w:val="auto"/>
              </w:rPr>
              <w:t>N/A</w:t>
            </w:r>
          </w:p>
        </w:tc>
        <w:tc>
          <w:tcPr>
            <w:tcW w:w="1540" w:type="dxa"/>
            <w:vAlign w:val="bottom"/>
            <w:gridSpan w:val="2"/>
          </w:tcPr>
          <w:p>
            <w:pPr>
              <w:ind w:left="9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76200</wp:posOffset>
            </wp:positionV>
            <wp:extent cx="12280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40" w:lineRule="exact"/>
        <w:rPr>
          <w:sz w:val="20"/>
          <w:szCs w:val="20"/>
          <w:color w:val="auto"/>
        </w:rPr>
      </w:pPr>
    </w:p>
    <w:p>
      <w:pPr>
        <w:ind w:left="760" w:hanging="413"/>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the 2001 Stock Option Plan, the 2010 Equity Incentive Plan and the Employee Stock Purchase Plan.</w:t>
      </w:r>
    </w:p>
    <w:p>
      <w:pPr>
        <w:spacing w:after="0" w:line="121" w:lineRule="exact"/>
        <w:rPr>
          <w:rFonts w:ascii="Arial" w:cs="Arial" w:eastAsia="Arial" w:hAnsi="Arial"/>
          <w:sz w:val="18"/>
          <w:szCs w:val="18"/>
          <w:color w:val="auto"/>
        </w:rPr>
      </w:pPr>
    </w:p>
    <w:p>
      <w:pPr>
        <w:ind w:left="760" w:right="20" w:hanging="413"/>
        <w:spacing w:after="0" w:line="248"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2010 Equity Incentive Plan contains an “evergreen” provision, pursuant to which the number of shares of common stock reserved for issuance under the 2010 Equity Incentive Plan shall be increased on January 1 of each year beginning in 2011 and ending on January 1, 2020 in an amount equal to the lesser of 6% of the total number of our shares outstanding as of December 31 of the immediately preceding calendar year or a number of shares determined by our board of directors; </w:t>
      </w:r>
      <w:r>
        <w:rPr>
          <w:rFonts w:ascii="Arial" w:cs="Arial" w:eastAsia="Arial" w:hAnsi="Arial"/>
          <w:sz w:val="18"/>
          <w:szCs w:val="18"/>
          <w:i w:val="1"/>
          <w:iCs w:val="1"/>
          <w:color w:val="auto"/>
        </w:rPr>
        <w:t>provided, however</w:t>
      </w:r>
      <w:r>
        <w:rPr>
          <w:rFonts w:ascii="Arial" w:cs="Arial" w:eastAsia="Arial" w:hAnsi="Arial"/>
          <w:sz w:val="18"/>
          <w:szCs w:val="18"/>
          <w:color w:val="auto"/>
        </w:rPr>
        <w:t>, no more than 1,201,500 shares of our common stock may be issued upon the exercise of incentive stock options.</w:t>
      </w:r>
    </w:p>
    <w:p>
      <w:pPr>
        <w:spacing w:after="0" w:line="101" w:lineRule="exact"/>
        <w:rPr>
          <w:rFonts w:ascii="Arial" w:cs="Arial" w:eastAsia="Arial" w:hAnsi="Arial"/>
          <w:sz w:val="18"/>
          <w:szCs w:val="18"/>
          <w:color w:val="auto"/>
        </w:rPr>
      </w:pPr>
    </w:p>
    <w:p>
      <w:pPr>
        <w:ind w:left="760" w:right="200" w:hanging="413"/>
        <w:spacing w:after="0" w:line="261"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1,097,331 shares subject to outstanding and unexercised stock options and 321,912 shares issuable in settlement of restricted stock unit awards.</w:t>
      </w:r>
    </w:p>
    <w:p>
      <w:pPr>
        <w:spacing w:after="0" w:line="89" w:lineRule="exact"/>
        <w:rPr>
          <w:rFonts w:ascii="Arial" w:cs="Arial" w:eastAsia="Arial" w:hAnsi="Arial"/>
          <w:sz w:val="18"/>
          <w:szCs w:val="18"/>
          <w:color w:val="auto"/>
        </w:rPr>
      </w:pPr>
    </w:p>
    <w:p>
      <w:pPr>
        <w:ind w:left="760" w:right="460" w:hanging="413"/>
        <w:spacing w:after="0" w:line="261"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weighted average exercise price reflects only the outstanding stock options, as the other forms of awards disclosed in this note entail the issuance of shares for the payment of no consideration.</w:t>
      </w:r>
    </w:p>
    <w:p>
      <w:pPr>
        <w:spacing w:after="0" w:line="89" w:lineRule="exact"/>
        <w:rPr>
          <w:rFonts w:ascii="Arial" w:cs="Arial" w:eastAsia="Arial" w:hAnsi="Arial"/>
          <w:sz w:val="18"/>
          <w:szCs w:val="18"/>
          <w:color w:val="auto"/>
        </w:rPr>
      </w:pPr>
    </w:p>
    <w:p>
      <w:pPr>
        <w:ind w:left="760" w:hanging="413"/>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1,021,514 shares remaining available for future issuance under the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243840</wp:posOffset>
            </wp:positionV>
            <wp:extent cx="68160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38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CEO Pay Ratio</w:t>
      </w:r>
    </w:p>
    <w:p>
      <w:pPr>
        <w:spacing w:after="0" w:line="112" w:lineRule="exact"/>
        <w:rPr>
          <w:sz w:val="20"/>
          <w:szCs w:val="20"/>
          <w:color w:val="auto"/>
        </w:rPr>
      </w:pPr>
    </w:p>
    <w:p>
      <w:pPr>
        <w:ind w:left="340" w:firstLine="429"/>
        <w:spacing w:after="0" w:line="261" w:lineRule="auto"/>
        <w:rPr>
          <w:sz w:val="20"/>
          <w:szCs w:val="20"/>
          <w:color w:val="auto"/>
        </w:rPr>
      </w:pPr>
      <w:r>
        <w:rPr>
          <w:rFonts w:ascii="Arial" w:cs="Arial" w:eastAsia="Arial" w:hAnsi="Arial"/>
          <w:sz w:val="18"/>
          <w:szCs w:val="18"/>
          <w:color w:val="auto"/>
        </w:rPr>
        <w:t>We are providing the following information about the relationship of the median of the annual total compensation of our employees and the annual total compensation of Archie C. Black, our Chief Executive Officer (our “CEO”):</w:t>
      </w:r>
    </w:p>
    <w:p>
      <w:pPr>
        <w:spacing w:after="0" w:line="7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For 2017, our last completed fiscal year:</w:t>
      </w:r>
    </w:p>
    <w:p>
      <w:pPr>
        <w:spacing w:after="0" w:line="122" w:lineRule="exact"/>
        <w:rPr>
          <w:sz w:val="20"/>
          <w:szCs w:val="20"/>
          <w:color w:val="auto"/>
        </w:rPr>
      </w:pPr>
    </w:p>
    <w:p>
      <w:pPr>
        <w:ind w:left="1080" w:hanging="31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CEO) was $69,031; and</w:t>
      </w:r>
    </w:p>
    <w:p>
      <w:pPr>
        <w:spacing w:after="0" w:line="121" w:lineRule="exact"/>
        <w:rPr>
          <w:rFonts w:ascii="Arial" w:cs="Arial" w:eastAsia="Arial" w:hAnsi="Arial"/>
          <w:sz w:val="18"/>
          <w:szCs w:val="18"/>
          <w:color w:val="auto"/>
        </w:rPr>
      </w:pPr>
    </w:p>
    <w:p>
      <w:pPr>
        <w:ind w:left="1080" w:right="720" w:hanging="312"/>
        <w:spacing w:after="0" w:line="261"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annual total compensation of our CEO, as reported in the 2017 Summary Compensation Table included on page 25 of this proxy statement, was $5,288,187.</w:t>
      </w:r>
    </w:p>
    <w:p>
      <w:pPr>
        <w:spacing w:after="0" w:line="76" w:lineRule="exact"/>
        <w:rPr>
          <w:sz w:val="20"/>
          <w:szCs w:val="20"/>
          <w:color w:val="auto"/>
        </w:rPr>
      </w:pPr>
    </w:p>
    <w:p>
      <w:pPr>
        <w:jc w:val="both"/>
        <w:ind w:left="340" w:right="520" w:firstLine="429"/>
        <w:spacing w:after="0" w:line="362" w:lineRule="auto"/>
        <w:rPr>
          <w:sz w:val="20"/>
          <w:szCs w:val="20"/>
          <w:color w:val="auto"/>
        </w:rPr>
      </w:pPr>
      <w:r>
        <w:rPr>
          <w:rFonts w:ascii="Arial" w:cs="Arial" w:eastAsia="Arial" w:hAnsi="Arial"/>
          <w:sz w:val="15"/>
          <w:szCs w:val="15"/>
          <w:color w:val="auto"/>
        </w:rPr>
        <w:t>Based on this information for 2017, the ratio of our CEO’s annual total compensation to the median of the annual total compensation of our employees was 77:1. We believe this pay ratio to be a reasonable estimate, calculated in a manner consistent with Item 402(u) of Regulation S-K.</w:t>
      </w:r>
    </w:p>
    <w:p>
      <w:pPr>
        <w:spacing w:after="0" w:line="6" w:lineRule="exact"/>
        <w:rPr>
          <w:sz w:val="20"/>
          <w:szCs w:val="20"/>
          <w:color w:val="auto"/>
        </w:rPr>
      </w:pPr>
    </w:p>
    <w:p>
      <w:pPr>
        <w:jc w:val="both"/>
        <w:ind w:left="340" w:right="160" w:firstLine="429"/>
        <w:spacing w:after="0" w:line="252" w:lineRule="auto"/>
        <w:rPr>
          <w:sz w:val="20"/>
          <w:szCs w:val="20"/>
          <w:color w:val="auto"/>
        </w:rPr>
      </w:pPr>
      <w:r>
        <w:rPr>
          <w:rFonts w:ascii="Arial" w:cs="Arial" w:eastAsia="Arial" w:hAnsi="Arial"/>
          <w:sz w:val="18"/>
          <w:szCs w:val="18"/>
          <w:color w:val="auto"/>
        </w:rPr>
        <w:t>As discussed on pages 22-23 of the Compensation Discussion and Analysis, the PSUs granted in 2017 vest over a three year performance period ending in 2019. If only a one-third pro-rata portion of the PSUs granted in 2017 were included in the calculation of total compensation of our CEO for 2017, the CEO’s total compensation would have been $3,788,223, resulting in a ratio of 55:1.</w:t>
      </w:r>
    </w:p>
    <w:p>
      <w:pPr>
        <w:spacing w:after="0" w:line="12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240" w:top="451" w:right="57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right="360" w:firstLine="429"/>
        <w:spacing w:after="0" w:line="252" w:lineRule="auto"/>
        <w:rPr>
          <w:sz w:val="20"/>
          <w:szCs w:val="20"/>
          <w:color w:val="auto"/>
        </w:rPr>
      </w:pPr>
      <w:r>
        <w:rPr>
          <w:rFonts w:ascii="Arial" w:cs="Arial" w:eastAsia="Arial" w:hAnsi="Arial"/>
          <w:sz w:val="18"/>
          <w:szCs w:val="18"/>
          <w:color w:val="auto"/>
        </w:rPr>
        <w:t>We identified our median employee based on the total cash and equity compensation paid during 2017 to all 1,349 members of our workforce (including full-time, part-time and temporary employees as well as certain independent contractors), other than our CEO, who were employed on December 31, 2017.</w:t>
      </w:r>
    </w:p>
    <w:p>
      <w:pPr>
        <w:spacing w:after="0" w:line="85" w:lineRule="exact"/>
        <w:rPr>
          <w:sz w:val="20"/>
          <w:szCs w:val="20"/>
          <w:color w:val="auto"/>
        </w:rPr>
      </w:pPr>
    </w:p>
    <w:p>
      <w:pPr>
        <w:ind w:left="340" w:right="100" w:firstLine="429"/>
        <w:spacing w:after="0" w:line="252" w:lineRule="auto"/>
        <w:rPr>
          <w:sz w:val="20"/>
          <w:szCs w:val="20"/>
          <w:color w:val="auto"/>
        </w:rPr>
      </w:pPr>
      <w:r>
        <w:rPr>
          <w:rFonts w:ascii="Arial" w:cs="Arial" w:eastAsia="Arial" w:hAnsi="Arial"/>
          <w:sz w:val="18"/>
          <w:szCs w:val="18"/>
          <w:color w:val="auto"/>
        </w:rPr>
        <w:t>For purposes of determining the total cash and equity compensation of each employee, we included the contractual amount of annual base salary, the annual target bonus and commission cash incentives, and the grant date fair value of equity awards granted in 2017. We did not include any adjustments for the value of benefits provided.</w:t>
      </w:r>
    </w:p>
    <w:p>
      <w:pPr>
        <w:spacing w:after="0" w:line="85" w:lineRule="exact"/>
        <w:rPr>
          <w:sz w:val="20"/>
          <w:szCs w:val="20"/>
          <w:color w:val="auto"/>
        </w:rPr>
      </w:pPr>
    </w:p>
    <w:p>
      <w:pPr>
        <w:ind w:left="340" w:right="20" w:firstLine="429"/>
        <w:spacing w:after="0" w:line="252" w:lineRule="auto"/>
        <w:rPr>
          <w:sz w:val="20"/>
          <w:szCs w:val="20"/>
          <w:color w:val="auto"/>
        </w:rPr>
      </w:pPr>
      <w:r>
        <w:rPr>
          <w:rFonts w:ascii="Arial" w:cs="Arial" w:eastAsia="Arial" w:hAnsi="Arial"/>
          <w:sz w:val="18"/>
          <w:szCs w:val="18"/>
          <w:color w:val="auto"/>
        </w:rPr>
        <w:t>Once we identified our median employee, we then determined that employee’s total compensation, including any perquisites and other benefits, in the same manner that we determine the total compensation of our named executive officers for purposes of the 2017 Summary Compensation Table disclosed above.</w:t>
      </w:r>
    </w:p>
    <w:p>
      <w:pPr>
        <w:spacing w:after="0" w:line="85" w:lineRule="exact"/>
        <w:rPr>
          <w:sz w:val="20"/>
          <w:szCs w:val="20"/>
          <w:color w:val="auto"/>
        </w:rPr>
      </w:pPr>
    </w:p>
    <w:p>
      <w:pPr>
        <w:ind w:left="340" w:firstLine="429"/>
        <w:spacing w:after="0" w:line="299" w:lineRule="auto"/>
        <w:rPr>
          <w:sz w:val="20"/>
          <w:szCs w:val="20"/>
          <w:color w:val="auto"/>
        </w:rPr>
      </w:pPr>
      <w:r>
        <w:rPr>
          <w:rFonts w:ascii="Arial" w:cs="Arial" w:eastAsia="Arial" w:hAnsi="Arial"/>
          <w:sz w:val="16"/>
          <w:szCs w:val="16"/>
          <w:color w:val="auto"/>
        </w:rPr>
        <w:t>The total compensation of our median employee was determined to be $69,031. This total compensation for our median employee was then compared to the total compensation of our CEO disclosed above in the 2017 Summary Compensation Table of $5,288,187. The elements included in the CEO’s total compensation are fully discussed above in the footnotes to the 2017 Summary Compensation Table.</w:t>
      </w:r>
    </w:p>
    <w:p>
      <w:pPr>
        <w:spacing w:after="0" w:line="8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60"/>
          </w:cols>
          <w:pgMar w:left="240" w:top="451" w:right="59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42" w:lineRule="exact"/>
        <w:rPr>
          <w:sz w:val="20"/>
          <w:szCs w:val="20"/>
          <w:color w:val="auto"/>
        </w:rPr>
      </w:pPr>
    </w:p>
    <w:p>
      <w:pPr>
        <w:jc w:val="center"/>
        <w:ind w:left="580" w:right="120"/>
        <w:spacing w:after="0" w:line="280" w:lineRule="auto"/>
        <w:rPr>
          <w:sz w:val="20"/>
          <w:szCs w:val="20"/>
          <w:color w:val="auto"/>
        </w:rPr>
      </w:pPr>
      <w:r>
        <w:rPr>
          <w:rFonts w:ascii="Arial" w:cs="Arial" w:eastAsia="Arial" w:hAnsi="Arial"/>
          <w:sz w:val="35"/>
          <w:szCs w:val="35"/>
          <w:b w:val="1"/>
          <w:bCs w:val="1"/>
          <w:color w:val="00A1DF"/>
        </w:rPr>
        <w:t>AUDIT COMMITTEE REPORT AND PAYMENT OF FEES TO OUR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-591820</wp:posOffset>
            </wp:positionV>
            <wp:extent cx="68160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Audit Committee Report</w:t>
      </w:r>
    </w:p>
    <w:p>
      <w:pPr>
        <w:spacing w:after="0" w:line="191" w:lineRule="exact"/>
        <w:rPr>
          <w:sz w:val="20"/>
          <w:szCs w:val="20"/>
          <w:color w:val="auto"/>
        </w:rPr>
      </w:pPr>
    </w:p>
    <w:p>
      <w:pPr>
        <w:ind w:left="340" w:right="60" w:firstLine="429"/>
        <w:spacing w:after="0" w:line="252" w:lineRule="auto"/>
        <w:rPr>
          <w:sz w:val="20"/>
          <w:szCs w:val="20"/>
          <w:color w:val="auto"/>
        </w:rPr>
      </w:pPr>
      <w:r>
        <w:rPr>
          <w:rFonts w:ascii="Arial" w:cs="Arial" w:eastAsia="Arial" w:hAnsi="Arial"/>
          <w:sz w:val="18"/>
          <w:szCs w:val="18"/>
          <w:color w:val="auto"/>
        </w:rPr>
        <w:t>The primary function of our audit committee is oversight of our financial reporting process, publicly filed financial reports, internal accounting and financial controls, and the independent audit of our consolidated financial statements. The consolidated financial statements of SPS Commerce, Inc. for the year ended December 31, 2017 were audited by KPMG LLP, our independent auditor.</w:t>
      </w:r>
    </w:p>
    <w:p>
      <w:pPr>
        <w:spacing w:after="0" w:line="15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As part of its activities, the audit committee has:</w:t>
      </w:r>
    </w:p>
    <w:p>
      <w:pPr>
        <w:spacing w:after="0" w:line="122" w:lineRule="exact"/>
        <w:rPr>
          <w:sz w:val="20"/>
          <w:szCs w:val="20"/>
          <w:color w:val="auto"/>
        </w:rPr>
      </w:pPr>
    </w:p>
    <w:p>
      <w:pPr>
        <w:ind w:left="1180" w:hanging="412"/>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auditor the company’s audited financial statements;</w:t>
      </w:r>
    </w:p>
    <w:p>
      <w:pPr>
        <w:spacing w:after="0" w:line="121" w:lineRule="exact"/>
        <w:rPr>
          <w:rFonts w:ascii="Arial" w:cs="Arial" w:eastAsia="Arial" w:hAnsi="Arial"/>
          <w:sz w:val="18"/>
          <w:szCs w:val="18"/>
          <w:color w:val="auto"/>
        </w:rPr>
      </w:pPr>
    </w:p>
    <w:p>
      <w:pPr>
        <w:ind w:left="1180" w:right="140" w:hanging="412"/>
        <w:spacing w:after="0" w:line="261"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Discussed with the independent auditor the matters required to be communicated under </w:t>
      </w:r>
      <w:r>
        <w:rPr>
          <w:rFonts w:ascii="Arial" w:cs="Arial" w:eastAsia="Arial" w:hAnsi="Arial"/>
          <w:sz w:val="18"/>
          <w:szCs w:val="18"/>
          <w:i w:val="1"/>
          <w:iCs w:val="1"/>
          <w:color w:val="auto"/>
        </w:rPr>
        <w:t>PCAOB Auditing Standard 1301</w:t>
      </w:r>
      <w:r>
        <w:rPr>
          <w:rFonts w:ascii="Arial" w:cs="Arial" w:eastAsia="Arial" w:hAnsi="Arial"/>
          <w:sz w:val="18"/>
          <w:szCs w:val="18"/>
          <w:color w:val="auto"/>
        </w:rPr>
        <w:t xml:space="preserve"> (Communications with Audit Committees); and</w:t>
      </w:r>
    </w:p>
    <w:p>
      <w:pPr>
        <w:spacing w:after="0" w:line="89" w:lineRule="exact"/>
        <w:rPr>
          <w:rFonts w:ascii="Arial" w:cs="Arial" w:eastAsia="Arial" w:hAnsi="Arial"/>
          <w:sz w:val="18"/>
          <w:szCs w:val="18"/>
          <w:color w:val="auto"/>
        </w:rPr>
      </w:pPr>
    </w:p>
    <w:p>
      <w:pPr>
        <w:ind w:left="1180" w:right="160" w:hanging="412"/>
        <w:spacing w:after="0" w:line="252"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Received the written disclosures and letter from the independent auditor required by applicable requirements of the Public Company Accounting Oversight Board regarding the independent auditor’s communications with the audit committee concerning independence, and has discussed with the independent auditor the independent auditor’s independence.</w:t>
      </w:r>
    </w:p>
    <w:p>
      <w:pPr>
        <w:spacing w:after="0" w:line="190" w:lineRule="exact"/>
        <w:rPr>
          <w:sz w:val="20"/>
          <w:szCs w:val="20"/>
          <w:color w:val="auto"/>
        </w:rPr>
      </w:pPr>
    </w:p>
    <w:p>
      <w:pPr>
        <w:ind w:left="340" w:right="100" w:firstLine="429"/>
        <w:spacing w:after="0" w:line="306" w:lineRule="auto"/>
        <w:rPr>
          <w:sz w:val="20"/>
          <w:szCs w:val="20"/>
          <w:color w:val="auto"/>
        </w:rPr>
      </w:pPr>
      <w:r>
        <w:rPr>
          <w:rFonts w:ascii="Arial" w:cs="Arial" w:eastAsia="Arial" w:hAnsi="Arial"/>
          <w:sz w:val="15"/>
          <w:szCs w:val="15"/>
          <w:color w:val="auto"/>
        </w:rPr>
        <w:t>Management is responsible for the company’s system of internal controls and financial reporting process. KPMG LLP is responsible for performing an independent audit of the consolidated financial statements and internal controls over financial reporting in accordance with the standards of the Public Company Accounting Oversight Board and for issuing a report thereon. Our committee’s responsibility is to monitor and oversee these processes. Based on the foregoing review and discussions and a review of the report of KPMG LLP with respect to the consolidated financial statements, and relying thereon, we have recommended to the board of directors of SPS Commerce, Inc. the inclusion of the audited consolidated financial statements in SPS Commerce, Inc.’s Annual Report on Form 10-K for the year ended December 31, 2017, for filing with the SEC.</w:t>
      </w:r>
    </w:p>
    <w:p>
      <w:pPr>
        <w:spacing w:after="0" w:line="25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Audit Committee of the Board of Directors of SPS Commerce, Inc.</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 xml:space="preserve">Sven A. Wehrwein, </w:t>
      </w:r>
      <w:r>
        <w:rPr>
          <w:rFonts w:ascii="Arial" w:cs="Arial" w:eastAsia="Arial" w:hAnsi="Arial"/>
          <w:sz w:val="18"/>
          <w:szCs w:val="18"/>
          <w:i w:val="1"/>
          <w:iCs w:val="1"/>
          <w:color w:val="auto"/>
        </w:rPr>
        <w:t>Chairperson</w:t>
      </w:r>
    </w:p>
    <w:p>
      <w:pPr>
        <w:spacing w:after="0" w:line="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Martin J. Leestma</w:t>
      </w:r>
    </w:p>
    <w:p>
      <w:pPr>
        <w:spacing w:after="0" w:line="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Tami L. Reller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161290</wp:posOffset>
            </wp:positionV>
            <wp:extent cx="68160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Auditor Fees</w:t>
      </w:r>
    </w:p>
    <w:p>
      <w:pPr>
        <w:spacing w:after="0" w:line="178" w:lineRule="exact"/>
        <w:rPr>
          <w:sz w:val="20"/>
          <w:szCs w:val="20"/>
          <w:color w:val="auto"/>
        </w:rPr>
      </w:pPr>
    </w:p>
    <w:p>
      <w:pPr>
        <w:ind w:left="340" w:right="200" w:firstLine="429"/>
        <w:spacing w:after="0" w:line="261" w:lineRule="auto"/>
        <w:rPr>
          <w:sz w:val="20"/>
          <w:szCs w:val="20"/>
          <w:color w:val="auto"/>
        </w:rPr>
      </w:pPr>
      <w:r>
        <w:rPr>
          <w:rFonts w:ascii="Arial" w:cs="Arial" w:eastAsia="Arial" w:hAnsi="Arial"/>
          <w:sz w:val="18"/>
          <w:szCs w:val="18"/>
          <w:color w:val="auto"/>
        </w:rPr>
        <w:t>KPMG LLP has served as our independent auditor since June 4, 2013. The following table presents fees for professional audit services rendered by KPMG LLP for 2017 and 2016.</w:t>
      </w:r>
    </w:p>
    <w:p>
      <w:pPr>
        <w:spacing w:after="0" w:line="207" w:lineRule="exact"/>
        <w:rPr>
          <w:sz w:val="20"/>
          <w:szCs w:val="20"/>
          <w:color w:val="auto"/>
        </w:rPr>
      </w:pPr>
    </w:p>
    <w:tbl>
      <w:tblPr>
        <w:tblLayout w:type="fixed"/>
        <w:tblInd w:w="780" w:type="dxa"/>
        <w:tblCellMar>
          <w:top w:w="0" w:type="dxa"/>
          <w:left w:w="0" w:type="dxa"/>
          <w:bottom w:w="0" w:type="dxa"/>
          <w:right w:w="0" w:type="dxa"/>
        </w:tblCellMar>
      </w:tblPr>
      <w:tr>
        <w:trPr>
          <w:trHeight w:val="158"/>
        </w:trPr>
        <w:tc>
          <w:tcPr>
            <w:tcW w:w="7100" w:type="dxa"/>
            <w:vAlign w:val="bottom"/>
            <w:tcBorders>
              <w:bottom w:val="single" w:sz="8" w:color="CCECF8"/>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2017</w:t>
            </w:r>
          </w:p>
        </w:tc>
        <w:tc>
          <w:tcPr>
            <w:tcW w:w="640" w:type="dxa"/>
            <w:vAlign w:val="bottom"/>
            <w:tcBorders>
              <w:bottom w:val="single" w:sz="8" w:color="CCECF8"/>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2016</w:t>
            </w:r>
          </w:p>
        </w:tc>
        <w:tc>
          <w:tcPr>
            <w:tcW w:w="60" w:type="dxa"/>
            <w:vAlign w:val="bottom"/>
            <w:tcBorders>
              <w:bottom w:val="single" w:sz="8" w:color="CCECF8"/>
            </w:tcBorders>
          </w:tcPr>
          <w:p>
            <w:pPr>
              <w:spacing w:after="0"/>
              <w:rPr>
                <w:sz w:val="13"/>
                <w:szCs w:val="13"/>
                <w:color w:val="auto"/>
              </w:rPr>
            </w:pPr>
          </w:p>
        </w:tc>
      </w:tr>
      <w:tr>
        <w:trPr>
          <w:trHeight w:val="204"/>
        </w:trPr>
        <w:tc>
          <w:tcPr>
            <w:tcW w:w="7100" w:type="dxa"/>
            <w:vAlign w:val="bottom"/>
            <w:shd w:val="clear" w:color="auto" w:fill="CCECF8"/>
          </w:tcPr>
          <w:p>
            <w:pPr>
              <w:spacing w:after="0" w:line="202" w:lineRule="exact"/>
              <w:rPr>
                <w:sz w:val="20"/>
                <w:szCs w:val="20"/>
                <w:color w:val="auto"/>
              </w:rPr>
            </w:pPr>
            <w:r>
              <w:rPr>
                <w:rFonts w:ascii="Arial" w:cs="Arial" w:eastAsia="Arial" w:hAnsi="Arial"/>
                <w:sz w:val="18"/>
                <w:szCs w:val="18"/>
                <w:color w:val="auto"/>
              </w:rPr>
              <w:t>Audit Fees(1)</w:t>
            </w:r>
          </w:p>
        </w:tc>
        <w:tc>
          <w:tcPr>
            <w:tcW w:w="240" w:type="dxa"/>
            <w:vAlign w:val="bottom"/>
            <w:shd w:val="clear" w:color="auto" w:fill="CCECF8"/>
          </w:tcPr>
          <w:p>
            <w:pPr>
              <w:jc w:val="right"/>
              <w:ind w:right="52"/>
              <w:spacing w:after="0" w:line="204"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CF8"/>
          </w:tcPr>
          <w:p>
            <w:pPr>
              <w:jc w:val="right"/>
              <w:spacing w:after="0" w:line="204" w:lineRule="exact"/>
              <w:rPr>
                <w:sz w:val="20"/>
                <w:szCs w:val="20"/>
                <w:color w:val="auto"/>
              </w:rPr>
            </w:pPr>
            <w:r>
              <w:rPr>
                <w:rFonts w:ascii="Arial" w:cs="Arial" w:eastAsia="Arial" w:hAnsi="Arial"/>
                <w:sz w:val="18"/>
                <w:szCs w:val="18"/>
                <w:color w:val="auto"/>
              </w:rPr>
              <w:t>500,459</w:t>
            </w:r>
          </w:p>
        </w:tc>
        <w:tc>
          <w:tcPr>
            <w:tcW w:w="640" w:type="dxa"/>
            <w:vAlign w:val="bottom"/>
            <w:shd w:val="clear" w:color="auto" w:fill="CCECF8"/>
          </w:tcPr>
          <w:p>
            <w:pPr>
              <w:spacing w:after="0"/>
              <w:rPr>
                <w:sz w:val="17"/>
                <w:szCs w:val="17"/>
                <w:color w:val="auto"/>
              </w:rPr>
            </w:pPr>
          </w:p>
        </w:tc>
        <w:tc>
          <w:tcPr>
            <w:tcW w:w="240" w:type="dxa"/>
            <w:vAlign w:val="bottom"/>
            <w:shd w:val="clear" w:color="auto" w:fill="CCECF8"/>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CF8"/>
          </w:tcPr>
          <w:p>
            <w:pPr>
              <w:jc w:val="right"/>
              <w:spacing w:after="0" w:line="204" w:lineRule="exact"/>
              <w:rPr>
                <w:sz w:val="20"/>
                <w:szCs w:val="20"/>
                <w:color w:val="auto"/>
              </w:rPr>
            </w:pPr>
            <w:r>
              <w:rPr>
                <w:rFonts w:ascii="Arial" w:cs="Arial" w:eastAsia="Arial" w:hAnsi="Arial"/>
                <w:sz w:val="18"/>
                <w:szCs w:val="18"/>
                <w:color w:val="auto"/>
              </w:rPr>
              <w:t>472,000</w:t>
            </w:r>
          </w:p>
        </w:tc>
        <w:tc>
          <w:tcPr>
            <w:tcW w:w="60" w:type="dxa"/>
            <w:vAlign w:val="bottom"/>
            <w:shd w:val="clear" w:color="auto" w:fill="CCECF8"/>
          </w:tcPr>
          <w:p>
            <w:pPr>
              <w:spacing w:after="0"/>
              <w:rPr>
                <w:sz w:val="17"/>
                <w:szCs w:val="17"/>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Audit-Related Fees</w:t>
            </w:r>
          </w:p>
        </w:tc>
        <w:tc>
          <w:tcPr>
            <w:tcW w:w="24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0"/>
        </w:trPr>
        <w:tc>
          <w:tcPr>
            <w:tcW w:w="7100" w:type="dxa"/>
            <w:vAlign w:val="bottom"/>
            <w:shd w:val="clear" w:color="auto" w:fill="CCECF8"/>
          </w:tcPr>
          <w:p>
            <w:pPr>
              <w:spacing w:after="0"/>
              <w:rPr>
                <w:sz w:val="20"/>
                <w:szCs w:val="20"/>
                <w:color w:val="auto"/>
              </w:rPr>
            </w:pPr>
            <w:r>
              <w:rPr>
                <w:rFonts w:ascii="Arial" w:cs="Arial" w:eastAsia="Arial" w:hAnsi="Arial"/>
                <w:sz w:val="18"/>
                <w:szCs w:val="18"/>
                <w:color w:val="auto"/>
              </w:rPr>
              <w:t>Tax Fees(2)</w:t>
            </w:r>
          </w:p>
        </w:tc>
        <w:tc>
          <w:tcPr>
            <w:tcW w:w="240" w:type="dxa"/>
            <w:vAlign w:val="bottom"/>
            <w:shd w:val="clear" w:color="auto" w:fill="CCECF8"/>
          </w:tcPr>
          <w:p>
            <w:pPr>
              <w:jc w:val="right"/>
              <w:ind w:right="52"/>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CF8"/>
          </w:tcPr>
          <w:p>
            <w:pPr>
              <w:jc w:val="right"/>
              <w:ind w:right="640"/>
              <w:spacing w:after="0"/>
              <w:rPr>
                <w:sz w:val="20"/>
                <w:szCs w:val="20"/>
                <w:color w:val="auto"/>
              </w:rPr>
            </w:pPr>
            <w:r>
              <w:rPr>
                <w:rFonts w:ascii="Arial" w:cs="Arial" w:eastAsia="Arial" w:hAnsi="Arial"/>
                <w:sz w:val="18"/>
                <w:szCs w:val="18"/>
                <w:color w:val="auto"/>
              </w:rPr>
              <w:t>84,300</w:t>
            </w:r>
          </w:p>
        </w:tc>
        <w:tc>
          <w:tcPr>
            <w:tcW w:w="240" w:type="dxa"/>
            <w:vAlign w:val="bottom"/>
            <w:shd w:val="clear" w:color="auto" w:fill="CCECF8"/>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CF8"/>
          </w:tcPr>
          <w:p>
            <w:pPr>
              <w:jc w:val="right"/>
              <w:ind w:right="60"/>
              <w:spacing w:after="0"/>
              <w:rPr>
                <w:sz w:val="20"/>
                <w:szCs w:val="20"/>
                <w:color w:val="auto"/>
              </w:rPr>
            </w:pPr>
            <w:r>
              <w:rPr>
                <w:rFonts w:ascii="Arial" w:cs="Arial" w:eastAsia="Arial" w:hAnsi="Arial"/>
                <w:sz w:val="18"/>
                <w:szCs w:val="18"/>
                <w:color w:val="auto"/>
              </w:rPr>
              <w:t>121,874</w:t>
            </w: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All Other Fees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6"/>
        </w:trPr>
        <w:tc>
          <w:tcPr>
            <w:tcW w:w="7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0"/>
        </w:trPr>
        <w:tc>
          <w:tcPr>
            <w:tcW w:w="7100" w:type="dxa"/>
            <w:vAlign w:val="bottom"/>
            <w:shd w:val="clear" w:color="auto" w:fill="CCECF8"/>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CF8"/>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CF8"/>
          </w:tcPr>
          <w:p>
            <w:pPr>
              <w:jc w:val="right"/>
              <w:spacing w:after="0"/>
              <w:rPr>
                <w:sz w:val="20"/>
                <w:szCs w:val="20"/>
                <w:color w:val="auto"/>
              </w:rPr>
            </w:pPr>
            <w:r>
              <w:rPr>
                <w:rFonts w:ascii="Arial" w:cs="Arial" w:eastAsia="Arial" w:hAnsi="Arial"/>
                <w:sz w:val="18"/>
                <w:szCs w:val="18"/>
                <w:color w:val="auto"/>
              </w:rPr>
              <w:t>584,759</w:t>
            </w:r>
          </w:p>
        </w:tc>
        <w:tc>
          <w:tcPr>
            <w:tcW w:w="640" w:type="dxa"/>
            <w:vAlign w:val="bottom"/>
            <w:shd w:val="clear" w:color="auto" w:fill="CCECF8"/>
          </w:tcPr>
          <w:p>
            <w:pPr>
              <w:spacing w:after="0"/>
              <w:rPr>
                <w:sz w:val="18"/>
                <w:szCs w:val="18"/>
                <w:color w:val="auto"/>
              </w:rPr>
            </w:pPr>
          </w:p>
        </w:tc>
        <w:tc>
          <w:tcPr>
            <w:tcW w:w="240" w:type="dxa"/>
            <w:vAlign w:val="bottom"/>
            <w:shd w:val="clear" w:color="auto" w:fill="CCECF8"/>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CF8"/>
          </w:tcPr>
          <w:p>
            <w:pPr>
              <w:jc w:val="right"/>
              <w:ind w:right="60"/>
              <w:spacing w:after="0"/>
              <w:rPr>
                <w:sz w:val="20"/>
                <w:szCs w:val="20"/>
                <w:color w:val="auto"/>
              </w:rPr>
            </w:pPr>
            <w:r>
              <w:rPr>
                <w:rFonts w:ascii="Arial" w:cs="Arial" w:eastAsia="Arial" w:hAnsi="Arial"/>
                <w:sz w:val="18"/>
                <w:szCs w:val="18"/>
                <w:color w:val="auto"/>
              </w:rPr>
              <w:t>593,874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233680</wp:posOffset>
            </wp:positionV>
            <wp:extent cx="12947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89" w:lineRule="exact"/>
        <w:rPr>
          <w:sz w:val="20"/>
          <w:szCs w:val="20"/>
          <w:color w:val="auto"/>
        </w:rPr>
      </w:pPr>
    </w:p>
    <w:p>
      <w:pPr>
        <w:ind w:left="760" w:hanging="413"/>
        <w:spacing w:after="0" w:line="252"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Audit Fees consist of fees for the audit of our annual consolidated financial statements, the review of our interim consolidated financial statements, the review of financial information included in our filings with the SEC (including our common stock offerings) and other professional services provided in connection with statutory and regulatory filings or engagements.</w:t>
      </w:r>
    </w:p>
    <w:p>
      <w:pPr>
        <w:spacing w:after="0" w:line="1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240" w:top="451" w:right="57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760" w:right="160" w:hanging="413"/>
        <w:spacing w:after="0" w:line="261"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Tax Fees consist of the aggregate fees billed in 2017 and 2016 for professional services rendered for transfer pricing, tax compliance, tax advice and tax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156210</wp:posOffset>
            </wp:positionV>
            <wp:extent cx="68160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Auditor Services Pre-Approval Policy</w:t>
      </w:r>
    </w:p>
    <w:p>
      <w:pPr>
        <w:spacing w:after="0" w:line="112" w:lineRule="exact"/>
        <w:rPr>
          <w:sz w:val="20"/>
          <w:szCs w:val="20"/>
          <w:color w:val="auto"/>
        </w:rPr>
      </w:pPr>
    </w:p>
    <w:p>
      <w:pPr>
        <w:ind w:left="340" w:firstLine="429"/>
        <w:spacing w:after="0" w:line="284" w:lineRule="auto"/>
        <w:rPr>
          <w:sz w:val="20"/>
          <w:szCs w:val="20"/>
          <w:color w:val="auto"/>
        </w:rPr>
      </w:pPr>
      <w:r>
        <w:rPr>
          <w:rFonts w:ascii="Arial" w:cs="Arial" w:eastAsia="Arial" w:hAnsi="Arial"/>
          <w:sz w:val="16"/>
          <w:szCs w:val="16"/>
          <w:color w:val="auto"/>
        </w:rPr>
        <w:t>The audit committee has adopted an auditor services pre-approval policy applicable to services performed for us by our independent auditor. In accordance with this policy, the audit committee’s practice is to approve annually all audit, audit-related and tax and other services to be provided by the independent auditor during the year. If a service to be provided is not pre-approved as part of the annual process or if it may exceed pre-approved fee levels, the service must receive a specific and separate pre-approval by the audit committee, which may delegate authority to grant such pre-approvals during the year to one or more independent members of the audit committee. Any pre-approvals granted pursuant to delegated authority must be reported to the audit committee at its next regular meeting.</w:t>
      </w:r>
    </w:p>
    <w:p>
      <w:pPr>
        <w:spacing w:after="0" w:line="167" w:lineRule="exact"/>
        <w:rPr>
          <w:sz w:val="20"/>
          <w:szCs w:val="20"/>
          <w:color w:val="auto"/>
        </w:rPr>
      </w:pPr>
    </w:p>
    <w:p>
      <w:pPr>
        <w:ind w:left="340" w:right="20" w:firstLine="429"/>
        <w:spacing w:after="0" w:line="252" w:lineRule="auto"/>
        <w:rPr>
          <w:sz w:val="20"/>
          <w:szCs w:val="20"/>
          <w:color w:val="auto"/>
        </w:rPr>
      </w:pPr>
      <w:r>
        <w:rPr>
          <w:rFonts w:ascii="Arial" w:cs="Arial" w:eastAsia="Arial" w:hAnsi="Arial"/>
          <w:sz w:val="18"/>
          <w:szCs w:val="18"/>
          <w:color w:val="auto"/>
        </w:rPr>
        <w:t>Our audit committee has determined that the provision of the non-audit services described in the table above was compatible with maintaining the independence of our independent auditor. The audit committee reviews each non-audit service to be provided and assesses the impact of the service on the auditor’s independence.</w:t>
      </w:r>
    </w:p>
    <w:p>
      <w:pPr>
        <w:spacing w:after="0" w:line="1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40"/>
          </w:cols>
          <w:pgMar w:left="240" w:top="451" w:right="61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42" w:lineRule="exact"/>
        <w:rPr>
          <w:sz w:val="20"/>
          <w:szCs w:val="20"/>
          <w:color w:val="auto"/>
        </w:rPr>
      </w:pPr>
    </w:p>
    <w:p>
      <w:pPr>
        <w:jc w:val="center"/>
        <w:ind w:left="600" w:right="440"/>
        <w:spacing w:after="0" w:line="280" w:lineRule="auto"/>
        <w:rPr>
          <w:sz w:val="20"/>
          <w:szCs w:val="20"/>
          <w:color w:val="auto"/>
        </w:rPr>
      </w:pPr>
      <w:r>
        <w:rPr>
          <w:rFonts w:ascii="Arial" w:cs="Arial" w:eastAsia="Arial" w:hAnsi="Arial"/>
          <w:sz w:val="35"/>
          <w:szCs w:val="35"/>
          <w:b w:val="1"/>
          <w:bCs w:val="1"/>
          <w:color w:val="00A1DF"/>
        </w:rPr>
        <w:t>ITEM 2 – RATIFICATION OF SELECTION OF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-591820</wp:posOffset>
            </wp:positionV>
            <wp:extent cx="68160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ind w:left="780"/>
        <w:spacing w:after="0"/>
        <w:rPr>
          <w:sz w:val="20"/>
          <w:szCs w:val="20"/>
          <w:color w:val="auto"/>
        </w:rPr>
      </w:pPr>
      <w:r>
        <w:rPr>
          <w:rFonts w:ascii="Arial" w:cs="Arial" w:eastAsia="Arial" w:hAnsi="Arial"/>
          <w:sz w:val="16"/>
          <w:szCs w:val="16"/>
          <w:color w:val="auto"/>
        </w:rPr>
        <w:t>The audit committee of our board of directors has selected KPMG LLP to serve as our independent auditor for the year ending December 31,</w:t>
      </w:r>
    </w:p>
    <w:p>
      <w:pPr>
        <w:spacing w:after="0" w:line="38" w:lineRule="exact"/>
        <w:rPr>
          <w:sz w:val="20"/>
          <w:szCs w:val="20"/>
          <w:color w:val="auto"/>
        </w:rPr>
      </w:pPr>
    </w:p>
    <w:p>
      <w:pPr>
        <w:jc w:val="both"/>
        <w:ind w:left="340"/>
        <w:spacing w:after="0" w:line="245" w:lineRule="auto"/>
        <w:rPr>
          <w:sz w:val="20"/>
          <w:szCs w:val="20"/>
          <w:color w:val="auto"/>
        </w:rPr>
      </w:pPr>
      <w:r>
        <w:rPr>
          <w:rFonts w:ascii="Arial" w:cs="Arial" w:eastAsia="Arial" w:hAnsi="Arial"/>
          <w:sz w:val="18"/>
          <w:szCs w:val="18"/>
          <w:color w:val="auto"/>
        </w:rPr>
        <w:t>2018. While it is not required to do so, our board of directors is submitting the selection of KPMG LLP for ratification in order to ascertain the views of our stockholders with respect to the choice of audit firm. If the selection is not ratified, the audit committee will reconsider its selection. Representatives of KPMG LLP are expected to be present at the annual meeting, will be available to answer stockholder questions and will have the opportunity to make a statement if they desire to do so.</w:t>
      </w:r>
    </w:p>
    <w:p>
      <w:pPr>
        <w:spacing w:after="0" w:line="84" w:lineRule="exact"/>
        <w:rPr>
          <w:sz w:val="20"/>
          <w:szCs w:val="20"/>
          <w:color w:val="auto"/>
        </w:rPr>
      </w:pPr>
    </w:p>
    <w:p>
      <w:pPr>
        <w:jc w:val="both"/>
        <w:ind w:left="340" w:right="400" w:firstLine="429"/>
        <w:spacing w:after="0" w:line="256" w:lineRule="auto"/>
        <w:rPr>
          <w:sz w:val="20"/>
          <w:szCs w:val="20"/>
          <w:color w:val="auto"/>
        </w:rPr>
      </w:pPr>
      <w:r>
        <w:rPr>
          <w:rFonts w:ascii="Arial" w:cs="Arial" w:eastAsia="Arial" w:hAnsi="Arial"/>
          <w:sz w:val="18"/>
          <w:szCs w:val="18"/>
          <w:b w:val="1"/>
          <w:bCs w:val="1"/>
          <w:color w:val="auto"/>
        </w:rPr>
        <w:t>The board of directors recommends that you vote FOR ratification of the selection of KPMG LLP as the independent auditor of SPS Commerce, Inc. and our subsidiaries for the year ending December 31, 2018. Proxies will be voted FOR ratification of this selection unless otherwise specified.</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240" w:top="451" w:right="59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42" w:lineRule="exact"/>
        <w:rPr>
          <w:sz w:val="20"/>
          <w:szCs w:val="20"/>
          <w:color w:val="auto"/>
        </w:rPr>
      </w:pPr>
    </w:p>
    <w:p>
      <w:pPr>
        <w:jc w:val="center"/>
        <w:ind w:left="700" w:right="320"/>
        <w:spacing w:after="0" w:line="261" w:lineRule="auto"/>
        <w:rPr>
          <w:sz w:val="20"/>
          <w:szCs w:val="20"/>
          <w:color w:val="auto"/>
        </w:rPr>
      </w:pPr>
      <w:r>
        <w:rPr>
          <w:rFonts w:ascii="Arial" w:cs="Arial" w:eastAsia="Arial" w:hAnsi="Arial"/>
          <w:sz w:val="35"/>
          <w:szCs w:val="35"/>
          <w:b w:val="1"/>
          <w:bCs w:val="1"/>
          <w:color w:val="00A1DF"/>
        </w:rPr>
        <w:t>ITEM 3 – ADVISORY VOTE TO APPROVE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-829310</wp:posOffset>
            </wp:positionV>
            <wp:extent cx="68160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9" w:lineRule="exact"/>
        <w:rPr>
          <w:sz w:val="20"/>
          <w:szCs w:val="20"/>
          <w:color w:val="auto"/>
        </w:rPr>
      </w:pPr>
    </w:p>
    <w:p>
      <w:pPr>
        <w:ind w:left="340" w:right="100" w:firstLine="429"/>
        <w:spacing w:after="0" w:line="284" w:lineRule="auto"/>
        <w:rPr>
          <w:sz w:val="20"/>
          <w:szCs w:val="20"/>
          <w:color w:val="auto"/>
        </w:rPr>
      </w:pPr>
      <w:r>
        <w:rPr>
          <w:rFonts w:ascii="Arial" w:cs="Arial" w:eastAsia="Arial" w:hAnsi="Arial"/>
          <w:sz w:val="16"/>
          <w:szCs w:val="16"/>
          <w:color w:val="auto"/>
        </w:rPr>
        <w:t>We are providing our stockholders the opportunity to cast an advisory (non-binding) vote to approve the compensation of our named executive officers as disclosed in this proxy statement. As described in the Compensation Discussion and Analysis (“CD&amp;A”), we have designed the compensation arrangements for our named executive officers to provide compensation in overall amounts and in forms that attract and retain talented and experienced individuals and motivate our executive officers to achieve the goals that are important to our growth. During 2017, our compensation primarily consisted of base salary, annual cash incentive awards, stock options, RSU awards and PSU awards, which helps align the incentives of our named executive officers with the interests of our stockholders.</w:t>
      </w:r>
    </w:p>
    <w:p>
      <w:pPr>
        <w:spacing w:after="0" w:line="62" w:lineRule="exact"/>
        <w:rPr>
          <w:sz w:val="20"/>
          <w:szCs w:val="20"/>
          <w:color w:val="auto"/>
        </w:rPr>
      </w:pPr>
    </w:p>
    <w:p>
      <w:pPr>
        <w:jc w:val="both"/>
        <w:ind w:left="340" w:right="40" w:firstLine="429"/>
        <w:spacing w:after="0" w:line="252" w:lineRule="auto"/>
        <w:rPr>
          <w:sz w:val="20"/>
          <w:szCs w:val="20"/>
          <w:color w:val="auto"/>
        </w:rPr>
      </w:pPr>
      <w:r>
        <w:rPr>
          <w:rFonts w:ascii="Arial" w:cs="Arial" w:eastAsia="Arial" w:hAnsi="Arial"/>
          <w:sz w:val="18"/>
          <w:szCs w:val="18"/>
          <w:color w:val="auto"/>
        </w:rPr>
        <w:t>We ask our stockholders to cast an advisory vote on our executive compensation program at each annual meeting. As a result, we are presenting this proposal, which gives you, as a stockholder, the opportunity to endorse our executive compensation program by voting for or against the following resolution:</w:t>
      </w:r>
    </w:p>
    <w:p>
      <w:pPr>
        <w:spacing w:after="0" w:line="85" w:lineRule="exact"/>
        <w:rPr>
          <w:sz w:val="20"/>
          <w:szCs w:val="20"/>
          <w:color w:val="auto"/>
        </w:rPr>
      </w:pPr>
    </w:p>
    <w:p>
      <w:pPr>
        <w:ind w:left="780" w:right="680"/>
        <w:spacing w:after="0" w:line="362" w:lineRule="auto"/>
        <w:rPr>
          <w:sz w:val="20"/>
          <w:szCs w:val="20"/>
          <w:color w:val="auto"/>
        </w:rPr>
      </w:pPr>
      <w:r>
        <w:rPr>
          <w:rFonts w:ascii="Arial" w:cs="Arial" w:eastAsia="Arial" w:hAnsi="Arial"/>
          <w:sz w:val="15"/>
          <w:szCs w:val="15"/>
          <w:color w:val="auto"/>
        </w:rPr>
        <w:t>“RESOLVED, that the stockholders approve the compensation of the SPS Commerce, Inc. named executive officers, as disclosed in the Compensation Discussion and Analysis, the compensation tables, and the related disclosure contained in our 2017 proxy statement.”</w:t>
      </w:r>
    </w:p>
    <w:p>
      <w:pPr>
        <w:spacing w:after="0" w:line="6" w:lineRule="exact"/>
        <w:rPr>
          <w:sz w:val="20"/>
          <w:szCs w:val="20"/>
          <w:color w:val="auto"/>
        </w:rPr>
      </w:pPr>
    </w:p>
    <w:p>
      <w:pPr>
        <w:jc w:val="both"/>
        <w:ind w:left="340" w:firstLine="429"/>
        <w:spacing w:after="0" w:line="249" w:lineRule="auto"/>
        <w:rPr>
          <w:sz w:val="20"/>
          <w:szCs w:val="20"/>
          <w:color w:val="auto"/>
        </w:rPr>
      </w:pPr>
      <w:r>
        <w:rPr>
          <w:rFonts w:ascii="Arial" w:cs="Arial" w:eastAsia="Arial" w:hAnsi="Arial"/>
          <w:sz w:val="18"/>
          <w:szCs w:val="18"/>
          <w:color w:val="auto"/>
        </w:rPr>
        <w:t>The compensation committee believes that the executive compensation for 2017 is reasonable and appropriate, is justified by our performance in an extremely difficult economic environment and is the result of a carefully considered approach. In deciding how to vote on this proposal, the board of directors asks you to consider the key points with regard to our executive compensation program included in the CD&amp;A on pages 19-24 of this proxy statement.</w:t>
      </w:r>
    </w:p>
    <w:p>
      <w:pPr>
        <w:spacing w:after="0" w:line="88" w:lineRule="exact"/>
        <w:rPr>
          <w:sz w:val="20"/>
          <w:szCs w:val="20"/>
          <w:color w:val="auto"/>
        </w:rPr>
      </w:pPr>
    </w:p>
    <w:p>
      <w:pPr>
        <w:ind w:left="340" w:right="80" w:firstLine="429"/>
        <w:spacing w:after="0" w:line="282" w:lineRule="auto"/>
        <w:rPr>
          <w:sz w:val="20"/>
          <w:szCs w:val="20"/>
          <w:color w:val="auto"/>
        </w:rPr>
      </w:pPr>
      <w:r>
        <w:rPr>
          <w:rFonts w:ascii="Arial" w:cs="Arial" w:eastAsia="Arial" w:hAnsi="Arial"/>
          <w:sz w:val="16"/>
          <w:szCs w:val="16"/>
          <w:color w:val="auto"/>
        </w:rPr>
        <w:t>Because your vote is advisory, it will not be binding on the board of directors or the compensation committee and will not overrule any decision by the board or the compensation committee or require the board or the committee to take any action. However, the board of directors and the compensation committee will carefully review the voting results. To the extent there is any significant negative vote on this proposal, we may consult directly with stockholders to better understand the concerns that influenced the vote. The board of directors and the compensation committee consider constructive feedback obtained through this process in making future decisions about our executive compensation program. The next advisory vote on the compensation of our named executive officers will occur at our 2019 Annual Meeting of Stockholders. The next advisory vote regarding the frequency of such votes will also occur at our 2019 Annual Meeting of Stockholders.</w:t>
      </w:r>
    </w:p>
    <w:p>
      <w:pPr>
        <w:spacing w:after="0" w:line="59" w:lineRule="exact"/>
        <w:rPr>
          <w:sz w:val="20"/>
          <w:szCs w:val="20"/>
          <w:color w:val="auto"/>
        </w:rPr>
      </w:pPr>
    </w:p>
    <w:p>
      <w:pPr>
        <w:ind w:left="340" w:right="80" w:firstLine="429"/>
        <w:spacing w:after="0" w:line="268" w:lineRule="auto"/>
        <w:rPr>
          <w:sz w:val="20"/>
          <w:szCs w:val="20"/>
          <w:color w:val="auto"/>
        </w:rPr>
      </w:pPr>
      <w:r>
        <w:rPr>
          <w:rFonts w:ascii="Arial" w:cs="Arial" w:eastAsia="Arial" w:hAnsi="Arial"/>
          <w:sz w:val="18"/>
          <w:szCs w:val="18"/>
          <w:b w:val="1"/>
          <w:bCs w:val="1"/>
          <w:color w:val="auto"/>
        </w:rPr>
        <w:t>The board of directors, upon recommendation of the compensation committee, unanimously recommends a vote “FOR” approval of the compensation of our named executive officers.</w:t>
      </w:r>
    </w:p>
    <w:p>
      <w:pPr>
        <w:spacing w:after="0" w:line="10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240" w:top="451" w:right="67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42" w:lineRule="exact"/>
        <w:rPr>
          <w:sz w:val="20"/>
          <w:szCs w:val="20"/>
          <w:color w:val="auto"/>
        </w:rPr>
      </w:pPr>
    </w:p>
    <w:p>
      <w:pPr>
        <w:jc w:val="center"/>
        <w:ind w:right="-399"/>
        <w:spacing w:after="0"/>
        <w:rPr>
          <w:sz w:val="20"/>
          <w:szCs w:val="20"/>
          <w:color w:val="auto"/>
        </w:rPr>
      </w:pPr>
      <w:r>
        <w:rPr>
          <w:rFonts w:ascii="Arial" w:cs="Arial" w:eastAsia="Arial" w:hAnsi="Arial"/>
          <w:sz w:val="35"/>
          <w:szCs w:val="35"/>
          <w:b w:val="1"/>
          <w:bCs w:val="1"/>
          <w:color w:val="00A1DF"/>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-250825</wp:posOffset>
            </wp:positionV>
            <wp:extent cx="68160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14" w:lineRule="exact"/>
        <w:rPr>
          <w:sz w:val="20"/>
          <w:szCs w:val="20"/>
          <w:color w:val="auto"/>
        </w:rPr>
      </w:pPr>
    </w:p>
    <w:p>
      <w:pPr>
        <w:ind w:left="340"/>
        <w:spacing w:after="0" w:line="272" w:lineRule="auto"/>
        <w:rPr>
          <w:sz w:val="20"/>
          <w:szCs w:val="20"/>
          <w:color w:val="auto"/>
        </w:rPr>
      </w:pPr>
      <w:r>
        <w:rPr>
          <w:rFonts w:ascii="Arial" w:cs="Arial" w:eastAsia="Arial" w:hAnsi="Arial"/>
          <w:sz w:val="19"/>
          <w:szCs w:val="19"/>
          <w:b w:val="1"/>
          <w:bCs w:val="1"/>
          <w:color w:val="auto"/>
        </w:rPr>
        <w:t>Beneficial Ownership of Directors, Nominees, Executive Officers and Beneficial Owners of More than Five Percent of Our Common Stock</w:t>
      </w:r>
    </w:p>
    <w:p>
      <w:pPr>
        <w:spacing w:after="0" w:line="46" w:lineRule="exact"/>
        <w:rPr>
          <w:sz w:val="20"/>
          <w:szCs w:val="20"/>
          <w:color w:val="auto"/>
        </w:rPr>
      </w:pPr>
    </w:p>
    <w:p>
      <w:pPr>
        <w:ind w:left="340" w:right="60" w:firstLine="429"/>
        <w:spacing w:after="0" w:line="284" w:lineRule="auto"/>
        <w:rPr>
          <w:sz w:val="20"/>
          <w:szCs w:val="20"/>
          <w:color w:val="auto"/>
        </w:rPr>
      </w:pPr>
      <w:r>
        <w:rPr>
          <w:rFonts w:ascii="Arial" w:cs="Arial" w:eastAsia="Arial" w:hAnsi="Arial"/>
          <w:sz w:val="16"/>
          <w:szCs w:val="16"/>
          <w:color w:val="auto"/>
        </w:rPr>
        <w:t>The following table shows how many shares of our common stock were beneficially owned as of April 2, 2018 by each of the persons known by us to be beneficial owners of more than 5% of our common stock, our directors, the director nominees and the executive officers named in the 2017 Summary Compensation Table contained in this proxy statement, and by all of our directors and executive officers as a group. Percentage ownership of our common stock in the table is based on 17,109,949 shares of our common stock issued and outstanding on April 2, 2018. Except as otherwise noted below, persons have sole voting and investment power and the address for each director or officer listed in the table is c/o SPS Commerce, Inc., 333 South Seventh Street, Suite 1000, Minneapolis, Minnesota 55402.</w:t>
      </w:r>
    </w:p>
    <w:p>
      <w:pPr>
        <w:spacing w:after="0" w:line="181" w:lineRule="exact"/>
        <w:rPr>
          <w:sz w:val="20"/>
          <w:szCs w:val="20"/>
          <w:color w:val="auto"/>
        </w:rPr>
      </w:pPr>
    </w:p>
    <w:tbl>
      <w:tblPr>
        <w:tblLayout w:type="fixed"/>
        <w:tblInd w:w="780"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80" w:type="dxa"/>
            <w:vAlign w:val="bottom"/>
            <w:gridSpan w:val="2"/>
          </w:tcPr>
          <w:p>
            <w:pPr>
              <w:jc w:val="right"/>
              <w:ind w:right="960"/>
              <w:spacing w:after="0"/>
              <w:rPr>
                <w:sz w:val="20"/>
                <w:szCs w:val="20"/>
                <w:color w:val="auto"/>
              </w:rPr>
            </w:pPr>
            <w:r>
              <w:rPr>
                <w:rFonts w:ascii="Arial" w:cs="Arial" w:eastAsia="Arial" w:hAnsi="Arial"/>
                <w:sz w:val="12"/>
                <w:szCs w:val="12"/>
                <w:b w:val="1"/>
                <w:bCs w:val="1"/>
                <w:color w:val="auto"/>
              </w:rPr>
              <w:t>Amount and Nature of</w:t>
            </w:r>
          </w:p>
        </w:tc>
        <w:tc>
          <w:tcPr>
            <w:tcW w:w="13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8"/>
              </w:rPr>
              <w:t>Percentage of</w:t>
            </w:r>
          </w:p>
        </w:tc>
      </w:tr>
      <w:tr>
        <w:trPr>
          <w:trHeight w:val="156"/>
        </w:trPr>
        <w:tc>
          <w:tcPr>
            <w:tcW w:w="6240" w:type="dxa"/>
            <w:vAlign w:val="bottom"/>
            <w:gridSpan w:val="2"/>
          </w:tcPr>
          <w:p>
            <w:pPr>
              <w:spacing w:after="0"/>
              <w:rPr>
                <w:sz w:val="20"/>
                <w:szCs w:val="20"/>
                <w:color w:val="auto"/>
              </w:rPr>
            </w:pPr>
            <w:r>
              <w:rPr>
                <w:rFonts w:ascii="Arial" w:cs="Arial" w:eastAsia="Arial" w:hAnsi="Arial"/>
                <w:sz w:val="12"/>
                <w:szCs w:val="12"/>
                <w:b w:val="1"/>
                <w:bCs w:val="1"/>
                <w:color w:val="auto"/>
              </w:rPr>
              <w:t>Name of Beneficial Owner</w:t>
            </w:r>
          </w:p>
        </w:tc>
        <w:tc>
          <w:tcPr>
            <w:tcW w:w="2280" w:type="dxa"/>
            <w:vAlign w:val="bottom"/>
            <w:gridSpan w:val="2"/>
          </w:tcPr>
          <w:p>
            <w:pPr>
              <w:jc w:val="right"/>
              <w:ind w:right="980"/>
              <w:spacing w:after="0"/>
              <w:rPr>
                <w:sz w:val="20"/>
                <w:szCs w:val="20"/>
                <w:color w:val="auto"/>
              </w:rPr>
            </w:pPr>
            <w:r>
              <w:rPr>
                <w:rFonts w:ascii="Arial" w:cs="Arial" w:eastAsia="Arial" w:hAnsi="Arial"/>
                <w:sz w:val="12"/>
                <w:szCs w:val="12"/>
                <w:b w:val="1"/>
                <w:bCs w:val="1"/>
                <w:color w:val="auto"/>
              </w:rPr>
              <w:t>Beneficial Ownership</w:t>
            </w:r>
          </w:p>
        </w:tc>
        <w:tc>
          <w:tcPr>
            <w:tcW w:w="13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9"/>
              </w:rPr>
              <w:t>Outstanding Shares</w:t>
            </w:r>
          </w:p>
        </w:tc>
      </w:tr>
      <w:tr>
        <w:trPr>
          <w:trHeight w:val="184"/>
        </w:trPr>
        <w:tc>
          <w:tcPr>
            <w:tcW w:w="1620" w:type="dxa"/>
            <w:vAlign w:val="bottom"/>
            <w:tcBorders>
              <w:top w:val="single" w:sz="8" w:color="auto"/>
            </w:tcBorders>
            <w:shd w:val="clear" w:color="auto" w:fill="CCECF8"/>
          </w:tcPr>
          <w:p>
            <w:pPr>
              <w:spacing w:after="0" w:line="184" w:lineRule="exact"/>
              <w:rPr>
                <w:sz w:val="20"/>
                <w:szCs w:val="20"/>
                <w:color w:val="auto"/>
              </w:rPr>
            </w:pPr>
            <w:r>
              <w:rPr>
                <w:rFonts w:ascii="Arial" w:cs="Arial" w:eastAsia="Arial" w:hAnsi="Arial"/>
                <w:sz w:val="18"/>
                <w:szCs w:val="18"/>
                <w:b w:val="1"/>
                <w:bCs w:val="1"/>
                <w:i w:val="1"/>
                <w:iCs w:val="1"/>
                <w:color w:val="auto"/>
                <w:w w:val="82"/>
              </w:rPr>
              <w:t>Executive Officers and</w:t>
            </w:r>
          </w:p>
        </w:tc>
        <w:tc>
          <w:tcPr>
            <w:tcW w:w="4620" w:type="dxa"/>
            <w:vAlign w:val="bottom"/>
            <w:tcBorders>
              <w:top w:val="single" w:sz="8" w:color="CCECF8"/>
            </w:tcBorders>
            <w:shd w:val="clear" w:color="auto" w:fill="CCECF8"/>
          </w:tcPr>
          <w:p>
            <w:pPr>
              <w:ind w:left="80"/>
              <w:spacing w:after="0" w:line="184" w:lineRule="exact"/>
              <w:rPr>
                <w:sz w:val="20"/>
                <w:szCs w:val="20"/>
                <w:color w:val="auto"/>
              </w:rPr>
            </w:pPr>
            <w:r>
              <w:rPr>
                <w:rFonts w:ascii="Arial" w:cs="Arial" w:eastAsia="Arial" w:hAnsi="Arial"/>
                <w:sz w:val="18"/>
                <w:szCs w:val="18"/>
                <w:b w:val="1"/>
                <w:bCs w:val="1"/>
                <w:i w:val="1"/>
                <w:iCs w:val="1"/>
                <w:color w:val="auto"/>
              </w:rPr>
              <w:t>Directors:</w:t>
            </w:r>
          </w:p>
        </w:tc>
        <w:tc>
          <w:tcPr>
            <w:tcW w:w="1460" w:type="dxa"/>
            <w:vAlign w:val="bottom"/>
            <w:tcBorders>
              <w:top w:val="single" w:sz="8" w:color="auto"/>
            </w:tcBorders>
            <w:shd w:val="clear" w:color="auto" w:fill="CCECF8"/>
          </w:tcPr>
          <w:p>
            <w:pPr>
              <w:spacing w:after="0"/>
              <w:rPr>
                <w:sz w:val="16"/>
                <w:szCs w:val="16"/>
                <w:color w:val="auto"/>
              </w:rPr>
            </w:pPr>
          </w:p>
        </w:tc>
        <w:tc>
          <w:tcPr>
            <w:tcW w:w="820" w:type="dxa"/>
            <w:vAlign w:val="bottom"/>
            <w:tcBorders>
              <w:top w:val="single" w:sz="8" w:color="CCECF8"/>
            </w:tcBorders>
            <w:shd w:val="clear" w:color="auto" w:fill="CCECF8"/>
          </w:tcPr>
          <w:p>
            <w:pPr>
              <w:spacing w:after="0"/>
              <w:rPr>
                <w:sz w:val="16"/>
                <w:szCs w:val="16"/>
                <w:color w:val="auto"/>
              </w:rPr>
            </w:pPr>
          </w:p>
        </w:tc>
        <w:tc>
          <w:tcPr>
            <w:tcW w:w="1300" w:type="dxa"/>
            <w:vAlign w:val="bottom"/>
            <w:tcBorders>
              <w:top w:val="single" w:sz="8" w:color="auto"/>
            </w:tcBorders>
            <w:shd w:val="clear" w:color="auto" w:fill="CCECF8"/>
          </w:tcPr>
          <w:p>
            <w:pPr>
              <w:spacing w:after="0"/>
              <w:rPr>
                <w:sz w:val="16"/>
                <w:szCs w:val="16"/>
                <w:color w:val="auto"/>
              </w:rPr>
            </w:pPr>
          </w:p>
        </w:tc>
        <w:tc>
          <w:tcPr>
            <w:tcW w:w="40" w:type="dxa"/>
            <w:vAlign w:val="bottom"/>
            <w:tcBorders>
              <w:top w:val="single" w:sz="8" w:color="CCECF8"/>
            </w:tcBorders>
            <w:shd w:val="clear" w:color="auto" w:fill="CCECF8"/>
          </w:tcPr>
          <w:p>
            <w:pPr>
              <w:spacing w:after="0"/>
              <w:rPr>
                <w:sz w:val="16"/>
                <w:szCs w:val="16"/>
                <w:color w:val="auto"/>
              </w:rPr>
            </w:pPr>
          </w:p>
        </w:tc>
      </w:tr>
      <w:tr>
        <w:trPr>
          <w:trHeight w:val="210"/>
        </w:trPr>
        <w:tc>
          <w:tcPr>
            <w:tcW w:w="6240" w:type="dxa"/>
            <w:vAlign w:val="bottom"/>
            <w:gridSpan w:val="2"/>
          </w:tcPr>
          <w:p>
            <w:pPr>
              <w:spacing w:after="0"/>
              <w:rPr>
                <w:sz w:val="20"/>
                <w:szCs w:val="20"/>
                <w:color w:val="auto"/>
              </w:rPr>
            </w:pPr>
            <w:r>
              <w:rPr>
                <w:rFonts w:ascii="Arial" w:cs="Arial" w:eastAsia="Arial" w:hAnsi="Arial"/>
                <w:sz w:val="18"/>
                <w:szCs w:val="18"/>
                <w:color w:val="auto"/>
              </w:rPr>
              <w:t>Archie C. Black</w:t>
            </w:r>
          </w:p>
        </w:tc>
        <w:tc>
          <w:tcPr>
            <w:tcW w:w="2280" w:type="dxa"/>
            <w:vAlign w:val="bottom"/>
            <w:gridSpan w:val="2"/>
          </w:tcPr>
          <w:p>
            <w:pPr>
              <w:jc w:val="right"/>
              <w:ind w:right="620"/>
              <w:spacing w:after="0"/>
              <w:rPr>
                <w:sz w:val="20"/>
                <w:szCs w:val="20"/>
                <w:color w:val="auto"/>
              </w:rPr>
            </w:pPr>
            <w:r>
              <w:rPr>
                <w:rFonts w:ascii="Arial" w:cs="Arial" w:eastAsia="Arial" w:hAnsi="Arial"/>
                <w:sz w:val="18"/>
                <w:szCs w:val="18"/>
                <w:color w:val="auto"/>
              </w:rPr>
              <w:t>235,869(1)</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0"/>
        </w:trPr>
        <w:tc>
          <w:tcPr>
            <w:tcW w:w="6240" w:type="dxa"/>
            <w:vAlign w:val="bottom"/>
            <w:gridSpan w:val="2"/>
            <w:shd w:val="clear" w:color="auto" w:fill="CCECF8"/>
          </w:tcPr>
          <w:p>
            <w:pPr>
              <w:spacing w:after="0"/>
              <w:rPr>
                <w:sz w:val="20"/>
                <w:szCs w:val="20"/>
                <w:color w:val="auto"/>
              </w:rPr>
            </w:pPr>
            <w:r>
              <w:rPr>
                <w:rFonts w:ascii="Arial" w:cs="Arial" w:eastAsia="Arial" w:hAnsi="Arial"/>
                <w:sz w:val="18"/>
                <w:szCs w:val="18"/>
                <w:color w:val="auto"/>
              </w:rPr>
              <w:t>James J. Frome</w:t>
            </w:r>
          </w:p>
        </w:tc>
        <w:tc>
          <w:tcPr>
            <w:tcW w:w="2280" w:type="dxa"/>
            <w:vAlign w:val="bottom"/>
            <w:gridSpan w:val="2"/>
            <w:shd w:val="clear" w:color="auto" w:fill="CCECF8"/>
          </w:tcPr>
          <w:p>
            <w:pPr>
              <w:jc w:val="right"/>
              <w:ind w:right="620"/>
              <w:spacing w:after="0"/>
              <w:rPr>
                <w:sz w:val="20"/>
                <w:szCs w:val="20"/>
                <w:color w:val="auto"/>
              </w:rPr>
            </w:pPr>
            <w:r>
              <w:rPr>
                <w:rFonts w:ascii="Arial" w:cs="Arial" w:eastAsia="Arial" w:hAnsi="Arial"/>
                <w:sz w:val="18"/>
                <w:szCs w:val="18"/>
                <w:color w:val="auto"/>
              </w:rPr>
              <w:t>73,694(2)</w:t>
            </w:r>
          </w:p>
        </w:tc>
        <w:tc>
          <w:tcPr>
            <w:tcW w:w="1300" w:type="dxa"/>
            <w:vAlign w:val="bottom"/>
            <w:shd w:val="clear" w:color="auto" w:fill="CCECF8"/>
          </w:tcPr>
          <w:p>
            <w:pPr>
              <w:jc w:val="right"/>
              <w:ind w:right="95"/>
              <w:spacing w:after="0"/>
              <w:rPr>
                <w:sz w:val="20"/>
                <w:szCs w:val="20"/>
                <w:color w:val="auto"/>
              </w:rPr>
            </w:pPr>
            <w:r>
              <w:rPr>
                <w:rFonts w:ascii="Arial" w:cs="Arial" w:eastAsia="Arial" w:hAnsi="Arial"/>
                <w:sz w:val="18"/>
                <w:szCs w:val="18"/>
                <w:color w:val="auto"/>
              </w:rPr>
              <w:t>*</w:t>
            </w:r>
          </w:p>
        </w:tc>
        <w:tc>
          <w:tcPr>
            <w:tcW w:w="40" w:type="dxa"/>
            <w:vAlign w:val="bottom"/>
            <w:shd w:val="clear" w:color="auto" w:fill="CCECF8"/>
          </w:tcPr>
          <w:p>
            <w:pPr>
              <w:spacing w:after="0"/>
              <w:rPr>
                <w:sz w:val="18"/>
                <w:szCs w:val="18"/>
                <w:color w:val="auto"/>
              </w:rPr>
            </w:pPr>
          </w:p>
        </w:tc>
      </w:tr>
      <w:tr>
        <w:trPr>
          <w:trHeight w:val="210"/>
        </w:trPr>
        <w:tc>
          <w:tcPr>
            <w:tcW w:w="6240" w:type="dxa"/>
            <w:vAlign w:val="bottom"/>
            <w:gridSpan w:val="2"/>
          </w:tcPr>
          <w:p>
            <w:pPr>
              <w:spacing w:after="0"/>
              <w:rPr>
                <w:sz w:val="20"/>
                <w:szCs w:val="20"/>
                <w:color w:val="auto"/>
              </w:rPr>
            </w:pPr>
            <w:r>
              <w:rPr>
                <w:rFonts w:ascii="Arial" w:cs="Arial" w:eastAsia="Arial" w:hAnsi="Arial"/>
                <w:sz w:val="18"/>
                <w:szCs w:val="18"/>
                <w:color w:val="auto"/>
              </w:rPr>
              <w:t>Melvin L. Keating</w:t>
            </w:r>
          </w:p>
        </w:tc>
        <w:tc>
          <w:tcPr>
            <w:tcW w:w="2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0"/>
        </w:trPr>
        <w:tc>
          <w:tcPr>
            <w:tcW w:w="6240" w:type="dxa"/>
            <w:vAlign w:val="bottom"/>
            <w:gridSpan w:val="2"/>
            <w:shd w:val="clear" w:color="auto" w:fill="CCECF8"/>
          </w:tcPr>
          <w:p>
            <w:pPr>
              <w:spacing w:after="0"/>
              <w:rPr>
                <w:sz w:val="20"/>
                <w:szCs w:val="20"/>
                <w:color w:val="auto"/>
              </w:rPr>
            </w:pPr>
            <w:r>
              <w:rPr>
                <w:rFonts w:ascii="Arial" w:cs="Arial" w:eastAsia="Arial" w:hAnsi="Arial"/>
                <w:sz w:val="18"/>
                <w:szCs w:val="18"/>
                <w:color w:val="auto"/>
              </w:rPr>
              <w:t>Martin J. Leestma</w:t>
            </w:r>
          </w:p>
        </w:tc>
        <w:tc>
          <w:tcPr>
            <w:tcW w:w="2280" w:type="dxa"/>
            <w:vAlign w:val="bottom"/>
            <w:gridSpan w:val="2"/>
            <w:shd w:val="clear" w:color="auto" w:fill="CCECF8"/>
          </w:tcPr>
          <w:p>
            <w:pPr>
              <w:jc w:val="right"/>
              <w:ind w:right="620"/>
              <w:spacing w:after="0"/>
              <w:rPr>
                <w:sz w:val="20"/>
                <w:szCs w:val="20"/>
                <w:color w:val="auto"/>
              </w:rPr>
            </w:pPr>
            <w:r>
              <w:rPr>
                <w:rFonts w:ascii="Arial" w:cs="Arial" w:eastAsia="Arial" w:hAnsi="Arial"/>
                <w:sz w:val="18"/>
                <w:szCs w:val="18"/>
                <w:color w:val="auto"/>
              </w:rPr>
              <w:t>42,163(3)</w:t>
            </w:r>
          </w:p>
        </w:tc>
        <w:tc>
          <w:tcPr>
            <w:tcW w:w="1300" w:type="dxa"/>
            <w:vAlign w:val="bottom"/>
            <w:shd w:val="clear" w:color="auto" w:fill="CCECF8"/>
          </w:tcPr>
          <w:p>
            <w:pPr>
              <w:jc w:val="right"/>
              <w:ind w:right="95"/>
              <w:spacing w:after="0"/>
              <w:rPr>
                <w:sz w:val="20"/>
                <w:szCs w:val="20"/>
                <w:color w:val="auto"/>
              </w:rPr>
            </w:pPr>
            <w:r>
              <w:rPr>
                <w:rFonts w:ascii="Arial" w:cs="Arial" w:eastAsia="Arial" w:hAnsi="Arial"/>
                <w:sz w:val="18"/>
                <w:szCs w:val="18"/>
                <w:color w:val="auto"/>
              </w:rPr>
              <w:t>*</w:t>
            </w:r>
          </w:p>
        </w:tc>
        <w:tc>
          <w:tcPr>
            <w:tcW w:w="40" w:type="dxa"/>
            <w:vAlign w:val="bottom"/>
            <w:shd w:val="clear" w:color="auto" w:fill="CCECF8"/>
          </w:tcPr>
          <w:p>
            <w:pPr>
              <w:spacing w:after="0"/>
              <w:rPr>
                <w:sz w:val="18"/>
                <w:szCs w:val="18"/>
                <w:color w:val="auto"/>
              </w:rPr>
            </w:pPr>
          </w:p>
        </w:tc>
      </w:tr>
      <w:tr>
        <w:trPr>
          <w:trHeight w:val="210"/>
        </w:trPr>
        <w:tc>
          <w:tcPr>
            <w:tcW w:w="6240" w:type="dxa"/>
            <w:vAlign w:val="bottom"/>
            <w:gridSpan w:val="2"/>
          </w:tcPr>
          <w:p>
            <w:pPr>
              <w:spacing w:after="0"/>
              <w:rPr>
                <w:sz w:val="20"/>
                <w:szCs w:val="20"/>
                <w:color w:val="auto"/>
              </w:rPr>
            </w:pPr>
            <w:r>
              <w:rPr>
                <w:rFonts w:ascii="Arial" w:cs="Arial" w:eastAsia="Arial" w:hAnsi="Arial"/>
                <w:sz w:val="18"/>
                <w:szCs w:val="18"/>
                <w:color w:val="auto"/>
              </w:rPr>
              <w:t>Michael J. McConnell</w:t>
            </w:r>
          </w:p>
        </w:tc>
        <w:tc>
          <w:tcPr>
            <w:tcW w:w="2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0"/>
        </w:trPr>
        <w:tc>
          <w:tcPr>
            <w:tcW w:w="6240" w:type="dxa"/>
            <w:vAlign w:val="bottom"/>
            <w:gridSpan w:val="2"/>
            <w:shd w:val="clear" w:color="auto" w:fill="CCECF8"/>
          </w:tcPr>
          <w:p>
            <w:pPr>
              <w:spacing w:after="0"/>
              <w:rPr>
                <w:sz w:val="20"/>
                <w:szCs w:val="20"/>
                <w:color w:val="auto"/>
              </w:rPr>
            </w:pPr>
            <w:r>
              <w:rPr>
                <w:rFonts w:ascii="Arial" w:cs="Arial" w:eastAsia="Arial" w:hAnsi="Arial"/>
                <w:sz w:val="18"/>
                <w:szCs w:val="18"/>
                <w:color w:val="auto"/>
              </w:rPr>
              <w:t>Kimberly K. Nelson</w:t>
            </w:r>
          </w:p>
        </w:tc>
        <w:tc>
          <w:tcPr>
            <w:tcW w:w="2280" w:type="dxa"/>
            <w:vAlign w:val="bottom"/>
            <w:gridSpan w:val="2"/>
            <w:shd w:val="clear" w:color="auto" w:fill="CCECF8"/>
          </w:tcPr>
          <w:p>
            <w:pPr>
              <w:jc w:val="right"/>
              <w:ind w:right="620"/>
              <w:spacing w:after="0"/>
              <w:rPr>
                <w:sz w:val="20"/>
                <w:szCs w:val="20"/>
                <w:color w:val="auto"/>
              </w:rPr>
            </w:pPr>
            <w:r>
              <w:rPr>
                <w:rFonts w:ascii="Arial" w:cs="Arial" w:eastAsia="Arial" w:hAnsi="Arial"/>
                <w:sz w:val="18"/>
                <w:szCs w:val="18"/>
                <w:color w:val="auto"/>
              </w:rPr>
              <w:t>152,870(4)</w:t>
            </w:r>
          </w:p>
        </w:tc>
        <w:tc>
          <w:tcPr>
            <w:tcW w:w="1300" w:type="dxa"/>
            <w:vAlign w:val="bottom"/>
            <w:shd w:val="clear" w:color="auto" w:fill="CCECF8"/>
          </w:tcPr>
          <w:p>
            <w:pPr>
              <w:jc w:val="right"/>
              <w:ind w:right="95"/>
              <w:spacing w:after="0"/>
              <w:rPr>
                <w:sz w:val="20"/>
                <w:szCs w:val="20"/>
                <w:color w:val="auto"/>
              </w:rPr>
            </w:pPr>
            <w:r>
              <w:rPr>
                <w:rFonts w:ascii="Arial" w:cs="Arial" w:eastAsia="Arial" w:hAnsi="Arial"/>
                <w:sz w:val="18"/>
                <w:szCs w:val="18"/>
                <w:color w:val="auto"/>
              </w:rPr>
              <w:t>*</w:t>
            </w:r>
          </w:p>
        </w:tc>
        <w:tc>
          <w:tcPr>
            <w:tcW w:w="40" w:type="dxa"/>
            <w:vAlign w:val="bottom"/>
            <w:shd w:val="clear" w:color="auto" w:fill="CCECF8"/>
          </w:tcPr>
          <w:p>
            <w:pPr>
              <w:spacing w:after="0"/>
              <w:rPr>
                <w:sz w:val="18"/>
                <w:szCs w:val="18"/>
                <w:color w:val="auto"/>
              </w:rPr>
            </w:pPr>
          </w:p>
        </w:tc>
      </w:tr>
      <w:tr>
        <w:trPr>
          <w:trHeight w:val="210"/>
        </w:trPr>
        <w:tc>
          <w:tcPr>
            <w:tcW w:w="6240" w:type="dxa"/>
            <w:vAlign w:val="bottom"/>
            <w:gridSpan w:val="2"/>
          </w:tcPr>
          <w:p>
            <w:pPr>
              <w:spacing w:after="0"/>
              <w:rPr>
                <w:sz w:val="20"/>
                <w:szCs w:val="20"/>
                <w:color w:val="auto"/>
              </w:rPr>
            </w:pPr>
            <w:r>
              <w:rPr>
                <w:rFonts w:ascii="Arial" w:cs="Arial" w:eastAsia="Arial" w:hAnsi="Arial"/>
                <w:sz w:val="18"/>
                <w:szCs w:val="18"/>
                <w:color w:val="auto"/>
              </w:rPr>
              <w:t>James B. Ramsey</w:t>
            </w:r>
          </w:p>
        </w:tc>
        <w:tc>
          <w:tcPr>
            <w:tcW w:w="2280" w:type="dxa"/>
            <w:vAlign w:val="bottom"/>
            <w:gridSpan w:val="2"/>
          </w:tcPr>
          <w:p>
            <w:pPr>
              <w:jc w:val="right"/>
              <w:ind w:right="620"/>
              <w:spacing w:after="0"/>
              <w:rPr>
                <w:sz w:val="20"/>
                <w:szCs w:val="20"/>
                <w:color w:val="auto"/>
              </w:rPr>
            </w:pPr>
            <w:r>
              <w:rPr>
                <w:rFonts w:ascii="Arial" w:cs="Arial" w:eastAsia="Arial" w:hAnsi="Arial"/>
                <w:sz w:val="18"/>
                <w:szCs w:val="18"/>
                <w:color w:val="auto"/>
              </w:rPr>
              <w:t>20,885(5)</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0"/>
        </w:trPr>
        <w:tc>
          <w:tcPr>
            <w:tcW w:w="6240" w:type="dxa"/>
            <w:vAlign w:val="bottom"/>
            <w:gridSpan w:val="2"/>
            <w:shd w:val="clear" w:color="auto" w:fill="CCECF8"/>
          </w:tcPr>
          <w:p>
            <w:pPr>
              <w:spacing w:after="0"/>
              <w:rPr>
                <w:sz w:val="20"/>
                <w:szCs w:val="20"/>
                <w:color w:val="auto"/>
              </w:rPr>
            </w:pPr>
            <w:r>
              <w:rPr>
                <w:rFonts w:ascii="Arial" w:cs="Arial" w:eastAsia="Arial" w:hAnsi="Arial"/>
                <w:sz w:val="18"/>
                <w:szCs w:val="18"/>
                <w:color w:val="auto"/>
              </w:rPr>
              <w:t>Marty M. Reaume</w:t>
            </w:r>
          </w:p>
        </w:tc>
        <w:tc>
          <w:tcPr>
            <w:tcW w:w="2280" w:type="dxa"/>
            <w:vAlign w:val="bottom"/>
            <w:gridSpan w:val="2"/>
            <w:shd w:val="clear" w:color="auto" w:fill="CCECF8"/>
          </w:tcPr>
          <w:p>
            <w:pPr>
              <w:jc w:val="right"/>
              <w:ind w:right="8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CF8"/>
          </w:tcPr>
          <w:p>
            <w:pPr>
              <w:jc w:val="right"/>
              <w:ind w:right="95"/>
              <w:spacing w:after="0"/>
              <w:rPr>
                <w:sz w:val="20"/>
                <w:szCs w:val="20"/>
                <w:color w:val="auto"/>
              </w:rPr>
            </w:pPr>
            <w:r>
              <w:rPr>
                <w:rFonts w:ascii="Arial" w:cs="Arial" w:eastAsia="Arial" w:hAnsi="Arial"/>
                <w:sz w:val="18"/>
                <w:szCs w:val="18"/>
                <w:color w:val="auto"/>
              </w:rPr>
              <w:t>*</w:t>
            </w:r>
          </w:p>
        </w:tc>
        <w:tc>
          <w:tcPr>
            <w:tcW w:w="40" w:type="dxa"/>
            <w:vAlign w:val="bottom"/>
            <w:shd w:val="clear" w:color="auto" w:fill="CCECF8"/>
          </w:tcPr>
          <w:p>
            <w:pPr>
              <w:spacing w:after="0"/>
              <w:rPr>
                <w:sz w:val="18"/>
                <w:szCs w:val="18"/>
                <w:color w:val="auto"/>
              </w:rPr>
            </w:pPr>
          </w:p>
        </w:tc>
      </w:tr>
      <w:tr>
        <w:trPr>
          <w:trHeight w:val="210"/>
        </w:trPr>
        <w:tc>
          <w:tcPr>
            <w:tcW w:w="6240" w:type="dxa"/>
            <w:vAlign w:val="bottom"/>
            <w:gridSpan w:val="2"/>
          </w:tcPr>
          <w:p>
            <w:pPr>
              <w:spacing w:after="0"/>
              <w:rPr>
                <w:sz w:val="20"/>
                <w:szCs w:val="20"/>
                <w:color w:val="auto"/>
              </w:rPr>
            </w:pPr>
            <w:r>
              <w:rPr>
                <w:rFonts w:ascii="Arial" w:cs="Arial" w:eastAsia="Arial" w:hAnsi="Arial"/>
                <w:sz w:val="18"/>
                <w:szCs w:val="18"/>
                <w:color w:val="auto"/>
              </w:rPr>
              <w:t>Tami L. Reller</w:t>
            </w:r>
          </w:p>
        </w:tc>
        <w:tc>
          <w:tcPr>
            <w:tcW w:w="2280" w:type="dxa"/>
            <w:vAlign w:val="bottom"/>
            <w:gridSpan w:val="2"/>
          </w:tcPr>
          <w:p>
            <w:pPr>
              <w:jc w:val="right"/>
              <w:ind w:right="620"/>
              <w:spacing w:after="0"/>
              <w:rPr>
                <w:sz w:val="20"/>
                <w:szCs w:val="20"/>
                <w:color w:val="auto"/>
              </w:rPr>
            </w:pPr>
            <w:r>
              <w:rPr>
                <w:rFonts w:ascii="Arial" w:cs="Arial" w:eastAsia="Arial" w:hAnsi="Arial"/>
                <w:sz w:val="18"/>
                <w:szCs w:val="18"/>
                <w:color w:val="auto"/>
              </w:rPr>
              <w:t>12,907(6)</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0"/>
        </w:trPr>
        <w:tc>
          <w:tcPr>
            <w:tcW w:w="6240" w:type="dxa"/>
            <w:vAlign w:val="bottom"/>
            <w:gridSpan w:val="2"/>
            <w:shd w:val="clear" w:color="auto" w:fill="CCECF8"/>
          </w:tcPr>
          <w:p>
            <w:pPr>
              <w:spacing w:after="0"/>
              <w:rPr>
                <w:sz w:val="20"/>
                <w:szCs w:val="20"/>
                <w:color w:val="auto"/>
              </w:rPr>
            </w:pPr>
            <w:r>
              <w:rPr>
                <w:rFonts w:ascii="Arial" w:cs="Arial" w:eastAsia="Arial" w:hAnsi="Arial"/>
                <w:sz w:val="18"/>
                <w:szCs w:val="18"/>
                <w:color w:val="auto"/>
              </w:rPr>
              <w:t>Michael A. Smerklo</w:t>
            </w:r>
          </w:p>
        </w:tc>
        <w:tc>
          <w:tcPr>
            <w:tcW w:w="2280" w:type="dxa"/>
            <w:vAlign w:val="bottom"/>
            <w:gridSpan w:val="2"/>
            <w:shd w:val="clear" w:color="auto" w:fill="CCECF8"/>
          </w:tcPr>
          <w:p>
            <w:pPr>
              <w:jc w:val="right"/>
              <w:ind w:right="620"/>
              <w:spacing w:after="0"/>
              <w:rPr>
                <w:sz w:val="20"/>
                <w:szCs w:val="20"/>
                <w:color w:val="auto"/>
              </w:rPr>
            </w:pPr>
            <w:r>
              <w:rPr>
                <w:rFonts w:ascii="Arial" w:cs="Arial" w:eastAsia="Arial" w:hAnsi="Arial"/>
                <w:sz w:val="18"/>
                <w:szCs w:val="18"/>
                <w:color w:val="auto"/>
              </w:rPr>
              <w:t>16,397(7)</w:t>
            </w:r>
          </w:p>
        </w:tc>
        <w:tc>
          <w:tcPr>
            <w:tcW w:w="1300" w:type="dxa"/>
            <w:vAlign w:val="bottom"/>
            <w:shd w:val="clear" w:color="auto" w:fill="CCECF8"/>
          </w:tcPr>
          <w:p>
            <w:pPr>
              <w:jc w:val="right"/>
              <w:ind w:right="95"/>
              <w:spacing w:after="0"/>
              <w:rPr>
                <w:sz w:val="20"/>
                <w:szCs w:val="20"/>
                <w:color w:val="auto"/>
              </w:rPr>
            </w:pPr>
            <w:r>
              <w:rPr>
                <w:rFonts w:ascii="Arial" w:cs="Arial" w:eastAsia="Arial" w:hAnsi="Arial"/>
                <w:sz w:val="18"/>
                <w:szCs w:val="18"/>
                <w:color w:val="auto"/>
              </w:rPr>
              <w:t>*</w:t>
            </w:r>
          </w:p>
        </w:tc>
        <w:tc>
          <w:tcPr>
            <w:tcW w:w="40" w:type="dxa"/>
            <w:vAlign w:val="bottom"/>
            <w:shd w:val="clear" w:color="auto" w:fill="CCECF8"/>
          </w:tcPr>
          <w:p>
            <w:pPr>
              <w:spacing w:after="0"/>
              <w:rPr>
                <w:sz w:val="18"/>
                <w:szCs w:val="18"/>
                <w:color w:val="auto"/>
              </w:rPr>
            </w:pPr>
          </w:p>
        </w:tc>
      </w:tr>
      <w:tr>
        <w:trPr>
          <w:trHeight w:val="210"/>
        </w:trPr>
        <w:tc>
          <w:tcPr>
            <w:tcW w:w="6240" w:type="dxa"/>
            <w:vAlign w:val="bottom"/>
            <w:gridSpan w:val="2"/>
          </w:tcPr>
          <w:p>
            <w:pPr>
              <w:spacing w:after="0"/>
              <w:rPr>
                <w:sz w:val="20"/>
                <w:szCs w:val="20"/>
                <w:color w:val="auto"/>
              </w:rPr>
            </w:pPr>
            <w:r>
              <w:rPr>
                <w:rFonts w:ascii="Arial" w:cs="Arial" w:eastAsia="Arial" w:hAnsi="Arial"/>
                <w:sz w:val="18"/>
                <w:szCs w:val="18"/>
                <w:color w:val="auto"/>
              </w:rPr>
              <w:t>Philip E. Soran</w:t>
            </w:r>
          </w:p>
        </w:tc>
        <w:tc>
          <w:tcPr>
            <w:tcW w:w="2280" w:type="dxa"/>
            <w:vAlign w:val="bottom"/>
            <w:gridSpan w:val="2"/>
          </w:tcPr>
          <w:p>
            <w:pPr>
              <w:jc w:val="right"/>
              <w:ind w:right="620"/>
              <w:spacing w:after="0"/>
              <w:rPr>
                <w:sz w:val="20"/>
                <w:szCs w:val="20"/>
                <w:color w:val="auto"/>
              </w:rPr>
            </w:pPr>
            <w:r>
              <w:rPr>
                <w:rFonts w:ascii="Arial" w:cs="Arial" w:eastAsia="Arial" w:hAnsi="Arial"/>
                <w:sz w:val="18"/>
                <w:szCs w:val="18"/>
                <w:color w:val="auto"/>
              </w:rPr>
              <w:t>41,664(8)</w:t>
            </w: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0"/>
        </w:trPr>
        <w:tc>
          <w:tcPr>
            <w:tcW w:w="6240" w:type="dxa"/>
            <w:vAlign w:val="bottom"/>
            <w:gridSpan w:val="2"/>
            <w:shd w:val="clear" w:color="auto" w:fill="CCECF8"/>
          </w:tcPr>
          <w:p>
            <w:pPr>
              <w:spacing w:after="0"/>
              <w:rPr>
                <w:sz w:val="20"/>
                <w:szCs w:val="20"/>
                <w:color w:val="auto"/>
              </w:rPr>
            </w:pPr>
            <w:r>
              <w:rPr>
                <w:rFonts w:ascii="Arial" w:cs="Arial" w:eastAsia="Arial" w:hAnsi="Arial"/>
                <w:sz w:val="18"/>
                <w:szCs w:val="18"/>
                <w:color w:val="auto"/>
              </w:rPr>
              <w:t>Sven A. Wehrwein</w:t>
            </w:r>
          </w:p>
        </w:tc>
        <w:tc>
          <w:tcPr>
            <w:tcW w:w="2280" w:type="dxa"/>
            <w:vAlign w:val="bottom"/>
            <w:gridSpan w:val="2"/>
            <w:shd w:val="clear" w:color="auto" w:fill="CCECF8"/>
          </w:tcPr>
          <w:p>
            <w:pPr>
              <w:jc w:val="right"/>
              <w:ind w:right="620"/>
              <w:spacing w:after="0"/>
              <w:rPr>
                <w:sz w:val="20"/>
                <w:szCs w:val="20"/>
                <w:color w:val="auto"/>
              </w:rPr>
            </w:pPr>
            <w:r>
              <w:rPr>
                <w:rFonts w:ascii="Arial" w:cs="Arial" w:eastAsia="Arial" w:hAnsi="Arial"/>
                <w:sz w:val="18"/>
                <w:szCs w:val="18"/>
                <w:color w:val="auto"/>
              </w:rPr>
              <w:t>30,398(9)</w:t>
            </w:r>
          </w:p>
        </w:tc>
        <w:tc>
          <w:tcPr>
            <w:tcW w:w="1300" w:type="dxa"/>
            <w:vAlign w:val="bottom"/>
            <w:shd w:val="clear" w:color="auto" w:fill="CCECF8"/>
          </w:tcPr>
          <w:p>
            <w:pPr>
              <w:jc w:val="right"/>
              <w:ind w:right="95"/>
              <w:spacing w:after="0"/>
              <w:rPr>
                <w:sz w:val="20"/>
                <w:szCs w:val="20"/>
                <w:color w:val="auto"/>
              </w:rPr>
            </w:pPr>
            <w:r>
              <w:rPr>
                <w:rFonts w:ascii="Arial" w:cs="Arial" w:eastAsia="Arial" w:hAnsi="Arial"/>
                <w:sz w:val="18"/>
                <w:szCs w:val="18"/>
                <w:color w:val="auto"/>
              </w:rPr>
              <w:t>*</w:t>
            </w:r>
          </w:p>
        </w:tc>
        <w:tc>
          <w:tcPr>
            <w:tcW w:w="40" w:type="dxa"/>
            <w:vAlign w:val="bottom"/>
            <w:shd w:val="clear" w:color="auto" w:fill="CCECF8"/>
          </w:tcPr>
          <w:p>
            <w:pPr>
              <w:spacing w:after="0"/>
              <w:rPr>
                <w:sz w:val="18"/>
                <w:szCs w:val="18"/>
                <w:color w:val="auto"/>
              </w:rPr>
            </w:pPr>
          </w:p>
        </w:tc>
      </w:tr>
      <w:tr>
        <w:trPr>
          <w:trHeight w:val="210"/>
        </w:trPr>
        <w:tc>
          <w:tcPr>
            <w:tcW w:w="6240" w:type="dxa"/>
            <w:vAlign w:val="bottom"/>
            <w:gridSpan w:val="2"/>
          </w:tcPr>
          <w:p>
            <w:pPr>
              <w:spacing w:after="0"/>
              <w:rPr>
                <w:sz w:val="20"/>
                <w:szCs w:val="20"/>
                <w:color w:val="auto"/>
              </w:rPr>
            </w:pPr>
            <w:r>
              <w:rPr>
                <w:rFonts w:ascii="Arial" w:cs="Arial" w:eastAsia="Arial" w:hAnsi="Arial"/>
                <w:sz w:val="18"/>
                <w:szCs w:val="18"/>
                <w:color w:val="auto"/>
                <w:w w:val="99"/>
              </w:rPr>
              <w:t>All directors, director nominees, and executive officers as a group (12 persons)</w:t>
            </w:r>
          </w:p>
        </w:tc>
        <w:tc>
          <w:tcPr>
            <w:tcW w:w="2280" w:type="dxa"/>
            <w:vAlign w:val="bottom"/>
            <w:gridSpan w:val="2"/>
          </w:tcPr>
          <w:p>
            <w:pPr>
              <w:jc w:val="right"/>
              <w:ind w:right="820"/>
              <w:spacing w:after="0"/>
              <w:rPr>
                <w:sz w:val="20"/>
                <w:szCs w:val="20"/>
                <w:color w:val="auto"/>
              </w:rPr>
            </w:pPr>
            <w:r>
              <w:rPr>
                <w:rFonts w:ascii="Arial" w:cs="Arial" w:eastAsia="Arial" w:hAnsi="Arial"/>
                <w:sz w:val="18"/>
                <w:szCs w:val="18"/>
                <w:color w:val="auto"/>
              </w:rPr>
              <w:t>626,847</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10"/>
        </w:trPr>
        <w:tc>
          <w:tcPr>
            <w:tcW w:w="6240" w:type="dxa"/>
            <w:vAlign w:val="bottom"/>
            <w:gridSpan w:val="2"/>
            <w:shd w:val="clear" w:color="auto" w:fill="CCECF8"/>
          </w:tcPr>
          <w:p>
            <w:pPr>
              <w:spacing w:after="0"/>
              <w:rPr>
                <w:sz w:val="20"/>
                <w:szCs w:val="20"/>
                <w:color w:val="auto"/>
              </w:rPr>
            </w:pPr>
            <w:r>
              <w:rPr>
                <w:rFonts w:ascii="Arial" w:cs="Arial" w:eastAsia="Arial" w:hAnsi="Arial"/>
                <w:sz w:val="18"/>
                <w:szCs w:val="18"/>
                <w:b w:val="1"/>
                <w:bCs w:val="1"/>
                <w:i w:val="1"/>
                <w:iCs w:val="1"/>
                <w:color w:val="auto"/>
              </w:rPr>
              <w:t>Other beneficial owners:</w:t>
            </w:r>
          </w:p>
        </w:tc>
        <w:tc>
          <w:tcPr>
            <w:tcW w:w="1460" w:type="dxa"/>
            <w:vAlign w:val="bottom"/>
            <w:shd w:val="clear" w:color="auto" w:fill="CCECF8"/>
          </w:tcPr>
          <w:p>
            <w:pPr>
              <w:spacing w:after="0"/>
              <w:rPr>
                <w:sz w:val="18"/>
                <w:szCs w:val="18"/>
                <w:color w:val="auto"/>
              </w:rPr>
            </w:pPr>
          </w:p>
        </w:tc>
        <w:tc>
          <w:tcPr>
            <w:tcW w:w="820" w:type="dxa"/>
            <w:vAlign w:val="bottom"/>
            <w:shd w:val="clear" w:color="auto" w:fill="CCECF8"/>
          </w:tcPr>
          <w:p>
            <w:pPr>
              <w:spacing w:after="0"/>
              <w:rPr>
                <w:sz w:val="18"/>
                <w:szCs w:val="18"/>
                <w:color w:val="auto"/>
              </w:rPr>
            </w:pPr>
          </w:p>
        </w:tc>
        <w:tc>
          <w:tcPr>
            <w:tcW w:w="1300" w:type="dxa"/>
            <w:vAlign w:val="bottom"/>
            <w:shd w:val="clear" w:color="auto" w:fill="CCECF8"/>
          </w:tcPr>
          <w:p>
            <w:pPr>
              <w:spacing w:after="0"/>
              <w:rPr>
                <w:sz w:val="18"/>
                <w:szCs w:val="18"/>
                <w:color w:val="auto"/>
              </w:rPr>
            </w:pPr>
          </w:p>
        </w:tc>
        <w:tc>
          <w:tcPr>
            <w:tcW w:w="40" w:type="dxa"/>
            <w:vAlign w:val="bottom"/>
            <w:shd w:val="clear" w:color="auto" w:fill="CCECF8"/>
          </w:tcPr>
          <w:p>
            <w:pPr>
              <w:spacing w:after="0"/>
              <w:rPr>
                <w:sz w:val="18"/>
                <w:szCs w:val="18"/>
                <w:color w:val="auto"/>
              </w:rPr>
            </w:pPr>
          </w:p>
        </w:tc>
      </w:tr>
      <w:tr>
        <w:trPr>
          <w:trHeight w:val="210"/>
        </w:trPr>
        <w:tc>
          <w:tcPr>
            <w:tcW w:w="624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2280" w:type="dxa"/>
            <w:vAlign w:val="bottom"/>
            <w:gridSpan w:val="2"/>
          </w:tcPr>
          <w:p>
            <w:pPr>
              <w:jc w:val="right"/>
              <w:ind w:right="540"/>
              <w:spacing w:after="0"/>
              <w:rPr>
                <w:sz w:val="20"/>
                <w:szCs w:val="20"/>
                <w:color w:val="auto"/>
              </w:rPr>
            </w:pPr>
            <w:r>
              <w:rPr>
                <w:rFonts w:ascii="Arial" w:cs="Arial" w:eastAsia="Arial" w:hAnsi="Arial"/>
                <w:sz w:val="18"/>
                <w:szCs w:val="18"/>
                <w:color w:val="auto"/>
              </w:rPr>
              <w:t>2,120,517(10)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r>
      <w:tr>
        <w:trPr>
          <w:trHeight w:val="210"/>
        </w:trPr>
        <w:tc>
          <w:tcPr>
            <w:tcW w:w="6240" w:type="dxa"/>
            <w:vAlign w:val="bottom"/>
            <w:gridSpan w:val="2"/>
            <w:shd w:val="clear" w:color="auto" w:fill="CCECF8"/>
          </w:tcPr>
          <w:p>
            <w:pPr>
              <w:spacing w:after="0"/>
              <w:rPr>
                <w:sz w:val="20"/>
                <w:szCs w:val="20"/>
                <w:color w:val="auto"/>
              </w:rPr>
            </w:pPr>
            <w:r>
              <w:rPr>
                <w:rFonts w:ascii="Arial" w:cs="Arial" w:eastAsia="Arial" w:hAnsi="Arial"/>
                <w:sz w:val="18"/>
                <w:szCs w:val="18"/>
                <w:color w:val="auto"/>
              </w:rPr>
              <w:t>Capital World Investors</w:t>
            </w:r>
          </w:p>
        </w:tc>
        <w:tc>
          <w:tcPr>
            <w:tcW w:w="2280" w:type="dxa"/>
            <w:vAlign w:val="bottom"/>
            <w:gridSpan w:val="2"/>
            <w:shd w:val="clear" w:color="auto" w:fill="CCECF8"/>
          </w:tcPr>
          <w:p>
            <w:pPr>
              <w:jc w:val="right"/>
              <w:ind w:right="540"/>
              <w:spacing w:after="0"/>
              <w:rPr>
                <w:sz w:val="20"/>
                <w:szCs w:val="20"/>
                <w:color w:val="auto"/>
              </w:rPr>
            </w:pPr>
            <w:r>
              <w:rPr>
                <w:rFonts w:ascii="Arial" w:cs="Arial" w:eastAsia="Arial" w:hAnsi="Arial"/>
                <w:sz w:val="18"/>
                <w:szCs w:val="18"/>
                <w:color w:val="auto"/>
              </w:rPr>
              <w:t>1,159,000(11)</w:t>
            </w:r>
          </w:p>
        </w:tc>
        <w:tc>
          <w:tcPr>
            <w:tcW w:w="1340" w:type="dxa"/>
            <w:vAlign w:val="bottom"/>
            <w:gridSpan w:val="2"/>
            <w:shd w:val="clear" w:color="auto" w:fill="CCECF8"/>
          </w:tcPr>
          <w:p>
            <w:pPr>
              <w:jc w:val="right"/>
              <w:ind w:right="40"/>
              <w:spacing w:after="0"/>
              <w:rPr>
                <w:sz w:val="20"/>
                <w:szCs w:val="20"/>
                <w:color w:val="auto"/>
              </w:rPr>
            </w:pPr>
            <w:r>
              <w:rPr>
                <w:rFonts w:ascii="Arial" w:cs="Arial" w:eastAsia="Arial" w:hAnsi="Arial"/>
                <w:sz w:val="18"/>
                <w:szCs w:val="18"/>
                <w:color w:val="auto"/>
              </w:rPr>
              <w:t>6.7%</w:t>
            </w:r>
          </w:p>
        </w:tc>
      </w:tr>
      <w:tr>
        <w:trPr>
          <w:trHeight w:val="210"/>
        </w:trPr>
        <w:tc>
          <w:tcPr>
            <w:tcW w:w="6240" w:type="dxa"/>
            <w:vAlign w:val="bottom"/>
            <w:gridSpan w:val="2"/>
          </w:tcPr>
          <w:p>
            <w:pPr>
              <w:spacing w:after="0"/>
              <w:rPr>
                <w:sz w:val="20"/>
                <w:szCs w:val="20"/>
                <w:color w:val="auto"/>
              </w:rPr>
            </w:pPr>
            <w:r>
              <w:rPr>
                <w:rFonts w:ascii="Arial" w:cs="Arial" w:eastAsia="Arial" w:hAnsi="Arial"/>
                <w:sz w:val="18"/>
                <w:szCs w:val="18"/>
                <w:color w:val="auto"/>
              </w:rPr>
              <w:t>Hound Partners, LLC</w:t>
            </w:r>
          </w:p>
        </w:tc>
        <w:tc>
          <w:tcPr>
            <w:tcW w:w="2280" w:type="dxa"/>
            <w:vAlign w:val="bottom"/>
            <w:gridSpan w:val="2"/>
          </w:tcPr>
          <w:p>
            <w:pPr>
              <w:jc w:val="right"/>
              <w:ind w:right="540"/>
              <w:spacing w:after="0"/>
              <w:rPr>
                <w:sz w:val="20"/>
                <w:szCs w:val="20"/>
                <w:color w:val="auto"/>
              </w:rPr>
            </w:pPr>
            <w:r>
              <w:rPr>
                <w:rFonts w:ascii="Arial" w:cs="Arial" w:eastAsia="Arial" w:hAnsi="Arial"/>
                <w:sz w:val="18"/>
                <w:szCs w:val="18"/>
                <w:color w:val="auto"/>
              </w:rPr>
              <w:t>1,702,632(12)</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9.89%</w:t>
            </w:r>
          </w:p>
        </w:tc>
      </w:tr>
      <w:tr>
        <w:trPr>
          <w:trHeight w:val="210"/>
        </w:trPr>
        <w:tc>
          <w:tcPr>
            <w:tcW w:w="6240" w:type="dxa"/>
            <w:vAlign w:val="bottom"/>
            <w:gridSpan w:val="2"/>
            <w:shd w:val="clear" w:color="auto" w:fill="CCECF8"/>
          </w:tcPr>
          <w:p>
            <w:pPr>
              <w:spacing w:after="0"/>
              <w:rPr>
                <w:sz w:val="20"/>
                <w:szCs w:val="20"/>
                <w:color w:val="auto"/>
              </w:rPr>
            </w:pPr>
            <w:r>
              <w:rPr>
                <w:rFonts w:ascii="Arial" w:cs="Arial" w:eastAsia="Arial" w:hAnsi="Arial"/>
                <w:sz w:val="18"/>
                <w:szCs w:val="18"/>
                <w:color w:val="auto"/>
              </w:rPr>
              <w:t>The Vanguard Group</w:t>
            </w:r>
          </w:p>
        </w:tc>
        <w:tc>
          <w:tcPr>
            <w:tcW w:w="2280" w:type="dxa"/>
            <w:vAlign w:val="bottom"/>
            <w:gridSpan w:val="2"/>
            <w:shd w:val="clear" w:color="auto" w:fill="CCECF8"/>
          </w:tcPr>
          <w:p>
            <w:pPr>
              <w:jc w:val="right"/>
              <w:ind w:right="540"/>
              <w:spacing w:after="0"/>
              <w:rPr>
                <w:sz w:val="20"/>
                <w:szCs w:val="20"/>
                <w:color w:val="auto"/>
              </w:rPr>
            </w:pPr>
            <w:r>
              <w:rPr>
                <w:rFonts w:ascii="Arial" w:cs="Arial" w:eastAsia="Arial" w:hAnsi="Arial"/>
                <w:sz w:val="18"/>
                <w:szCs w:val="18"/>
                <w:color w:val="auto"/>
              </w:rPr>
              <w:t>991,502(13)</w:t>
            </w:r>
          </w:p>
        </w:tc>
        <w:tc>
          <w:tcPr>
            <w:tcW w:w="1340" w:type="dxa"/>
            <w:vAlign w:val="bottom"/>
            <w:gridSpan w:val="2"/>
            <w:shd w:val="clear" w:color="auto" w:fill="CCECF8"/>
          </w:tcPr>
          <w:p>
            <w:pPr>
              <w:jc w:val="right"/>
              <w:ind w:right="40"/>
              <w:spacing w:after="0"/>
              <w:rPr>
                <w:sz w:val="20"/>
                <w:szCs w:val="20"/>
                <w:color w:val="auto"/>
              </w:rPr>
            </w:pPr>
            <w:r>
              <w:rPr>
                <w:rFonts w:ascii="Arial" w:cs="Arial" w:eastAsia="Arial" w:hAnsi="Arial"/>
                <w:sz w:val="18"/>
                <w:szCs w:val="18"/>
                <w:color w:val="auto"/>
              </w:rPr>
              <w:t>5.75%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83820</wp:posOffset>
            </wp:positionV>
            <wp:extent cx="3422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152" w:lineRule="exact"/>
        <w:rPr>
          <w:sz w:val="20"/>
          <w:szCs w:val="20"/>
          <w:color w:val="auto"/>
        </w:rPr>
      </w:pPr>
    </w:p>
    <w:p>
      <w:pPr>
        <w:ind w:left="760" w:hanging="413"/>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22" w:lineRule="exact"/>
        <w:rPr>
          <w:sz w:val="20"/>
          <w:szCs w:val="20"/>
          <w:color w:val="auto"/>
        </w:rPr>
      </w:pPr>
    </w:p>
    <w:p>
      <w:pPr>
        <w:ind w:left="760" w:right="80" w:hanging="413"/>
        <w:spacing w:after="0" w:line="287"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800 shares owned by Mr. Black’s sons, 51,861 shares owned by Mr. Black, 179,019 shares subject to options that are exercisable within 60 days of the date of the table, 1,446 shares of restricted stock that have vested but have not been settled as of the date of the table and 2,743 shares of restricted stock that will vest within 60 days of the date of the table. Mr. Black may be deemed to have shared voting and investment power over the shares held by the Charitable Trust and his sons, but disclaims beneficial ownership of such shares. Mr. Black has served as our Chief Executive Officer and President and a member of our board of directors since 2001.</w:t>
      </w:r>
    </w:p>
    <w:p>
      <w:pPr>
        <w:spacing w:after="0" w:line="70" w:lineRule="exact"/>
        <w:rPr>
          <w:rFonts w:ascii="Arial" w:cs="Arial" w:eastAsia="Arial" w:hAnsi="Arial"/>
          <w:sz w:val="16"/>
          <w:szCs w:val="16"/>
          <w:color w:val="auto"/>
        </w:rPr>
      </w:pPr>
    </w:p>
    <w:p>
      <w:pPr>
        <w:ind w:left="760" w:right="20" w:hanging="413"/>
        <w:spacing w:after="0" w:line="299"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71,853 shares of Mr. Frome subject to options that are exercisable within 60 days of the date of the table, 614 shares of restricted stock that have vested but have not been settled as of the date of the table and 1,227 shares of restricted stock that will vest within 60 days of the date of the table. Mr. Frome has served as our Executive Vice President and Chief Operating Officer since August 2012.</w:t>
      </w:r>
    </w:p>
    <w:p>
      <w:pPr>
        <w:spacing w:after="0" w:line="62" w:lineRule="exact"/>
        <w:rPr>
          <w:rFonts w:ascii="Arial" w:cs="Arial" w:eastAsia="Arial" w:hAnsi="Arial"/>
          <w:sz w:val="16"/>
          <w:szCs w:val="16"/>
          <w:color w:val="auto"/>
        </w:rPr>
      </w:pPr>
    </w:p>
    <w:p>
      <w:pPr>
        <w:ind w:left="760" w:hanging="413"/>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4,002 shares owned by Mr. Leestma, and 38,161 shares subject to options that are exercisable within 60 days of the date of the table.</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240" w:top="451" w:right="6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760" w:right="240" w:hanging="413"/>
        <w:spacing w:after="0" w:line="327" w:lineRule="auto"/>
        <w:tabs>
          <w:tab w:leader="none" w:pos="7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Includes 25,901 shares owned by Ms. Nelson, 125,149 shares subject to options that are exercisable within 60 days of the date of the table, 606 shares of restricted stock that have vested but have not been settled as of the date of the table and 1,214 shares of restricted stock that will vest within 60 days of the date of the table. Ms. Nelson has served as our Executive Vice President and Chief Financial Officer since 2007.</w:t>
      </w:r>
    </w:p>
    <w:p>
      <w:pPr>
        <w:spacing w:after="0" w:line="44" w:lineRule="exact"/>
        <w:rPr>
          <w:rFonts w:ascii="Arial" w:cs="Arial" w:eastAsia="Arial" w:hAnsi="Arial"/>
          <w:sz w:val="15"/>
          <w:szCs w:val="15"/>
          <w:color w:val="auto"/>
        </w:rPr>
      </w:pPr>
    </w:p>
    <w:p>
      <w:pPr>
        <w:ind w:left="760" w:hanging="413"/>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3,499 shares owned by Mr. Ramsey, 17,386 shares subject to options that are exercisable within 60 days of the date of the table.</w:t>
      </w:r>
    </w:p>
    <w:p>
      <w:pPr>
        <w:spacing w:after="0" w:line="144" w:lineRule="exact"/>
        <w:rPr>
          <w:rFonts w:ascii="Arial" w:cs="Arial" w:eastAsia="Arial" w:hAnsi="Arial"/>
          <w:sz w:val="16"/>
          <w:szCs w:val="16"/>
          <w:color w:val="auto"/>
        </w:rPr>
      </w:pPr>
    </w:p>
    <w:p>
      <w:pPr>
        <w:ind w:left="760" w:hanging="413"/>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1,922 shares owned by Ms. Reller, 10,985 shares subject to options that are exercisable within 60 days of the date of the table.</w:t>
      </w:r>
    </w:p>
    <w:p>
      <w:pPr>
        <w:spacing w:after="0" w:line="144" w:lineRule="exact"/>
        <w:rPr>
          <w:rFonts w:ascii="Arial" w:cs="Arial" w:eastAsia="Arial" w:hAnsi="Arial"/>
          <w:sz w:val="16"/>
          <w:szCs w:val="16"/>
          <w:color w:val="auto"/>
        </w:rPr>
      </w:pPr>
    </w:p>
    <w:p>
      <w:pPr>
        <w:ind w:left="760" w:hanging="413"/>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682 shares owned by Mr. Smerklo, 15,715 shares subject to options that are exercisable within 60 days of the date of the table.</w:t>
      </w:r>
    </w:p>
    <w:p>
      <w:pPr>
        <w:spacing w:after="0" w:line="144" w:lineRule="exact"/>
        <w:rPr>
          <w:rFonts w:ascii="Arial" w:cs="Arial" w:eastAsia="Arial" w:hAnsi="Arial"/>
          <w:sz w:val="16"/>
          <w:szCs w:val="16"/>
          <w:color w:val="auto"/>
        </w:rPr>
      </w:pPr>
    </w:p>
    <w:p>
      <w:pPr>
        <w:ind w:left="760" w:hanging="413"/>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6,175 shares owned by Mr. Soran, 35.489 shares subject to options that are exercisable within 60 days of the date of the table.</w:t>
      </w:r>
    </w:p>
    <w:p>
      <w:pPr>
        <w:spacing w:after="0" w:line="144" w:lineRule="exact"/>
        <w:rPr>
          <w:rFonts w:ascii="Arial" w:cs="Arial" w:eastAsia="Arial" w:hAnsi="Arial"/>
          <w:sz w:val="16"/>
          <w:szCs w:val="16"/>
          <w:color w:val="auto"/>
        </w:rPr>
      </w:pPr>
    </w:p>
    <w:p>
      <w:pPr>
        <w:ind w:left="760" w:hanging="413"/>
        <w:spacing w:after="0"/>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5,502 shares owned by Mr. Wehrwein, 24,896 shares subject to options that are exercisable within 60 days of the date of the table.</w:t>
      </w:r>
    </w:p>
    <w:p>
      <w:pPr>
        <w:spacing w:after="0" w:line="144" w:lineRule="exact"/>
        <w:rPr>
          <w:rFonts w:ascii="Arial" w:cs="Arial" w:eastAsia="Arial" w:hAnsi="Arial"/>
          <w:sz w:val="16"/>
          <w:szCs w:val="16"/>
          <w:color w:val="auto"/>
        </w:rPr>
      </w:pPr>
    </w:p>
    <w:p>
      <w:pPr>
        <w:ind w:left="760" w:right="60" w:hanging="413"/>
        <w:spacing w:after="0" w:line="299" w:lineRule="auto"/>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number of shares indicated is based on information reported to the SEC in a Schedule 13G filed by BlackRock, Inc. on January 19, 2018, and reflects beneficial ownership as of December 31, 2017. BlackRock, Inc. has sole voting power as to 2,084,357 shares and sole dispositive power as to 2,120,517 shares. The address for BlackRock, Inc. is 55 East 52nd Street, New York, NY 10022.</w:t>
      </w:r>
    </w:p>
    <w:p>
      <w:pPr>
        <w:spacing w:after="0" w:line="62" w:lineRule="exact"/>
        <w:rPr>
          <w:rFonts w:ascii="Arial" w:cs="Arial" w:eastAsia="Arial" w:hAnsi="Arial"/>
          <w:sz w:val="16"/>
          <w:szCs w:val="16"/>
          <w:color w:val="auto"/>
        </w:rPr>
      </w:pPr>
    </w:p>
    <w:p>
      <w:pPr>
        <w:ind w:left="760" w:right="160" w:hanging="413"/>
        <w:spacing w:after="0" w:line="249"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number of shares indicated is based on information reported to the SEC in a Schedule 13G filed by Capital World Investors on February 14, 2018, and reflects beneficial ownership as of December 31, 2017. Capital World Investors has shared voting power as to 1,159,000 shares and shared dispositive power as to 1,159,000 shares. The address for Capital World Investors is 333 South Hope Street, Los Angeles, California 90071.</w:t>
      </w:r>
    </w:p>
    <w:p>
      <w:pPr>
        <w:spacing w:after="0" w:line="101" w:lineRule="exact"/>
        <w:rPr>
          <w:rFonts w:ascii="Arial" w:cs="Arial" w:eastAsia="Arial" w:hAnsi="Arial"/>
          <w:sz w:val="18"/>
          <w:szCs w:val="18"/>
          <w:color w:val="auto"/>
        </w:rPr>
      </w:pPr>
    </w:p>
    <w:p>
      <w:pPr>
        <w:ind w:left="760" w:right="100" w:hanging="413"/>
        <w:spacing w:after="0" w:line="291" w:lineRule="auto"/>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number of shares indicated is based on information reported to the SEC in a Schedule 13G filed by Hound Partners, LLC jointly with Hound Performance, LLC, Jonathan Auerbach and Hound Partners Offshore Fund, LP, on February 15, 2018, and reflects beneficial ownership as of December 31, 2017. Hound Partners, LLC has shared voting power as to 1,702,632 shares and shared dispositive power as to 1,702,632 shares. The address for Hound Partners, LLC is 101 Park Avenue, 47th Floor New York, New York 10178.</w:t>
      </w:r>
    </w:p>
    <w:p>
      <w:pPr>
        <w:spacing w:after="0" w:line="67" w:lineRule="exact"/>
        <w:rPr>
          <w:rFonts w:ascii="Arial" w:cs="Arial" w:eastAsia="Arial" w:hAnsi="Arial"/>
          <w:sz w:val="16"/>
          <w:szCs w:val="16"/>
          <w:color w:val="auto"/>
        </w:rPr>
      </w:pPr>
    </w:p>
    <w:p>
      <w:pPr>
        <w:ind w:left="760" w:hanging="413"/>
        <w:spacing w:after="0" w:line="299" w:lineRule="auto"/>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number of shares indicated is based on information reported to the SEC in a Schedule 13G filed by The Vanguard Group on February 9, 2018, and reflects beneficial ownership as of December 31, 2017. The Vanguard Group has sole voting power as to 33,435 shares and sole dispositive power as to 957,167 shares. The address for The Vanguard Group is 100 Vanguard Blvd., Malvern, Pennsylvania 19355.</w:t>
      </w:r>
    </w:p>
    <w:p>
      <w:pPr>
        <w:spacing w:after="0" w:line="8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60"/>
          </w:cols>
          <w:pgMar w:left="240" w:top="451" w:right="59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42" w:lineRule="exact"/>
        <w:rPr>
          <w:sz w:val="20"/>
          <w:szCs w:val="20"/>
          <w:color w:val="auto"/>
        </w:rPr>
      </w:pPr>
    </w:p>
    <w:p>
      <w:pPr>
        <w:jc w:val="center"/>
        <w:ind w:right="-379"/>
        <w:spacing w:after="0"/>
        <w:rPr>
          <w:sz w:val="20"/>
          <w:szCs w:val="20"/>
          <w:color w:val="auto"/>
        </w:rPr>
      </w:pPr>
      <w:r>
        <w:rPr>
          <w:rFonts w:ascii="Arial" w:cs="Arial" w:eastAsia="Arial" w:hAnsi="Arial"/>
          <w:sz w:val="35"/>
          <w:szCs w:val="35"/>
          <w:b w:val="1"/>
          <w:bCs w:val="1"/>
          <w:color w:val="00A1DF"/>
        </w:rPr>
        <w:t>CERTAIN RELATIONSHIPS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-250825</wp:posOffset>
            </wp:positionV>
            <wp:extent cx="68160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9" w:lineRule="exact"/>
        <w:rPr>
          <w:sz w:val="20"/>
          <w:szCs w:val="20"/>
          <w:color w:val="auto"/>
        </w:rPr>
      </w:pPr>
    </w:p>
    <w:p>
      <w:pPr>
        <w:jc w:val="center"/>
        <w:ind w:right="-379"/>
        <w:spacing w:after="0"/>
        <w:rPr>
          <w:sz w:val="20"/>
          <w:szCs w:val="20"/>
          <w:color w:val="auto"/>
        </w:rPr>
      </w:pPr>
      <w:r>
        <w:rPr>
          <w:rFonts w:ascii="Arial" w:cs="Arial" w:eastAsia="Arial" w:hAnsi="Arial"/>
          <w:sz w:val="35"/>
          <w:szCs w:val="35"/>
          <w:b w:val="1"/>
          <w:bCs w:val="1"/>
          <w:color w:val="00A1DF"/>
        </w:rPr>
        <w:t>RELATED TRANSACTIONS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Compensation Committee Interlocks and Insider Participation</w:t>
      </w:r>
    </w:p>
    <w:p>
      <w:pPr>
        <w:spacing w:after="0" w:line="112" w:lineRule="exact"/>
        <w:rPr>
          <w:sz w:val="20"/>
          <w:szCs w:val="20"/>
          <w:color w:val="auto"/>
        </w:rPr>
      </w:pPr>
    </w:p>
    <w:p>
      <w:pPr>
        <w:ind w:left="340" w:right="60" w:firstLine="429"/>
        <w:spacing w:after="0" w:line="327" w:lineRule="auto"/>
        <w:rPr>
          <w:sz w:val="20"/>
          <w:szCs w:val="20"/>
          <w:color w:val="auto"/>
        </w:rPr>
      </w:pPr>
      <w:r>
        <w:rPr>
          <w:rFonts w:ascii="Arial" w:cs="Arial" w:eastAsia="Arial" w:hAnsi="Arial"/>
          <w:sz w:val="15"/>
          <w:szCs w:val="15"/>
          <w:color w:val="auto"/>
        </w:rPr>
        <w:t>None of the members of our compensation committee is or has at any time during the last completed fiscal year been an officer or employee of ours. None of our executive officers has served as a member of the board of directors, or as a member of the compensation or similar committee, of any entity that has one or more executive officers who served on our board of directors or compensation committee during the last completed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111760</wp:posOffset>
            </wp:positionV>
            <wp:extent cx="68160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Transactions with Related Persons</w:t>
      </w:r>
    </w:p>
    <w:p>
      <w:pPr>
        <w:spacing w:after="0" w:line="112" w:lineRule="exact"/>
        <w:rPr>
          <w:sz w:val="20"/>
          <w:szCs w:val="20"/>
          <w:color w:val="auto"/>
        </w:rPr>
      </w:pPr>
    </w:p>
    <w:p>
      <w:pPr>
        <w:ind w:left="780"/>
        <w:spacing w:after="0"/>
        <w:rPr>
          <w:sz w:val="20"/>
          <w:szCs w:val="20"/>
          <w:color w:val="auto"/>
        </w:rPr>
      </w:pPr>
      <w:r>
        <w:rPr>
          <w:rFonts w:ascii="Arial" w:cs="Arial" w:eastAsia="Arial" w:hAnsi="Arial"/>
          <w:sz w:val="15"/>
          <w:szCs w:val="15"/>
          <w:color w:val="auto"/>
        </w:rPr>
        <w:t>We describe below transactions and series of similar transactions, during our last fiscal year, to which we were a party or will be a party, in which:</w:t>
      </w:r>
    </w:p>
    <w:p>
      <w:pPr>
        <w:spacing w:after="0" w:line="156" w:lineRule="exact"/>
        <w:rPr>
          <w:sz w:val="20"/>
          <w:szCs w:val="20"/>
          <w:color w:val="auto"/>
        </w:rPr>
      </w:pPr>
    </w:p>
    <w:p>
      <w:pPr>
        <w:ind w:left="1080" w:hanging="31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21" w:lineRule="exact"/>
        <w:rPr>
          <w:rFonts w:ascii="Arial" w:cs="Arial" w:eastAsia="Arial" w:hAnsi="Arial"/>
          <w:sz w:val="18"/>
          <w:szCs w:val="18"/>
          <w:color w:val="auto"/>
        </w:rPr>
      </w:pPr>
    </w:p>
    <w:p>
      <w:pPr>
        <w:ind w:left="1080" w:right="140" w:hanging="312"/>
        <w:spacing w:after="0" w:line="261"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of our directors, executive officers, holders of more than 5% of our common stock or any member of their immediate family had or will have a direct or indirect material interest.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A1DF"/>
        </w:rPr>
        <w:t>Director Indemnification Agreements</w:t>
      </w:r>
    </w:p>
    <w:p>
      <w:pPr>
        <w:spacing w:after="0" w:line="109" w:lineRule="exact"/>
        <w:rPr>
          <w:sz w:val="20"/>
          <w:szCs w:val="20"/>
          <w:color w:val="auto"/>
        </w:rPr>
      </w:pPr>
    </w:p>
    <w:p>
      <w:pPr>
        <w:ind w:left="340" w:right="180" w:firstLine="429"/>
        <w:spacing w:after="0" w:line="261" w:lineRule="auto"/>
        <w:rPr>
          <w:sz w:val="20"/>
          <w:szCs w:val="20"/>
          <w:color w:val="auto"/>
        </w:rPr>
      </w:pPr>
      <w:r>
        <w:rPr>
          <w:rFonts w:ascii="Arial" w:cs="Arial" w:eastAsia="Arial" w:hAnsi="Arial"/>
          <w:sz w:val="18"/>
          <w:szCs w:val="18"/>
          <w:color w:val="auto"/>
        </w:rPr>
        <w:t>We entered into indemnification agreements with each of our directors that provide, in general, that we will indemnify them to the fullest extent permitted by law in connection with their service to us or on our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139700</wp:posOffset>
            </wp:positionV>
            <wp:extent cx="68160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Policy for Approval of Related Person Transactions</w:t>
      </w:r>
    </w:p>
    <w:p>
      <w:pPr>
        <w:spacing w:after="0" w:line="112" w:lineRule="exact"/>
        <w:rPr>
          <w:sz w:val="20"/>
          <w:szCs w:val="20"/>
          <w:color w:val="auto"/>
        </w:rPr>
      </w:pPr>
    </w:p>
    <w:p>
      <w:pPr>
        <w:ind w:left="340" w:firstLine="429"/>
        <w:spacing w:after="0" w:line="278" w:lineRule="auto"/>
        <w:rPr>
          <w:sz w:val="20"/>
          <w:szCs w:val="20"/>
          <w:color w:val="auto"/>
        </w:rPr>
      </w:pPr>
      <w:r>
        <w:rPr>
          <w:rFonts w:ascii="Arial" w:cs="Arial" w:eastAsia="Arial" w:hAnsi="Arial"/>
          <w:sz w:val="16"/>
          <w:szCs w:val="16"/>
          <w:color w:val="auto"/>
        </w:rPr>
        <w:t>The board of directors has adopted a written statement of policy regarding transactions with related persons, which we refer to as our related person policy. Our related person policy requires that any executive officer requesting to enter into a transaction with a “related person” generally must promptly disclose to our audit committee the related person transaction and all material facts with respect thereto. In reviewing a transaction, our audit committee will consider all relevant facts and circumstances, including (1) the commercial reasonableness of the terms, (2) the benefit and perceived benefits, or lack thereof, to us, (3) opportunity costs of alternate transactions and (4) the materiality and character of the related person’s interest, and the actual or apparent conflict of interest of the related person. Our audit committee will not approve or ratify a related person transaction unless it determines that, upon consideration of all relevant information, the transaction is beneficial to our company and stockholders and the terms of the transaction are fair to our company. No related person transaction will be consummated without the approval or ratification of our audit committee. It is our policy that directors interested in a related person transaction will recuse themselves from any vote relating to a related person transaction in which they have an interest. Under our related person policy, a “related person” includes any of our directors, director nominees, executive officers, any beneficial owner of more than 5% of our common stock and any immediate family member of any of the foregoing. Related person transactions exempt from our policy include transactions available to all of our employees and stockholders on the same terms and transactions between us and the related person that, when aggregated with the amount of all other transactions between us and the related person or its affiliates, involve less than $120,000 in a fiscal year.</w:t>
      </w:r>
    </w:p>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40"/>
          </w:cols>
          <w:pgMar w:left="240" w:top="451" w:right="61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42" w:lineRule="exact"/>
        <w:rPr>
          <w:sz w:val="20"/>
          <w:szCs w:val="20"/>
          <w:color w:val="auto"/>
        </w:rPr>
      </w:pPr>
    </w:p>
    <w:p>
      <w:pPr>
        <w:ind w:left="3820"/>
        <w:spacing w:after="0"/>
        <w:rPr>
          <w:sz w:val="20"/>
          <w:szCs w:val="20"/>
          <w:color w:val="auto"/>
        </w:rPr>
      </w:pPr>
      <w:r>
        <w:rPr>
          <w:rFonts w:ascii="Arial" w:cs="Arial" w:eastAsia="Arial" w:hAnsi="Arial"/>
          <w:sz w:val="35"/>
          <w:szCs w:val="35"/>
          <w:b w:val="1"/>
          <w:bCs w:val="1"/>
          <w:color w:val="00A1D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-250825</wp:posOffset>
            </wp:positionV>
            <wp:extent cx="68160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Section 16(a) Beneficial Ownership Reporting Compliance</w:t>
      </w:r>
    </w:p>
    <w:p>
      <w:pPr>
        <w:spacing w:after="0" w:line="112" w:lineRule="exact"/>
        <w:rPr>
          <w:sz w:val="20"/>
          <w:szCs w:val="20"/>
          <w:color w:val="auto"/>
        </w:rPr>
      </w:pPr>
    </w:p>
    <w:p>
      <w:pPr>
        <w:ind w:left="340" w:right="140" w:firstLine="429"/>
        <w:spacing w:after="0" w:line="249" w:lineRule="auto"/>
        <w:rPr>
          <w:sz w:val="20"/>
          <w:szCs w:val="20"/>
          <w:color w:val="auto"/>
        </w:rPr>
      </w:pPr>
      <w:r>
        <w:rPr>
          <w:rFonts w:ascii="Arial" w:cs="Arial" w:eastAsia="Arial" w:hAnsi="Arial"/>
          <w:sz w:val="18"/>
          <w:szCs w:val="18"/>
          <w:color w:val="auto"/>
        </w:rPr>
        <w:t>Section 16(a) of the Securities Exchange Act of 1934 requires our executive officers and directors to file initial reports of ownership of our securities and reports of changes in ownership with the SEC. Based on a review of Forms 3, 4 and 5 and on written representations from our executive officers and directors, we believe that all Section 16(a) filing and disclosure requirements applicable to our executive officers and directors for 2017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147320</wp:posOffset>
            </wp:positionV>
            <wp:extent cx="68160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Stockholder Proposals for the 2019 Annual Meeting</w:t>
      </w:r>
    </w:p>
    <w:p>
      <w:pPr>
        <w:spacing w:after="0" w:line="112" w:lineRule="exact"/>
        <w:rPr>
          <w:sz w:val="20"/>
          <w:szCs w:val="20"/>
          <w:color w:val="auto"/>
        </w:rPr>
      </w:pPr>
    </w:p>
    <w:p>
      <w:pPr>
        <w:ind w:left="340" w:firstLine="429"/>
        <w:spacing w:after="0" w:line="291" w:lineRule="auto"/>
        <w:rPr>
          <w:sz w:val="20"/>
          <w:szCs w:val="20"/>
          <w:color w:val="auto"/>
        </w:rPr>
      </w:pPr>
      <w:r>
        <w:rPr>
          <w:rFonts w:ascii="Arial" w:cs="Arial" w:eastAsia="Arial" w:hAnsi="Arial"/>
          <w:sz w:val="16"/>
          <w:szCs w:val="16"/>
          <w:color w:val="auto"/>
        </w:rPr>
        <w:t>In order for a stockholder proposal to be considered for inclusion in our proxy statement for the 2019 annual meeting of stockholders, the written proposal must be received at our principal executive offices on or before December 14, 2018. The proposal should be addressed to SPS Commerce, Inc., Attention: Chief Financial Officer, 333 South Seventh Street, Suite 1000, Minneapolis, Minnesota 55402. The proposal must comply with SEC regulations regarding the inclusion of stockholder proposals in company-sponsored proxy materials.</w:t>
      </w:r>
    </w:p>
    <w:p>
      <w:pPr>
        <w:spacing w:after="0" w:line="55" w:lineRule="exact"/>
        <w:rPr>
          <w:sz w:val="20"/>
          <w:szCs w:val="20"/>
          <w:color w:val="auto"/>
        </w:rPr>
      </w:pPr>
    </w:p>
    <w:p>
      <w:pPr>
        <w:ind w:left="340" w:right="20" w:firstLine="429"/>
        <w:spacing w:after="0" w:line="284" w:lineRule="auto"/>
        <w:rPr>
          <w:sz w:val="20"/>
          <w:szCs w:val="20"/>
          <w:color w:val="auto"/>
        </w:rPr>
      </w:pPr>
      <w:r>
        <w:rPr>
          <w:rFonts w:ascii="Arial" w:cs="Arial" w:eastAsia="Arial" w:hAnsi="Arial"/>
          <w:sz w:val="16"/>
          <w:szCs w:val="16"/>
          <w:color w:val="auto"/>
        </w:rPr>
        <w:t>In accordance with our bylaws, in order to be properly brought before the 2019 annual meeting, a stockholder’s notice of the matter the stockholder wishes to present must be delivered to our principal executive offices in Minneapolis, Minnesota, at the address identified in the preceding paragraph, not less than 90 nor more than 120 days prior to the first anniversary of the date of this year’s annual meeting. As a result, any notice given by or on behalf of a stockholder pursuant to these provisions of our bylaws (and not pursuant to Rule 14a-8 of the SEC) must be received no earlier than January 31, 2019, and no later than March 2, 2019. Any notice given by or on behalf of a stockholder outside of the dates included in this paragraph and the preceding paragraph is considered untimely.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130810</wp:posOffset>
            </wp:positionV>
            <wp:extent cx="68160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Householding of Proxy Materials</w:t>
      </w:r>
    </w:p>
    <w:p>
      <w:pPr>
        <w:spacing w:after="0" w:line="112" w:lineRule="exact"/>
        <w:rPr>
          <w:sz w:val="20"/>
          <w:szCs w:val="20"/>
          <w:color w:val="auto"/>
        </w:rPr>
      </w:pPr>
    </w:p>
    <w:p>
      <w:pPr>
        <w:ind w:left="340" w:right="60" w:firstLine="429"/>
        <w:spacing w:after="0" w:line="246"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 annual reports. This means that only one copy of the Notice of Internet Availability of Proxy Materials, Proxy Statement, and 2018 Annual Report to Stockholders, as applicable, is being delivered to multiple stockholders sharing an address unless we have received contrary instructions. We will promptly deliver a separate copy of any of these documents to you if you write to us at SPS Commerce, Inc., 333 South Seventh Street, Minneapolis, Minnesota 55402, Attention: Corporate Secretary or call us at (612) 435-9400. If you want to receive separate copies of the Notice of Internet Availability of Proxy Materials, Proxy Statement, or Annual Report to Stockholders in the future, or if you are receiving multiple copies and would like to receive only one copy for your household, you should contact your bank, broker, or other nominee record holder, or you may contact us at the above address or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149860</wp:posOffset>
            </wp:positionV>
            <wp:extent cx="68160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Other Matters</w:t>
      </w:r>
    </w:p>
    <w:p>
      <w:pPr>
        <w:spacing w:after="0" w:line="112" w:lineRule="exact"/>
        <w:rPr>
          <w:sz w:val="20"/>
          <w:szCs w:val="20"/>
          <w:color w:val="auto"/>
        </w:rPr>
      </w:pPr>
    </w:p>
    <w:p>
      <w:pPr>
        <w:ind w:left="340" w:right="340" w:firstLine="429"/>
        <w:spacing w:after="0" w:line="324" w:lineRule="auto"/>
        <w:rPr>
          <w:sz w:val="20"/>
          <w:szCs w:val="20"/>
          <w:color w:val="auto"/>
        </w:rPr>
      </w:pPr>
      <w:r>
        <w:rPr>
          <w:rFonts w:ascii="Arial" w:cs="Arial" w:eastAsia="Arial" w:hAnsi="Arial"/>
          <w:sz w:val="16"/>
          <w:szCs w:val="16"/>
          <w:color w:val="auto"/>
        </w:rPr>
        <w:t>We do not know of any other matters that may be presented for consideration at the annual meeting. If any other business does properly come before the meeting, the persons named as proxies above will vote as they deem in the best interests of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4313555</wp:posOffset>
            </wp:positionH>
            <wp:positionV relativeFrom="paragraph">
              <wp:posOffset>109855</wp:posOffset>
            </wp:positionV>
            <wp:extent cx="1604010" cy="4508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04010" cy="45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68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Dated: April 13, 2018</w:t>
      </w:r>
    </w:p>
    <w:p>
      <w:pPr>
        <w:spacing w:after="0" w:line="14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40"/>
          </w:cols>
          <w:pgMar w:left="240" w:top="451" w:right="61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220980</wp:posOffset>
            </wp:positionV>
            <wp:extent cx="68160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34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Location of SPS Commerce, Inc. Annual Meeting of Stockholders</w:t>
      </w:r>
    </w:p>
    <w:p>
      <w:pPr>
        <w:spacing w:after="0" w:line="112"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Thursday, May 31, 2018, at 8:00 a.m.</w:t>
      </w:r>
    </w:p>
    <w:p>
      <w:pPr>
        <w:spacing w:after="0" w:line="15"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2200 Wells Fargo Center</w:t>
      </w:r>
    </w:p>
    <w:p>
      <w:pPr>
        <w:spacing w:after="0" w:line="3"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90 South Seventh Street</w:t>
      </w:r>
    </w:p>
    <w:p>
      <w:pPr>
        <w:spacing w:after="0" w:line="3"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Minneapolis, MN 55402</w:t>
      </w:r>
    </w:p>
    <w:p>
      <w:pPr>
        <w:spacing w:after="0" w:line="97" w:lineRule="exact"/>
        <w:rPr>
          <w:sz w:val="20"/>
          <w:szCs w:val="20"/>
          <w:color w:val="auto"/>
        </w:rPr>
      </w:pPr>
    </w:p>
    <w:p>
      <w:pPr>
        <w:ind w:left="340"/>
        <w:spacing w:after="0" w:line="324" w:lineRule="auto"/>
        <w:rPr>
          <w:sz w:val="20"/>
          <w:szCs w:val="20"/>
          <w:color w:val="auto"/>
        </w:rPr>
      </w:pPr>
      <w:r>
        <w:rPr>
          <w:rFonts w:ascii="Arial" w:cs="Arial" w:eastAsia="Arial" w:hAnsi="Arial"/>
          <w:sz w:val="16"/>
          <w:szCs w:val="16"/>
          <w:color w:val="auto"/>
        </w:rPr>
        <w:t>Beneficial owners of common stock held in street name by a broker, bank, trust or other nominee may need proof of ownership to be admitted to the meeting. A brokerage statement or letter from the broker, bank, trust or other nominee are examples of proof of ownership.</w:t>
      </w:r>
    </w:p>
    <w:p>
      <w:pPr>
        <w:spacing w:after="0" w:line="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740"/>
          </w:cols>
          <w:pgMar w:left="240" w:top="451" w:right="91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Appendix A</w:t>
      </w:r>
    </w:p>
    <w:p>
      <w:pPr>
        <w:spacing w:after="0" w:line="332" w:lineRule="exact"/>
        <w:rPr>
          <w:sz w:val="20"/>
          <w:szCs w:val="20"/>
          <w:color w:val="auto"/>
        </w:rPr>
      </w:pPr>
    </w:p>
    <w:p>
      <w:pPr>
        <w:jc w:val="center"/>
        <w:ind w:right="-339"/>
        <w:spacing w:after="0"/>
        <w:rPr>
          <w:sz w:val="20"/>
          <w:szCs w:val="20"/>
          <w:color w:val="auto"/>
        </w:rPr>
      </w:pPr>
      <w:r>
        <w:rPr>
          <w:rFonts w:ascii="Arial" w:cs="Arial" w:eastAsia="Arial" w:hAnsi="Arial"/>
          <w:sz w:val="35"/>
          <w:szCs w:val="35"/>
          <w:b w:val="1"/>
          <w:bCs w:val="1"/>
          <w:color w:val="00A1DF"/>
        </w:rPr>
        <w:t>RECONCILIATION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-250825</wp:posOffset>
            </wp:positionV>
            <wp:extent cx="68160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16090" cy="8255"/>
                    </a:xfrm>
                    <a:prstGeom prst="rect">
                      <a:avLst/>
                    </a:prstGeom>
                    <a:noFill/>
                  </pic:spPr>
                </pic:pic>
              </a:graphicData>
            </a:graphic>
          </wp:anchor>
        </w:drawing>
      </w:r>
    </w:p>
    <w:p>
      <w:pPr>
        <w:spacing w:after="0" w:line="29" w:lineRule="exact"/>
        <w:rPr>
          <w:sz w:val="20"/>
          <w:szCs w:val="20"/>
          <w:color w:val="auto"/>
        </w:rPr>
      </w:pPr>
    </w:p>
    <w:p>
      <w:pPr>
        <w:jc w:val="center"/>
        <w:ind w:right="-339"/>
        <w:spacing w:after="0"/>
        <w:rPr>
          <w:sz w:val="20"/>
          <w:szCs w:val="20"/>
          <w:color w:val="auto"/>
        </w:rPr>
      </w:pPr>
      <w:r>
        <w:rPr>
          <w:rFonts w:ascii="Arial" w:cs="Arial" w:eastAsia="Arial" w:hAnsi="Arial"/>
          <w:sz w:val="35"/>
          <w:szCs w:val="35"/>
          <w:b w:val="1"/>
          <w:bCs w:val="1"/>
          <w:color w:val="00A1DF"/>
        </w:rPr>
        <w:t>NON-GAAP FINANCIAL MEASURES</w:t>
      </w:r>
    </w:p>
    <w:p>
      <w:pPr>
        <w:spacing w:after="0" w:line="205" w:lineRule="exact"/>
        <w:rPr>
          <w:sz w:val="20"/>
          <w:szCs w:val="20"/>
          <w:color w:val="auto"/>
        </w:rPr>
      </w:pPr>
    </w:p>
    <w:p>
      <w:pPr>
        <w:ind w:left="340" w:right="40"/>
        <w:spacing w:after="0" w:line="279" w:lineRule="auto"/>
        <w:rPr>
          <w:sz w:val="20"/>
          <w:szCs w:val="20"/>
          <w:color w:val="auto"/>
        </w:rPr>
      </w:pPr>
      <w:r>
        <w:rPr>
          <w:rFonts w:ascii="Arial" w:cs="Arial" w:eastAsia="Arial" w:hAnsi="Arial"/>
          <w:sz w:val="16"/>
          <w:szCs w:val="16"/>
          <w:color w:val="auto"/>
        </w:rPr>
        <w:t>Adjusted EBITDA consists of net income (loss) adjusted for depreciation and amortization, interest expense, interest income, income tax expense, stock-based compensation expense, the discrete impact from tax law change and other adjustments as necessary for a fair presentation. In 2017, the discrete impact from tax law change included $8.6 million of tax expense related to The Job Cuts and Tax Act (Tax Act”) reduction in the corporate tax rate to 21.0% resulting in a decrease in our net deferred tax assets. Other adjustments included the impact of the fair value adjustment for the Toolbox Solutions share-based earn-out liability in 2016, a one-time Australian stamp duty tax related to the Leadtec acquisition in 2014, as well as the impact of use tax refunds in 2015, 2014 and 2013 related to items previously expensed. We use Adjusted EBITDA as a measure of operating performance because it assists us in comparing performance on a consistent basis, as it removes the impact of our capital structure from our operating results.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 The following table provides a reconciliation of net income (loss) to Adjusted EBITDA (in thousands):</w:t>
      </w:r>
    </w:p>
    <w:p>
      <w:pPr>
        <w:spacing w:after="0" w:line="199" w:lineRule="exact"/>
        <w:rPr>
          <w:sz w:val="20"/>
          <w:szCs w:val="20"/>
          <w:color w:val="auto"/>
        </w:rPr>
      </w:pPr>
    </w:p>
    <w:tbl>
      <w:tblPr>
        <w:tblLayout w:type="fixed"/>
        <w:tblInd w:w="120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8"/>
                <w:szCs w:val="18"/>
                <w:color w:val="auto"/>
                <w:w w:val="91"/>
              </w:rPr>
              <w:t>Year Ended December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2017</w:t>
            </w:r>
          </w:p>
        </w:tc>
        <w:tc>
          <w:tcPr>
            <w:tcW w:w="520" w:type="dxa"/>
            <w:vAlign w:val="bottom"/>
            <w:tcBorders>
              <w:bottom w:val="single" w:sz="8" w:color="auto"/>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52"/>
              <w:spacing w:after="0" w:line="204" w:lineRule="exact"/>
              <w:rPr>
                <w:sz w:val="20"/>
                <w:szCs w:val="20"/>
                <w:color w:val="auto"/>
              </w:rPr>
            </w:pPr>
            <w:r>
              <w:rPr>
                <w:rFonts w:ascii="Arial" w:cs="Arial" w:eastAsia="Arial" w:hAnsi="Arial"/>
                <w:sz w:val="18"/>
                <w:szCs w:val="18"/>
                <w:color w:val="auto"/>
                <w:w w:val="99"/>
              </w:rPr>
              <w:t>2016</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income</w:t>
            </w: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1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(2,440)</w:t>
            </w: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5,710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11,782</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(1,032)</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2,967</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Discrete impact from tax law change</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8,613</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12,727</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340"/>
              <w:spacing w:after="0"/>
              <w:rPr>
                <w:sz w:val="20"/>
                <w:szCs w:val="20"/>
                <w:color w:val="auto"/>
              </w:rPr>
            </w:pPr>
            <w:r>
              <w:rPr>
                <w:rFonts w:ascii="Arial" w:cs="Arial" w:eastAsia="Arial" w:hAnsi="Arial"/>
                <w:sz w:val="18"/>
                <w:szCs w:val="18"/>
                <w:color w:val="auto"/>
              </w:rPr>
              <w:t>Adjusted EBITDA</w:t>
            </w: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vMerge w:val="continue"/>
          </w:tcPr>
          <w:p>
            <w:pPr>
              <w:spacing w:after="0"/>
              <w:rPr>
                <w:sz w:val="18"/>
                <w:szCs w:val="18"/>
                <w:color w:val="auto"/>
              </w:rPr>
            </w:pPr>
          </w:p>
        </w:tc>
        <w:tc>
          <w:tcPr>
            <w:tcW w:w="900" w:type="dxa"/>
            <w:vAlign w:val="bottom"/>
            <w:gridSpan w:val="2"/>
          </w:tcPr>
          <w:p>
            <w:pPr>
              <w:jc w:val="right"/>
              <w:ind w:right="718"/>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32,617</w:t>
            </w:r>
          </w:p>
        </w:tc>
        <w:tc>
          <w:tcPr>
            <w:tcW w:w="560" w:type="dxa"/>
            <w:vAlign w:val="bottom"/>
          </w:tcPr>
          <w:p>
            <w:pPr>
              <w:spacing w:after="0"/>
              <w:rPr>
                <w:sz w:val="18"/>
                <w:szCs w:val="18"/>
                <w:color w:val="auto"/>
              </w:rPr>
            </w:pPr>
          </w:p>
        </w:tc>
        <w:tc>
          <w:tcPr>
            <w:tcW w:w="98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340"/>
        <w:spacing w:after="0" w:line="281" w:lineRule="auto"/>
        <w:rPr>
          <w:sz w:val="20"/>
          <w:szCs w:val="20"/>
          <w:color w:val="auto"/>
        </w:rPr>
      </w:pPr>
      <w:r>
        <w:rPr>
          <w:rFonts w:ascii="Arial" w:cs="Arial" w:eastAsia="Arial" w:hAnsi="Arial"/>
          <w:sz w:val="16"/>
          <w:szCs w:val="16"/>
          <w:color w:val="auto"/>
        </w:rPr>
        <w:t>Non-GAAP income per share consists of net income (loss) plus stock-based compensation expense, amortization expense related to intangible assets, the discrete impact from tax law change and other adjustments as necessary for a fair presentation, divided by the weighted average number of shares of common stock outstanding during each period. Other adjustments included the impact of the fair value adjustment for the Toolbox Solutions share-based earn-out liability in 2016. Pursuant to a Compliance and Disclosure Interpretation published by the SEC in May 2016 related to the use of non-GAAP financial measures, in 2017, we began including an adjustment to non-GAAP income to reflect the income tax effects of the adjustments to GAAP net income (loss). To quantify the tax effects, we recalculate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1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80"/>
          </w:cols>
          <w:pgMar w:left="240" w:top="451" w:right="57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40"/>
        <w:spacing w:after="0" w:line="324" w:lineRule="auto"/>
        <w:rPr>
          <w:sz w:val="20"/>
          <w:szCs w:val="20"/>
          <w:color w:val="auto"/>
        </w:rPr>
      </w:pPr>
      <w:r>
        <w:rPr>
          <w:rFonts w:ascii="Arial" w:cs="Arial" w:eastAsia="Arial" w:hAnsi="Arial"/>
          <w:sz w:val="16"/>
          <w:szCs w:val="16"/>
          <w:color w:val="auto"/>
        </w:rPr>
        <w:t>We believe non-GAAP income per share is useful to an investor because it is widely used to measure a company’s operating performance. The following table provides a reconciliation of net income (loss) to non-GAAP income per share (in thousands, except per share amounts):</w:t>
      </w:r>
    </w:p>
    <w:p>
      <w:pPr>
        <w:spacing w:after="0" w:line="161" w:lineRule="exact"/>
        <w:rPr>
          <w:sz w:val="20"/>
          <w:szCs w:val="20"/>
          <w:color w:val="auto"/>
        </w:rPr>
      </w:pPr>
    </w:p>
    <w:tbl>
      <w:tblPr>
        <w:tblLayout w:type="fixed"/>
        <w:tblInd w:w="120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8"/>
                <w:szCs w:val="18"/>
                <w:color w:val="auto"/>
                <w:w w:val="91"/>
              </w:rPr>
              <w:t>Year Ended December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2017</w:t>
            </w:r>
          </w:p>
        </w:tc>
        <w:tc>
          <w:tcPr>
            <w:tcW w:w="520" w:type="dxa"/>
            <w:vAlign w:val="bottom"/>
            <w:tcBorders>
              <w:bottom w:val="single" w:sz="8" w:color="auto"/>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52"/>
              <w:spacing w:after="0" w:line="204" w:lineRule="exact"/>
              <w:rPr>
                <w:sz w:val="20"/>
                <w:szCs w:val="20"/>
                <w:color w:val="auto"/>
              </w:rPr>
            </w:pPr>
            <w:r>
              <w:rPr>
                <w:rFonts w:ascii="Arial" w:cs="Arial" w:eastAsia="Arial" w:hAnsi="Arial"/>
                <w:sz w:val="18"/>
                <w:szCs w:val="18"/>
                <w:color w:val="auto"/>
                <w:w w:val="99"/>
              </w:rPr>
              <w:t>2016</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income</w:t>
            </w:r>
          </w:p>
        </w:tc>
        <w:tc>
          <w:tcPr>
            <w:tcW w:w="9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4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7"/>
              </w:rPr>
              <w:t>(2,440)</w:t>
            </w: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5,710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12,727</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Discrete impact from tax law change</w:t>
            </w: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8,613</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Non-GAAP income as historically reported</w:t>
            </w:r>
          </w:p>
        </w:tc>
        <w:tc>
          <w:tcPr>
            <w:tcW w:w="96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Income tax effects of adjustments</w:t>
            </w:r>
          </w:p>
        </w:tc>
        <w:tc>
          <w:tcPr>
            <w:tcW w:w="9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w w:val="94"/>
              </w:rPr>
              <w:t>(6,774)</w:t>
            </w: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(4,925)</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Non-GAAP income with tax adjustments</w:t>
            </w:r>
          </w:p>
        </w:tc>
        <w:tc>
          <w:tcPr>
            <w:tcW w:w="9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jc w:val="right"/>
              <w:ind w:right="74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16,700</w:t>
            </w:r>
          </w:p>
        </w:tc>
        <w:tc>
          <w:tcPr>
            <w:tcW w:w="560" w:type="dxa"/>
            <w:vAlign w:val="bottom"/>
          </w:tcPr>
          <w:p>
            <w:pPr>
              <w:spacing w:after="0"/>
              <w:rPr>
                <w:sz w:val="18"/>
                <w:szCs w:val="18"/>
                <w:color w:val="auto"/>
              </w:rPr>
            </w:pPr>
          </w:p>
        </w:tc>
        <w:tc>
          <w:tcPr>
            <w:tcW w:w="96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3"/>
              </w:rPr>
              <w:t>Shares used to compute non-GAAP income per share</w:t>
            </w:r>
          </w:p>
        </w:tc>
        <w:tc>
          <w:tcPr>
            <w:tcW w:w="9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Basic</w:t>
            </w: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17,183</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17,356</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Non-GAAP income per share with tax adjustments</w:t>
            </w: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Diluted</w:t>
            </w: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0.96</w:t>
            </w:r>
          </w:p>
        </w:tc>
        <w:tc>
          <w:tcPr>
            <w:tcW w:w="560" w:type="dxa"/>
            <w:vAlign w:val="bottom"/>
          </w:tcPr>
          <w:p>
            <w:pPr>
              <w:spacing w:after="0"/>
              <w:rPr>
                <w:sz w:val="18"/>
                <w:szCs w:val="18"/>
                <w:color w:val="auto"/>
              </w:rPr>
            </w:pPr>
          </w:p>
        </w:tc>
        <w:tc>
          <w:tcPr>
            <w:tcW w:w="96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6"/>
              </w:rPr>
              <w:t>Non-GAAP income per share as historically reported</w:t>
            </w: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Basic</w:t>
            </w: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860" w:type="dxa"/>
            <w:vAlign w:val="bottom"/>
            <w:gridSpan w:val="2"/>
          </w:tcPr>
          <w:p>
            <w:pPr>
              <w:jc w:val="right"/>
              <w:ind w:right="1180"/>
              <w:spacing w:after="0"/>
              <w:rPr>
                <w:sz w:val="20"/>
                <w:szCs w:val="20"/>
                <w:color w:val="auto"/>
              </w:rPr>
            </w:pPr>
            <w:r>
              <w:rPr>
                <w:rFonts w:ascii="Arial" w:cs="Arial" w:eastAsia="Arial" w:hAnsi="Arial"/>
                <w:sz w:val="18"/>
                <w:szCs w:val="18"/>
                <w:color w:val="auto"/>
              </w:rPr>
              <w:t>A-2</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60"/>
          </w:cols>
          <w:pgMar w:left="240" w:top="451" w:right="129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hyperlink w:anchor="page6">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SPS COMMERCE, INC.</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333 SOUTH SEVENTH STREET</w:t>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SUITE 1000</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MINNEAPOLIS, MN 55402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 -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-645160</wp:posOffset>
            </wp:positionV>
            <wp:extent cx="7292340"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Use the Internet to transmit your voting instructions and for electronic delivery of information. Vote by 11:59 P.M. ET on 05/30/2018 for shares held directly and by 11:59 P.M. ET on 05/28/2018 for shares held in a Plan. Have your proxy card in hand when you access the web site and follow the instructions to obtain your records and to create an electronic voting instruction form.</w:t>
      </w:r>
    </w:p>
    <w:p>
      <w:pPr>
        <w:spacing w:after="0" w:line="114"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b w:val="1"/>
          <w:bCs w:val="1"/>
          <w:color w:val="auto"/>
        </w:rPr>
        <w:t xml:space="preserve">ELECTRONIC DELIVERY OF FUTURE PROXY MATERIALS </w:t>
      </w:r>
      <w:r>
        <w:rPr>
          <w:rFonts w:ascii="Arial" w:cs="Arial" w:eastAsia="Arial" w:hAnsi="Arial"/>
          <w:sz w:val="16"/>
          <w:szCs w:val="16"/>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- 1-800-690-6903</w:t>
      </w:r>
    </w:p>
    <w:p>
      <w:pPr>
        <w:spacing w:after="0" w:line="21"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Use any touch-tone telephone to transmit your voting instructions. Vote by 11:59 P.M. ET on 05/30/2018 for shares held directly and by 11:59 P.M. ET on 05/28/2018 for shares held in a Plan. Have your proxy card in hand when you call and then follow the instructions.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240" w:space="720"/>
            <w:col w:w="5460"/>
          </w:cols>
          <w:pgMar w:left="240" w:top="450" w:right="239" w:bottom="484" w:gutter="0" w:footer="0" w:header="0"/>
        </w:sect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TO VOTE, MARK BLOCKS BELOW IN BLUE OR BLACK INK AS FOLLOWS: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KEEP THIS PORTION FOR YOUR RECORDS</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DETACH AND RETURN THIS PORTION ONLY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27940</wp:posOffset>
            </wp:positionV>
            <wp:extent cx="7203440" cy="508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3440" cy="5086985"/>
                    </a:xfrm>
                    <a:prstGeom prst="rect">
                      <a:avLst/>
                    </a:prstGeom>
                    <a:noFill/>
                  </pic:spPr>
                </pic:pic>
              </a:graphicData>
            </a:graphic>
          </wp:anchor>
        </w:drawing>
      </w:r>
    </w:p>
    <w:p>
      <w:pPr>
        <w:spacing w:after="0" w:line="26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Board of Directors recommends you vote</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FOR the following:</w:t>
      </w:r>
    </w:p>
    <w:p>
      <w:pPr>
        <w:spacing w:after="0" w:line="97" w:lineRule="exact"/>
        <w:rPr>
          <w:sz w:val="20"/>
          <w:szCs w:val="20"/>
          <w:color w:val="auto"/>
        </w:rPr>
      </w:pPr>
    </w:p>
    <w:p>
      <w:pPr>
        <w:ind w:left="560" w:hanging="186"/>
        <w:spacing w:after="0"/>
        <w:tabs>
          <w:tab w:leader="none" w:pos="56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Election of Directors</w:t>
      </w:r>
    </w:p>
    <w:p>
      <w:pPr>
        <w:spacing w:after="0" w:line="90" w:lineRule="exact"/>
        <w:rPr>
          <w:sz w:val="20"/>
          <w:szCs w:val="20"/>
          <w:color w:val="auto"/>
        </w:rPr>
      </w:pPr>
    </w:p>
    <w:tbl>
      <w:tblPr>
        <w:tblLayout w:type="fixed"/>
        <w:tblInd w:w="380" w:type="dxa"/>
        <w:tblCellMar>
          <w:top w:w="0" w:type="dxa"/>
          <w:left w:w="0" w:type="dxa"/>
          <w:bottom w:w="0" w:type="dxa"/>
          <w:right w:w="0" w:type="dxa"/>
        </w:tblCellMar>
      </w:tblPr>
      <w:tr>
        <w:trPr>
          <w:trHeight w:val="228"/>
        </w:trPr>
        <w:tc>
          <w:tcPr>
            <w:tcW w:w="2320" w:type="dxa"/>
            <w:vAlign w:val="bottom"/>
            <w:gridSpan w:val="2"/>
          </w:tcPr>
          <w:p>
            <w:pPr>
              <w:ind w:left="180"/>
              <w:spacing w:after="0"/>
              <w:rPr>
                <w:sz w:val="20"/>
                <w:szCs w:val="20"/>
                <w:color w:val="auto"/>
              </w:rPr>
            </w:pPr>
            <w:r>
              <w:rPr>
                <w:rFonts w:ascii="Arial" w:cs="Arial" w:eastAsia="Arial" w:hAnsi="Arial"/>
                <w:sz w:val="18"/>
                <w:szCs w:val="18"/>
                <w:b w:val="1"/>
                <w:bCs w:val="1"/>
                <w:color w:val="auto"/>
              </w:rPr>
              <w:t>Nominees</w:t>
            </w:r>
          </w:p>
        </w:tc>
        <w:tc>
          <w:tcPr>
            <w:tcW w:w="760" w:type="dxa"/>
            <w:vAlign w:val="bottom"/>
          </w:tcPr>
          <w:p>
            <w:pPr>
              <w:jc w:val="center"/>
              <w:ind w:left="52"/>
              <w:spacing w:after="0"/>
              <w:rPr>
                <w:sz w:val="20"/>
                <w:szCs w:val="20"/>
                <w:color w:val="auto"/>
              </w:rPr>
            </w:pPr>
            <w:r>
              <w:rPr>
                <w:rFonts w:ascii="Arial" w:cs="Arial" w:eastAsia="Arial" w:hAnsi="Arial"/>
                <w:sz w:val="18"/>
                <w:szCs w:val="18"/>
                <w:b w:val="1"/>
                <w:bCs w:val="1"/>
                <w:color w:val="auto"/>
                <w:w w:val="89"/>
              </w:rPr>
              <w:t>For</w:t>
            </w: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rPr>
              <w:t>Against Abstain</w:t>
            </w:r>
          </w:p>
        </w:tc>
        <w:tc>
          <w:tcPr>
            <w:tcW w:w="4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260" w:type="dxa"/>
            <w:vAlign w:val="bottom"/>
          </w:tcPr>
          <w:p>
            <w:pPr>
              <w:spacing w:after="0"/>
              <w:rPr>
                <w:sz w:val="20"/>
                <w:szCs w:val="20"/>
                <w:color w:val="auto"/>
              </w:rPr>
            </w:pPr>
            <w:r>
              <w:rPr>
                <w:rFonts w:ascii="Arial" w:cs="Arial" w:eastAsia="Arial" w:hAnsi="Arial"/>
                <w:sz w:val="18"/>
                <w:szCs w:val="18"/>
                <w:color w:val="auto"/>
              </w:rPr>
              <w:t>1A</w:t>
            </w:r>
          </w:p>
        </w:tc>
        <w:tc>
          <w:tcPr>
            <w:tcW w:w="2060" w:type="dxa"/>
            <w:vAlign w:val="bottom"/>
          </w:tcPr>
          <w:p>
            <w:pPr>
              <w:ind w:left="60"/>
              <w:spacing w:after="0"/>
              <w:rPr>
                <w:sz w:val="20"/>
                <w:szCs w:val="20"/>
                <w:color w:val="auto"/>
              </w:rPr>
            </w:pPr>
            <w:r>
              <w:rPr>
                <w:rFonts w:ascii="Arial" w:cs="Arial" w:eastAsia="Arial" w:hAnsi="Arial"/>
                <w:sz w:val="18"/>
                <w:szCs w:val="18"/>
                <w:color w:val="auto"/>
              </w:rPr>
              <w:t>Archie C. Black</w:t>
            </w:r>
          </w:p>
        </w:tc>
        <w:tc>
          <w:tcPr>
            <w:tcW w:w="760" w:type="dxa"/>
            <w:vAlign w:val="bottom"/>
          </w:tcPr>
          <w:p>
            <w:pPr>
              <w:jc w:val="center"/>
              <w:ind w:left="52"/>
              <w:spacing w:after="0" w:line="181" w:lineRule="exact"/>
              <w:rPr>
                <w:sz w:val="20"/>
                <w:szCs w:val="20"/>
                <w:color w:val="auto"/>
              </w:rPr>
            </w:pPr>
            <w:r>
              <w:rPr>
                <w:rFonts w:ascii="MS PGothic" w:cs="MS PGothic" w:eastAsia="MS PGothic" w:hAnsi="MS PGothic"/>
                <w:sz w:val="18"/>
                <w:szCs w:val="18"/>
                <w:color w:val="auto"/>
                <w:w w:val="77"/>
              </w:rPr>
              <w:t>☐</w:t>
            </w:r>
          </w:p>
        </w:tc>
        <w:tc>
          <w:tcPr>
            <w:tcW w:w="7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4"/>
              </w:rPr>
              <w:t>Against</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7"/>
              </w:rPr>
              <w:t>Abstain</w:t>
            </w:r>
          </w:p>
        </w:tc>
        <w:tc>
          <w:tcPr>
            <w:tcW w:w="0" w:type="dxa"/>
            <w:vAlign w:val="bottom"/>
          </w:tcPr>
          <w:p>
            <w:pPr>
              <w:spacing w:after="0"/>
              <w:rPr>
                <w:sz w:val="1"/>
                <w:szCs w:val="1"/>
                <w:color w:val="auto"/>
              </w:rPr>
            </w:pPr>
          </w:p>
        </w:tc>
      </w:tr>
      <w:tr>
        <w:trPr>
          <w:trHeight w:val="316"/>
        </w:trPr>
        <w:tc>
          <w:tcPr>
            <w:tcW w:w="260" w:type="dxa"/>
            <w:vAlign w:val="bottom"/>
          </w:tcPr>
          <w:p>
            <w:pPr>
              <w:spacing w:after="0"/>
              <w:rPr>
                <w:sz w:val="20"/>
                <w:szCs w:val="20"/>
                <w:color w:val="auto"/>
              </w:rPr>
            </w:pPr>
            <w:r>
              <w:rPr>
                <w:rFonts w:ascii="Arial" w:cs="Arial" w:eastAsia="Arial" w:hAnsi="Arial"/>
                <w:sz w:val="18"/>
                <w:szCs w:val="18"/>
                <w:color w:val="auto"/>
              </w:rPr>
              <w:t>1B</w:t>
            </w:r>
          </w:p>
        </w:tc>
        <w:tc>
          <w:tcPr>
            <w:tcW w:w="2060" w:type="dxa"/>
            <w:vAlign w:val="bottom"/>
          </w:tcPr>
          <w:p>
            <w:pPr>
              <w:ind w:left="80"/>
              <w:spacing w:after="0"/>
              <w:rPr>
                <w:sz w:val="20"/>
                <w:szCs w:val="20"/>
                <w:color w:val="auto"/>
              </w:rPr>
            </w:pPr>
            <w:r>
              <w:rPr>
                <w:rFonts w:ascii="Arial" w:cs="Arial" w:eastAsia="Arial" w:hAnsi="Arial"/>
                <w:sz w:val="18"/>
                <w:szCs w:val="18"/>
                <w:color w:val="auto"/>
              </w:rPr>
              <w:t>Melvin L. Keating</w:t>
            </w:r>
          </w:p>
        </w:tc>
        <w:tc>
          <w:tcPr>
            <w:tcW w:w="760" w:type="dxa"/>
            <w:vAlign w:val="bottom"/>
          </w:tcPr>
          <w:p>
            <w:pPr>
              <w:jc w:val="center"/>
              <w:ind w:left="52"/>
              <w:spacing w:after="0" w:line="181" w:lineRule="exact"/>
              <w:rPr>
                <w:sz w:val="20"/>
                <w:szCs w:val="20"/>
                <w:color w:val="auto"/>
              </w:rPr>
            </w:pPr>
            <w:r>
              <w:rPr>
                <w:rFonts w:ascii="MS PGothic" w:cs="MS PGothic" w:eastAsia="MS PGothic" w:hAnsi="MS PGothic"/>
                <w:sz w:val="18"/>
                <w:szCs w:val="18"/>
                <w:color w:val="auto"/>
                <w:w w:val="77"/>
              </w:rPr>
              <w:t>☐</w:t>
            </w:r>
          </w:p>
        </w:tc>
        <w:tc>
          <w:tcPr>
            <w:tcW w:w="7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60"/>
              <w:spacing w:after="0"/>
              <w:rPr>
                <w:sz w:val="20"/>
                <w:szCs w:val="20"/>
                <w:color w:val="auto"/>
              </w:rPr>
            </w:pPr>
            <w:r>
              <w:rPr>
                <w:rFonts w:ascii="Arial" w:cs="Arial" w:eastAsia="Arial" w:hAnsi="Arial"/>
                <w:sz w:val="18"/>
                <w:szCs w:val="18"/>
                <w:color w:val="auto"/>
              </w:rPr>
              <w:t>1I  Sven A. Wehrwein</w:t>
            </w:r>
          </w:p>
        </w:tc>
        <w:tc>
          <w:tcPr>
            <w:tcW w:w="4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left="1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8"/>
        </w:trPr>
        <w:tc>
          <w:tcPr>
            <w:tcW w:w="260" w:type="dxa"/>
            <w:vAlign w:val="bottom"/>
          </w:tcPr>
          <w:p>
            <w:pPr>
              <w:spacing w:after="0"/>
              <w:rPr>
                <w:sz w:val="20"/>
                <w:szCs w:val="20"/>
                <w:color w:val="auto"/>
              </w:rPr>
            </w:pPr>
            <w:r>
              <w:rPr>
                <w:rFonts w:ascii="Arial" w:cs="Arial" w:eastAsia="Arial" w:hAnsi="Arial"/>
                <w:sz w:val="18"/>
                <w:szCs w:val="18"/>
                <w:color w:val="auto"/>
              </w:rPr>
              <w:t>1C</w:t>
            </w:r>
          </w:p>
        </w:tc>
        <w:tc>
          <w:tcPr>
            <w:tcW w:w="2060" w:type="dxa"/>
            <w:vAlign w:val="bottom"/>
          </w:tcPr>
          <w:p>
            <w:pPr>
              <w:ind w:left="80"/>
              <w:spacing w:after="0"/>
              <w:rPr>
                <w:sz w:val="20"/>
                <w:szCs w:val="20"/>
                <w:color w:val="auto"/>
              </w:rPr>
            </w:pPr>
            <w:r>
              <w:rPr>
                <w:rFonts w:ascii="Arial" w:cs="Arial" w:eastAsia="Arial" w:hAnsi="Arial"/>
                <w:sz w:val="18"/>
                <w:szCs w:val="18"/>
                <w:color w:val="auto"/>
              </w:rPr>
              <w:t>Martin J. Leestma</w:t>
            </w:r>
          </w:p>
        </w:tc>
        <w:tc>
          <w:tcPr>
            <w:tcW w:w="760" w:type="dxa"/>
            <w:vAlign w:val="bottom"/>
          </w:tcPr>
          <w:p>
            <w:pPr>
              <w:jc w:val="center"/>
              <w:ind w:left="52"/>
              <w:spacing w:after="0" w:line="181" w:lineRule="exact"/>
              <w:rPr>
                <w:sz w:val="20"/>
                <w:szCs w:val="20"/>
                <w:color w:val="auto"/>
              </w:rPr>
            </w:pPr>
            <w:r>
              <w:rPr>
                <w:rFonts w:ascii="MS PGothic" w:cs="MS PGothic" w:eastAsia="MS PGothic" w:hAnsi="MS PGothic"/>
                <w:sz w:val="18"/>
                <w:szCs w:val="18"/>
                <w:color w:val="auto"/>
                <w:w w:val="77"/>
              </w:rPr>
              <w:t>☐</w:t>
            </w:r>
          </w:p>
        </w:tc>
        <w:tc>
          <w:tcPr>
            <w:tcW w:w="7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60"/>
              <w:spacing w:after="0"/>
              <w:rPr>
                <w:sz w:val="20"/>
                <w:szCs w:val="20"/>
                <w:color w:val="auto"/>
              </w:rPr>
            </w:pPr>
            <w:r>
              <w:rPr>
                <w:rFonts w:ascii="Arial" w:cs="Arial" w:eastAsia="Arial" w:hAnsi="Arial"/>
                <w:sz w:val="18"/>
                <w:szCs w:val="18"/>
                <w:b w:val="1"/>
                <w:bCs w:val="1"/>
                <w:color w:val="auto"/>
                <w:w w:val="95"/>
              </w:rPr>
              <w:t>The Board of Directors recommends you vote FOR</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320" w:type="dxa"/>
            <w:vAlign w:val="bottom"/>
          </w:tcPr>
          <w:p>
            <w:pPr>
              <w:ind w:left="160"/>
              <w:spacing w:after="0"/>
              <w:rPr>
                <w:sz w:val="20"/>
                <w:szCs w:val="20"/>
                <w:color w:val="auto"/>
              </w:rPr>
            </w:pPr>
            <w:r>
              <w:rPr>
                <w:rFonts w:ascii="Arial" w:cs="Arial" w:eastAsia="Arial" w:hAnsi="Arial"/>
                <w:sz w:val="18"/>
                <w:szCs w:val="18"/>
                <w:b w:val="1"/>
                <w:bCs w:val="1"/>
                <w:color w:val="auto"/>
              </w:rPr>
              <w:t>proposals 2 and 3.</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60" w:type="dxa"/>
            <w:vAlign w:val="bottom"/>
          </w:tcPr>
          <w:p>
            <w:pPr>
              <w:spacing w:after="0"/>
              <w:rPr>
                <w:sz w:val="20"/>
                <w:szCs w:val="20"/>
                <w:color w:val="auto"/>
              </w:rPr>
            </w:pPr>
            <w:r>
              <w:rPr>
                <w:rFonts w:ascii="Arial" w:cs="Arial" w:eastAsia="Arial" w:hAnsi="Arial"/>
                <w:sz w:val="18"/>
                <w:szCs w:val="18"/>
                <w:color w:val="auto"/>
              </w:rPr>
              <w:t>1D</w:t>
            </w:r>
          </w:p>
        </w:tc>
        <w:tc>
          <w:tcPr>
            <w:tcW w:w="2060" w:type="dxa"/>
            <w:vAlign w:val="bottom"/>
          </w:tcPr>
          <w:p>
            <w:pPr>
              <w:ind w:left="80"/>
              <w:spacing w:after="0"/>
              <w:rPr>
                <w:sz w:val="20"/>
                <w:szCs w:val="20"/>
                <w:color w:val="auto"/>
              </w:rPr>
            </w:pPr>
            <w:r>
              <w:rPr>
                <w:rFonts w:ascii="Arial" w:cs="Arial" w:eastAsia="Arial" w:hAnsi="Arial"/>
                <w:sz w:val="18"/>
                <w:szCs w:val="18"/>
                <w:color w:val="auto"/>
              </w:rPr>
              <w:t>Michael J. McConnell</w:t>
            </w:r>
          </w:p>
        </w:tc>
        <w:tc>
          <w:tcPr>
            <w:tcW w:w="760" w:type="dxa"/>
            <w:vAlign w:val="bottom"/>
          </w:tcPr>
          <w:p>
            <w:pPr>
              <w:jc w:val="center"/>
              <w:ind w:left="52"/>
              <w:spacing w:after="0" w:line="181" w:lineRule="exact"/>
              <w:rPr>
                <w:sz w:val="20"/>
                <w:szCs w:val="20"/>
                <w:color w:val="auto"/>
              </w:rPr>
            </w:pPr>
            <w:r>
              <w:rPr>
                <w:rFonts w:ascii="MS PGothic" w:cs="MS PGothic" w:eastAsia="MS PGothic" w:hAnsi="MS PGothic"/>
                <w:sz w:val="18"/>
                <w:szCs w:val="18"/>
                <w:color w:val="auto"/>
                <w:w w:val="77"/>
              </w:rPr>
              <w:t>☐</w:t>
            </w:r>
          </w:p>
        </w:tc>
        <w:tc>
          <w:tcPr>
            <w:tcW w:w="7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60"/>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Ratification of the selection of KPMG LLP as the</w:t>
            </w:r>
          </w:p>
        </w:tc>
        <w:tc>
          <w:tcPr>
            <w:tcW w:w="44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4"/>
              </w:rPr>
              <w:t>Against</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7"/>
              </w:rPr>
              <w:t>Abstain</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320" w:type="dxa"/>
            <w:vAlign w:val="bottom"/>
          </w:tcPr>
          <w:p>
            <w:pPr>
              <w:ind w:left="500"/>
              <w:spacing w:after="0"/>
              <w:rPr>
                <w:sz w:val="20"/>
                <w:szCs w:val="20"/>
                <w:color w:val="auto"/>
              </w:rPr>
            </w:pPr>
            <w:r>
              <w:rPr>
                <w:rFonts w:ascii="Arial" w:cs="Arial" w:eastAsia="Arial" w:hAnsi="Arial"/>
                <w:sz w:val="18"/>
                <w:szCs w:val="18"/>
                <w:color w:val="auto"/>
                <w:w w:val="93"/>
              </w:rPr>
              <w:t>independent auditor of SPS Commerce, Inc. for the</w:t>
            </w:r>
          </w:p>
        </w:tc>
        <w:tc>
          <w:tcPr>
            <w:tcW w:w="4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left="1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60" w:type="dxa"/>
            <w:vAlign w:val="bottom"/>
            <w:vMerge w:val="restart"/>
          </w:tcPr>
          <w:p>
            <w:pPr>
              <w:jc w:val="center"/>
              <w:ind w:left="52"/>
              <w:spacing w:after="0" w:line="181" w:lineRule="exact"/>
              <w:rPr>
                <w:sz w:val="20"/>
                <w:szCs w:val="20"/>
                <w:color w:val="auto"/>
              </w:rPr>
            </w:pPr>
            <w:r>
              <w:rPr>
                <w:rFonts w:ascii="MS PGothic" w:cs="MS PGothic" w:eastAsia="MS PGothic" w:hAnsi="MS PGothic"/>
                <w:sz w:val="18"/>
                <w:szCs w:val="18"/>
                <w:color w:val="auto"/>
                <w:w w:val="77"/>
              </w:rPr>
              <w:t>☐</w:t>
            </w:r>
          </w:p>
        </w:tc>
        <w:tc>
          <w:tcPr>
            <w:tcW w:w="74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500"/>
              <w:spacing w:after="0"/>
              <w:rPr>
                <w:sz w:val="20"/>
                <w:szCs w:val="20"/>
                <w:color w:val="auto"/>
              </w:rPr>
            </w:pPr>
            <w:r>
              <w:rPr>
                <w:rFonts w:ascii="Arial" w:cs="Arial" w:eastAsia="Arial" w:hAnsi="Arial"/>
                <w:sz w:val="18"/>
                <w:szCs w:val="18"/>
                <w:color w:val="auto"/>
              </w:rPr>
              <w:t>fiscal year ending December 31, 2018.</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60" w:type="dxa"/>
            <w:vAlign w:val="bottom"/>
          </w:tcPr>
          <w:p>
            <w:pPr>
              <w:spacing w:after="0"/>
              <w:rPr>
                <w:sz w:val="20"/>
                <w:szCs w:val="20"/>
                <w:color w:val="auto"/>
              </w:rPr>
            </w:pPr>
            <w:r>
              <w:rPr>
                <w:rFonts w:ascii="Arial" w:cs="Arial" w:eastAsia="Arial" w:hAnsi="Arial"/>
                <w:sz w:val="18"/>
                <w:szCs w:val="18"/>
                <w:color w:val="auto"/>
              </w:rPr>
              <w:t>1E</w:t>
            </w:r>
          </w:p>
        </w:tc>
        <w:tc>
          <w:tcPr>
            <w:tcW w:w="2060" w:type="dxa"/>
            <w:vAlign w:val="bottom"/>
          </w:tcPr>
          <w:p>
            <w:pPr>
              <w:ind w:left="60"/>
              <w:spacing w:after="0"/>
              <w:rPr>
                <w:sz w:val="20"/>
                <w:szCs w:val="20"/>
                <w:color w:val="auto"/>
              </w:rPr>
            </w:pPr>
            <w:r>
              <w:rPr>
                <w:rFonts w:ascii="Arial" w:cs="Arial" w:eastAsia="Arial" w:hAnsi="Arial"/>
                <w:sz w:val="18"/>
                <w:szCs w:val="18"/>
                <w:color w:val="auto"/>
              </w:rPr>
              <w:t>James B. Ramsey</w:t>
            </w:r>
          </w:p>
        </w:tc>
        <w:tc>
          <w:tcPr>
            <w:tcW w:w="76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4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60" w:type="dxa"/>
            <w:vAlign w:val="bottom"/>
          </w:tcPr>
          <w:p>
            <w:pPr>
              <w:spacing w:after="0"/>
              <w:rPr>
                <w:sz w:val="20"/>
                <w:szCs w:val="20"/>
                <w:color w:val="auto"/>
              </w:rPr>
            </w:pPr>
            <w:r>
              <w:rPr>
                <w:rFonts w:ascii="Arial" w:cs="Arial" w:eastAsia="Arial" w:hAnsi="Arial"/>
                <w:sz w:val="18"/>
                <w:szCs w:val="18"/>
                <w:color w:val="auto"/>
              </w:rPr>
              <w:t>1F</w:t>
            </w:r>
          </w:p>
        </w:tc>
        <w:tc>
          <w:tcPr>
            <w:tcW w:w="2060" w:type="dxa"/>
            <w:vAlign w:val="bottom"/>
          </w:tcPr>
          <w:p>
            <w:pPr>
              <w:ind w:left="80"/>
              <w:spacing w:after="0"/>
              <w:rPr>
                <w:sz w:val="20"/>
                <w:szCs w:val="20"/>
                <w:color w:val="auto"/>
              </w:rPr>
            </w:pPr>
            <w:r>
              <w:rPr>
                <w:rFonts w:ascii="Arial" w:cs="Arial" w:eastAsia="Arial" w:hAnsi="Arial"/>
                <w:sz w:val="18"/>
                <w:szCs w:val="18"/>
                <w:color w:val="auto"/>
              </w:rPr>
              <w:t>Marty M. Reaume</w:t>
            </w:r>
          </w:p>
        </w:tc>
        <w:tc>
          <w:tcPr>
            <w:tcW w:w="760" w:type="dxa"/>
            <w:vAlign w:val="bottom"/>
          </w:tcPr>
          <w:p>
            <w:pPr>
              <w:jc w:val="center"/>
              <w:ind w:left="52"/>
              <w:spacing w:after="0" w:line="181" w:lineRule="exact"/>
              <w:rPr>
                <w:sz w:val="20"/>
                <w:szCs w:val="20"/>
                <w:color w:val="auto"/>
              </w:rPr>
            </w:pPr>
            <w:r>
              <w:rPr>
                <w:rFonts w:ascii="MS PGothic" w:cs="MS PGothic" w:eastAsia="MS PGothic" w:hAnsi="MS PGothic"/>
                <w:sz w:val="18"/>
                <w:szCs w:val="18"/>
                <w:color w:val="auto"/>
                <w:w w:val="77"/>
              </w:rPr>
              <w:t>☐</w:t>
            </w:r>
          </w:p>
        </w:tc>
        <w:tc>
          <w:tcPr>
            <w:tcW w:w="7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60"/>
              <w:spacing w:after="0"/>
              <w:rPr>
                <w:sz w:val="20"/>
                <w:szCs w:val="20"/>
                <w:color w:val="auto"/>
              </w:rPr>
            </w:pPr>
            <w:r>
              <w:rPr>
                <w:rFonts w:ascii="Arial" w:cs="Arial" w:eastAsia="Arial" w:hAnsi="Arial"/>
                <w:sz w:val="18"/>
                <w:szCs w:val="18"/>
                <w:b w:val="1"/>
                <w:bCs w:val="1"/>
                <w:color w:val="auto"/>
                <w:w w:val="92"/>
              </w:rPr>
              <w:t xml:space="preserve">3.  </w:t>
            </w:r>
            <w:r>
              <w:rPr>
                <w:rFonts w:ascii="Arial" w:cs="Arial" w:eastAsia="Arial" w:hAnsi="Arial"/>
                <w:sz w:val="18"/>
                <w:szCs w:val="18"/>
                <w:color w:val="auto"/>
                <w:w w:val="92"/>
              </w:rPr>
              <w:t>Advisory approval of the compensation of the named</w:t>
            </w:r>
          </w:p>
        </w:tc>
        <w:tc>
          <w:tcPr>
            <w:tcW w:w="4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60" w:type="dxa"/>
            <w:vAlign w:val="bottom"/>
          </w:tcPr>
          <w:p>
            <w:pPr>
              <w:jc w:val="center"/>
              <w:ind w:left="1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320" w:type="dxa"/>
            <w:vAlign w:val="bottom"/>
          </w:tcPr>
          <w:p>
            <w:pPr>
              <w:ind w:left="500"/>
              <w:spacing w:after="0"/>
              <w:rPr>
                <w:sz w:val="20"/>
                <w:szCs w:val="20"/>
                <w:color w:val="auto"/>
              </w:rPr>
            </w:pPr>
            <w:r>
              <w:rPr>
                <w:rFonts w:ascii="Arial" w:cs="Arial" w:eastAsia="Arial" w:hAnsi="Arial"/>
                <w:sz w:val="18"/>
                <w:szCs w:val="18"/>
                <w:color w:val="auto"/>
              </w:rPr>
              <w:t>executive officers of SPS Commerce, Inc.</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60" w:type="dxa"/>
            <w:vAlign w:val="bottom"/>
          </w:tcPr>
          <w:p>
            <w:pPr>
              <w:spacing w:after="0"/>
              <w:rPr>
                <w:sz w:val="20"/>
                <w:szCs w:val="20"/>
                <w:color w:val="auto"/>
              </w:rPr>
            </w:pPr>
            <w:r>
              <w:rPr>
                <w:rFonts w:ascii="Arial" w:cs="Arial" w:eastAsia="Arial" w:hAnsi="Arial"/>
                <w:sz w:val="18"/>
                <w:szCs w:val="18"/>
                <w:color w:val="auto"/>
                <w:w w:val="99"/>
              </w:rPr>
              <w:t>1G</w:t>
            </w:r>
          </w:p>
        </w:tc>
        <w:tc>
          <w:tcPr>
            <w:tcW w:w="2060" w:type="dxa"/>
            <w:vAlign w:val="bottom"/>
          </w:tcPr>
          <w:p>
            <w:pPr>
              <w:ind w:left="60"/>
              <w:spacing w:after="0"/>
              <w:rPr>
                <w:sz w:val="20"/>
                <w:szCs w:val="20"/>
                <w:color w:val="auto"/>
              </w:rPr>
            </w:pPr>
            <w:r>
              <w:rPr>
                <w:rFonts w:ascii="Arial" w:cs="Arial" w:eastAsia="Arial" w:hAnsi="Arial"/>
                <w:sz w:val="18"/>
                <w:szCs w:val="18"/>
                <w:color w:val="auto"/>
              </w:rPr>
              <w:t>Tami L. Reller</w:t>
            </w:r>
          </w:p>
        </w:tc>
        <w:tc>
          <w:tcPr>
            <w:tcW w:w="760" w:type="dxa"/>
            <w:vAlign w:val="bottom"/>
          </w:tcPr>
          <w:p>
            <w:pPr>
              <w:jc w:val="center"/>
              <w:ind w:left="52"/>
              <w:spacing w:after="0" w:line="181" w:lineRule="exact"/>
              <w:rPr>
                <w:sz w:val="20"/>
                <w:szCs w:val="20"/>
                <w:color w:val="auto"/>
              </w:rPr>
            </w:pPr>
            <w:r>
              <w:rPr>
                <w:rFonts w:ascii="MS PGothic" w:cs="MS PGothic" w:eastAsia="MS PGothic" w:hAnsi="MS PGothic"/>
                <w:sz w:val="18"/>
                <w:szCs w:val="18"/>
                <w:color w:val="auto"/>
                <w:w w:val="77"/>
              </w:rPr>
              <w:t>☐</w:t>
            </w:r>
          </w:p>
        </w:tc>
        <w:tc>
          <w:tcPr>
            <w:tcW w:w="7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60"/>
              <w:spacing w:after="0"/>
              <w:rPr>
                <w:sz w:val="20"/>
                <w:szCs w:val="20"/>
                <w:color w:val="auto"/>
              </w:rPr>
            </w:pPr>
            <w:r>
              <w:rPr>
                <w:rFonts w:ascii="Arial" w:cs="Arial" w:eastAsia="Arial" w:hAnsi="Arial"/>
                <w:sz w:val="18"/>
                <w:szCs w:val="18"/>
                <w:b w:val="1"/>
                <w:bCs w:val="1"/>
                <w:color w:val="auto"/>
                <w:w w:val="89"/>
              </w:rPr>
              <w:t xml:space="preserve">NOTE: </w:t>
            </w:r>
            <w:r>
              <w:rPr>
                <w:rFonts w:ascii="Arial" w:cs="Arial" w:eastAsia="Arial" w:hAnsi="Arial"/>
                <w:sz w:val="18"/>
                <w:szCs w:val="18"/>
                <w:color w:val="auto"/>
                <w:w w:val="89"/>
              </w:rPr>
              <w:t>Such other business as may properly come before</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the meeting or any adjournment thereof.</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260" w:type="dxa"/>
            <w:vAlign w:val="bottom"/>
          </w:tcPr>
          <w:p>
            <w:pPr>
              <w:spacing w:after="0"/>
              <w:rPr>
                <w:sz w:val="20"/>
                <w:szCs w:val="20"/>
                <w:color w:val="auto"/>
              </w:rPr>
            </w:pPr>
            <w:r>
              <w:rPr>
                <w:rFonts w:ascii="Arial" w:cs="Arial" w:eastAsia="Arial" w:hAnsi="Arial"/>
                <w:sz w:val="18"/>
                <w:szCs w:val="18"/>
                <w:color w:val="auto"/>
              </w:rPr>
              <w:t>1H</w:t>
            </w:r>
          </w:p>
        </w:tc>
        <w:tc>
          <w:tcPr>
            <w:tcW w:w="2060" w:type="dxa"/>
            <w:vAlign w:val="bottom"/>
          </w:tcPr>
          <w:p>
            <w:pPr>
              <w:ind w:left="80"/>
              <w:spacing w:after="0"/>
              <w:rPr>
                <w:sz w:val="20"/>
                <w:szCs w:val="20"/>
                <w:color w:val="auto"/>
              </w:rPr>
            </w:pPr>
            <w:r>
              <w:rPr>
                <w:rFonts w:ascii="Arial" w:cs="Arial" w:eastAsia="Arial" w:hAnsi="Arial"/>
                <w:sz w:val="18"/>
                <w:szCs w:val="18"/>
                <w:color w:val="auto"/>
              </w:rPr>
              <w:t>Philip E. Soran</w:t>
            </w:r>
          </w:p>
        </w:tc>
        <w:tc>
          <w:tcPr>
            <w:tcW w:w="760" w:type="dxa"/>
            <w:vAlign w:val="bottom"/>
          </w:tcPr>
          <w:p>
            <w:pPr>
              <w:jc w:val="center"/>
              <w:ind w:left="52"/>
              <w:spacing w:after="0" w:line="181" w:lineRule="exact"/>
              <w:rPr>
                <w:sz w:val="20"/>
                <w:szCs w:val="20"/>
                <w:color w:val="auto"/>
              </w:rPr>
            </w:pPr>
            <w:r>
              <w:rPr>
                <w:rFonts w:ascii="MS PGothic" w:cs="MS PGothic" w:eastAsia="MS PGothic" w:hAnsi="MS PGothic"/>
                <w:sz w:val="18"/>
                <w:szCs w:val="18"/>
                <w:color w:val="auto"/>
                <w:w w:val="77"/>
              </w:rPr>
              <w:t>☐</w:t>
            </w:r>
          </w:p>
        </w:tc>
        <w:tc>
          <w:tcPr>
            <w:tcW w:w="7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80" w:type="dxa"/>
            <w:vAlign w:val="bottom"/>
            <w:gridSpan w:val="3"/>
          </w:tcPr>
          <w:p>
            <w:pPr>
              <w:spacing w:after="0"/>
              <w:rPr>
                <w:sz w:val="20"/>
                <w:szCs w:val="20"/>
                <w:color w:val="auto"/>
              </w:rPr>
            </w:pPr>
            <w:r>
              <w:rPr>
                <w:rFonts w:ascii="Arial" w:cs="Arial" w:eastAsia="Arial" w:hAnsi="Arial"/>
                <w:sz w:val="18"/>
                <w:szCs w:val="18"/>
                <w:color w:val="auto"/>
                <w:w w:val="88"/>
              </w:rPr>
              <w:t>For address change/comments, mark here.</w:t>
            </w:r>
          </w:p>
        </w:tc>
        <w:tc>
          <w:tcPr>
            <w:tcW w:w="740" w:type="dxa"/>
            <w:vAlign w:val="bottom"/>
          </w:tcPr>
          <w:p>
            <w:pPr>
              <w:spacing w:after="0"/>
              <w:rPr>
                <w:sz w:val="24"/>
                <w:szCs w:val="24"/>
                <w:color w:val="auto"/>
              </w:rPr>
            </w:pPr>
          </w:p>
        </w:tc>
        <w:tc>
          <w:tcPr>
            <w:tcW w:w="7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320" w:type="dxa"/>
            <w:vAlign w:val="bottom"/>
            <w:gridSpan w:val="2"/>
          </w:tcPr>
          <w:p>
            <w:pPr>
              <w:spacing w:after="0"/>
              <w:rPr>
                <w:sz w:val="20"/>
                <w:szCs w:val="20"/>
                <w:color w:val="auto"/>
              </w:rPr>
            </w:pPr>
            <w:r>
              <w:rPr>
                <w:rFonts w:ascii="Arial" w:cs="Arial" w:eastAsia="Arial" w:hAnsi="Arial"/>
                <w:sz w:val="18"/>
                <w:szCs w:val="18"/>
                <w:color w:val="auto"/>
              </w:rPr>
              <w:t>(see reverse for instructions)</w:t>
            </w: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Please sign exactly as your name(s) appear(s) hereon. When</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signing as attorney, executor, administrator,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108585" cy="9772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8585" cy="97726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fiduciary, please give full title as such. Joint owners should</w:t>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each sign personally. All holders must sign. If a corporation</w:t>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or partnership, please sign in full corporate or partnership</w:t>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name by authorized officer.</w:t>
      </w:r>
    </w:p>
    <w:p>
      <w:pPr>
        <w:sectPr>
          <w:pgSz w:w="11900" w:h="16838" w:orient="portrait"/>
          <w:cols w:equalWidth="0" w:num="1">
            <w:col w:w="11420"/>
          </w:cols>
          <w:pgMar w:left="240" w:top="450" w:right="239" w:bottom="48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80"/>
        <w:spacing w:after="0"/>
        <w:tabs>
          <w:tab w:leader="none" w:pos="4900" w:val="left"/>
          <w:tab w:leader="none" w:pos="9780" w:val="left"/>
        </w:tabs>
        <w:rPr>
          <w:sz w:val="20"/>
          <w:szCs w:val="20"/>
          <w:color w:val="auto"/>
        </w:rPr>
      </w:pPr>
      <w:r>
        <w:rPr>
          <w:rFonts w:ascii="Arial" w:cs="Arial" w:eastAsia="Arial" w:hAnsi="Arial"/>
          <w:sz w:val="18"/>
          <w:szCs w:val="18"/>
          <w:color w:val="auto"/>
        </w:rPr>
        <w:t>Signature [PLEASE SIGN WITHIN BOX] Date</w:t>
      </w:r>
      <w:r>
        <w:rPr>
          <w:sz w:val="20"/>
          <w:szCs w:val="20"/>
          <w:color w:val="auto"/>
        </w:rPr>
        <w:tab/>
      </w:r>
      <w:r>
        <w:rPr>
          <w:rFonts w:ascii="Arial" w:cs="Arial" w:eastAsia="Arial" w:hAnsi="Arial"/>
          <w:sz w:val="18"/>
          <w:szCs w:val="18"/>
          <w:color w:val="auto"/>
        </w:rPr>
        <w:t>Signature (Joint Owners)</w:t>
      </w:r>
      <w:r>
        <w:rPr>
          <w:sz w:val="20"/>
          <w:szCs w:val="20"/>
          <w:color w:val="auto"/>
        </w:rPr>
        <w:tab/>
      </w:r>
      <w:r>
        <w:rPr>
          <w:rFonts w:ascii="Arial" w:cs="Arial" w:eastAsia="Arial" w:hAnsi="Arial"/>
          <w:sz w:val="15"/>
          <w:szCs w:val="15"/>
          <w:color w:val="auto"/>
        </w:rPr>
        <w:t>Date</w:t>
      </w:r>
    </w:p>
    <w:p>
      <w:pPr>
        <w:sectPr>
          <w:pgSz w:w="11900" w:h="16838" w:orient="portrait"/>
          <w:cols w:equalWidth="0" w:num="1">
            <w:col w:w="11420"/>
          </w:cols>
          <w:pgMar w:left="240" w:top="450" w:right="239" w:bottom="484" w:gutter="0" w:footer="0" w:header="0"/>
          <w:type w:val="continuous"/>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0" w:right="140"/>
        <w:spacing w:after="0" w:line="268"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Annual Report, Notice &amp; Proxy Statement is/are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219075</wp:posOffset>
            </wp:positionV>
            <wp:extent cx="7058025" cy="37420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58025" cy="3742055"/>
                    </a:xfrm>
                    <a:prstGeom prst="rect">
                      <a:avLst/>
                    </a:prstGeom>
                    <a:noFill/>
                  </pic:spPr>
                </pic:pic>
              </a:graphicData>
            </a:graphic>
          </wp:anchor>
        </w:drawing>
      </w:r>
    </w:p>
    <w:p>
      <w:pPr>
        <w:spacing w:after="0" w:line="37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SPS COMMERCE, INC.</w:t>
      </w:r>
    </w:p>
    <w:p>
      <w:pPr>
        <w:spacing w:after="0" w:line="21"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Annual Meeting of Stockholders</w:t>
      </w:r>
    </w:p>
    <w:p>
      <w:pPr>
        <w:spacing w:after="0" w:line="17"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May 31, 2018 8:00 AM</w:t>
      </w:r>
    </w:p>
    <w:p>
      <w:pPr>
        <w:spacing w:after="0" w:line="3"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28" w:lineRule="exact"/>
        <w:rPr>
          <w:sz w:val="20"/>
          <w:szCs w:val="20"/>
          <w:color w:val="auto"/>
        </w:rPr>
      </w:pPr>
    </w:p>
    <w:p>
      <w:pPr>
        <w:ind w:left="880"/>
        <w:spacing w:after="0" w:line="248" w:lineRule="auto"/>
        <w:rPr>
          <w:sz w:val="20"/>
          <w:szCs w:val="20"/>
          <w:color w:val="auto"/>
        </w:rPr>
      </w:pPr>
      <w:r>
        <w:rPr>
          <w:rFonts w:ascii="Arial" w:cs="Arial" w:eastAsia="Arial" w:hAnsi="Arial"/>
          <w:sz w:val="18"/>
          <w:szCs w:val="18"/>
          <w:color w:val="auto"/>
        </w:rPr>
        <w:t>The stockholder(s) hereby appoint(s) Archie C. Black and Kimberly K. Nelson, or either of them, as proxies, each with the power to appoint (his/her) substitute, and hereby authorizes them to represent and to vote, as designated on the reverse side, all of the shares of Common Stock of SPS Commerce, Inc., that the stockholder(s) is/are entitled to vote at the Annual Meeting of Stockholders to be held at 08:00 AM, CT on May 31, 2018 at the offices of Faegre Baker Daniels LLP, 2200 Wells Fargo Center, 90 South Seventh Street, Minneapolis, MN 55402, and any adjournment or postponement thereof.</w:t>
      </w:r>
    </w:p>
    <w:p>
      <w:pPr>
        <w:spacing w:after="0" w:line="227" w:lineRule="exact"/>
        <w:rPr>
          <w:sz w:val="20"/>
          <w:szCs w:val="20"/>
          <w:color w:val="auto"/>
        </w:rPr>
      </w:pPr>
    </w:p>
    <w:p>
      <w:pPr>
        <w:ind w:left="880" w:right="120"/>
        <w:spacing w:after="0" w:line="268"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Address change/comments: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-119380</wp:posOffset>
            </wp:positionV>
            <wp:extent cx="100330" cy="9772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033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(If you noted any Address Changes and/or Comments above, please mark corresponding box on the reverse side.)</w:t>
      </w:r>
    </w:p>
    <w:p>
      <w:pPr>
        <w:spacing w:after="0" w:line="20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960"/>
      </w:cols>
      <w:pgMar w:left="240" w:top="451"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lvl w:ilvl="1">
      <w:lvlJc w:val="left"/>
      <w:lvlText w:val="(%2)"/>
      <w:numFmt w:val="decimal"/>
      <w:start w:val="1"/>
    </w:lvl>
  </w:abstractNum>
  <w:abstractNum w:abstractNumId="5">
    <w:nsid w:val="189A769B"/>
    <w:multiLevelType w:val="hybridMultilevel"/>
    <w:lvl w:ilvl="0">
      <w:lvlJc w:val="left"/>
      <w:lvlText w:val="(%1)"/>
      <w:numFmt w:val="decimal"/>
      <w:start w:val="3"/>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emdash "/>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2"/>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2"/>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2"/>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4"/>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2019-12-06T15:06:04Z</dcterms:created>
  <dcterms:modified xsi:type="dcterms:W3CDTF">2019-12-06T15:06:04Z</dcterms:modified>
</cp:coreProperties>
</file>