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000" w:hanging="452"/>
        <w:spacing w:after="0" w:line="24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68" w:lineRule="exact"/>
        <w:rPr>
          <w:sz w:val="24"/>
          <w:szCs w:val="24"/>
          <w:color w:val="auto"/>
        </w:rPr>
      </w:pPr>
    </w:p>
    <w:p>
      <w:pPr>
        <w:ind w:left="460" w:right="3980" w:hanging="452"/>
        <w:spacing w:after="0" w:line="26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$0.001 per share, outstanding at July 24, 2017 was 17,221,797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18"/>
                <w:szCs w:val="18"/>
                <w:color w:val="auto"/>
              </w:rPr>
              <w:t>Condensed Consolidated Balance Sheets as of June 30, 2017 (unaudited) and December 31, 2016</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18"/>
                <w:szCs w:val="18"/>
                <w:color w:val="auto"/>
                <w:w w:val="92"/>
              </w:rPr>
              <w:t>Condensed Consolidated Statements of Comprehensive Income (Loss) for the three and six months ended June 30, 2017 and 2016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740" w:type="dxa"/>
            <w:vAlign w:val="bottom"/>
          </w:tcPr>
          <w:p>
            <w:pPr>
              <w:ind w:left="20"/>
              <w:spacing w:after="0"/>
              <w:rPr>
                <w:sz w:val="20"/>
                <w:szCs w:val="20"/>
                <w:color w:val="auto"/>
              </w:rPr>
            </w:pPr>
            <w:r>
              <w:rPr>
                <w:rFonts w:ascii="Arial" w:cs="Arial" w:eastAsia="Arial" w:hAnsi="Arial"/>
                <w:sz w:val="18"/>
                <w:szCs w:val="18"/>
                <w:color w:val="auto"/>
              </w:rPr>
              <w:t>(unaudited)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 for the six months ended June 30, 2017 and 2016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18"/>
                <w:szCs w:val="18"/>
                <w:color w:val="auto"/>
              </w:rPr>
              <w:t>Notes to Condensed Consolidated Financial Statements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20"/>
              <w:spacing w:after="0"/>
              <w:rPr>
                <w:sz w:val="20"/>
                <w:szCs w:val="20"/>
                <w:color w:val="auto"/>
              </w:rPr>
            </w:pPr>
            <w:r>
              <w:rPr>
                <w:rFonts w:ascii="Arial" w:cs="Arial" w:eastAsia="Arial" w:hAnsi="Arial"/>
                <w:sz w:val="18"/>
                <w:szCs w:val="18"/>
                <w:color w:val="auto"/>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b w:val="1"/>
                <w:bCs w:val="1"/>
                <w:color w:val="auto"/>
                <w:w w:val="90"/>
              </w:rPr>
              <w:t>Signatures</w:t>
            </w:r>
          </w:p>
        </w:tc>
        <w:tc>
          <w:tcPr>
            <w:tcW w:w="9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2016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131,744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26,896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$790 and $515, respectively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21,917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209,057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50,766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costs,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6,419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asset,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333,872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3,723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37,916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rent,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3,899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liability,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54,842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$0.001 par value; 55,000,000 shares authorized; 17,221,798 and 17,081,145 shares issued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520"/>
              <w:spacing w:after="0"/>
              <w:rPr>
                <w:sz w:val="20"/>
                <w:szCs w:val="20"/>
                <w:color w:val="auto"/>
              </w:rPr>
            </w:pPr>
            <w:r>
              <w:rPr>
                <w:rFonts w:ascii="Arial" w:cs="Arial" w:eastAsia="Arial" w:hAnsi="Arial"/>
                <w:sz w:val="18"/>
                <w:szCs w:val="18"/>
                <w:color w:val="auto"/>
              </w:rPr>
              <w:t>outstanding, respectively</w:t>
            </w: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292,533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(12,665)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279,030</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333,872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54,284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15,972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31,379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62,097</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16,677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30,499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59,903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17,198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16,909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17,120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Unrealized gain on investments (net of tax of ($5), $15, ($10) and $61)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gain on investments into earnings (net of tax of ($5), $0, ($15) and $0)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Six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4,796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earn-out liability</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3,259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(2,495)</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(3,138)</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75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(3,070)</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(8,499)</w:t>
            </w: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Maturities of marketable securities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(18,062)</w:t>
            </w:r>
          </w:p>
        </w:tc>
      </w:tr>
      <w:tr>
        <w:trPr>
          <w:trHeight w:val="230"/>
        </w:trPr>
        <w:tc>
          <w:tcPr>
            <w:tcW w:w="20" w:type="dxa"/>
            <w:vAlign w:val="bottom"/>
          </w:tcPr>
          <w:p>
            <w:pPr>
              <w:spacing w:after="0"/>
              <w:rPr>
                <w:sz w:val="20"/>
                <w:szCs w:val="20"/>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(27,131)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exercise of options to purchase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(14,378)</w:t>
            </w: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115,877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107,160</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The December 31, 2016 condensed consolidated balance sheet data was derived from our audited financial statements at that date. For further information, refer to the consolidated financial statements and accompanying notes for the year ended December 31, 2016 included in our Annual Report on Form 10-K as filed with the Securities and Exchange Commission on February 27, 2017.</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During the six months ended June 30, 2017, there were no material changes in our significant accounting policies. See Note A to the consolidated financial statements included in our Annual Report on Form 10-K for the year ended December 31, 2016, as filed with the Securities and Exchange Commission on February 27, 2017,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ASU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The new guidance requires excess tax benefits and tax deficiencies to be recorded in the income statement when the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vest or are settled and provides an accounting policy election to account for forfeitures as they occur. In addition, cash flows related to excess tax benefits will no longer be separately classified as a financing activity apart from other income tax cash flows within operating activities. The standard also allows entities to repurchase more of an employee’s shares for tax withholding purposes without triggering liability accounting and clarifies that all cash payments made on an employee’s behalf for withheld shares should be presented as a financing activity on the statements of cash flows. The standard is effective for fiscal years, and interim periods within those fiscal years, beginning after December 15, 2016, with early adoption permitted.</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adopted ASU 2016-09 during the six months ended June 30, 2017. The impact to our consolidated balance sheet as of January 1, 2017 was a $16.3 million increase in deferred income tax assets, non-current and a corresponding $16.3 million decrease in accumulated deficit. This impact results from the cumulative-effect adjustment for previously unrecognized excess tax benefits using the modified retrospective method required by the new standard. We elected to adopt the changes in cash flow statement presentation prospectively to be consistent with the prospective transition for the treatment of excess tax benefits in the income statement. Accordingly, we no longer classify excess tax benefits as a financing activity subsequent to January 1,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Accounting Pronouncements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will impact our accounting for certain upfront set-up fees and the periods over which the related revenues are recognized, as well as the timing of cost recognition for some sales commissions. These impacts will not be material to our financial statements. We are currently finalizing our evaluation of implementation methods and the extent of the impact that implementation of this standard will have on our financial statement disclosures upon adoption.</w:t>
      </w:r>
    </w:p>
    <w:p>
      <w:pPr>
        <w:spacing w:after="0" w:line="167"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6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fixed-income investments are carried at fair value and unrealized gains and losses on these investments are included in other comprehensive income (loss) in the condensed consolidated statements of comprehensive income (loss).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equivalents and marketable securities,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 2017</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9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right"/>
              <w:ind w:right="860"/>
              <w:spacing w:after="0" w:line="119" w:lineRule="exact"/>
              <w:rPr>
                <w:sz w:val="20"/>
                <w:szCs w:val="20"/>
                <w:color w:val="auto"/>
              </w:rPr>
            </w:pPr>
            <w:r>
              <w:rPr>
                <w:rFonts w:ascii="Arial" w:cs="Arial" w:eastAsia="Arial" w:hAnsi="Arial"/>
                <w:sz w:val="13"/>
                <w:szCs w:val="13"/>
                <w:b w:val="1"/>
                <w:bCs w:val="1"/>
                <w:color w:val="auto"/>
                <w:w w:val="97"/>
              </w:rPr>
              <w:t>Unrealized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Gains (Losses)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w w:val="95"/>
              </w:rPr>
              <w:t>(Dollars in thousands)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$ 80,158</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80,158</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14,677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4,975</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12,380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7"/>
        </w:trPr>
        <w:tc>
          <w:tcPr>
            <w:tcW w:w="57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112,190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112,051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Due within one year</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two years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December 31, 2016</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9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right"/>
              <w:ind w:right="840"/>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Gains (Losses)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color w:val="auto"/>
                <w:w w:val="92"/>
              </w:rPr>
              <w:t>(Dollars in thousands)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$ 75,375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75,375</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15,681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4,977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7,489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agency obligations</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2,497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106,019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98,452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Due within two years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105,946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We do not believe any of the unrealized losses represent an other-than-temporary impairment based on our valuation of available evidence as of June 30, 2017. We expect to receive the full principal and interest on all of these cash equivalents and marketable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900" w:right="60" w:hanging="325"/>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 2 Measurements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 2017</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2"/>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80,158</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14,543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14,543</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Commercial paper</w:t>
            </w:r>
          </w:p>
        </w:tc>
        <w:tc>
          <w:tcPr>
            <w:tcW w:w="23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4,975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4,975</w:t>
            </w: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12,375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12,375</w:t>
            </w:r>
          </w:p>
        </w:tc>
      </w:tr>
      <w:tr>
        <w:trPr>
          <w:trHeight w:val="223"/>
        </w:trPr>
        <w:tc>
          <w:tcPr>
            <w:tcW w:w="4760" w:type="dxa"/>
            <w:vAlign w:val="bottom"/>
          </w:tcPr>
          <w:p>
            <w:pPr>
              <w:ind w:left="108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80,158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31,893</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112,051</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92"/>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75,375</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15,585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Commercial paper</w:t>
            </w:r>
          </w:p>
        </w:tc>
        <w:tc>
          <w:tcPr>
            <w:tcW w:w="23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4,987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4,987</w:t>
            </w: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2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w:t>
            </w:r>
          </w:p>
        </w:tc>
      </w:tr>
      <w:tr>
        <w:trPr>
          <w:trHeight w:val="216"/>
        </w:trPr>
        <w:tc>
          <w:tcPr>
            <w:tcW w:w="4760" w:type="dxa"/>
            <w:vAlign w:val="bottom"/>
          </w:tcPr>
          <w:p>
            <w:pPr>
              <w:ind w:left="720"/>
              <w:spacing w:after="0"/>
              <w:rPr>
                <w:sz w:val="20"/>
                <w:szCs w:val="20"/>
                <w:color w:val="auto"/>
              </w:rPr>
            </w:pPr>
            <w:r>
              <w:rPr>
                <w:rFonts w:ascii="Arial" w:cs="Arial" w:eastAsia="Arial" w:hAnsi="Arial"/>
                <w:sz w:val="18"/>
                <w:szCs w:val="18"/>
                <w:color w:val="auto"/>
              </w:rPr>
              <w:t>U.S. agency obligations</w:t>
            </w:r>
          </w:p>
        </w:tc>
        <w:tc>
          <w:tcPr>
            <w:tcW w:w="2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r>
      <w:tr>
        <w:trPr>
          <w:trHeight w:val="27"/>
        </w:trPr>
        <w:tc>
          <w:tcPr>
            <w:tcW w:w="4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30,571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105,946</w:t>
            </w:r>
          </w:p>
        </w:tc>
      </w:tr>
      <w:tr>
        <w:trPr>
          <w:trHeight w:val="20"/>
        </w:trPr>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firstLine="456"/>
        <w:spacing w:after="0" w:line="277" w:lineRule="auto"/>
        <w:rPr>
          <w:sz w:val="20"/>
          <w:szCs w:val="20"/>
          <w:color w:val="auto"/>
        </w:rPr>
      </w:pPr>
      <w:r>
        <w:rPr>
          <w:rFonts w:ascii="Arial" w:cs="Arial" w:eastAsia="Arial" w:hAnsi="Arial"/>
          <w:sz w:val="18"/>
          <w:szCs w:val="18"/>
          <w:color w:val="auto"/>
        </w:rPr>
        <w:t>We classify our cash and cash equivalents and marketable securities within Level 1 or Level 2 because we use quoted market prices or alternative pricing sources and models utilizing market observable inputs to determine their fair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C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months ended June 30, 2017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Arial" w:cs="Arial" w:eastAsia="Arial" w:hAnsi="Arial"/>
                <w:sz w:val="14"/>
                <w:szCs w:val="14"/>
                <w:color w:val="auto"/>
                <w:w w:val="91"/>
              </w:rPr>
              <w:t>(Dollars in thousands)</w:t>
            </w:r>
          </w:p>
        </w:tc>
        <w:tc>
          <w:tcPr>
            <w:tcW w:w="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Goodwill acquired during the period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6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Balances, June 30</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50,766</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Intangible assets subject to amortization primarily include subscriber relationships, non-competition agreements and acquired technology and are amortized over their respective useful lives (ranging from 1 to 9 years). Information regarding intangible assets included on our consolidated balance sheets is as follows: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w w:val="92"/>
              </w:rPr>
              <w:t>June 30, 2017</w:t>
            </w: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Foreign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Currency</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left="56"/>
              <w:spacing w:after="0" w:line="142" w:lineRule="exact"/>
              <w:rPr>
                <w:sz w:val="20"/>
                <w:szCs w:val="20"/>
                <w:color w:val="auto"/>
              </w:rPr>
            </w:pPr>
            <w:r>
              <w:rPr>
                <w:rFonts w:ascii="Arial" w:cs="Arial" w:eastAsia="Arial" w:hAnsi="Arial"/>
                <w:sz w:val="14"/>
                <w:szCs w:val="14"/>
                <w:color w:val="auto"/>
                <w:w w:val="93"/>
              </w:rPr>
              <w:t>(Dollars in thousands)</w:t>
            </w: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$34,350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(17,606)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$17,110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2,499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(1,965)</w:t>
            </w:r>
          </w:p>
        </w:tc>
        <w:tc>
          <w:tcPr>
            <w:tcW w:w="38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38,979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(20,923</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Foreign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Currency</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left="56"/>
              <w:spacing w:after="0" w:line="142" w:lineRule="exact"/>
              <w:rPr>
                <w:sz w:val="20"/>
                <w:szCs w:val="20"/>
                <w:color w:val="auto"/>
              </w:rPr>
            </w:pPr>
            <w:r>
              <w:rPr>
                <w:rFonts w:ascii="Arial" w:cs="Arial" w:eastAsia="Arial" w:hAnsi="Arial"/>
                <w:sz w:val="14"/>
                <w:szCs w:val="14"/>
                <w:color w:val="auto"/>
                <w:w w:val="93"/>
              </w:rPr>
              <w:t>(Dollars in thousands)</w:t>
            </w: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$33,736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(15,708)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$18,323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2,234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(1,818)</w:t>
            </w:r>
          </w:p>
        </w:tc>
        <w:tc>
          <w:tcPr>
            <w:tcW w:w="38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38,059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(18,646</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Total amortization expense for intangible assets during the three months ended June 30, 2017 and 2016 was $1.1 million and $1.2 million, respectively. Total amortization expense for intangible assets during the six months ended June 30, 2017 and 2016 was $2.3 million and $2.4 million, respectively. The estimated annual amortization expense related to intangible assets subject to amortization for the next five years is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580" w:type="dxa"/>
            <w:vAlign w:val="bottom"/>
          </w:tcPr>
          <w:p>
            <w:pPr>
              <w:spacing w:after="0"/>
              <w:rPr>
                <w:sz w:val="14"/>
                <w:szCs w:val="14"/>
                <w:color w:val="auto"/>
              </w:rPr>
            </w:pPr>
          </w:p>
        </w:tc>
        <w:tc>
          <w:tcPr>
            <w:tcW w:w="5180" w:type="dxa"/>
            <w:vAlign w:val="bottom"/>
            <w:gridSpan w:val="4"/>
          </w:tcPr>
          <w:p>
            <w:pPr>
              <w:ind w:left="3840"/>
              <w:spacing w:after="0"/>
              <w:rPr>
                <w:sz w:val="20"/>
                <w:szCs w:val="20"/>
                <w:color w:val="auto"/>
              </w:rPr>
            </w:pPr>
            <w:r>
              <w:rPr>
                <w:rFonts w:ascii="Arial" w:cs="Arial" w:eastAsia="Arial" w:hAnsi="Arial"/>
                <w:sz w:val="14"/>
                <w:szCs w:val="14"/>
                <w:color w:val="auto"/>
                <w:w w:val="96"/>
              </w:rPr>
              <w:t>(Dollars in thousands)</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3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2018</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840" w:type="dxa"/>
            <w:vAlign w:val="bottom"/>
            <w:vMerge w:val="restart"/>
          </w:tcPr>
          <w:p>
            <w:pPr>
              <w:jc w:val="right"/>
              <w:ind w:right="2376"/>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D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2017, our future minimum payments under operating leases were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3860" w:type="dxa"/>
            <w:vAlign w:val="bottom"/>
            <w:gridSpan w:val="4"/>
          </w:tcPr>
          <w:p>
            <w:pPr>
              <w:ind w:left="2520"/>
              <w:spacing w:after="0"/>
              <w:rPr>
                <w:sz w:val="20"/>
                <w:szCs w:val="20"/>
                <w:color w:val="auto"/>
              </w:rPr>
            </w:pPr>
            <w:r>
              <w:rPr>
                <w:rFonts w:ascii="Arial" w:cs="Arial" w:eastAsia="Arial" w:hAnsi="Arial"/>
                <w:sz w:val="14"/>
                <w:szCs w:val="14"/>
                <w:color w:val="auto"/>
                <w:w w:val="96"/>
              </w:rPr>
              <w:t>(Dollars in thousands)</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2018</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3,353</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2020</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25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6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2017, 1,024,868 additional shares were reserved for future issuance under our 2010 Equity Incentive Plan. At June 30, 2017, there were approximately 4.5 million shares available for grant under approved equity compensation plans.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recorded stock-based compensation expense of $2.2 million and $4.5 million for the three and six months ended June 30, 2017 and $2.1 million and $4.0 million for the three and six months ended June 30, 2016, respectively. This expense was allocated in the consolidated statements of comprehensive income (loss) as follows (in thousands):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3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1,293</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2,018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1,823</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2,186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2,065</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4,486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3,992</w:t>
            </w:r>
          </w:p>
        </w:tc>
        <w:tc>
          <w:tcPr>
            <w:tcW w:w="6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June 30, 2017, there was approximately $22.0 million of unrecognized stock-based compensation expense under our equity compensation plans, which is expected to be recognized on a straight-line basis over a weighted average period of 2.8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1,016,012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167,903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(8,417)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1,114,906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Of the total outstanding options at June 30, 2017, 671,876 were exercisable with a weighted average exercise price of $43.11 per share. The total outstanding options had a weighted average remaining contractual life of 4.53 years.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six months of 2017 was $18.90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2017, our executive officers were granted performance share unit (“PSU”) awards with vesting contingent on successful attainment of pre-determined revenue targets over the course of a three-year performance period (fiscal years 2017 – 2019). During the three months ended March 31, 2017, we recognized expense of $169,000 for PSU awards; and during the three months ended June 30, 2017 we recognized a reversing benefit of $169,000 as the probability of attainment was decreased.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for our performance share units and restricted stock units was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00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2"/>
              </w:rPr>
              <w:t>Performance Share and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Restricted Stock Units</w:t>
            </w:r>
          </w:p>
        </w:tc>
        <w:tc>
          <w:tcPr>
            <w:tcW w:w="1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Grant Date Fair Value</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($/share)</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189,042</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206,043</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(64,818)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9"/>
                <w:szCs w:val="19"/>
                <w:color w:val="auto"/>
              </w:rPr>
            </w:pPr>
          </w:p>
        </w:tc>
        <w:tc>
          <w:tcPr>
            <w:tcW w:w="2000" w:type="dxa"/>
            <w:vAlign w:val="bottom"/>
            <w:gridSpan w:val="2"/>
          </w:tcPr>
          <w:p>
            <w:pPr>
              <w:jc w:val="right"/>
              <w:ind w:right="480"/>
              <w:spacing w:after="0"/>
              <w:rPr>
                <w:sz w:val="20"/>
                <w:szCs w:val="20"/>
                <w:color w:val="auto"/>
              </w:rPr>
            </w:pPr>
            <w:r>
              <w:rPr>
                <w:rFonts w:ascii="Arial" w:cs="Arial" w:eastAsia="Arial" w:hAnsi="Arial"/>
                <w:sz w:val="18"/>
                <w:szCs w:val="18"/>
                <w:color w:val="auto"/>
              </w:rPr>
              <w:t>(3,317)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000" w:type="dxa"/>
            <w:vAlign w:val="bottom"/>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326,950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number of restricted stock units outstanding at June 30, 2017 included 18,448 units that have vested, but for which shares of common stock have not yet been issued pursuant to the terms of the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restricted stock awards activity was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2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0"/>
              </w:rPr>
              <w:t>Restricted Stock</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w:t>
            </w: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Awards</w:t>
            </w:r>
          </w:p>
        </w:tc>
        <w:tc>
          <w:tcPr>
            <w:tcW w:w="1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Grant Date Fair Value</w:t>
            </w: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($/share)</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88"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For the offering period that began on January 1, 2017 and ended on June 30, 2017, we withheld approximately $1,021,000 from employees participating in the plan. On June 30, 2017, approximately $1,011,000 of these funds were used to purchase 18,655 shares on behalf of the employees participating in the plan. The remaining funds are expected to be refunded to employees pursuant to the requirements of the plan.</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three and six months ended June 30, 2017, we recorded approximately $154,000 and $292,000, respectively, of stock-based compensation expense associated with the employee stock purchase plan. The fair value was estimated based on the market price of our common stock at the beginning of the offering period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0.62%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 Additionally, excess tax benefits generated upon settlement or exercise of stock awards are now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we do not have any unrecognized tax benefits nor any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3" w:name="page14"/>
    <w:bookmarkEnd w:id="1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the components of the computation of basic and diluted net income per share for the periods indicated (in thousands, except per share amounts):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r>
      <w:tr>
        <w:trPr>
          <w:trHeight w:val="216"/>
        </w:trPr>
        <w:tc>
          <w:tcPr>
            <w:tcW w:w="4740" w:type="dxa"/>
            <w:vAlign w:val="bottom"/>
          </w:tcPr>
          <w:p>
            <w:pPr>
              <w:ind w:left="72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 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16,873</w:t>
            </w:r>
          </w:p>
        </w:tc>
      </w:tr>
      <w:tr>
        <w:trPr>
          <w:trHeight w:val="216"/>
        </w:trPr>
        <w:tc>
          <w:tcPr>
            <w:tcW w:w="4740" w:type="dxa"/>
            <w:vAlign w:val="bottom"/>
          </w:tcPr>
          <w:p>
            <w:pPr>
              <w:ind w:left="7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w w:val="99"/>
              </w:rPr>
              <w:t>Weighted average common shares outstanding, diluted</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Antidilutive shares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315,000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339,000</w:t>
            </w:r>
          </w:p>
        </w:tc>
      </w:tr>
      <w:tr>
        <w:trPr>
          <w:trHeight w:val="372"/>
        </w:trPr>
        <w:tc>
          <w:tcPr>
            <w:tcW w:w="4740" w:type="dxa"/>
            <w:vAlign w:val="bottom"/>
          </w:tcPr>
          <w:p>
            <w:pPr>
              <w:spacing w:after="0"/>
              <w:rPr>
                <w:sz w:val="24"/>
                <w:szCs w:val="24"/>
                <w:color w:val="auto"/>
              </w:rPr>
            </w:pPr>
          </w:p>
        </w:tc>
        <w:tc>
          <w:tcPr>
            <w:tcW w:w="1500" w:type="dxa"/>
            <w:vAlign w:val="bottom"/>
          </w:tcPr>
          <w:p>
            <w:pPr>
              <w:jc w:val="right"/>
              <w:ind w:right="81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240" w:top="274" w:right="699" w:bottom="1440" w:gutter="0" w:footer="0" w:header="0"/>
        </w:sectPr>
      </w:pPr>
    </w:p>
    <w:bookmarkStart w:id="14" w:name="page15"/>
    <w:bookmarkEnd w:id="14"/>
    <w:p>
      <w:pPr>
        <w:ind w:right="398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 Overview</w:t>
      </w:r>
    </w:p>
    <w:p>
      <w:pPr>
        <w:ind w:right="180" w:firstLine="456"/>
        <w:spacing w:after="0" w:line="276" w:lineRule="auto"/>
        <w:rPr>
          <w:sz w:val="20"/>
          <w:szCs w:val="20"/>
          <w:color w:val="auto"/>
        </w:rPr>
      </w:pPr>
      <w:r>
        <w:rPr>
          <w:rFonts w:ascii="Arial" w:cs="Arial" w:eastAsia="Arial" w:hAnsi="Arial"/>
          <w:sz w:val="17"/>
          <w:szCs w:val="17"/>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three months ended June 30, 2017, our revenues were $54.3 million, an increase of 15% from the comparable period in 2016, and represented our 66</w:t>
      </w:r>
      <w:r>
        <w:rPr>
          <w:rFonts w:ascii="Arial" w:cs="Arial" w:eastAsia="Arial" w:hAnsi="Arial"/>
          <w:sz w:val="13"/>
          <w:szCs w:val="13"/>
          <w:color w:val="auto"/>
        </w:rPr>
        <w:t>th</w:t>
      </w:r>
      <w:r>
        <w:rPr>
          <w:rFonts w:ascii="Arial" w:cs="Arial" w:eastAsia="Arial" w:hAnsi="Arial"/>
          <w:sz w:val="16"/>
          <w:szCs w:val="16"/>
          <w:color w:val="auto"/>
        </w:rPr>
        <w:t xml:space="preserve"> consecutive quarter of increased revenues. Total operating expenses increased 9% for the same period in 2017 from 2016. We experienced similar results for the six months ended June 30, 2017 with revenues increasing 14% and operating expenses increasing 8% compared to the same period in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six months ended June 30, 2017,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2016 as filed with the Securities and Exchange Commission on February 27, 2017.</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income taxes, stock-based compensation and the valuation of goodwill and purchased intangible assets are the most critical to fully understand and evaluate our financial condition and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5" w:name="page16"/>
    <w:bookmarkEnd w:id="15"/>
    <w:p>
      <w:pPr>
        <w:ind w:right="1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six months ended June 30, 2017, there were no changes in our significant accounting policies or estimates. See Note A to our condensed consolidated financial statements included in this Quarterly Report on Form 10-Q and in our Annual Report on Form 10-K for the year ended December 31, 2016, as filed with the Securities and Exchange Commission on February 27, 2017, for additional information regarding our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2017 Compared to Three Months Ended June 30,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restart"/>
          </w:tcPr>
          <w:p>
            <w:pPr>
              <w:jc w:val="right"/>
              <w:ind w:right="4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2017</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2016</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rPr>
              <w:t>% of</w:t>
            </w: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revenue</w:t>
            </w:r>
          </w:p>
        </w:tc>
        <w:tc>
          <w:tcPr>
            <w:tcW w:w="6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54,284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47,351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6,933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18,191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15,972</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2,219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36,093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31,379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4,714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18,741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16,677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2,064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5,369</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5,542</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7,082</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1,057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1,117</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33,366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30,499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2,867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1,847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2,210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(1,042)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737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1,473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2017 increased $6.9 million, or 15%, to $54.3 million from $47.4 million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25,153 at June 30, 2017 from 24,186 at June 30, 2016.</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11% to $7,993 for the three months ended June 30, 2017 from $7,223 for the same period in 2017. This increase in wallet share was primarily attributable to increased usage of our solutions by our recurring revenue customers and growth in larger customers.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Recurring revenues from recurring revenue customers accounted for 92% of our total revenues for each of the three months ended June 30, 2017 and 2016.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June 30, 2017 increased $2.2 million, or 14%, to $18.2 million from $16.0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2016. The increase in cost of revenues for the three-month period in 2017 was primarily due to an increase in personnel-related costs of approximately $1.5 million, driven by increased headcount and an increase of $886,000 in consulting costs. Compared to the same period in 2016, stock-based compensation expense increased by $151,000.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as we continued to invest in the infrastructure supporting our platform, costs for software and cloud-based subscriptions increased by $550,000 and depreciation expense increased by $164,000, while direct network costs decreased by $113,000 compared to the same period in 2016. As a percentage of revenues, cost of revenues were 34% for each of the three months ended June 30, 2017 and 2016. Going forward, we anticipate that cost of revenues will increase in absolute dollars as we continue to expand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June 30, 2017 increased $2.0 million, or 12%, to</w:t>
      </w:r>
    </w:p>
    <w:p>
      <w:pPr>
        <w:spacing w:after="0" w:line="3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$18.7 million from $16.7 million for the same period in 2016. The increase in sales and marketing expenses for the three-month period in 2017 was due to increased headcount, which resulted in an increase of $402,000 in personnel-related costs, as well as an increase of $1.5 million in variable compensation earned by sales personnel and referral partners from new business, compared to the same period in 2016. We also incurred higher promotional costs of approximately $288,000, partially offset by a decrease in depreciation expense of $95,000. As a percentage of revenues, sales and marketing expenses were 35% for each of the three months ended June 30, 2017 and 2016. As we expand our business, we will continue to add resources to our sales and marketing efforts over time, and we expect that these expenses will continue to increase in absolute dollars.</w:t>
      </w:r>
    </w:p>
    <w:p>
      <w:pPr>
        <w:spacing w:after="0" w:line="17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2017 decreased $173,000, or 3%, to</w:t>
      </w:r>
      <w:r>
        <w:rPr>
          <w:rFonts w:ascii="Arial" w:cs="Arial" w:eastAsia="Arial" w:hAnsi="Arial"/>
          <w:sz w:val="16"/>
          <w:szCs w:val="16"/>
          <w:i w:val="1"/>
          <w:iCs w:val="1"/>
          <w:color w:val="auto"/>
        </w:rPr>
        <w:t xml:space="preserve"> </w:t>
      </w:r>
      <w:r>
        <w:rPr>
          <w:rFonts w:ascii="Arial" w:cs="Arial" w:eastAsia="Arial" w:hAnsi="Arial"/>
          <w:sz w:val="16"/>
          <w:szCs w:val="16"/>
          <w:color w:val="auto"/>
        </w:rPr>
        <w:t>$5.4 million from $5.5 million for the same period in 2016. During the three months ended June 30, 2017, personnel costs increased by $156,000 and stock-based compensation increased by $87,000 compared to the same period in 2016. These increased costs were offset by an increase of $431,000 in the amount of internal labor capitalized for internal-use software development, which reduced the current period expense by that amount. As a percentage of revenues, research and development expenses were 10% and 12% for the three months ended June 30, 2017 and 2016, respectively. As we enhance and expand our solutions and applications, we expect that research and development expenses will continue to increase in absolute dollars.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2017 increased $1.0 million, or 14%,</w:t>
      </w:r>
      <w:r>
        <w:rPr>
          <w:rFonts w:ascii="Arial" w:cs="Arial" w:eastAsia="Arial" w:hAnsi="Arial"/>
          <w:sz w:val="18"/>
          <w:szCs w:val="18"/>
          <w:i w:val="1"/>
          <w:iCs w:val="1"/>
          <w:color w:val="auto"/>
        </w:rPr>
        <w:t xml:space="preserve"> </w:t>
      </w:r>
      <w:r>
        <w:rPr>
          <w:rFonts w:ascii="Arial" w:cs="Arial" w:eastAsia="Arial" w:hAnsi="Arial"/>
          <w:sz w:val="18"/>
          <w:szCs w:val="18"/>
          <w:color w:val="auto"/>
        </w:rPr>
        <w:t>to $8.1 million from $7.1 million for the same period in 2016. The increase in general and administrative expenses for the three-month period in 2017 was primarily due to headcount growth, which resulted in an increase of $740,000 in personnel-related costs compared to the same period in 2016. Additionally, bad debt expense increased by $253,000 and costs of software subscriptions increased by $193,000, while legal, audit and tax fees decreased by $132,000 compared to the same period in 2016. As a percentage of revenues, general and administrative expenses were 15% for each of the three months ended June 30, 2017 and 2016. Going forward, we expect that general and administrative expenses will continue to increase in absolute dollars as we expand our business.</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for the three months ended June 30, 2016 included $293,000 of expense for an adjustment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Toolbox Solutions share-based earn-out liability due to the change in the stock price during the six months ended June 30, 2016. There was no similar charge during the three months ended June 30, 2017 as the contingent consideration arrangement had been resolved.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$1.0 million for the three months ended June 30, 2017 compared to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$305,000 for three months ended June 30, 2016. The increase in income tax expense for the three-month period in 2017 was primarily due to increased pretax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book income, offset by discrete tax benefits from the adoption of ASU 2016-09 relating to stock-based compensation. Under ASU 2016-09, excess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benefits generated upon the settlement or exercise of stock awards are no longer recognized as additional paid-in capital but are instead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to income tax expense. As a result of recording these excess tax benefits in income tax expense, we expect that our annual effective income tax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more volatile than it has been historically.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7" w:name="page18"/>
    <w:bookmarkEnd w:id="17"/>
    <w:p>
      <w:pPr>
        <w:ind w:right="4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Three Months Ended</w:t>
      </w:r>
    </w:p>
    <w:p>
      <w:pPr>
        <w:jc w:val="center"/>
        <w:ind w:left="702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1,633</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1,198</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2,065</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5,695</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amortization expense related to intangible assets and other adjustments necessary for a fair presentation divided by the weighted average number of shares of common stock outstanding during each period. Other adjustments included the impact of the fair value adjustment for the Toolbox Solutions share-based earn-out liability. The following table provides a reconciliation of net income to non-GAAP income per share (in thousands, except per share amounts):</w:t>
      </w:r>
    </w:p>
    <w:p>
      <w:pPr>
        <w:spacing w:after="0" w:line="210"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Three Months Ended</w:t>
      </w:r>
    </w:p>
    <w:p>
      <w:pPr>
        <w:jc w:val="center"/>
        <w:ind w:left="676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404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effects of adjustments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(1,272)</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Non-GAAP income</w:t>
            </w:r>
          </w:p>
        </w:tc>
        <w:tc>
          <w:tcPr>
            <w:tcW w:w="2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used to compute non-GAAP income per share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Basic</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16,909</w:t>
            </w: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17,120</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r>
      <w:tr>
        <w:trPr>
          <w:trHeight w:val="350"/>
        </w:trPr>
        <w:tc>
          <w:tcPr>
            <w:tcW w:w="4040" w:type="dxa"/>
            <w:vAlign w:val="bottom"/>
          </w:tcPr>
          <w:p>
            <w:pPr>
              <w:spacing w:after="0"/>
              <w:rPr>
                <w:sz w:val="24"/>
                <w:szCs w:val="24"/>
                <w:color w:val="auto"/>
              </w:rPr>
            </w:pPr>
          </w:p>
        </w:tc>
        <w:tc>
          <w:tcPr>
            <w:tcW w:w="2820" w:type="dxa"/>
            <w:vAlign w:val="bottom"/>
          </w:tcPr>
          <w:p>
            <w:pPr>
              <w:jc w:val="right"/>
              <w:ind w:right="23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 Months Ended June 30, 2017 Compared to Six Months Ended June 30,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2017</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2016</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rPr>
              <w:t>% of</w:t>
            </w:r>
          </w:p>
        </w:tc>
        <w:tc>
          <w:tcPr>
            <w:tcW w:w="3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revenue</w:t>
            </w:r>
          </w:p>
        </w:tc>
        <w:tc>
          <w:tcPr>
            <w:tcW w:w="7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106,216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92,950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13,266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30,853</w:t>
            </w: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33.2</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4,668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70,695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62,097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66.8</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8,598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35,820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32,566</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3,254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10,474</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10,611</w:t>
            </w:r>
          </w:p>
        </w:tc>
        <w:tc>
          <w:tcPr>
            <w:tcW w:w="2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14,367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64,592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59,903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4,689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3,909</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3,965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(1,578)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(1,013)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six months ended June 30, 2017 increased $13.3 million, or 14%, to $106.2 million from $93.0 million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25,153 at June 30, 2017 from 24,186 at June 30, 2016.</w:t>
      </w:r>
    </w:p>
    <w:p>
      <w:pPr>
        <w:spacing w:after="0" w:line="13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10% to $7,852 for the six months ended June 30, 2017 from $7,139 for the same period in 2016. This increase in wallet share was primarily attributable to increased fees resulting from increased usage of our solutions by our recurring revenue customers and growth in larger customers.</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Recurring revenues from recurring revenue customers accounted for 92% of our total revenues for the six months ended June 30, 2017 and 2016.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six months ended June 30, 2017 increased $4.7 million, or 15%, to $35.5 million from $30.9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2016. The increase in cost of revenues for the six-month period in 2017 was primarily due to an increase in personnel-related costs of approximately $3.3 million, driven by increased headcount and an increase of $1.5 million in consulting costs. Compared to the same period in 2016, stock-based compensation expense increased by $323,000 and occupancy costs increased by $78,000. Additionally, as we continued to invest in the infrastructure supporting our platform, costs for software and cloud-based subscriptions increased by $943,000 and depreciation expense increased by $286,000, while direct network costs decreased by $212,000 compared to the same period in 2016. As a percentage of revenues, cost of revenues were 33% for each of the six months ended June 30, 2017 and 2016. Going forward, we anticipate that cost of revenues will increase in absolute dollars as we continue to expand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Sales and Marketing Expenses. </w:t>
      </w:r>
      <w:r>
        <w:rPr>
          <w:rFonts w:ascii="Arial" w:cs="Arial" w:eastAsia="Arial" w:hAnsi="Arial"/>
          <w:sz w:val="16"/>
          <w:szCs w:val="16"/>
          <w:color w:val="auto"/>
        </w:rPr>
        <w:t>Sales and marketing expenses for the six months ended June 30, 2017 increased $3.3 million, or 10%, to $35.8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$32.6 million for the same period in 2016. The increase in sales and marketing expenses for the six-month period in 2017 was primarily due to increased headcount, which resulted in an increase of $1.1 million in personnel-related costs, as well as an increase of $2.0 million in variable compensation earned by sales personnel and referral partners from new business compared to the same period in 2016. We also incurred higher promotional costs of approximately $455,000, partially offset by a decrease in depreciation expense of $209,000 and a decrease in stock-based compensation of $202,000. As a percentage of revenues, sales and marketing expenses were 34% and 35% for the six months ended June 30, 2017 and 2016, respectively. As we expand our business, we will continue to add resources to our sales and marketing efforts over time, and we expect that these expenses will continue to increase in absolute dollars.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2017 decreased $137,000, or 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$10.5 million from $10.6 million for the same period in 2016. During the six months ended June 30, 2017, personnel costs increased by $255,000 and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increased by $178,000 compared to the same period in 2016. These increased costs were offset by an increase of $811,000 in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internal labor capitalized for internal-use software development, which reduced the current period expense by that amount. Additionally, occupancy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$133,000 and costs of software and cloud-based subscriptions increased by $204,000 during the six months ended June 30, 2017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2016. As a percentage of revenues, research and development expenses were 10% and 11% for the six months ended June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respectively. As we enhance and expand our solutions and applications, we expect that research and development expenses will continue to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absolute dollars.</w:t>
      </w:r>
    </w:p>
    <w:p>
      <w:pPr>
        <w:spacing w:after="0" w:line="21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2017 increased $1.6 million, or 11%, to</w:t>
      </w:r>
      <w:r>
        <w:rPr>
          <w:rFonts w:ascii="Arial" w:cs="Arial" w:eastAsia="Arial" w:hAnsi="Arial"/>
          <w:sz w:val="18"/>
          <w:szCs w:val="18"/>
          <w:i w:val="1"/>
          <w:iCs w:val="1"/>
          <w:color w:val="auto"/>
        </w:rPr>
        <w:t xml:space="preserve"> </w:t>
      </w:r>
      <w:r>
        <w:rPr>
          <w:rFonts w:ascii="Arial" w:cs="Arial" w:eastAsia="Arial" w:hAnsi="Arial"/>
          <w:sz w:val="18"/>
          <w:szCs w:val="18"/>
          <w:color w:val="auto"/>
        </w:rPr>
        <w:t>$16.0 million from $14.4 million for the same period in 2016. The increase in general and administrative expenses for the six-month period in 2017 was primarily due to headcount growth, which resulted in an increase of $1.0 million in personnel-related costs and an increase of $195,000 in stock-based compensation compared to the same period in 2016. Additionally, costs of software and cloud-based subscriptions increased by $483,000, bad debt expense increased by $281,000 and credit card fees increased by $126,000, while legal, audit and tax fees decreased by $281,000 and hardware costs decreased by $207,000 compared to the same period in 2016. As a percentage of revenues, general and administrative expenses were 15% and 16% for the six months ended June 30, 2017 and 2016, respectively. Going forward, we expect that general and administrative expenses will continue to increase in absolute dollars as we expand our business.</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for the six months ended June 30, 2016 included $72,000 of expense for an adjustment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Toolbox Solutions share-based earn-out liability due to the change in the stock price between December 31, 2015 and June 30, 2016. There was no similar charge during the six months ended June 30, 2017 as the contingent consideration arrangement had been resolved.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$1.6 million for the six months ended June 30, 2017 compared to income tax expense of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six months ended June 30, 2016. The increase in income tax expense for the six-month period in 2017 was primarily due to increased pretax book income, offset by discrete tax benefits from the adoption of ASU 2016-09 relating to stock-based compensation.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ind w:right="4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6840"/>
        <w:spacing w:after="0"/>
        <w:rPr>
          <w:sz w:val="20"/>
          <w:szCs w:val="20"/>
          <w:color w:val="auto"/>
        </w:rPr>
      </w:pPr>
      <w:r>
        <w:rPr>
          <w:rFonts w:ascii="Arial" w:cs="Arial" w:eastAsia="Arial" w:hAnsi="Arial"/>
          <w:sz w:val="14"/>
          <w:szCs w:val="14"/>
          <w:color w:val="auto"/>
        </w:rPr>
        <w:t>Six Months Ended</w:t>
      </w:r>
    </w:p>
    <w:p>
      <w:pPr>
        <w:jc w:val="center"/>
        <w:ind w:left="684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11,651</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amortization expense related to intangible assets and other adjustments necessary for a fair presentation divided by the weighted average number of shares of common stock outstanding during each period. Other adjustments included the impact of the fair value adjustment for the Toolbox Solutions share-based earn-out liability. The following table provides a reconciliation of net income to non-GAAP income per share (in thousands, except per share amounts):</w:t>
      </w:r>
    </w:p>
    <w:p>
      <w:pPr>
        <w:spacing w:after="0" w:line="210"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Six Months Ended</w:t>
      </w:r>
    </w:p>
    <w:p>
      <w:pPr>
        <w:jc w:val="center"/>
        <w:ind w:left="676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53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effects of adjustments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(2,338)</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Non-GAAP income</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16,873</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17,100</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June 30, 2017, our principal sources of liquidity were cash, cash equivalents and marketable securities of $163.6 million and accounts receivable, net of allowance for doubtful accounts, of $21.6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operating activities was $17.9 million and $8.8 million for the six months ended June 30, 2017 and 2016, respectively. The increase in operating cash flows as compared to the same period in 2016 was primarily due to increased net income along with increases in deferred income taxes, deferred revenue and other assets, partially offset by a decrease in accrued compensation and the timing of accounts payable payments and accounts receivable receipts.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Flows from Investing Activities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Net cash used in investing activities was $5.2 million and $27.1 million for the six months ended June 30, 2017 and 2016, respectively. The decrease in net cash used in investing activities as compared to the same period in 2016 was primarily due to the acquisition of Toolbox Solutions for $18.1 million. For the six months ended June 30, 2017 and 2016, we purchased marketable securities, net of maturities, of $1.4 million and $6.0 million, respectively and had capital expenditures of $3.3 million and $3.1 million, respectively. Our capital expenditures are for supporting our business growth and existing customer base, as well as for our internal use such as equipment for our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Net cash provided by financing activities was $2.2 million and $4.0 million for the six months ended June 30, 2017 and 2016, respectively, from the exercise of stock options, proceeds from employee stock purchase plan and excess tax benefit from the exercise of stock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12%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2017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June 30, 2017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color w:val="auto"/>
                <w:w w:val="93"/>
              </w:rPr>
              <w:t>Payments Due By Period (in thousands)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Less Than</w:t>
            </w:r>
          </w:p>
        </w:tc>
        <w:tc>
          <w:tcPr>
            <w:tcW w:w="680" w:type="dxa"/>
            <w:vAlign w:val="bottom"/>
            <w:gridSpan w:val="2"/>
            <w:vMerge w:val="restart"/>
          </w:tcPr>
          <w:p>
            <w:pPr>
              <w:jc w:val="center"/>
              <w:ind w:left="128"/>
              <w:spacing w:after="0"/>
              <w:rPr>
                <w:sz w:val="20"/>
                <w:szCs w:val="20"/>
                <w:color w:val="auto"/>
              </w:rPr>
            </w:pPr>
            <w:r>
              <w:rPr>
                <w:rFonts w:ascii="Arial" w:cs="Arial" w:eastAsia="Arial" w:hAnsi="Arial"/>
                <w:sz w:val="14"/>
                <w:szCs w:val="14"/>
                <w:color w:val="auto"/>
                <w:w w:val="96"/>
              </w:rPr>
              <w:t>1-</w:t>
            </w:r>
          </w:p>
        </w:tc>
        <w:tc>
          <w:tcPr>
            <w:tcW w:w="380" w:type="dxa"/>
            <w:vAlign w:val="bottom"/>
          </w:tcPr>
          <w:p>
            <w:pPr>
              <w:spacing w:after="0"/>
              <w:rPr>
                <w:sz w:val="15"/>
                <w:szCs w:val="15"/>
                <w:color w:val="auto"/>
              </w:rPr>
            </w:pPr>
          </w:p>
        </w:tc>
        <w:tc>
          <w:tcPr>
            <w:tcW w:w="500" w:type="dxa"/>
            <w:vAlign w:val="bottom"/>
            <w:vMerge w:val="restart"/>
          </w:tcPr>
          <w:p>
            <w:pPr>
              <w:jc w:val="right"/>
              <w:ind w:right="122"/>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w w:val="91"/>
              </w:rPr>
              <w:t>More Than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Contractual Obligations</w:t>
            </w:r>
          </w:p>
        </w:tc>
        <w:tc>
          <w:tcPr>
            <w:tcW w:w="2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520" w:type="dxa"/>
            <w:vAlign w:val="bottom"/>
            <w:gridSpan w:val="2"/>
            <w:vMerge w:val="continue"/>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6"/>
              </w:rPr>
              <w:t>Total</w:t>
            </w:r>
          </w:p>
        </w:tc>
        <w:tc>
          <w:tcPr>
            <w:tcW w:w="76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2"/>
              </w:rPr>
              <w:t>1 Year</w:t>
            </w:r>
          </w:p>
        </w:tc>
        <w:tc>
          <w:tcPr>
            <w:tcW w:w="180" w:type="dxa"/>
            <w:vAlign w:val="bottom"/>
          </w:tcPr>
          <w:p>
            <w:pPr>
              <w:spacing w:after="0"/>
              <w:rPr>
                <w:sz w:val="13"/>
                <w:szCs w:val="13"/>
                <w:color w:val="auto"/>
              </w:rPr>
            </w:pPr>
          </w:p>
        </w:tc>
        <w:tc>
          <w:tcPr>
            <w:tcW w:w="88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1"/>
              </w:rPr>
              <w:t>3 Years</w:t>
            </w:r>
          </w:p>
        </w:tc>
        <w:tc>
          <w:tcPr>
            <w:tcW w:w="8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5 Years</w:t>
            </w:r>
          </w:p>
        </w:tc>
        <w:tc>
          <w:tcPr>
            <w:tcW w:w="100" w:type="dxa"/>
            <w:vAlign w:val="bottom"/>
          </w:tcPr>
          <w:p>
            <w:pPr>
              <w:spacing w:after="0"/>
              <w:rPr>
                <w:sz w:val="13"/>
                <w:szCs w:val="13"/>
                <w:color w:val="auto"/>
              </w:rPr>
            </w:pPr>
          </w:p>
        </w:tc>
        <w:tc>
          <w:tcPr>
            <w:tcW w:w="60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 obligations</w:t>
            </w:r>
          </w:p>
        </w:tc>
        <w:tc>
          <w:tcPr>
            <w:tcW w:w="25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$12,591</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$ 3,363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$6,474</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$1,929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outstanding debt as of June 30, 2017.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June 30, 2017, we maintained approximately 12% of our total cash and cash equivalents outside of the United States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2016 as filed with the Securities and Exchange Commission on February 27, 2017.</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24</w:t>
      </w:r>
    </w:p>
    <w:p>
      <w:pPr>
        <w:sectPr>
          <w:pgSz w:w="11900" w:h="16838" w:orient="portrait"/>
          <w:cols w:equalWidth="0" w:num="1">
            <w:col w:w="11400"/>
          </w:cols>
          <w:pgMar w:left="240" w:top="270" w:right="25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July 28, 2017</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270" w:right="43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360"/>
          </w:cols>
          <w:pgMar w:left="240" w:top="270" w:right="299" w:bottom="1440" w:gutter="0" w:footer="0" w:header="0"/>
        </w:sect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Exhibit</w:t>
      </w:r>
    </w:p>
    <w:p>
      <w:pPr>
        <w:ind w:left="20"/>
        <w:spacing w:after="0"/>
        <w:rPr>
          <w:sz w:val="20"/>
          <w:szCs w:val="20"/>
          <w:color w:val="auto"/>
        </w:rPr>
      </w:pPr>
      <w:r>
        <w:rPr>
          <w:rFonts w:ascii="Arial" w:cs="Arial" w:eastAsia="Arial" w:hAnsi="Arial"/>
          <w:sz w:val="12"/>
          <w:szCs w:val="12"/>
          <w:i w:val="1"/>
          <w:iCs w:val="1"/>
          <w:u w:val="single" w:color="auto"/>
          <w:color w:val="auto"/>
        </w:rPr>
        <w:t>Number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u w:val="single" w:color="auto"/>
          <w:color w:val="auto"/>
        </w:rPr>
        <w:t>Description</w:t>
      </w:r>
    </w:p>
    <w:p>
      <w:pPr>
        <w:spacing w:after="0" w:line="1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Certificate of Incorporation (incorporated by reference to Exhibit 4.1 to our Registration Statement on Form S-3 (File No. 333-182097) filed with the Commission on September 13, 2012).</w:t>
      </w:r>
    </w:p>
    <w:p>
      <w:pPr>
        <w:spacing w:after="0" w:line="62" w:lineRule="exact"/>
        <w:rPr>
          <w:sz w:val="20"/>
          <w:szCs w:val="20"/>
          <w:color w:val="auto"/>
        </w:rPr>
      </w:pPr>
    </w:p>
    <w:p>
      <w:pPr>
        <w:sectPr>
          <w:pgSz w:w="11900" w:h="16838" w:orient="portrait"/>
          <w:cols w:equalWidth="0" w:num="2">
            <w:col w:w="480" w:space="560"/>
            <w:col w:w="10320"/>
          </w:cols>
          <w:pgMar w:left="240" w:top="270" w:right="2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tcPr>
          <w:p>
            <w:pPr>
              <w:ind w:left="360"/>
              <w:spacing w:after="0"/>
              <w:rPr>
                <w:sz w:val="20"/>
                <w:szCs w:val="20"/>
                <w:color w:val="auto"/>
              </w:rPr>
            </w:pPr>
            <w:r>
              <w:rPr>
                <w:rFonts w:ascii="Arial" w:cs="Arial" w:eastAsia="Arial" w:hAnsi="Arial"/>
                <w:sz w:val="18"/>
                <w:szCs w:val="18"/>
                <w:color w:val="auto"/>
              </w:rPr>
              <w:t>Bylaws (incorporated by reference to Exhibit 3.2 to our Registration Statement on Form S-1/A (File No. 333-163476) filed with the</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Commission on March 5, 2010).</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Executive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Financial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36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 1350, as adopted pursuant to Section 906 of the</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tcPr>
          <w:p>
            <w:pPr>
              <w:ind w:left="36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0" w:right="29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2017,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2019-12-06T12:24:06Z</dcterms:created>
  <dcterms:modified xsi:type="dcterms:W3CDTF">2019-12-06T12:24:06Z</dcterms:modified>
</cp:coreProperties>
</file>