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8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3751580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001-34702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4060" w:type="dxa"/>
            <w:vAlign w:val="bottom"/>
          </w:tcPr>
          <w:p>
            <w:pPr>
              <w:jc w:val="center"/>
              <w:ind w:right="2042"/>
              <w:spacing w:after="0"/>
              <w:rPr>
                <w:sz w:val="20"/>
                <w:szCs w:val="20"/>
                <w:color w:val="auto"/>
              </w:rPr>
            </w:pPr>
            <w:r>
              <w:rPr>
                <w:rFonts w:ascii="Arial" w:cs="Arial" w:eastAsia="Arial" w:hAnsi="Arial"/>
                <w:sz w:val="18"/>
                <w:szCs w:val="18"/>
                <w:b w:val="1"/>
                <w:bCs w:val="1"/>
                <w:color w:val="auto"/>
                <w:w w:val="93"/>
              </w:rPr>
              <w:t>Delaware</w:t>
            </w:r>
          </w:p>
        </w:tc>
        <w:tc>
          <w:tcPr>
            <w:tcW w:w="3240" w:type="dxa"/>
            <w:vAlign w:val="bottom"/>
          </w:tcPr>
          <w:p>
            <w:pPr>
              <w:jc w:val="center"/>
              <w:ind w:left="2022"/>
              <w:spacing w:after="0"/>
              <w:rPr>
                <w:sz w:val="20"/>
                <w:szCs w:val="20"/>
                <w:color w:val="auto"/>
              </w:rPr>
            </w:pPr>
            <w:r>
              <w:rPr>
                <w:rFonts w:ascii="Arial" w:cs="Arial" w:eastAsia="Arial" w:hAnsi="Arial"/>
                <w:sz w:val="18"/>
                <w:szCs w:val="18"/>
                <w:b w:val="1"/>
                <w:bCs w:val="1"/>
                <w:color w:val="auto"/>
                <w:w w:val="89"/>
              </w:rPr>
              <w:t>41-2015127</w:t>
            </w:r>
          </w:p>
        </w:tc>
      </w:tr>
      <w:tr>
        <w:trPr>
          <w:trHeight w:val="149"/>
        </w:trPr>
        <w:tc>
          <w:tcPr>
            <w:tcW w:w="406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40" w:type="dxa"/>
            <w:vAlign w:val="bottom"/>
          </w:tcPr>
          <w:p>
            <w:pPr>
              <w:jc w:val="center"/>
              <w:ind w:left="204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60" w:type="dxa"/>
            <w:vAlign w:val="bottom"/>
          </w:tcPr>
          <w:p>
            <w:pPr>
              <w:jc w:val="center"/>
              <w:ind w:right="2042"/>
              <w:spacing w:after="0"/>
              <w:rPr>
                <w:sz w:val="20"/>
                <w:szCs w:val="20"/>
                <w:color w:val="auto"/>
              </w:rPr>
            </w:pPr>
            <w:r>
              <w:rPr>
                <w:rFonts w:ascii="Arial" w:cs="Arial" w:eastAsia="Arial" w:hAnsi="Arial"/>
                <w:sz w:val="14"/>
                <w:szCs w:val="14"/>
                <w:b w:val="1"/>
                <w:bCs w:val="1"/>
                <w:color w:val="auto"/>
                <w:w w:val="95"/>
              </w:rPr>
              <w:t>Incorporation or Organization)</w:t>
            </w:r>
          </w:p>
        </w:tc>
        <w:tc>
          <w:tcPr>
            <w:tcW w:w="3240" w:type="dxa"/>
            <w:vAlign w:val="bottom"/>
          </w:tcPr>
          <w:p>
            <w:pPr>
              <w:jc w:val="center"/>
              <w:ind w:left="202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333 South Seventh Street, Suite 1000, Minneapolis, MN 55402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bookmarkStart w:id="1" w:name="page2"/>
    <w:bookmarkEnd w:id="1"/>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0"/>
          <w:szCs w:val="20"/>
          <w:color w:val="auto"/>
        </w:rPr>
      </w:pPr>
    </w:p>
    <w:p>
      <w:pPr>
        <w:sectPr>
          <w:pgSz w:w="11900" w:h="16838" w:orient="portrait"/>
          <w:cols w:equalWidth="0" w:num="4">
            <w:col w:w="1700" w:space="340"/>
            <w:col w:w="6000" w:space="720"/>
            <w:col w:w="1780" w:space="720"/>
            <w:col w:w="160"/>
          </w:cols>
          <w:pgMar w:left="240" w:top="336" w:right="239" w:bottom="1440" w:gutter="0" w:footer="0" w:header="0"/>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620" w:space="420"/>
            <w:col w:w="160" w:space="80"/>
            <w:col w:w="5760" w:space="720"/>
            <w:col w:w="2060" w:space="440"/>
            <w:col w:w="160"/>
          </w:cols>
          <w:pgMar w:left="240" w:top="336"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0"/>
          <w:szCs w:val="20"/>
          <w:color w:val="auto"/>
        </w:rPr>
      </w:pPr>
    </w:p>
    <w:p>
      <w:pPr>
        <w:sectPr>
          <w:pgSz w:w="11900" w:h="16838" w:orient="portrait"/>
          <w:cols w:equalWidth="0" w:num="4">
            <w:col w:w="8180" w:space="160"/>
            <w:col w:w="280" w:space="80"/>
            <w:col w:w="160" w:space="180"/>
            <w:col w:w="2380"/>
          </w:cols>
          <w:pgMar w:left="240" w:top="336"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registrant’s common stock, par value $0.001 per share, outstanding at July 22, 2015 was 16,602,877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9"/>
        </w:trPr>
        <w:tc>
          <w:tcPr>
            <w:tcW w:w="308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660" w:type="dxa"/>
            <w:vAlign w:val="bottom"/>
            <w:gridSpan w:val="9"/>
          </w:tcPr>
          <w:p>
            <w:pPr>
              <w:spacing w:after="0"/>
              <w:rPr>
                <w:sz w:val="23"/>
                <w:szCs w:val="23"/>
                <w:color w:val="auto"/>
              </w:rPr>
            </w:pPr>
          </w:p>
        </w:tc>
        <w:tc>
          <w:tcPr>
            <w:tcW w:w="500" w:type="dxa"/>
            <w:vAlign w:val="bottom"/>
          </w:tcPr>
          <w:p>
            <w:pPr>
              <w:spacing w:after="0"/>
              <w:rPr>
                <w:sz w:val="23"/>
                <w:szCs w:val="23"/>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00" w:type="dxa"/>
            <w:vAlign w:val="bottom"/>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2015 (unaudited) and December 31, 2014</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20" w:type="dxa"/>
            <w:vAlign w:val="bottom"/>
            <w:gridSpan w:val="19"/>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Income (Loss) for the three and six months ended June 30, 2015 and 2014</w:t>
              </w:r>
            </w:hyperlink>
          </w:p>
        </w:tc>
        <w:tc>
          <w:tcPr>
            <w:tcW w:w="50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2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20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2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June 30, 2015 and 2014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60" w:type="dxa"/>
            <w:vAlign w:val="bottom"/>
            <w:tcBorders>
              <w:top w:val="single" w:sz="8" w:color="0000EE"/>
            </w:tcBorders>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46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316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Quantitative and Qualitative Disclosures About Market Risk</w:t>
              </w:r>
            </w:hyperlink>
          </w:p>
        </w:tc>
        <w:tc>
          <w:tcPr>
            <w:tcW w:w="526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620" w:type="dxa"/>
            <w:vAlign w:val="bottom"/>
            <w:gridSpan w:val="1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2780" w:type="dxa"/>
            <w:vAlign w:val="bottom"/>
            <w:tcBorders>
              <w:bottom w:val="single" w:sz="8" w:color="0000EE"/>
            </w:tcBorders>
            <w:gridSpan w:val="10"/>
          </w:tcPr>
          <w:p>
            <w:pPr>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OTHER INFORMATION</w:t>
              </w:r>
            </w:hyperlink>
          </w:p>
        </w:tc>
        <w:tc>
          <w:tcPr>
            <w:tcW w:w="7960" w:type="dxa"/>
            <w:vAlign w:val="bottom"/>
            <w:gridSpan w:val="11"/>
          </w:tcPr>
          <w:p>
            <w:pPr>
              <w:spacing w:after="0"/>
              <w:rPr>
                <w:sz w:val="24"/>
                <w:szCs w:val="24"/>
                <w:color w:val="auto"/>
              </w:rPr>
            </w:pPr>
          </w:p>
        </w:tc>
        <w:tc>
          <w:tcPr>
            <w:tcW w:w="500" w:type="dxa"/>
            <w:vAlign w:val="bottom"/>
          </w:tcPr>
          <w:p>
            <w:pPr>
              <w:spacing w:after="0"/>
              <w:rPr>
                <w:sz w:val="24"/>
                <w:szCs w:val="24"/>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2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8300" w:type="dxa"/>
            <w:vAlign w:val="bottom"/>
            <w:gridSpan w:val="1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2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tcPr>
          <w:p>
            <w:pPr>
              <w:spacing w:after="0"/>
              <w:rPr>
                <w:sz w:val="24"/>
                <w:szCs w:val="24"/>
                <w:color w:val="auto"/>
              </w:rPr>
            </w:pPr>
          </w:p>
        </w:tc>
        <w:tc>
          <w:tcPr>
            <w:tcW w:w="528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62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7860" w:type="dxa"/>
            <w:vAlign w:val="bottom"/>
            <w:gridSpan w:val="10"/>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Exhibits</w:t>
              </w:r>
            </w:hyperlink>
          </w:p>
        </w:tc>
        <w:tc>
          <w:tcPr>
            <w:tcW w:w="8320" w:type="dxa"/>
            <w:vAlign w:val="bottom"/>
            <w:gridSpan w:val="1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1120" w:type="dxa"/>
            <w:vAlign w:val="bottom"/>
            <w:gridSpan w:val="2"/>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Signatures</w:t>
              </w:r>
            </w:hyperlink>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8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our Annual Report on Form 10-K for the year ended December 31, 2014 as filed with the Securities and Exchange Commission. Readers are cautioned not to place undue reliance on these forward-looking statements, which speak only as of the date of this report.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Commission that advise interested parties of the risks and factors that may affect our business.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34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980" w:type="dxa"/>
            <w:vAlign w:val="bottom"/>
          </w:tcPr>
          <w:p>
            <w:pPr>
              <w:jc w:val="center"/>
              <w:ind w:left="650"/>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w w:val="91"/>
              </w:rPr>
              <w:t>Item 1.</w:t>
            </w:r>
          </w:p>
        </w:tc>
        <w:tc>
          <w:tcPr>
            <w:tcW w:w="8800" w:type="dxa"/>
            <w:vAlign w:val="bottom"/>
            <w:gridSpan w:val="2"/>
          </w:tcPr>
          <w:p>
            <w:pPr>
              <w:ind w:left="50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SPS COMMERCE, INC.</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color w:val="auto"/>
                <w:w w:val="89"/>
              </w:rPr>
              <w:t>(Unaudited; in thousands, except share amounts)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79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980" w:type="dxa"/>
            <w:vAlign w:val="bottom"/>
            <w:shd w:val="clear" w:color="auto" w:fill="CCEEFF"/>
          </w:tcPr>
          <w:p>
            <w:pPr>
              <w:jc w:val="center"/>
              <w:ind w:right="1590"/>
              <w:spacing w:after="0" w:line="196" w:lineRule="exact"/>
              <w:rPr>
                <w:sz w:val="20"/>
                <w:szCs w:val="20"/>
                <w:color w:val="auto"/>
              </w:rPr>
            </w:pPr>
            <w:r>
              <w:rPr>
                <w:rFonts w:ascii="Arial" w:cs="Arial" w:eastAsia="Arial" w:hAnsi="Arial"/>
                <w:sz w:val="18"/>
                <w:szCs w:val="18"/>
                <w:b w:val="1"/>
                <w:bCs w:val="1"/>
                <w:color w:val="auto"/>
                <w:w w:val="91"/>
              </w:rPr>
              <w:t>ASSETS</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934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121,344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Accounts receivable, less allowance for doubtful accounts of $313 and $279, respectively</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17,255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costs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6,393</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159,071</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162,194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340" w:type="dxa"/>
            <w:vAlign w:val="bottom"/>
            <w:gridSpan w:val="2"/>
          </w:tcPr>
          <w:p>
            <w:pPr>
              <w:spacing w:after="0"/>
              <w:rPr>
                <w:sz w:val="9"/>
                <w:szCs w:val="9"/>
                <w:color w:val="auto"/>
              </w:rPr>
            </w:pPr>
          </w:p>
        </w:tc>
        <w:tc>
          <w:tcPr>
            <w:tcW w:w="7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34,303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MARKETABLE SECURITIES, non-current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9,995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Deferred costs, non-current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5,445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income taxes, non-current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365</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9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249,926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980" w:type="dxa"/>
            <w:vAlign w:val="bottom"/>
            <w:vMerge w:val="restart"/>
          </w:tcPr>
          <w:p>
            <w:pPr>
              <w:jc w:val="center"/>
              <w:ind w:right="161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9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340" w:type="dxa"/>
            <w:vAlign w:val="bottom"/>
            <w:gridSpan w:val="2"/>
          </w:tcPr>
          <w:p>
            <w:pPr>
              <w:spacing w:after="0"/>
              <w:rPr>
                <w:sz w:val="9"/>
                <w:szCs w:val="9"/>
                <w:color w:val="auto"/>
              </w:rPr>
            </w:pPr>
          </w:p>
        </w:tc>
        <w:tc>
          <w:tcPr>
            <w:tcW w:w="7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3,706</w:t>
            </w:r>
          </w:p>
        </w:tc>
        <w:tc>
          <w:tcPr>
            <w:tcW w:w="4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compensation</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Deferred rent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9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revenue, non-current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Deferred rent, non-current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3,178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9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38,684</w:t>
            </w:r>
          </w:p>
        </w:tc>
        <w:tc>
          <w:tcPr>
            <w:tcW w:w="0" w:type="dxa"/>
            <w:vAlign w:val="bottom"/>
          </w:tcPr>
          <w:p>
            <w:pPr>
              <w:spacing w:after="0"/>
              <w:rPr>
                <w:sz w:val="1"/>
                <w:szCs w:val="1"/>
                <w:color w:val="auto"/>
              </w:rPr>
            </w:pPr>
          </w:p>
        </w:tc>
      </w:tr>
      <w:tr>
        <w:trPr>
          <w:trHeight w:val="399"/>
        </w:trPr>
        <w:tc>
          <w:tcPr>
            <w:tcW w:w="9340" w:type="dxa"/>
            <w:vAlign w:val="bottom"/>
            <w:gridSpan w:val="4"/>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340" w:type="dxa"/>
            <w:vAlign w:val="bottom"/>
            <w:gridSpan w:val="2"/>
          </w:tcPr>
          <w:p>
            <w:pPr>
              <w:spacing w:after="0"/>
              <w:rPr>
                <w:sz w:val="9"/>
                <w:szCs w:val="9"/>
                <w:color w:val="auto"/>
              </w:rPr>
            </w:pPr>
          </w:p>
        </w:tc>
        <w:tc>
          <w:tcPr>
            <w:tcW w:w="7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8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2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$0.001 par value; 55,000,000 shares authorized; 16,563,361 and 16,348,747 shares issued and</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respectively</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257,317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250,633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(42,851)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(2,570)</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9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211,912</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0" w:type="dxa"/>
            <w:vAlign w:val="bottom"/>
            <w:gridSpan w:val="2"/>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249,926</w:t>
            </w:r>
          </w:p>
        </w:tc>
        <w:tc>
          <w:tcPr>
            <w:tcW w:w="4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243,775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ectPr>
          <w:pgSz w:w="11900" w:h="16838" w:orient="portrait"/>
          <w:cols w:equalWidth="0" w:num="1">
            <w:col w:w="11420"/>
          </w:cols>
          <w:pgMar w:left="240" w:top="446"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46"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5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8"/>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6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38,846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31,100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75,816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60,039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Cost of revenues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12,335</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23,907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18,882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26,511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21,473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51,909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41,157</w:t>
            </w:r>
          </w:p>
        </w:tc>
        <w:tc>
          <w:tcPr>
            <w:tcW w:w="0" w:type="dxa"/>
            <w:vAlign w:val="bottom"/>
          </w:tcPr>
          <w:p>
            <w:pPr>
              <w:spacing w:after="0"/>
              <w:rPr>
                <w:sz w:val="1"/>
                <w:szCs w:val="1"/>
                <w:color w:val="auto"/>
              </w:rPr>
            </w:pPr>
          </w:p>
        </w:tc>
      </w:tr>
      <w:tr>
        <w:trPr>
          <w:trHeight w:val="291"/>
        </w:trPr>
        <w:tc>
          <w:tcPr>
            <w:tcW w:w="6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14,101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27,845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4,495</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3,365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8,564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6,055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11,873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1,678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25,484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20,459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49,960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39,545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66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1,949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66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6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6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160"/>
              <w:spacing w:after="0"/>
              <w:rPr>
                <w:sz w:val="20"/>
                <w:szCs w:val="20"/>
                <w:color w:val="auto"/>
              </w:rPr>
            </w:pPr>
            <w:r>
              <w:rPr>
                <w:rFonts w:ascii="Arial" w:cs="Arial" w:eastAsia="Arial" w:hAnsi="Arial"/>
                <w:sz w:val="18"/>
                <w:szCs w:val="18"/>
                <w:color w:val="auto"/>
              </w:rPr>
              <w:t>Net income per share</w:t>
            </w: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6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Basic</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520"/>
              <w:spacing w:after="0"/>
              <w:rPr>
                <w:sz w:val="20"/>
                <w:szCs w:val="20"/>
                <w:color w:val="auto"/>
              </w:rPr>
            </w:pPr>
            <w:r>
              <w:rPr>
                <w:rFonts w:ascii="Arial" w:cs="Arial" w:eastAsia="Arial" w:hAnsi="Arial"/>
                <w:sz w:val="18"/>
                <w:szCs w:val="18"/>
                <w:color w:val="auto"/>
              </w:rPr>
              <w:t>Diluted</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520"/>
              <w:spacing w:after="0"/>
              <w:rPr>
                <w:sz w:val="20"/>
                <w:szCs w:val="20"/>
                <w:color w:val="auto"/>
              </w:rPr>
            </w:pPr>
            <w:r>
              <w:rPr>
                <w:rFonts w:ascii="Arial" w:cs="Arial" w:eastAsia="Arial" w:hAnsi="Arial"/>
                <w:sz w:val="18"/>
                <w:szCs w:val="18"/>
                <w:color w:val="auto"/>
              </w:rPr>
              <w:t>Basic</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16,536</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16,210</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16,485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Diluted</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16,998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16,768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17,043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16,799</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Foreign currency translation adjustments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(1,278)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(2,577)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520"/>
              <w:spacing w:after="0"/>
              <w:rPr>
                <w:sz w:val="20"/>
                <w:szCs w:val="20"/>
                <w:color w:val="auto"/>
              </w:rPr>
            </w:pPr>
            <w:r>
              <w:rPr>
                <w:rFonts w:ascii="Arial" w:cs="Arial" w:eastAsia="Arial" w:hAnsi="Arial"/>
                <w:sz w:val="18"/>
                <w:szCs w:val="18"/>
                <w:color w:val="auto"/>
              </w:rPr>
              <w:t>Unrealized gain on investments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Comprehensive income (loss)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(1,334)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229"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Six Months Ended</w:t>
      </w:r>
    </w:p>
    <w:p>
      <w:pPr>
        <w:jc w:val="center"/>
        <w:ind w:left="95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5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1,237</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 of property and equipment</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Amortization of intangible assets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Provision for doubtful accounts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Stock-based compensation</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3,146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assets and liabilities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rPr>
              <w:t>Accounts receivable</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costs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rPr>
              <w:t>Other current and non-current assets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(2,710)</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rPr>
              <w:t>Accrued compensation</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expenses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060"/>
              <w:spacing w:after="0"/>
              <w:rPr>
                <w:sz w:val="20"/>
                <w:szCs w:val="20"/>
                <w:color w:val="auto"/>
              </w:rPr>
            </w:pPr>
            <w:r>
              <w:rPr>
                <w:rFonts w:ascii="Arial" w:cs="Arial" w:eastAsia="Arial" w:hAnsi="Arial"/>
                <w:sz w:val="18"/>
                <w:szCs w:val="18"/>
                <w:color w:val="auto"/>
              </w:rPr>
              <w:t>Deferred revenue</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rent</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580" w:type="dxa"/>
            <w:vAlign w:val="bottom"/>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202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2,387</w:t>
            </w:r>
          </w:p>
        </w:tc>
        <w:tc>
          <w:tcPr>
            <w:tcW w:w="3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5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(5,079)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marketable securities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(9,989)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58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(15,068)</w:t>
            </w:r>
          </w:p>
        </w:tc>
        <w:tc>
          <w:tcPr>
            <w:tcW w:w="100" w:type="dxa"/>
            <w:vAlign w:val="bottom"/>
          </w:tcPr>
          <w:p>
            <w:pPr>
              <w:spacing w:after="0"/>
              <w:rPr>
                <w:sz w:val="24"/>
                <w:szCs w:val="2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5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Net proceeds from exercise of options to purchase common stock</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2,396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exercise of options to purchase common stock</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340"/>
              <w:spacing w:after="0"/>
              <w:rPr>
                <w:sz w:val="20"/>
                <w:szCs w:val="20"/>
                <w:color w:val="auto"/>
              </w:rPr>
            </w:pPr>
            <w:r>
              <w:rPr>
                <w:rFonts w:ascii="Arial" w:cs="Arial" w:eastAsia="Arial" w:hAnsi="Arial"/>
                <w:sz w:val="18"/>
                <w:szCs w:val="18"/>
                <w:color w:val="auto"/>
              </w:rPr>
              <w:t>Net proceeds from employee stock purchase plan</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5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20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600" w:type="dxa"/>
            <w:vAlign w:val="bottom"/>
            <w:gridSpan w:val="2"/>
          </w:tcPr>
          <w:p>
            <w:pPr>
              <w:spacing w:after="0"/>
              <w:rPr>
                <w:sz w:val="20"/>
                <w:szCs w:val="20"/>
                <w:color w:val="auto"/>
              </w:rPr>
            </w:pPr>
            <w:r>
              <w:rPr>
                <w:rFonts w:ascii="Arial" w:cs="Arial" w:eastAsia="Arial" w:hAnsi="Arial"/>
                <w:sz w:val="18"/>
                <w:szCs w:val="18"/>
                <w:color w:val="auto"/>
              </w:rPr>
              <w:t>Effect of foreign currency exchange rate changes</w:t>
            </w: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5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(9,451)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130,795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131,294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5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121,344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136,508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a leading provider of cloud-based supply chain management solutions, providing network-proven integrations and comprehensive retail performance analytics to thousands of customers worldwide. We provide our solutions through the SPS Commerce platform, a cloud-based product suite that improves the way suppliers, retailers, distributors and other customers manage and fulfill orders. We derive the majority of our revenues from thousands of monthly recurring subscriptions from businesses that utilize our solutions.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accompanying unaudited condensed consolidated financial statements include the accounts of SPS Commerce, Inc. and its subsidiaries. All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intercompany accounts and transactions have been eliminated in the condensed consolidated financial statements, which have been prepared in conformity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U.S. generally accepted accounting principles (“GAAP”) for interim financial information and with the instructions to Form 10-Q and Rule 10-01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Regulation S-X. Accordingly, these condensed consolidated financial statements do not include all of the information and notes required by GAAP. We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included all normal recurring adjustments considered necessary to give a fair statement of our financial position, results of operations and cash flows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interim periods shown. Operating results for these interim periods are not necessarily indicative of the results to be expected for the full year.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condensed consolidated balance sheet data was derived from our audited financial statements at that date. For further information, refer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and accompanying notes for the year ended December 31, 2014 included in our Annual Report on Form 10-K as filed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the Securities and Exchange Commission on February 20, 2015.</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During the six months ended June 30, 2015, there were no material changes in our significant accounting policies. See Note A to the consolidated financial statements included in our Annual Report on Form 10-K for the year ended December 31, 2014, as filed with the Securities and Exchange Commission on February 20, 2015, for additional information regarding our significant accounting policies.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In May 2014, the Financial Accounting Standards Board issued new accounting requirements for the recognition of revenue from contracts with customers. These new requirements are effective for annual reporting periods beginning after December 15, 2017, and interim periods within those annual periods. We are currently evaluating the impact of this guidance on our results of operations and financial position.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Financial Instruments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invest primarily in money market funds, highly liquid debt instruments of the U.S. government, and U.S. corporate debt securities. All highly liquid investments with original maturities of 90 days or are classified as cash equivalents. All investments with original maturities greater than 90 days and remaining maturities less than one year from the balance sheet date are classified as current marketable securities. Investments with remaining maturities of more than one year from the balance sheet date are classified as marketable securities, non-current. Current marketable securities and marketable securities, non-current are also classified as available-for-sale. We intend to hold marketable securities, non-current, until maturity; however, we may sell these securities at any time for use in current operations or for other purposes. Consequently, we may or may not hold securities with stated maturities greater than twelve months until maturity.</w:t>
      </w:r>
    </w:p>
    <w:p>
      <w:pPr>
        <w:spacing w:after="0" w:line="18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Our fixed income investments are carried at fair value and unrealized gains and losses on these investments, net of taxes, are included in accumulated other comprehensive loss in the condensed consolidated balance sheets. Realized gains or losses are included in other income (expense) in the condensed consolidated statements of comprehensive income (loss). When a determination has been made that an other-than-temporary decline in fair value has occurred, the amount of the decline that is related to a credit loss is realized and is included in other income (expense), net in the condensed consolidated statements of comprehensive income (loss).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and marketable securities, non-current, consisted of the following (in thousands):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color w:val="auto"/>
              </w:rPr>
              <w:t>June 30, 2015</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960" w:type="dxa"/>
            <w:vAlign w:val="bottom"/>
            <w:gridSpan w:val="2"/>
          </w:tcPr>
          <w:p>
            <w:pPr>
              <w:jc w:val="right"/>
              <w:ind w:right="300"/>
              <w:spacing w:after="0" w:line="123" w:lineRule="exact"/>
              <w:rPr>
                <w:sz w:val="20"/>
                <w:szCs w:val="20"/>
                <w:color w:val="auto"/>
              </w:rPr>
            </w:pPr>
            <w:r>
              <w:rPr>
                <w:rFonts w:ascii="Arial" w:cs="Arial" w:eastAsia="Arial" w:hAnsi="Arial"/>
                <w:sz w:val="14"/>
                <w:szCs w:val="14"/>
                <w:color w:val="auto"/>
              </w:rPr>
              <w:t>Amortized</w:t>
            </w:r>
          </w:p>
        </w:tc>
        <w:tc>
          <w:tcPr>
            <w:tcW w:w="260" w:type="dxa"/>
            <w:vAlign w:val="bottom"/>
          </w:tcPr>
          <w:p>
            <w:pPr>
              <w:spacing w:after="0"/>
              <w:rPr>
                <w:sz w:val="10"/>
                <w:szCs w:val="10"/>
                <w:color w:val="auto"/>
              </w:rPr>
            </w:pPr>
          </w:p>
        </w:tc>
        <w:tc>
          <w:tcPr>
            <w:tcW w:w="1200" w:type="dxa"/>
            <w:vAlign w:val="bottom"/>
            <w:gridSpan w:val="3"/>
          </w:tcPr>
          <w:p>
            <w:pPr>
              <w:spacing w:after="0" w:line="123" w:lineRule="exact"/>
              <w:rPr>
                <w:sz w:val="20"/>
                <w:szCs w:val="20"/>
                <w:color w:val="auto"/>
              </w:rPr>
            </w:pPr>
            <w:r>
              <w:rPr>
                <w:rFonts w:ascii="Arial" w:cs="Arial" w:eastAsia="Arial" w:hAnsi="Arial"/>
                <w:sz w:val="14"/>
                <w:szCs w:val="14"/>
                <w:color w:val="auto"/>
              </w:rPr>
              <w:t>Unrealized</w:t>
            </w:r>
          </w:p>
        </w:tc>
        <w:tc>
          <w:tcPr>
            <w:tcW w:w="940" w:type="dxa"/>
            <w:vAlign w:val="bottom"/>
            <w:gridSpan w:val="3"/>
          </w:tcPr>
          <w:p>
            <w:pPr>
              <w:spacing w:after="0" w:line="123" w:lineRule="exact"/>
              <w:rPr>
                <w:sz w:val="20"/>
                <w:szCs w:val="20"/>
                <w:color w:val="auto"/>
              </w:rPr>
            </w:pPr>
            <w:r>
              <w:rPr>
                <w:rFonts w:ascii="Arial" w:cs="Arial" w:eastAsia="Arial" w:hAnsi="Arial"/>
                <w:sz w:val="14"/>
                <w:szCs w:val="14"/>
                <w:color w:val="auto"/>
              </w:rPr>
              <w:t>Unrealized</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4"/>
                <w:szCs w:val="14"/>
                <w:color w:val="auto"/>
              </w:rPr>
              <w:t>Cost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color w:val="auto"/>
              </w:rPr>
              <w:t>Gains</w:t>
            </w:r>
          </w:p>
        </w:tc>
        <w:tc>
          <w:tcPr>
            <w:tcW w:w="10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color w:val="auto"/>
                <w:w w:val="85"/>
              </w:rPr>
              <w:t>Losses</w:t>
            </w:r>
          </w:p>
        </w:tc>
        <w:tc>
          <w:tcPr>
            <w:tcW w:w="26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w w:val="97"/>
              </w:rPr>
              <w:t>Fair Value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3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2740" w:type="dxa"/>
            <w:vAlign w:val="bottom"/>
            <w:gridSpan w:val="3"/>
          </w:tcPr>
          <w:p>
            <w:pPr>
              <w:jc w:val="right"/>
              <w:ind w:right="280"/>
              <w:spacing w:after="0"/>
              <w:rPr>
                <w:sz w:val="20"/>
                <w:szCs w:val="20"/>
                <w:color w:val="auto"/>
              </w:rPr>
            </w:pPr>
            <w:r>
              <w:rPr>
                <w:rFonts w:ascii="Arial" w:cs="Arial" w:eastAsia="Arial" w:hAnsi="Arial"/>
                <w:sz w:val="18"/>
                <w:szCs w:val="18"/>
                <w:color w:val="auto"/>
              </w:rPr>
              <w:t>$105,628</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$105,628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non-current:</w:t>
            </w:r>
          </w:p>
        </w:tc>
        <w:tc>
          <w:tcPr>
            <w:tcW w:w="1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2740" w:type="dxa"/>
            <w:vAlign w:val="bottom"/>
            <w:gridSpan w:val="3"/>
          </w:tcPr>
          <w:p>
            <w:pPr>
              <w:jc w:val="right"/>
              <w:ind w:right="280"/>
              <w:spacing w:after="0"/>
              <w:rPr>
                <w:sz w:val="20"/>
                <w:szCs w:val="20"/>
                <w:color w:val="auto"/>
              </w:rPr>
            </w:pPr>
            <w:r>
              <w:rPr>
                <w:rFonts w:ascii="Arial" w:cs="Arial" w:eastAsia="Arial" w:hAnsi="Arial"/>
                <w:sz w:val="18"/>
                <w:szCs w:val="18"/>
                <w:color w:val="auto"/>
              </w:rPr>
              <w:t>2,500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treasury securities</w:t>
            </w:r>
          </w:p>
        </w:tc>
        <w:tc>
          <w:tcPr>
            <w:tcW w:w="17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7,489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74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115,617</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115,623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4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Due within two years</w:t>
            </w:r>
          </w:p>
        </w:tc>
        <w:tc>
          <w:tcPr>
            <w:tcW w:w="1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9,995</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300" w:type="dxa"/>
            <w:vAlign w:val="bottom"/>
          </w:tcPr>
          <w:p>
            <w:pPr>
              <w:spacing w:after="0"/>
              <w:rPr>
                <w:sz w:val="6"/>
                <w:szCs w:val="6"/>
                <w:color w:val="auto"/>
              </w:rPr>
            </w:pPr>
          </w:p>
        </w:tc>
        <w:tc>
          <w:tcPr>
            <w:tcW w:w="1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115,623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We do not believe any of the unrealized losses represent an other-than-temporary impairment based on our valuation of available evidence as of June 30, 2015. We expect to receive the full principal and interest on all of these cash equivalents and marketable securities.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measure certain financial assets at fair value on a recurring basis based on a fair value hierarchy that requires us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are:</w:t>
      </w:r>
    </w:p>
    <w:p>
      <w:pPr>
        <w:spacing w:after="0" w:line="52"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30" w:lineRule="exact"/>
        <w:rPr>
          <w:rFonts w:ascii="Arial" w:cs="Arial" w:eastAsia="Arial" w:hAnsi="Arial"/>
          <w:sz w:val="18"/>
          <w:szCs w:val="18"/>
          <w:color w:val="auto"/>
        </w:rPr>
      </w:pPr>
    </w:p>
    <w:p>
      <w:pPr>
        <w:ind w:left="900" w:right="60" w:hanging="446"/>
        <w:spacing w:after="0" w:line="31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2 – observable inputs other than Level 1 prices, such as (a) quoted prices for similar assets or liabilities, (b) quoted prices in markets with insufficient volume or infrequent transactions (less active markets), or (c) model-derived valuations in which all significant inputs are observable or can be derived principally from or corroborated by observable market data for substantially the full term of the assets or liabilities.</w:t>
      </w:r>
    </w:p>
    <w:p>
      <w:pPr>
        <w:spacing w:after="0" w:line="52"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 Measurements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cash equivalents held in money market funds are measured at fair value using level 1 inputs.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2 Measurements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available-for-sale U.S. treasury securities and corporate debt securities are measured at fair value using level 2 inputs. We obtain the fair values of our level 2 available-for-sale securities from a professional pricing service.</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following table presents information about our financial assets that are measured at fair value on a recurring basis and indicates the fair value hierarchy of the valuation techniques utilized to determine such fair value (in thousands):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color w:val="auto"/>
              </w:rPr>
              <w:t>Level 1</w:t>
            </w:r>
          </w:p>
        </w:tc>
        <w:tc>
          <w:tcPr>
            <w:tcW w:w="180" w:type="dxa"/>
            <w:vAlign w:val="bottom"/>
          </w:tcPr>
          <w:p>
            <w:pPr>
              <w:spacing w:after="0"/>
              <w:rPr>
                <w:sz w:val="14"/>
                <w:szCs w:val="14"/>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4"/>
                <w:szCs w:val="14"/>
                <w:color w:val="auto"/>
              </w:rPr>
              <w:t>Level 2</w:t>
            </w:r>
          </w:p>
        </w:tc>
        <w:tc>
          <w:tcPr>
            <w:tcW w:w="440" w:type="dxa"/>
            <w:vAlign w:val="bottom"/>
          </w:tcPr>
          <w:p>
            <w:pPr>
              <w:jc w:val="right"/>
              <w:spacing w:after="0"/>
              <w:rPr>
                <w:sz w:val="20"/>
                <w:szCs w:val="20"/>
                <w:color w:val="auto"/>
              </w:rPr>
            </w:pPr>
            <w:r>
              <w:rPr>
                <w:rFonts w:ascii="Arial" w:cs="Arial" w:eastAsia="Arial" w:hAnsi="Arial"/>
                <w:sz w:val="14"/>
                <w:szCs w:val="14"/>
                <w:color w:val="auto"/>
                <w:w w:val="92"/>
              </w:rPr>
              <w:t>Level 3</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Assets at June 30, 2015: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105,628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105,628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2,498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88"/>
              </w:rPr>
              <w:t>7,497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121,344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9,995</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131,339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Assets at December 31, 2014: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39,049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91,746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91,746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130,795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130,795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Goodwill and Intangible Assets,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our goodwill for the six months ended June 30, 2015 was due to the effect of foreign currency translation.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included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color w:val="auto"/>
              </w:rPr>
              <w:t>June 30, 2015</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color w:val="auto"/>
                <w:w w:val="94"/>
              </w:rPr>
              <w:t>December 31, 2014</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72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Carrying</w:t>
            </w:r>
          </w:p>
        </w:tc>
        <w:tc>
          <w:tcPr>
            <w:tcW w:w="160" w:type="dxa"/>
            <w:vAlign w:val="bottom"/>
          </w:tcPr>
          <w:p>
            <w:pPr>
              <w:spacing w:after="0"/>
              <w:rPr>
                <w:sz w:val="10"/>
                <w:szCs w:val="10"/>
                <w:color w:val="auto"/>
              </w:rPr>
            </w:pPr>
          </w:p>
        </w:tc>
        <w:tc>
          <w:tcPr>
            <w:tcW w:w="1040" w:type="dxa"/>
            <w:vAlign w:val="bottom"/>
            <w:gridSpan w:val="3"/>
          </w:tcPr>
          <w:p>
            <w:pPr>
              <w:ind w:left="20"/>
              <w:spacing w:after="0" w:line="123" w:lineRule="exact"/>
              <w:rPr>
                <w:sz w:val="20"/>
                <w:szCs w:val="20"/>
                <w:color w:val="auto"/>
              </w:rPr>
            </w:pPr>
            <w:r>
              <w:rPr>
                <w:rFonts w:ascii="Arial" w:cs="Arial" w:eastAsia="Arial" w:hAnsi="Arial"/>
                <w:sz w:val="14"/>
                <w:szCs w:val="14"/>
                <w:color w:val="auto"/>
              </w:rPr>
              <w:t>Accumulated</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gridSpan w:val="2"/>
          </w:tcPr>
          <w:p>
            <w:pPr>
              <w:ind w:left="40"/>
              <w:spacing w:after="0" w:line="123" w:lineRule="exact"/>
              <w:rPr>
                <w:sz w:val="20"/>
                <w:szCs w:val="20"/>
                <w:color w:val="auto"/>
              </w:rPr>
            </w:pPr>
            <w:r>
              <w:rPr>
                <w:rFonts w:ascii="Arial" w:cs="Arial" w:eastAsia="Arial" w:hAnsi="Arial"/>
                <w:sz w:val="14"/>
                <w:szCs w:val="14"/>
                <w:color w:val="auto"/>
              </w:rPr>
              <w:t>Carrying</w:t>
            </w:r>
          </w:p>
        </w:tc>
        <w:tc>
          <w:tcPr>
            <w:tcW w:w="220" w:type="dxa"/>
            <w:vAlign w:val="bottom"/>
          </w:tcPr>
          <w:p>
            <w:pPr>
              <w:spacing w:after="0"/>
              <w:rPr>
                <w:sz w:val="10"/>
                <w:szCs w:val="10"/>
                <w:color w:val="auto"/>
              </w:rPr>
            </w:pPr>
          </w:p>
        </w:tc>
        <w:tc>
          <w:tcPr>
            <w:tcW w:w="1080" w:type="dxa"/>
            <w:vAlign w:val="bottom"/>
            <w:gridSpan w:val="3"/>
          </w:tcPr>
          <w:p>
            <w:pPr>
              <w:spacing w:after="0" w:line="123" w:lineRule="exact"/>
              <w:rPr>
                <w:sz w:val="20"/>
                <w:szCs w:val="20"/>
                <w:color w:val="auto"/>
              </w:rPr>
            </w:pPr>
            <w:r>
              <w:rPr>
                <w:rFonts w:ascii="Arial" w:cs="Arial" w:eastAsia="Arial" w:hAnsi="Arial"/>
                <w:sz w:val="14"/>
                <w:szCs w:val="14"/>
                <w:color w:val="auto"/>
              </w:rPr>
              <w:t>Accumulated</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color w:val="auto"/>
              </w:rPr>
              <w:t>Amortization</w:t>
            </w:r>
          </w:p>
        </w:tc>
        <w:tc>
          <w:tcPr>
            <w:tcW w:w="900" w:type="dxa"/>
            <w:vAlign w:val="bottom"/>
            <w:gridSpan w:val="2"/>
          </w:tcPr>
          <w:p>
            <w:pPr>
              <w:jc w:val="right"/>
              <w:ind w:right="500"/>
              <w:spacing w:after="0"/>
              <w:rPr>
                <w:sz w:val="20"/>
                <w:szCs w:val="20"/>
                <w:color w:val="auto"/>
              </w:rPr>
            </w:pPr>
            <w:r>
              <w:rPr>
                <w:rFonts w:ascii="Arial" w:cs="Arial" w:eastAsia="Arial" w:hAnsi="Arial"/>
                <w:sz w:val="14"/>
                <w:szCs w:val="14"/>
                <w:color w:val="auto"/>
              </w:rPr>
              <w:t>Net</w:t>
            </w:r>
          </w:p>
        </w:tc>
        <w:tc>
          <w:tcPr>
            <w:tcW w:w="64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8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Subscriber relationships</w:t>
            </w:r>
          </w:p>
        </w:tc>
        <w:tc>
          <w:tcPr>
            <w:tcW w:w="2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$26,524</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(10,445)</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$16,079</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$26,724</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(8,992)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2820" w:type="dxa"/>
            <w:vAlign w:val="bottom"/>
            <w:gridSpan w:val="3"/>
          </w:tcPr>
          <w:p>
            <w:pPr>
              <w:jc w:val="right"/>
              <w:ind w:right="120"/>
              <w:spacing w:after="0"/>
              <w:rPr>
                <w:sz w:val="20"/>
                <w:szCs w:val="20"/>
                <w:color w:val="auto"/>
              </w:rPr>
            </w:pPr>
            <w:r>
              <w:rPr>
                <w:rFonts w:ascii="Arial" w:cs="Arial" w:eastAsia="Arial" w:hAnsi="Arial"/>
                <w:sz w:val="18"/>
                <w:szCs w:val="18"/>
                <w:color w:val="auto"/>
              </w:rPr>
              <w:t>1,842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(1,621)</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221</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(1,581)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2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82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29,237</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(12,322)</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16,915</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29,495</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(10,644)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18,851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100" w:type="dxa"/>
            <w:vAlign w:val="bottom"/>
            <w:vMerge w:val="restart"/>
          </w:tcPr>
          <w:p>
            <w:pPr>
              <w:jc w:val="right"/>
              <w:ind w:right="130"/>
              <w:spacing w:after="0"/>
              <w:rPr>
                <w:sz w:val="20"/>
                <w:szCs w:val="20"/>
                <w:color w:val="auto"/>
              </w:rPr>
            </w:pPr>
            <w:r>
              <w:rPr>
                <w:rFonts w:ascii="Arial" w:cs="Arial" w:eastAsia="Arial" w:hAnsi="Arial"/>
                <w:sz w:val="18"/>
                <w:szCs w:val="18"/>
                <w:color w:val="auto"/>
              </w:rPr>
              <w:t>8</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684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8200" w:type="dxa"/>
            <w:vAlign w:val="bottom"/>
            <w:gridSpan w:val="3"/>
          </w:tcPr>
          <w:p>
            <w:pPr>
              <w:ind w:left="460"/>
              <w:spacing w:after="0"/>
              <w:rPr>
                <w:sz w:val="20"/>
                <w:szCs w:val="20"/>
                <w:color w:val="auto"/>
              </w:rPr>
            </w:pPr>
            <w:r>
              <w:rPr>
                <w:rFonts w:ascii="Arial" w:cs="Arial" w:eastAsia="Arial" w:hAnsi="Arial"/>
                <w:sz w:val="18"/>
                <w:szCs w:val="18"/>
                <w:color w:val="auto"/>
                <w:w w:val="99"/>
              </w:rPr>
              <w:t>At June 30, 2015, future amortization expense for intangible assets was as follows (in thousands):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480" w:type="dxa"/>
            <w:vAlign w:val="bottom"/>
            <w:vMerge w:val="restart"/>
          </w:tcPr>
          <w:p>
            <w:pPr>
              <w:spacing w:after="0"/>
              <w:rPr>
                <w:sz w:val="21"/>
                <w:szCs w:val="21"/>
                <w:color w:val="auto"/>
              </w:rPr>
            </w:pPr>
          </w:p>
        </w:tc>
        <w:tc>
          <w:tcPr>
            <w:tcW w:w="6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2016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2018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Thereafter</w:t>
            </w:r>
          </w:p>
        </w:tc>
        <w:tc>
          <w:tcPr>
            <w:tcW w:w="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Line of Credit</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have a revolving credit agreement with JPMorgan Chase Bank, N.A. which provides for a $20 million revolving credit facility that we may draw upon from time to time, subject to certain terms and conditions, and will mature on September 30, 2016.</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borrowings outstanding at June 30, 2015 and we were in compliance with all covenants under the revolving credit agreement as of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Stock-Based Compensation</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Our equity compensation plans provide for the grant of incentive and nonqualified stock options, as well as other stock-based awards including restricted stock and restricted stock units, to employees, non-employee directors and other consultants who provide services to us. Restricted stock awards result in the issuance of new shares when granted. For other stock-based awards, new shares are issued when the award is exercised, vested or released according to the terms of the agreement. In January 2015, 980,924 additional shares were reserved for future issuance under our 2010 Equity Incentive Plan. At June 30, 2015, there were approximately 3.3 million shares available for grant under approved equity compensation plans.</w:t>
      </w:r>
    </w:p>
    <w:p>
      <w:pPr>
        <w:spacing w:after="0" w:line="158"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We recorded stock-based compensation expense of $1.6 million and $3.1 million for the three and six months ended June 30, 2015 and $1.4 million and $2.7 million for the three and six months ended June 30, 2014, respectively. This expense was allocated as follows (in thousands):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6"/>
          </w:tcPr>
          <w:p>
            <w:pPr>
              <w:jc w:val="right"/>
              <w:ind w:right="280"/>
              <w:spacing w:after="0"/>
              <w:rPr>
                <w:sz w:val="20"/>
                <w:szCs w:val="20"/>
                <w:color w:val="auto"/>
              </w:rPr>
            </w:pPr>
            <w:r>
              <w:rPr>
                <w:rFonts w:ascii="Arial" w:cs="Arial" w:eastAsia="Arial" w:hAnsi="Arial"/>
                <w:sz w:val="14"/>
                <w:szCs w:val="14"/>
                <w:color w:val="auto"/>
                <w:w w:val="91"/>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5"/>
          </w:tcPr>
          <w:p>
            <w:pPr>
              <w:jc w:val="right"/>
              <w:ind w:right="260"/>
              <w:spacing w:after="0"/>
              <w:rPr>
                <w:sz w:val="20"/>
                <w:szCs w:val="20"/>
                <w:color w:val="auto"/>
              </w:rPr>
            </w:pPr>
            <w:r>
              <w:rPr>
                <w:rFonts w:ascii="Arial" w:cs="Arial" w:eastAsia="Arial" w:hAnsi="Arial"/>
                <w:sz w:val="14"/>
                <w:szCs w:val="14"/>
                <w:color w:val="auto"/>
                <w:w w:val="98"/>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June 30,</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June 30,</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w w:val="89"/>
              </w:rPr>
              <w:t>2015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2014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color w:val="auto"/>
                <w:w w:val="89"/>
              </w:rPr>
              <w:t>2015</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1,024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1,354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1,251</w:t>
            </w:r>
          </w:p>
        </w:tc>
        <w:tc>
          <w:tcPr>
            <w:tcW w:w="0" w:type="dxa"/>
            <w:vAlign w:val="bottom"/>
          </w:tcPr>
          <w:p>
            <w:pPr>
              <w:spacing w:after="0"/>
              <w:rPr>
                <w:sz w:val="1"/>
                <w:szCs w:val="1"/>
                <w:color w:val="auto"/>
              </w:rPr>
            </w:pPr>
          </w:p>
        </w:tc>
      </w:tr>
      <w:tr>
        <w:trPr>
          <w:trHeight w:val="20"/>
        </w:trPr>
        <w:tc>
          <w:tcPr>
            <w:tcW w:w="72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240" w:type="dxa"/>
            <w:vAlign w:val="bottom"/>
            <w:gridSpan w:val="2"/>
          </w:tcPr>
          <w:p>
            <w:pPr>
              <w:spacing w:after="0"/>
              <w:rPr>
                <w:sz w:val="20"/>
                <w:szCs w:val="20"/>
                <w:color w:val="auto"/>
              </w:rPr>
            </w:pPr>
            <w:r>
              <w:rPr>
                <w:rFonts w:ascii="Arial" w:cs="Arial" w:eastAsia="Arial" w:hAnsi="Arial"/>
                <w:sz w:val="18"/>
                <w:szCs w:val="18"/>
                <w:color w:val="auto"/>
              </w:rPr>
              <w:t>Total stock-based compensation expense</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1,647</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1,359</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3,146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2,698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At June 30, 2015, there was approximately $14.4 million of unrecognized stock-based compensation expense under our equity compensation plans, which is expected to be recognized on a straight line basis over a weighted average period of 2.9 years.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46"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Stock options generally vest over four years and have a contractual term of seven to ten years from the date of grant. Our stock option activity was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1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Options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Exercise Price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($/share)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0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1,085,463</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177,864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(157,569)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(12,683)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08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1,093,075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Of the total outstanding options at June 30, 2015, 719,418 were exercisable with a weighted average exercise price of $22.88 per share. The total outstanding options had a weighted average remaining contractual life of 5.1 years.</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weighted average fair value per share of options granted during the first six months of 2015 was $23.06 and this was estimated on the date of grant using the Black-Scholes option pricing model with the following weighted-average assumptions: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Dividend yield</w:t>
            </w:r>
          </w:p>
        </w:tc>
        <w:tc>
          <w:tcPr>
            <w:tcW w:w="36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Life (in years)</w:t>
            </w:r>
          </w:p>
        </w:tc>
        <w:tc>
          <w:tcPr>
            <w:tcW w:w="3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620" w:type="dxa"/>
            <w:vAlign w:val="bottom"/>
          </w:tcPr>
          <w:p>
            <w:pPr>
              <w:jc w:val="right"/>
              <w:spacing w:after="0"/>
              <w:rPr>
                <w:sz w:val="20"/>
                <w:szCs w:val="20"/>
                <w:color w:val="auto"/>
              </w:rPr>
            </w:pPr>
            <w:r>
              <w:rPr>
                <w:rFonts w:ascii="Arial" w:cs="Arial" w:eastAsia="Arial" w:hAnsi="Arial"/>
                <w:sz w:val="18"/>
                <w:szCs w:val="18"/>
                <w:color w:val="auto"/>
              </w:rPr>
              <w:t>1.36%-1.40%</w:t>
            </w:r>
          </w:p>
        </w:tc>
      </w:tr>
    </w:tbl>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discussed in Note J to our consolidated financial statements included in our Annual Report on Form 10-K for the year ended December 31, 2014, beginning in 2015, the volatility assumption used for the Black-Scholes option pricing model is now based solely on the historical volatility of our common stock. Previously, we estimated volatility based partially on the historical volatilities of the publicly traded shares of a selected peer group and partially on the historical volatility of our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Awards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Restricted stock units vest over four years and, upon vesting, the holder is entitled to receive shares of our common stock. With restricted stock awards, shares of our common stock are issued when the award is granted and the restrictions lapse over one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units activity was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640" w:type="dxa"/>
            <w:vAlign w:val="bottom"/>
            <w:gridSpan w:val="3"/>
          </w:tcPr>
          <w:p>
            <w:pPr>
              <w:jc w:val="center"/>
              <w:ind w:left="1694"/>
              <w:spacing w:after="0"/>
              <w:rPr>
                <w:sz w:val="20"/>
                <w:szCs w:val="20"/>
                <w:color w:val="auto"/>
              </w:rPr>
            </w:pPr>
            <w:r>
              <w:rPr>
                <w:rFonts w:ascii="Arial" w:cs="Arial" w:eastAsia="Arial" w:hAnsi="Arial"/>
                <w:sz w:val="14"/>
                <w:szCs w:val="14"/>
                <w:color w:val="auto"/>
                <w:w w:val="92"/>
              </w:rPr>
              <w:t>Restricted Stock</w:t>
            </w:r>
          </w:p>
        </w:tc>
        <w:tc>
          <w:tcPr>
            <w:tcW w:w="154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rPr>
              <w:t>Units</w:t>
            </w:r>
          </w:p>
        </w:tc>
        <w:tc>
          <w:tcPr>
            <w:tcW w:w="380" w:type="dxa"/>
            <w:vAlign w:val="bottom"/>
          </w:tcPr>
          <w:p>
            <w:pPr>
              <w:spacing w:after="0"/>
              <w:rPr>
                <w:sz w:val="12"/>
                <w:szCs w:val="12"/>
                <w:color w:val="auto"/>
              </w:rPr>
            </w:pPr>
          </w:p>
        </w:tc>
        <w:tc>
          <w:tcPr>
            <w:tcW w:w="11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Grant Date Fair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200" w:type="dxa"/>
            <w:vAlign w:val="bottom"/>
            <w:gridSpan w:val="2"/>
          </w:tcPr>
          <w:p>
            <w:pPr>
              <w:jc w:val="center"/>
              <w:ind w:left="2114"/>
              <w:spacing w:after="0"/>
              <w:rPr>
                <w:sz w:val="20"/>
                <w:szCs w:val="20"/>
                <w:color w:val="auto"/>
              </w:rPr>
            </w:pPr>
            <w:r>
              <w:rPr>
                <w:rFonts w:ascii="Arial" w:cs="Arial" w:eastAsia="Arial" w:hAnsi="Arial"/>
                <w:sz w:val="14"/>
                <w:szCs w:val="14"/>
                <w:color w:val="auto"/>
                <w:w w:val="93"/>
              </w:rPr>
              <w:t>(#)</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Value ($/share)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480" w:type="dxa"/>
            <w:vAlign w:val="bottom"/>
          </w:tcPr>
          <w:p>
            <w:pPr>
              <w:spacing w:after="0"/>
              <w:rPr>
                <w:sz w:val="7"/>
                <w:szCs w:val="7"/>
                <w:color w:val="auto"/>
              </w:rPr>
            </w:pPr>
          </w:p>
        </w:tc>
        <w:tc>
          <w:tcPr>
            <w:tcW w:w="224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115,133</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Granted</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66,454</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 and common stock issued</w:t>
            </w:r>
          </w:p>
        </w:tc>
        <w:tc>
          <w:tcPr>
            <w:tcW w:w="3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(37,537)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3640" w:type="dxa"/>
            <w:vAlign w:val="bottom"/>
            <w:gridSpan w:val="3"/>
          </w:tcPr>
          <w:p>
            <w:pPr>
              <w:jc w:val="right"/>
              <w:ind w:right="400"/>
              <w:spacing w:after="0"/>
              <w:rPr>
                <w:sz w:val="20"/>
                <w:szCs w:val="20"/>
                <w:color w:val="auto"/>
              </w:rPr>
            </w:pPr>
            <w:r>
              <w:rPr>
                <w:rFonts w:ascii="Arial" w:cs="Arial" w:eastAsia="Arial" w:hAnsi="Arial"/>
                <w:sz w:val="18"/>
                <w:szCs w:val="18"/>
                <w:color w:val="auto"/>
              </w:rPr>
              <w:t>(3,422)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480" w:type="dxa"/>
            <w:vAlign w:val="bottom"/>
          </w:tcPr>
          <w:p>
            <w:pPr>
              <w:spacing w:after="0"/>
              <w:rPr>
                <w:sz w:val="6"/>
                <w:szCs w:val="6"/>
                <w:color w:val="auto"/>
              </w:rPr>
            </w:pPr>
          </w:p>
        </w:tc>
        <w:tc>
          <w:tcPr>
            <w:tcW w:w="2240" w:type="dxa"/>
            <w:vAlign w:val="bottom"/>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2015</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140,628</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40" w:type="dxa"/>
            <w:vAlign w:val="bottom"/>
            <w:vMerge w:val="restart"/>
          </w:tcPr>
          <w:p>
            <w:pPr>
              <w:jc w:val="right"/>
              <w:ind w:right="1234"/>
              <w:spacing w:after="0"/>
              <w:rPr>
                <w:sz w:val="20"/>
                <w:szCs w:val="20"/>
                <w:color w:val="auto"/>
              </w:rPr>
            </w:pPr>
            <w:r>
              <w:rPr>
                <w:rFonts w:ascii="Arial" w:cs="Arial" w:eastAsia="Arial" w:hAnsi="Arial"/>
                <w:sz w:val="18"/>
                <w:szCs w:val="18"/>
                <w:color w:val="auto"/>
              </w:rPr>
              <w:t>10</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number of restricted stock units outstanding at June 30, 2015 included 12,487 units that have vested but for which shares of common stock have not yet been issued pursuant to the terms of the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awards activity was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920" w:type="dxa"/>
            <w:vAlign w:val="bottom"/>
            <w:gridSpan w:val="3"/>
          </w:tcPr>
          <w:p>
            <w:pPr>
              <w:jc w:val="center"/>
              <w:ind w:left="996"/>
              <w:spacing w:after="0"/>
              <w:rPr>
                <w:sz w:val="20"/>
                <w:szCs w:val="20"/>
                <w:color w:val="auto"/>
              </w:rPr>
            </w:pPr>
            <w:r>
              <w:rPr>
                <w:rFonts w:ascii="Arial" w:cs="Arial" w:eastAsia="Arial" w:hAnsi="Arial"/>
                <w:sz w:val="14"/>
                <w:szCs w:val="14"/>
                <w:color w:val="auto"/>
                <w:w w:val="94"/>
              </w:rPr>
              <w:t>Restricted Stock</w:t>
            </w:r>
          </w:p>
        </w:tc>
        <w:tc>
          <w:tcPr>
            <w:tcW w:w="1540" w:type="dxa"/>
            <w:vAlign w:val="bottom"/>
            <w:gridSpan w:val="4"/>
          </w:tcPr>
          <w:p>
            <w:pPr>
              <w:jc w:val="right"/>
              <w:ind w:right="100"/>
              <w:spacing w:after="0"/>
              <w:rPr>
                <w:sz w:val="20"/>
                <w:szCs w:val="20"/>
                <w:color w:val="auto"/>
              </w:rPr>
            </w:pPr>
            <w:r>
              <w:rPr>
                <w:rFonts w:ascii="Arial" w:cs="Arial" w:eastAsia="Arial" w:hAnsi="Arial"/>
                <w:sz w:val="14"/>
                <w:szCs w:val="14"/>
                <w:color w:val="auto"/>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Awards</w:t>
            </w:r>
          </w:p>
        </w:tc>
        <w:tc>
          <w:tcPr>
            <w:tcW w:w="380" w:type="dxa"/>
            <w:vAlign w:val="bottom"/>
          </w:tcPr>
          <w:p>
            <w:pPr>
              <w:spacing w:after="0"/>
              <w:rPr>
                <w:sz w:val="12"/>
                <w:szCs w:val="12"/>
                <w:color w:val="auto"/>
              </w:rPr>
            </w:pPr>
          </w:p>
        </w:tc>
        <w:tc>
          <w:tcPr>
            <w:tcW w:w="11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Grant Date Fair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480" w:type="dxa"/>
            <w:vAlign w:val="bottom"/>
            <w:gridSpan w:val="2"/>
          </w:tcPr>
          <w:p>
            <w:pPr>
              <w:jc w:val="center"/>
              <w:ind w:left="1436"/>
              <w:spacing w:after="0"/>
              <w:rPr>
                <w:sz w:val="20"/>
                <w:szCs w:val="20"/>
                <w:color w:val="auto"/>
              </w:rPr>
            </w:pPr>
            <w:r>
              <w:rPr>
                <w:rFonts w:ascii="Arial" w:cs="Arial" w:eastAsia="Arial" w:hAnsi="Arial"/>
                <w:sz w:val="14"/>
                <w:szCs w:val="14"/>
                <w:color w:val="auto"/>
                <w:w w:val="93"/>
              </w:rPr>
              <w:t>(#)</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w w:val="87"/>
              </w:rPr>
              <w:t>Value ($/share)</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2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Restricted common stock issued</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4,110</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2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(2,364)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52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2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2015</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employee stock purchase plan allows participating employees to purchase shares of our common stock at a discount through payroll deductions. The plan is available to all employees subject to certain eligibility requirements. Participating employees may purchase common stock, on a voluntary after tax basis, at a price that is the lower of 85% of the fair market value of one share of common stock at the beginning or end of each stock purchase period. The plan consists of two six-month offering periods, beginning on January 1 and July 1 of each calendar year. A total of 1.2 million shares of common stock are reserved for issuance under the plan.</w:t>
      </w:r>
    </w:p>
    <w:p>
      <w:pPr>
        <w:spacing w:after="0" w:line="188"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For the offering period that began on January 1, 2015 and ended June 30, 2015, we withheld approximately $748,000 from employees participating in the plan. On June 30, 2015, approximately $741,000 of these funds was used to purchase 15,398 shares on behalf of the employees participating in the plan. The remaining funds are expected to be refunded to employees pursuant to the requirements of the plan.</w:t>
      </w:r>
    </w:p>
    <w:p>
      <w:pPr>
        <w:spacing w:after="0" w:line="18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For the three and six months ended June 30, 2015, we recorded approximately $113,000 and $209,000, respectively, of stock-based compensation expense associated with the employee stock purchase plan. The fair value was estimated based on the market price of our common stock at the beginning of each offering period and using the Black-Scholes option pricing model with the following weighted-average assumptions: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Dividend yield</w:t>
            </w:r>
          </w:p>
        </w:tc>
        <w:tc>
          <w:tcPr>
            <w:tcW w:w="33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Life (in years)</w:t>
            </w:r>
          </w:p>
        </w:tc>
        <w:tc>
          <w:tcPr>
            <w:tcW w:w="3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0.50</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60" w:type="dxa"/>
            <w:vAlign w:val="bottom"/>
          </w:tcPr>
          <w:p>
            <w:pPr>
              <w:jc w:val="right"/>
              <w:spacing w:after="0"/>
              <w:rPr>
                <w:sz w:val="20"/>
                <w:szCs w:val="20"/>
                <w:color w:val="auto"/>
              </w:rPr>
            </w:pPr>
            <w:r>
              <w:rPr>
                <w:rFonts w:ascii="Arial" w:cs="Arial" w:eastAsia="Arial" w:hAnsi="Arial"/>
                <w:sz w:val="18"/>
                <w:szCs w:val="18"/>
                <w:color w:val="auto"/>
              </w:rPr>
              <w:t>0.12%</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Income Taxes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meals and entertainment expense and employee stock purchase plan expense.</w:t>
      </w:r>
    </w:p>
    <w:p>
      <w:pPr>
        <w:spacing w:after="0" w:line="181"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We recorded income tax expense of $356,000 and $617,000 for the three and six months ended June 30, 2015. We recorded income tax expense of $460,000 and $678,000 for the three and six months ended June 30, 2014. Our provisions for income taxes included current foreign and state income tax expense, as well as deferred tax expense.</w:t>
      </w:r>
    </w:p>
    <w:p>
      <w:pPr>
        <w:spacing w:after="0" w:line="18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We are subject to U.S federal income tax as well as income tax in various state and international jurisdictions. We are generally subject to tax examinations for all prior years due to our net operating loss carryforwards. As of June 30, 2015, we were not under any income tax audits by tax authorities.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As of June 30, 2015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Net Income Per Share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Basic net income per share has been computed using the weighted average number of shares of common stock outstanding during each period. Diluted net income per share also includes the impact of our outstanding potential common shares, including options and restricted stock units. Potential common shares that are anti-dilutive are excluded from the calculation of diluted net income per share.</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ind w:left="16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1720" w:type="dxa"/>
            <w:vAlign w:val="bottom"/>
            <w:gridSpan w:val="5"/>
          </w:tcPr>
          <w:p>
            <w:pPr>
              <w:jc w:val="right"/>
              <w:ind w:right="4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w w:val="89"/>
              </w:rPr>
              <w:t>June 30,</w:t>
            </w:r>
          </w:p>
        </w:tc>
        <w:tc>
          <w:tcPr>
            <w:tcW w:w="5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w w:val="89"/>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2015</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2014</w:t>
            </w: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2015</w:t>
            </w:r>
          </w:p>
        </w:tc>
        <w:tc>
          <w:tcPr>
            <w:tcW w:w="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651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639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1,237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5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 basic</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16,536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16,210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16,485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Options to purchase common stock</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700"/>
              <w:spacing w:after="0"/>
              <w:rPr>
                <w:sz w:val="20"/>
                <w:szCs w:val="20"/>
                <w:color w:val="auto"/>
              </w:rPr>
            </w:pPr>
            <w:r>
              <w:rPr>
                <w:rFonts w:ascii="Arial" w:cs="Arial" w:eastAsia="Arial" w:hAnsi="Arial"/>
                <w:sz w:val="18"/>
                <w:szCs w:val="18"/>
                <w:color w:val="auto"/>
              </w:rPr>
              <w:t>Restricted stock units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Employee stock purchase plan</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 diluted</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16,998</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7"/>
              </w:rPr>
              <w:t>16,768</w:t>
            </w: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17,043</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16,799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5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Basic</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effect of approximately 39,000 and 126,000 outstanding potential common shares was excluded from the calculation of diluted net income per share for the three and six months ended June 30, 2015 and 2014, respectively, as they were anti-dilutive.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a leading provider of cloud-based supply chain management solutions, providing network-proven integrations and comprehensive retail performance analytics to thousands of customers worldwide. We provide our solutions through the SPS Commerce platform, a cloud-based product suite that improves the way suppliers, retailers, distributors and other customers manage and fulfill orders. We derive the majority of our revenues from thousands of monthly recurring subscriptions from businesses that utilize our solutions.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the three months ended June 30, 2015, our revenues were $38.8 million, an increase of 25% from the comparable period in 2014, and represented our 58</w:t>
      </w:r>
      <w:r>
        <w:rPr>
          <w:rFonts w:ascii="Arial" w:cs="Arial" w:eastAsia="Arial" w:hAnsi="Arial"/>
          <w:sz w:val="15"/>
          <w:szCs w:val="15"/>
          <w:color w:val="auto"/>
        </w:rPr>
        <w:t>th</w:t>
      </w:r>
      <w:r>
        <w:rPr>
          <w:rFonts w:ascii="Arial" w:cs="Arial" w:eastAsia="Arial" w:hAnsi="Arial"/>
          <w:sz w:val="18"/>
          <w:szCs w:val="18"/>
          <w:color w:val="auto"/>
        </w:rPr>
        <w:t xml:space="preserve"> consecutive quarter of increased revenues. Total operating expenses increased 25% for the same period in 2015 from 2014. Similar results were experienced for the six months ended June 30, 2015 with increased revenues of 26% and increased operating expenses of 26% compared to the same period in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have several key financial terms and metrics, including annualized average recurring revenues per recurring revenue customer, which we also refer to as wallet share. During the six months ended June 30, 2015, there were no changes in the definitions of our key financial terms and metrics, which are discussed in more detail under the heading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our Annual Report on Form 10-K for the year ended December 31, 2014 as filed with the Securities and Exchange Commission on February 20, 2015.</w:t>
      </w:r>
    </w:p>
    <w:p>
      <w:pPr>
        <w:spacing w:after="0" w:line="154"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173"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U.S. generally accepted accounting principles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discussion of our financial condition and results of operations is based upon our condensed consolidated financial statements, which are prepared in accordance with GAAP. The preparation of these financial statements requires us to make estimates, judgments and assumptions that affect the reported amounts of assets, liabilities, revenues, costs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73"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we believe that our policies for revenue recognition, the allowance for doubtful accounts, income taxes, stock-based compensation and the valuation of goodwill and purchased intangible assets are the most critical to aid in fully understanding and evaluating our financial condition and results of operations.</w:t>
      </w:r>
    </w:p>
    <w:p>
      <w:pPr>
        <w:spacing w:after="0" w:line="154"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During the six months ended June 30, 2015, there were no changes in our significant accounting policies or estimates. See Note A to our consolidated financial statements included in this Quarterly Report on Form 10-Q and in our Annual Report on Form 10-K for the year ended December 31, 2014, as filed with the Securities and Exchange Commission on February 20, 2015, for additional information regarding our accounting policies.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results of operations for the periods indicated (dollars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8"/>
          </w:tcPr>
          <w:p>
            <w:pPr>
              <w:jc w:val="right"/>
              <w:ind w:right="208"/>
              <w:spacing w:after="0"/>
              <w:rPr>
                <w:sz w:val="20"/>
                <w:szCs w:val="20"/>
                <w:color w:val="auto"/>
              </w:rPr>
            </w:pPr>
            <w:r>
              <w:rPr>
                <w:rFonts w:ascii="Arial" w:cs="Arial" w:eastAsia="Arial" w:hAnsi="Arial"/>
                <w:sz w:val="14"/>
                <w:szCs w:val="14"/>
                <w:color w:val="auto"/>
                <w:w w:val="99"/>
              </w:rPr>
              <w:t>Three Months Ended June 30,</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vMerge w:val="restart"/>
          </w:tcPr>
          <w:p>
            <w:pPr>
              <w:jc w:val="right"/>
              <w:ind w:right="6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right"/>
              <w:ind w:right="472"/>
              <w:spacing w:after="0" w:line="142" w:lineRule="exact"/>
              <w:rPr>
                <w:sz w:val="20"/>
                <w:szCs w:val="20"/>
                <w:color w:val="auto"/>
              </w:rPr>
            </w:pPr>
            <w:r>
              <w:rPr>
                <w:rFonts w:ascii="Arial" w:cs="Arial" w:eastAsia="Arial" w:hAnsi="Arial"/>
                <w:sz w:val="14"/>
                <w:szCs w:val="14"/>
                <w:color w:val="auto"/>
              </w:rPr>
              <w:t>2015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2014</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 of revenue</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 of revenue</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6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8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$38,846</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080" w:type="dxa"/>
            <w:vAlign w:val="bottom"/>
            <w:gridSpan w:val="5"/>
            <w:shd w:val="clear" w:color="auto" w:fill="CCEEFF"/>
          </w:tcPr>
          <w:p>
            <w:pPr>
              <w:jc w:val="right"/>
              <w:ind w:right="328"/>
              <w:spacing w:after="0"/>
              <w:rPr>
                <w:sz w:val="20"/>
                <w:szCs w:val="20"/>
                <w:color w:val="auto"/>
              </w:rPr>
            </w:pPr>
            <w:r>
              <w:rPr>
                <w:rFonts w:ascii="Arial" w:cs="Arial" w:eastAsia="Arial" w:hAnsi="Arial"/>
                <w:sz w:val="18"/>
                <w:szCs w:val="18"/>
                <w:color w:val="auto"/>
              </w:rPr>
              <w:t>$31,100</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8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$7,746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Cost of revenues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w w:val="87"/>
              </w:rPr>
              <w:t>12,335</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28"/>
              <w:spacing w:after="0"/>
              <w:rPr>
                <w:sz w:val="20"/>
                <w:szCs w:val="20"/>
                <w:color w:val="auto"/>
              </w:rPr>
            </w:pPr>
            <w:r>
              <w:rPr>
                <w:rFonts w:ascii="Arial" w:cs="Arial" w:eastAsia="Arial" w:hAnsi="Arial"/>
                <w:sz w:val="18"/>
                <w:szCs w:val="18"/>
                <w:color w:val="auto"/>
              </w:rPr>
              <w:t>9,627</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31.0</w:t>
            </w:r>
          </w:p>
        </w:tc>
        <w:tc>
          <w:tcPr>
            <w:tcW w:w="800" w:type="dxa"/>
            <w:vAlign w:val="bottom"/>
            <w:gridSpan w:val="3"/>
          </w:tcPr>
          <w:p>
            <w:pPr>
              <w:jc w:val="right"/>
              <w:ind w:right="108"/>
              <w:spacing w:after="0"/>
              <w:rPr>
                <w:sz w:val="20"/>
                <w:szCs w:val="20"/>
                <w:color w:val="auto"/>
              </w:rPr>
            </w:pPr>
            <w:r>
              <w:rPr>
                <w:rFonts w:ascii="Arial" w:cs="Arial" w:eastAsia="Arial" w:hAnsi="Arial"/>
                <w:sz w:val="18"/>
                <w:szCs w:val="18"/>
                <w:color w:val="auto"/>
              </w:rPr>
              <w:t>2,708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6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26,511</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w w:val="87"/>
              </w:rPr>
              <w:t>21,473</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69.0</w:t>
            </w:r>
          </w:p>
        </w:tc>
        <w:tc>
          <w:tcPr>
            <w:tcW w:w="8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5,038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91"/>
        </w:trPr>
        <w:tc>
          <w:tcPr>
            <w:tcW w:w="46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14,101</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w w:val="87"/>
              </w:rPr>
              <w:t>11,570</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37.2</w:t>
            </w:r>
          </w:p>
        </w:tc>
        <w:tc>
          <w:tcPr>
            <w:tcW w:w="8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2,531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4,495</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28"/>
              <w:spacing w:after="0"/>
              <w:rPr>
                <w:sz w:val="20"/>
                <w:szCs w:val="20"/>
                <w:color w:val="auto"/>
              </w:rPr>
            </w:pPr>
            <w:r>
              <w:rPr>
                <w:rFonts w:ascii="Arial" w:cs="Arial" w:eastAsia="Arial" w:hAnsi="Arial"/>
                <w:sz w:val="18"/>
                <w:szCs w:val="18"/>
                <w:color w:val="auto"/>
              </w:rPr>
              <w:t>3,365</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10.8</w:t>
            </w:r>
          </w:p>
        </w:tc>
        <w:tc>
          <w:tcPr>
            <w:tcW w:w="800" w:type="dxa"/>
            <w:vAlign w:val="bottom"/>
            <w:gridSpan w:val="3"/>
          </w:tcPr>
          <w:p>
            <w:pPr>
              <w:jc w:val="right"/>
              <w:ind w:right="108"/>
              <w:spacing w:after="0"/>
              <w:rPr>
                <w:sz w:val="20"/>
                <w:szCs w:val="20"/>
                <w:color w:val="auto"/>
              </w:rPr>
            </w:pPr>
            <w:r>
              <w:rPr>
                <w:rFonts w:ascii="Arial" w:cs="Arial" w:eastAsia="Arial" w:hAnsi="Arial"/>
                <w:sz w:val="18"/>
                <w:szCs w:val="18"/>
                <w:color w:val="auto"/>
              </w:rPr>
              <w:t>1,130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6,055</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4,842</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8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1,213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833</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28"/>
              <w:spacing w:after="0"/>
              <w:rPr>
                <w:sz w:val="20"/>
                <w:szCs w:val="20"/>
                <w:color w:val="auto"/>
              </w:rPr>
            </w:pPr>
            <w:r>
              <w:rPr>
                <w:rFonts w:ascii="Arial" w:cs="Arial" w:eastAsia="Arial" w:hAnsi="Arial"/>
                <w:sz w:val="18"/>
                <w:szCs w:val="18"/>
                <w:color w:val="auto"/>
              </w:rPr>
              <w:t>682</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2.2</w:t>
            </w:r>
          </w:p>
        </w:tc>
        <w:tc>
          <w:tcPr>
            <w:tcW w:w="800" w:type="dxa"/>
            <w:vAlign w:val="bottom"/>
            <w:gridSpan w:val="3"/>
          </w:tcPr>
          <w:p>
            <w:pPr>
              <w:jc w:val="right"/>
              <w:ind w:right="108"/>
              <w:spacing w:after="0"/>
              <w:rPr>
                <w:sz w:val="20"/>
                <w:szCs w:val="20"/>
                <w:color w:val="auto"/>
              </w:rPr>
            </w:pPr>
            <w:r>
              <w:rPr>
                <w:rFonts w:ascii="Arial" w:cs="Arial" w:eastAsia="Arial" w:hAnsi="Arial"/>
                <w:sz w:val="18"/>
                <w:szCs w:val="18"/>
                <w:color w:val="auto"/>
              </w:rPr>
              <w:t>151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6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25,484</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65.6</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20,459</w:t>
            </w:r>
          </w:p>
        </w:tc>
        <w:tc>
          <w:tcPr>
            <w:tcW w:w="4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65.8</w:t>
            </w:r>
          </w:p>
        </w:tc>
        <w:tc>
          <w:tcPr>
            <w:tcW w:w="8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5,025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640" w:type="dxa"/>
            <w:vAlign w:val="bottom"/>
          </w:tcPr>
          <w:p>
            <w:pPr>
              <w:ind w:left="700"/>
              <w:spacing w:after="0"/>
              <w:rPr>
                <w:sz w:val="20"/>
                <w:szCs w:val="20"/>
                <w:color w:val="auto"/>
              </w:rPr>
            </w:pPr>
            <w:r>
              <w:rPr>
                <w:rFonts w:ascii="Arial" w:cs="Arial" w:eastAsia="Arial" w:hAnsi="Arial"/>
                <w:sz w:val="18"/>
                <w:szCs w:val="18"/>
                <w:color w:val="auto"/>
              </w:rPr>
              <w:t>Income from operations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1,027</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right"/>
              <w:ind w:right="328"/>
              <w:spacing w:after="0"/>
              <w:rPr>
                <w:sz w:val="20"/>
                <w:szCs w:val="20"/>
                <w:color w:val="auto"/>
              </w:rPr>
            </w:pPr>
            <w:r>
              <w:rPr>
                <w:rFonts w:ascii="Arial" w:cs="Arial" w:eastAsia="Arial" w:hAnsi="Arial"/>
                <w:sz w:val="18"/>
                <w:szCs w:val="18"/>
                <w:color w:val="auto"/>
              </w:rPr>
              <w:t>1,014</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3.3</w:t>
            </w:r>
          </w:p>
        </w:tc>
        <w:tc>
          <w:tcPr>
            <w:tcW w:w="800" w:type="dxa"/>
            <w:vAlign w:val="bottom"/>
            <w:gridSpan w:val="3"/>
          </w:tcPr>
          <w:p>
            <w:pPr>
              <w:jc w:val="right"/>
              <w:ind w:right="108"/>
              <w:spacing w:after="0"/>
              <w:rPr>
                <w:sz w:val="20"/>
                <w:szCs w:val="20"/>
                <w:color w:val="auto"/>
              </w:rPr>
            </w:pPr>
            <w:r>
              <w:rPr>
                <w:rFonts w:ascii="Arial" w:cs="Arial" w:eastAsia="Arial" w:hAnsi="Arial"/>
                <w:sz w:val="18"/>
                <w:szCs w:val="18"/>
                <w:color w:val="auto"/>
              </w:rPr>
              <w:t>13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6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37</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328"/>
              <w:spacing w:after="0"/>
              <w:rPr>
                <w:sz w:val="20"/>
                <w:szCs w:val="20"/>
                <w:color w:val="auto"/>
              </w:rPr>
            </w:pPr>
            <w:r>
              <w:rPr>
                <w:rFonts w:ascii="Arial" w:cs="Arial" w:eastAsia="Arial" w:hAnsi="Arial"/>
                <w:sz w:val="18"/>
                <w:szCs w:val="18"/>
                <w:color w:val="auto"/>
              </w:rPr>
              <w:t>50</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0.2</w:t>
            </w:r>
          </w:p>
        </w:tc>
        <w:tc>
          <w:tcPr>
            <w:tcW w:w="800" w:type="dxa"/>
            <w:vAlign w:val="bottom"/>
            <w:gridSpan w:val="3"/>
          </w:tcPr>
          <w:p>
            <w:pPr>
              <w:jc w:val="right"/>
              <w:ind w:right="48"/>
              <w:spacing w:after="0"/>
              <w:rPr>
                <w:sz w:val="20"/>
                <w:szCs w:val="20"/>
                <w:color w:val="auto"/>
              </w:rPr>
            </w:pPr>
            <w:r>
              <w:rPr>
                <w:rFonts w:ascii="Arial" w:cs="Arial" w:eastAsia="Arial" w:hAnsi="Arial"/>
                <w:sz w:val="18"/>
                <w:szCs w:val="18"/>
                <w:color w:val="auto"/>
              </w:rPr>
              <w:t>(13)</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35</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8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92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64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right"/>
              <w:ind w:right="328"/>
              <w:spacing w:after="0"/>
              <w:rPr>
                <w:sz w:val="20"/>
                <w:szCs w:val="20"/>
                <w:color w:val="auto"/>
              </w:rPr>
            </w:pPr>
            <w:r>
              <w:rPr>
                <w:rFonts w:ascii="Arial" w:cs="Arial" w:eastAsia="Arial" w:hAnsi="Arial"/>
                <w:sz w:val="18"/>
                <w:szCs w:val="18"/>
                <w:color w:val="auto"/>
              </w:rPr>
              <w:t>85</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0.3</w:t>
            </w:r>
          </w:p>
        </w:tc>
        <w:tc>
          <w:tcPr>
            <w:tcW w:w="800" w:type="dxa"/>
            <w:vAlign w:val="bottom"/>
            <w:gridSpan w:val="3"/>
          </w:tcPr>
          <w:p>
            <w:pPr>
              <w:jc w:val="right"/>
              <w:ind w:right="108"/>
              <w:spacing w:after="0"/>
              <w:rPr>
                <w:sz w:val="20"/>
                <w:szCs w:val="20"/>
                <w:color w:val="auto"/>
              </w:rPr>
            </w:pPr>
            <w:r>
              <w:rPr>
                <w:rFonts w:ascii="Arial" w:cs="Arial" w:eastAsia="Arial" w:hAnsi="Arial"/>
                <w:sz w:val="18"/>
                <w:szCs w:val="18"/>
                <w:color w:val="auto"/>
              </w:rPr>
              <w:t>105</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1,007</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1,099</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8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(92)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(356)</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right"/>
              <w:ind w:right="268"/>
              <w:spacing w:after="0"/>
              <w:rPr>
                <w:sz w:val="20"/>
                <w:szCs w:val="20"/>
                <w:color w:val="auto"/>
              </w:rPr>
            </w:pPr>
            <w:r>
              <w:rPr>
                <w:rFonts w:ascii="Arial" w:cs="Arial" w:eastAsia="Arial" w:hAnsi="Arial"/>
                <w:sz w:val="18"/>
                <w:szCs w:val="18"/>
                <w:color w:val="auto"/>
              </w:rPr>
              <w:t>(460)</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800" w:type="dxa"/>
            <w:vAlign w:val="bottom"/>
            <w:gridSpan w:val="3"/>
          </w:tcPr>
          <w:p>
            <w:pPr>
              <w:jc w:val="right"/>
              <w:ind w:right="48"/>
              <w:spacing w:after="0"/>
              <w:rPr>
                <w:sz w:val="20"/>
                <w:szCs w:val="20"/>
                <w:color w:val="auto"/>
              </w:rPr>
            </w:pPr>
            <w:r>
              <w:rPr>
                <w:rFonts w:ascii="Arial" w:cs="Arial" w:eastAsia="Arial" w:hAnsi="Arial"/>
                <w:sz w:val="18"/>
                <w:szCs w:val="18"/>
                <w:color w:val="auto"/>
              </w:rPr>
              <w:t>(104)</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4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8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8"/>
          </w:tcPr>
          <w:p>
            <w:pPr>
              <w:jc w:val="right"/>
              <w:ind w:right="368"/>
              <w:spacing w:after="0"/>
              <w:rPr>
                <w:sz w:val="20"/>
                <w:szCs w:val="20"/>
                <w:color w:val="auto"/>
              </w:rPr>
            </w:pPr>
            <w:r>
              <w:rPr>
                <w:rFonts w:ascii="Arial" w:cs="Arial" w:eastAsia="Arial" w:hAnsi="Arial"/>
                <w:sz w:val="14"/>
                <w:szCs w:val="14"/>
                <w:color w:val="auto"/>
              </w:rPr>
              <w:t>Six Months Ended June 30,</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3"/>
            <w:vMerge w:val="restart"/>
          </w:tcPr>
          <w:p>
            <w:pPr>
              <w:jc w:val="right"/>
              <w:ind w:right="64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right"/>
              <w:ind w:right="552"/>
              <w:spacing w:after="0" w:line="142" w:lineRule="exact"/>
              <w:rPr>
                <w:sz w:val="20"/>
                <w:szCs w:val="20"/>
                <w:color w:val="auto"/>
              </w:rPr>
            </w:pPr>
            <w:r>
              <w:rPr>
                <w:rFonts w:ascii="Arial" w:cs="Arial" w:eastAsia="Arial" w:hAnsi="Arial"/>
                <w:sz w:val="14"/>
                <w:szCs w:val="14"/>
                <w:color w:val="auto"/>
              </w:rPr>
              <w:t>2015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right"/>
              <w:ind w:right="88"/>
              <w:spacing w:after="0" w:line="142" w:lineRule="exact"/>
              <w:rPr>
                <w:sz w:val="20"/>
                <w:szCs w:val="20"/>
                <w:color w:val="auto"/>
              </w:rPr>
            </w:pPr>
            <w:r>
              <w:rPr>
                <w:rFonts w:ascii="Arial" w:cs="Arial" w:eastAsia="Arial" w:hAnsi="Arial"/>
                <w:sz w:val="14"/>
                <w:szCs w:val="14"/>
                <w:color w:val="auto"/>
              </w:rPr>
              <w:t>2014</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 of revenue</w:t>
            </w:r>
          </w:p>
        </w:tc>
        <w:tc>
          <w:tcPr>
            <w:tcW w:w="300" w:type="dxa"/>
            <w:vAlign w:val="bottom"/>
            <w:gridSpan w:val="2"/>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 of revenue</w:t>
            </w:r>
          </w:p>
        </w:tc>
        <w:tc>
          <w:tcPr>
            <w:tcW w:w="2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Borders>
              <w:top w:val="single" w:sz="8" w:color="auto"/>
            </w:tcBorders>
            <w:gridSpan w:val="2"/>
          </w:tcPr>
          <w:p>
            <w:pPr>
              <w:jc w:val="right"/>
              <w:ind w:right="36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46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600" w:type="dxa"/>
            <w:vAlign w:val="bottom"/>
            <w:gridSpan w:val="3"/>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gridSpan w:val="2"/>
          </w:tcPr>
          <w:p>
            <w:pPr>
              <w:spacing w:after="0"/>
              <w:rPr>
                <w:sz w:val="6"/>
                <w:szCs w:val="6"/>
                <w:color w:val="auto"/>
              </w:rPr>
            </w:pPr>
          </w:p>
        </w:tc>
        <w:tc>
          <w:tcPr>
            <w:tcW w:w="580" w:type="dxa"/>
            <w:vAlign w:val="bottom"/>
            <w:gridSpan w:val="3"/>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2"/>
          </w:tcPr>
          <w:p>
            <w:pPr>
              <w:spacing w:after="0"/>
              <w:rPr>
                <w:sz w:val="6"/>
                <w:szCs w:val="6"/>
                <w:color w:val="auto"/>
              </w:rPr>
            </w:pPr>
          </w:p>
        </w:tc>
        <w:tc>
          <w:tcPr>
            <w:tcW w:w="7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$75,816</w:t>
            </w: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86"/>
              </w:rPr>
              <w:t>$60,039</w:t>
            </w:r>
          </w:p>
        </w:tc>
        <w:tc>
          <w:tcPr>
            <w:tcW w:w="4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8"/>
              </w:rPr>
              <w:t>100.0%</w:t>
            </w:r>
          </w:p>
        </w:tc>
        <w:tc>
          <w:tcPr>
            <w:tcW w:w="8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w w:val="92"/>
              </w:rPr>
              <w:t>$15,777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Cost of revenues</w:t>
            </w:r>
          </w:p>
        </w:tc>
        <w:tc>
          <w:tcPr>
            <w:tcW w:w="2200" w:type="dxa"/>
            <w:vAlign w:val="bottom"/>
            <w:gridSpan w:val="5"/>
          </w:tcPr>
          <w:p>
            <w:pPr>
              <w:jc w:val="right"/>
              <w:ind w:right="100"/>
              <w:spacing w:after="0"/>
              <w:rPr>
                <w:sz w:val="20"/>
                <w:szCs w:val="20"/>
                <w:color w:val="auto"/>
              </w:rPr>
            </w:pPr>
            <w:r>
              <w:rPr>
                <w:rFonts w:ascii="Arial" w:cs="Arial" w:eastAsia="Arial" w:hAnsi="Arial"/>
                <w:sz w:val="18"/>
                <w:szCs w:val="18"/>
                <w:color w:val="auto"/>
              </w:rPr>
              <w:t>23,907</w:t>
            </w: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8"/>
                <w:szCs w:val="18"/>
                <w:color w:val="auto"/>
              </w:rPr>
            </w:pPr>
          </w:p>
        </w:tc>
        <w:tc>
          <w:tcPr>
            <w:tcW w:w="680" w:type="dxa"/>
            <w:vAlign w:val="bottom"/>
            <w:gridSpan w:val="4"/>
          </w:tcPr>
          <w:p>
            <w:pPr>
              <w:jc w:val="right"/>
              <w:ind w:right="100"/>
              <w:spacing w:after="0"/>
              <w:rPr>
                <w:sz w:val="20"/>
                <w:szCs w:val="20"/>
                <w:color w:val="auto"/>
              </w:rPr>
            </w:pPr>
            <w:r>
              <w:rPr>
                <w:rFonts w:ascii="Arial" w:cs="Arial" w:eastAsia="Arial" w:hAnsi="Arial"/>
                <w:sz w:val="18"/>
                <w:szCs w:val="18"/>
                <w:color w:val="auto"/>
              </w:rPr>
              <w:t>18,882</w:t>
            </w:r>
          </w:p>
        </w:tc>
        <w:tc>
          <w:tcPr>
            <w:tcW w:w="4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8"/>
                <w:szCs w:val="18"/>
                <w:color w:val="auto"/>
              </w:rPr>
            </w:pPr>
          </w:p>
        </w:tc>
        <w:tc>
          <w:tcPr>
            <w:tcW w:w="800" w:type="dxa"/>
            <w:vAlign w:val="bottom"/>
            <w:gridSpan w:val="3"/>
          </w:tcPr>
          <w:p>
            <w:pPr>
              <w:jc w:val="right"/>
              <w:ind w:right="108"/>
              <w:spacing w:after="0"/>
              <w:rPr>
                <w:sz w:val="20"/>
                <w:szCs w:val="20"/>
                <w:color w:val="auto"/>
              </w:rPr>
            </w:pPr>
            <w:r>
              <w:rPr>
                <w:rFonts w:ascii="Arial" w:cs="Arial" w:eastAsia="Arial" w:hAnsi="Arial"/>
                <w:sz w:val="18"/>
                <w:szCs w:val="18"/>
                <w:color w:val="auto"/>
              </w:rPr>
              <w:t>5,025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6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2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51,909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68.5</w:t>
            </w:r>
          </w:p>
        </w:tc>
        <w:tc>
          <w:tcPr>
            <w:tcW w:w="2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41,157</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10,752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91"/>
        </w:trPr>
        <w:tc>
          <w:tcPr>
            <w:tcW w:w="46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22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27,845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36.7</w:t>
            </w:r>
          </w:p>
        </w:tc>
        <w:tc>
          <w:tcPr>
            <w:tcW w:w="2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22,454</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5,391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8,564</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6,339</w:t>
            </w:r>
          </w:p>
        </w:tc>
        <w:tc>
          <w:tcPr>
            <w:tcW w:w="4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800" w:type="dxa"/>
            <w:vAlign w:val="bottom"/>
            <w:gridSpan w:val="3"/>
          </w:tcPr>
          <w:p>
            <w:pPr>
              <w:jc w:val="right"/>
              <w:ind w:right="108"/>
              <w:spacing w:after="0"/>
              <w:rPr>
                <w:sz w:val="20"/>
                <w:szCs w:val="20"/>
                <w:color w:val="auto"/>
              </w:rPr>
            </w:pPr>
            <w:r>
              <w:rPr>
                <w:rFonts w:ascii="Arial" w:cs="Arial" w:eastAsia="Arial" w:hAnsi="Arial"/>
                <w:sz w:val="18"/>
                <w:szCs w:val="18"/>
                <w:color w:val="auto"/>
              </w:rPr>
              <w:t>2,225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11,873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9,353</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2,520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1,678</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1,399</w:t>
            </w:r>
          </w:p>
        </w:tc>
        <w:tc>
          <w:tcPr>
            <w:tcW w:w="4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800" w:type="dxa"/>
            <w:vAlign w:val="bottom"/>
            <w:gridSpan w:val="3"/>
          </w:tcPr>
          <w:p>
            <w:pPr>
              <w:jc w:val="right"/>
              <w:ind w:right="108"/>
              <w:spacing w:after="0"/>
              <w:rPr>
                <w:sz w:val="20"/>
                <w:szCs w:val="20"/>
                <w:color w:val="auto"/>
              </w:rPr>
            </w:pPr>
            <w:r>
              <w:rPr>
                <w:rFonts w:ascii="Arial" w:cs="Arial" w:eastAsia="Arial" w:hAnsi="Arial"/>
                <w:sz w:val="18"/>
                <w:szCs w:val="18"/>
                <w:color w:val="auto"/>
              </w:rPr>
              <w:t>279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6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5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49,960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65.9</w:t>
            </w:r>
          </w:p>
        </w:tc>
        <w:tc>
          <w:tcPr>
            <w:tcW w:w="2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39,545</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10,415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40" w:type="dxa"/>
            <w:vAlign w:val="bottom"/>
          </w:tcPr>
          <w:p>
            <w:pPr>
              <w:ind w:left="700"/>
              <w:spacing w:after="0"/>
              <w:rPr>
                <w:sz w:val="20"/>
                <w:szCs w:val="20"/>
                <w:color w:val="auto"/>
              </w:rPr>
            </w:pPr>
            <w:r>
              <w:rPr>
                <w:rFonts w:ascii="Arial" w:cs="Arial" w:eastAsia="Arial" w:hAnsi="Arial"/>
                <w:sz w:val="18"/>
                <w:szCs w:val="18"/>
                <w:color w:val="auto"/>
              </w:rPr>
              <w:t>Income from operations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1,949</w:t>
            </w: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1,612</w:t>
            </w:r>
          </w:p>
        </w:tc>
        <w:tc>
          <w:tcPr>
            <w:tcW w:w="4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4"/>
                <w:szCs w:val="24"/>
                <w:color w:val="auto"/>
              </w:rPr>
            </w:pPr>
          </w:p>
        </w:tc>
        <w:tc>
          <w:tcPr>
            <w:tcW w:w="800" w:type="dxa"/>
            <w:vAlign w:val="bottom"/>
            <w:gridSpan w:val="3"/>
          </w:tcPr>
          <w:p>
            <w:pPr>
              <w:jc w:val="right"/>
              <w:ind w:right="108"/>
              <w:spacing w:after="0"/>
              <w:rPr>
                <w:sz w:val="20"/>
                <w:szCs w:val="20"/>
                <w:color w:val="auto"/>
              </w:rPr>
            </w:pPr>
            <w:r>
              <w:rPr>
                <w:rFonts w:ascii="Arial" w:cs="Arial" w:eastAsia="Arial" w:hAnsi="Arial"/>
                <w:sz w:val="18"/>
                <w:szCs w:val="18"/>
                <w:color w:val="auto"/>
              </w:rPr>
              <w:t>337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6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4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800" w:type="dxa"/>
            <w:vAlign w:val="bottom"/>
            <w:gridSpan w:val="3"/>
          </w:tcPr>
          <w:p>
            <w:pPr>
              <w:jc w:val="right"/>
              <w:ind w:right="48"/>
              <w:spacing w:after="0"/>
              <w:rPr>
                <w:sz w:val="20"/>
                <w:szCs w:val="20"/>
                <w:color w:val="auto"/>
              </w:rPr>
            </w:pPr>
            <w:r>
              <w:rPr>
                <w:rFonts w:ascii="Arial" w:cs="Arial" w:eastAsia="Arial" w:hAnsi="Arial"/>
                <w:sz w:val="18"/>
                <w:szCs w:val="18"/>
                <w:color w:val="auto"/>
              </w:rPr>
              <w:t>(25)</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(148)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640" w:type="dxa"/>
            <w:vAlign w:val="bottom"/>
          </w:tcPr>
          <w:p>
            <w:pPr>
              <w:ind w:left="700"/>
              <w:spacing w:after="0"/>
              <w:rPr>
                <w:sz w:val="20"/>
                <w:szCs w:val="20"/>
                <w:color w:val="auto"/>
              </w:rPr>
            </w:pPr>
            <w:r>
              <w:rPr>
                <w:rFonts w:ascii="Arial" w:cs="Arial" w:eastAsia="Arial" w:hAnsi="Arial"/>
                <w:sz w:val="18"/>
                <w:szCs w:val="18"/>
                <w:color w:val="auto"/>
              </w:rPr>
              <w:t>Total other income (expense), net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24"/>
                <w:szCs w:val="2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24"/>
                <w:szCs w:val="24"/>
                <w:color w:val="auto"/>
              </w:rPr>
            </w:pPr>
          </w:p>
        </w:tc>
        <w:tc>
          <w:tcPr>
            <w:tcW w:w="800" w:type="dxa"/>
            <w:vAlign w:val="bottom"/>
            <w:gridSpan w:val="3"/>
          </w:tcPr>
          <w:p>
            <w:pPr>
              <w:jc w:val="right"/>
              <w:ind w:right="48"/>
              <w:spacing w:after="0"/>
              <w:rPr>
                <w:sz w:val="20"/>
                <w:szCs w:val="20"/>
                <w:color w:val="auto"/>
              </w:rPr>
            </w:pPr>
            <w:r>
              <w:rPr>
                <w:rFonts w:ascii="Arial" w:cs="Arial" w:eastAsia="Arial" w:hAnsi="Arial"/>
                <w:sz w:val="18"/>
                <w:szCs w:val="18"/>
                <w:color w:val="auto"/>
              </w:rPr>
              <w:t>(173)</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1,854</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1,690</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164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(678)</w:t>
            </w:r>
          </w:p>
        </w:tc>
        <w:tc>
          <w:tcPr>
            <w:tcW w:w="40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4"/>
                <w:szCs w:val="24"/>
                <w:color w:val="auto"/>
              </w:rPr>
            </w:pPr>
          </w:p>
        </w:tc>
        <w:tc>
          <w:tcPr>
            <w:tcW w:w="800" w:type="dxa"/>
            <w:vAlign w:val="bottom"/>
            <w:gridSpan w:val="3"/>
          </w:tcPr>
          <w:p>
            <w:pPr>
              <w:jc w:val="right"/>
              <w:ind w:right="108"/>
              <w:spacing w:after="0"/>
              <w:rPr>
                <w:sz w:val="20"/>
                <w:szCs w:val="20"/>
                <w:color w:val="auto"/>
              </w:rPr>
            </w:pPr>
            <w:r>
              <w:rPr>
                <w:rFonts w:ascii="Arial" w:cs="Arial" w:eastAsia="Arial" w:hAnsi="Arial"/>
                <w:sz w:val="18"/>
                <w:szCs w:val="18"/>
                <w:color w:val="auto"/>
              </w:rPr>
              <w:t>61</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6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1,237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1,012</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225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Due to rounding, totals may not equal the sum of the line items in the table above.</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June 30, 2015 compared to Three and Six Months Ended June 30, 2014</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for the three months ended June 30, 2015 increased $7.7 million, or 25%, to $38.8 million from $31.1 million for the same period</w:t>
      </w:r>
      <w:r>
        <w:rPr>
          <w:rFonts w:ascii="Arial" w:cs="Arial" w:eastAsia="Arial" w:hAnsi="Arial"/>
          <w:sz w:val="17"/>
          <w:szCs w:val="17"/>
          <w:i w:val="1"/>
          <w:iCs w:val="1"/>
          <w:color w:val="auto"/>
        </w:rPr>
        <w:t xml:space="preserve"> </w:t>
      </w:r>
      <w:r>
        <w:rPr>
          <w:rFonts w:ascii="Arial" w:cs="Arial" w:eastAsia="Arial" w:hAnsi="Arial"/>
          <w:sz w:val="17"/>
          <w:szCs w:val="17"/>
          <w:color w:val="auto"/>
        </w:rPr>
        <w:t>in 2014. Revenues for the six months ended June 30, 2015 increased $15.8 million, or 26%, to $75.8 million from $60.0 million for the same period in 2014. The increase in revenues for each period resulted from two primary factors: the increase in recurring revenue customers and the increase in annualized average recurring revenues per recurring revenue customer, which we also refer to as wallet share.</w:t>
      </w:r>
    </w:p>
    <w:p>
      <w:pPr>
        <w:spacing w:after="0" w:line="77"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10% to 22,746 at June 30, 2015 from 20,745 at June 30, 2014.</w:t>
      </w:r>
    </w:p>
    <w:p>
      <w:pPr>
        <w:spacing w:after="0" w:line="130" w:lineRule="exact"/>
        <w:rPr>
          <w:rFonts w:ascii="Arial" w:cs="Arial" w:eastAsia="Arial" w:hAnsi="Arial"/>
          <w:sz w:val="18"/>
          <w:szCs w:val="18"/>
          <w:color w:val="auto"/>
        </w:rPr>
      </w:pPr>
    </w:p>
    <w:p>
      <w:pPr>
        <w:ind w:left="900" w:right="200" w:hanging="446"/>
        <w:spacing w:after="0" w:line="286"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Annualized average recurring revenues per recurring revenue customer, or wallet share, increased 14% to $6,225 for the three months ended June 30, 2015 from $5,467 for the same period in 2014. This increase in wallet share was primarily attributable to increased fees resulting from increased usage of our solutions by our recurring revenue customers and growth in larger customers.</w:t>
      </w:r>
    </w:p>
    <w:p>
      <w:pPr>
        <w:spacing w:after="0" w:line="166"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Recurring revenues from recurring revenue customers accounted for 91% and 90% of our total revenues, respectively, for each of the three and six months ended June 30, 2015, compared to 90% for each of the same periods in 2014. We anticipate that the number of recurring revenue customers and wallet share will continue to increase as we increase the number of solutions we offer and increase the penetration of those solutions across our customer base.</w:t>
      </w:r>
    </w:p>
    <w:p>
      <w:pPr>
        <w:spacing w:after="0" w:line="14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for the three months ended June 30, 2015 increased $2.7 million, or 28%, to $12.3 million from $9.6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2014. Cost of revenues for the six months ended June 30, 2015 increased $5.0 million, or 27%, to $23.9 million from $18.9 million for the same period in 2014. The increase in cost of revenues for the each of the three and six month periods in 2015 was primarily due to increased headcount in 2015, which resulted in higher personnel-related costs of approximately $2.4 million and $4.5 million, respectively, compared to the same periods in 2014. As a percentage of revenues, cost of revenues was 32% for the three and six months ended June 30, 2015, and 31% for the three and six months ended June 30, 2014. Going forward, we anticipate that cost of revenues will increase in absolute dollars as we continue to expand our business.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Sales and marketing expenses for the three months ended June 30, 2015 increased $2.5 million, or 22%, to</w:t>
      </w:r>
    </w:p>
    <w:p>
      <w:pPr>
        <w:spacing w:after="0" w:line="3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$14.1 million from $11.6 million for the same period in 2014. Sales and marketing expenses for the six months ended June 30, 2015 increased $5.4 million, or 24%, to $27.8 million from $22.5 million for the same period in 2014. The increase in sales and marketing expenses for the each of the three and six month periods in 2015 was due to increased headcount in 2015, which resulted in higher personnel-related costs of approximately $1.5 million and $3.3 million, respectively, as well as increased variable compensation of approximately $400,000 and $1.1 million, respectively, earned by sales personnel and referral partners from new business compared to the same periods in 2014. As a percentage of revenues, sales and marketing expenses were 36% and 37% for the three and six months ended June 30, 2015, respectively, compared to 37% for the same periods in 2014. As we expand our business, we will continue to add resources to our sales and marketing efforts over time, and we expect that these expenses will continue to increase in absolute dollars.</w:t>
      </w:r>
    </w:p>
    <w:p>
      <w:pPr>
        <w:spacing w:after="0" w:line="16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for the three months ended June 30, 2015 increased $1.1 million, or 34%, to</w:t>
      </w:r>
      <w:r>
        <w:rPr>
          <w:rFonts w:ascii="Arial" w:cs="Arial" w:eastAsia="Arial" w:hAnsi="Arial"/>
          <w:sz w:val="17"/>
          <w:szCs w:val="17"/>
          <w:i w:val="1"/>
          <w:iCs w:val="1"/>
          <w:color w:val="auto"/>
        </w:rPr>
        <w:t xml:space="preserve"> </w:t>
      </w:r>
      <w:r>
        <w:rPr>
          <w:rFonts w:ascii="Arial" w:cs="Arial" w:eastAsia="Arial" w:hAnsi="Arial"/>
          <w:sz w:val="17"/>
          <w:szCs w:val="17"/>
          <w:color w:val="auto"/>
        </w:rPr>
        <w:t>$4.5 million from $3.4 million for the same period in 2014. Research and development expenses for the six months ended June 30, 2015 increased $2.2 million, or 35%, to $8.6 million from $6.3 million for the same period in 2014. The increase in research and development expenses for each of the three and six month periods in 2015 was primarily due to increased headcount in 2015, which resulted in higher personnel costs of approximately $890,000 and $1.7 million, respectively, compared to the same periods in 2014. We also had increased occupancy expenses of approximately $80,000 and $190,000, respectively, in 2015 as compared to 2014. As a percentage of revenues, research and development expenses were 12% and 11% for the three and six months ended June 30, 2015, respectively, compared to 11% for each of the same periods in 2014. As we enhance and expand our solutions and applications, we expect that research and development expenses will continue to increase in absolute dollars.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for the three months ended June 30, 2015 increased $1.2 million, or 25%,</w:t>
      </w:r>
      <w:r>
        <w:rPr>
          <w:rFonts w:ascii="Arial" w:cs="Arial" w:eastAsia="Arial" w:hAnsi="Arial"/>
          <w:sz w:val="16"/>
          <w:szCs w:val="16"/>
          <w:i w:val="1"/>
          <w:iCs w:val="1"/>
          <w:color w:val="auto"/>
        </w:rPr>
        <w:t xml:space="preserve"> </w:t>
      </w:r>
      <w:r>
        <w:rPr>
          <w:rFonts w:ascii="Arial" w:cs="Arial" w:eastAsia="Arial" w:hAnsi="Arial"/>
          <w:sz w:val="16"/>
          <w:szCs w:val="16"/>
          <w:color w:val="auto"/>
        </w:rPr>
        <w:t>to $6.1 million from $4.8 million for the same period in 2014. General and administrative expenses for the six months ended June 30, 2015 increased $2.5 million, or 27%, to $11.9 million from $9.4 million for the same period in 2014. The increase in general and administrative expenses for the three and six month periods in 2015 was due to increased headcount in 2015, which resulted in higher personnel-related costs of approximately $800,000 and $1.6 million, respectively, compared to the same periods in 2014. We also had increased occupancy expenses of approximately $130,000 and $290,000, respectively, and increased computer expenses of approximately $120,000 and $290,000, respectively, in 2015 as compared to 2014. In addition, for both the three and six month periods in 2015, bad debt expense increased approximately $200,000, which was offset by a decrease in legal expenses of approximately $200,000. As a percentage of revenues, general and administrative expenses were 16% for each of the three and six months ended June 30, 2015 and 2014, respectively. Going forward, we expect that general and administrative expenses will continue to increase in absolute dollars as we expand our business.</w:t>
      </w:r>
    </w:p>
    <w:p>
      <w:pPr>
        <w:spacing w:after="0" w:line="16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We recorded income tax expense of $356,000 and $617,000 for the three and six months ended June 30, 2015, respectively. We</w:t>
      </w:r>
      <w:r>
        <w:rPr>
          <w:rFonts w:ascii="Arial" w:cs="Arial" w:eastAsia="Arial" w:hAnsi="Arial"/>
          <w:sz w:val="17"/>
          <w:szCs w:val="17"/>
          <w:i w:val="1"/>
          <w:iCs w:val="1"/>
          <w:color w:val="auto"/>
        </w:rPr>
        <w:t xml:space="preserve"> </w:t>
      </w:r>
      <w:r>
        <w:rPr>
          <w:rFonts w:ascii="Arial" w:cs="Arial" w:eastAsia="Arial" w:hAnsi="Arial"/>
          <w:sz w:val="17"/>
          <w:szCs w:val="17"/>
          <w:color w:val="auto"/>
        </w:rPr>
        <w:t>recorded income tax expense of $460,000 and $678,000 for the three and six months ended June 30, 2014, respectively. Our provisions for income taxes included current foreign and state income tax expense, as well as deferred tax expense. The decrease in income tax expense for the three and six month periods in 2015 was primarily due to increased discrete tax benefits recorded for disqualifying dispositions of incentive stock options in 2015 as compared to 2014, and discrete tax benefits recorded to our estimated state deferred tax assets for enacted state law changes in 2015. For the full year 2015, we expect that our annual effective income tax rate will be approximately 40%.</w:t>
      </w:r>
    </w:p>
    <w:p>
      <w:pPr>
        <w:spacing w:after="0" w:line="178" w:lineRule="exact"/>
        <w:rPr>
          <w:sz w:val="20"/>
          <w:szCs w:val="20"/>
          <w:color w:val="auto"/>
        </w:rPr>
      </w:pPr>
    </w:p>
    <w:p>
      <w:pPr>
        <w:jc w:val="both"/>
        <w:ind w:right="660" w:firstLine="456"/>
        <w:spacing w:after="0" w:line="286" w:lineRule="auto"/>
        <w:rPr>
          <w:sz w:val="20"/>
          <w:szCs w:val="20"/>
          <w:color w:val="auto"/>
        </w:rPr>
      </w:pPr>
      <w:r>
        <w:rPr>
          <w:rFonts w:ascii="Arial" w:cs="Arial" w:eastAsia="Arial" w:hAnsi="Arial"/>
          <w:sz w:val="17"/>
          <w:szCs w:val="17"/>
          <w:i w:val="1"/>
          <w:iCs w:val="1"/>
          <w:color w:val="auto"/>
        </w:rPr>
        <w:t xml:space="preserve">Adjusted EBITDA. </w:t>
      </w:r>
      <w:r>
        <w:rPr>
          <w:rFonts w:ascii="Arial" w:cs="Arial" w:eastAsia="Arial" w:hAnsi="Arial"/>
          <w:sz w:val="17"/>
          <w:szCs w:val="17"/>
          <w:color w:val="auto"/>
        </w:rPr>
        <w:t>Adjusted EBITDA, which is a non-GAAP measure of financial performance, consists of net income plus depreciation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amortization, interest expense, interest income, income tax expense, stock-based compensation expense and other adjustments as necessary for a fair presentation. The following table provides a reconciliation of net income to Adjusted EBITDA (in thousands):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6"/>
          </w:tcPr>
          <w:p>
            <w:pPr>
              <w:spacing w:after="0"/>
              <w:rPr>
                <w:sz w:val="20"/>
                <w:szCs w:val="20"/>
                <w:color w:val="auto"/>
              </w:rPr>
            </w:pPr>
            <w:r>
              <w:rPr>
                <w:rFonts w:ascii="Arial" w:cs="Arial" w:eastAsia="Arial" w:hAnsi="Arial"/>
                <w:sz w:val="14"/>
                <w:szCs w:val="14"/>
                <w:color w:val="auto"/>
              </w:rPr>
              <w:t>Three Months Ended</w:t>
            </w:r>
          </w:p>
        </w:tc>
        <w:tc>
          <w:tcPr>
            <w:tcW w:w="1520" w:type="dxa"/>
            <w:vAlign w:val="bottom"/>
            <w:gridSpan w:val="5"/>
          </w:tcPr>
          <w:p>
            <w:pPr>
              <w:jc w:val="right"/>
              <w:ind w:right="2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ind w:left="360"/>
              <w:spacing w:after="0"/>
              <w:rPr>
                <w:sz w:val="20"/>
                <w:szCs w:val="20"/>
                <w:color w:val="auto"/>
              </w:rPr>
            </w:pPr>
            <w:r>
              <w:rPr>
                <w:rFonts w:ascii="Arial" w:cs="Arial" w:eastAsia="Arial" w:hAnsi="Arial"/>
                <w:sz w:val="14"/>
                <w:szCs w:val="14"/>
                <w:color w:val="auto"/>
                <w:w w:val="96"/>
              </w:rPr>
              <w:t>June 30,</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5"/>
          </w:tcPr>
          <w:p>
            <w:pPr>
              <w:jc w:val="right"/>
              <w:ind w:right="560"/>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2015</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w w:val="89"/>
              </w:rPr>
              <w:t>2014</w:t>
            </w:r>
          </w:p>
        </w:tc>
        <w:tc>
          <w:tcPr>
            <w:tcW w:w="360" w:type="dxa"/>
            <w:vAlign w:val="bottom"/>
          </w:tcPr>
          <w:p>
            <w:pPr>
              <w:spacing w:after="0"/>
              <w:rPr>
                <w:sz w:val="12"/>
                <w:szCs w:val="12"/>
                <w:color w:val="auto"/>
              </w:rPr>
            </w:pPr>
          </w:p>
        </w:tc>
        <w:tc>
          <w:tcPr>
            <w:tcW w:w="5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color w:val="auto"/>
              </w:rPr>
              <w:t>2015</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820" w:type="dxa"/>
            <w:vAlign w:val="bottom"/>
          </w:tcPr>
          <w:p>
            <w:pPr>
              <w:spacing w:after="0"/>
              <w:rPr>
                <w:sz w:val="7"/>
                <w:szCs w:val="7"/>
                <w:color w:val="auto"/>
              </w:rPr>
            </w:pPr>
          </w:p>
        </w:tc>
        <w:tc>
          <w:tcPr>
            <w:tcW w:w="2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639</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$1,237</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w w:val="98"/>
              </w:rPr>
              <w:t>Depreciation and amortization of property and equipment</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1,568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1,519</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3,109</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682</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1,678</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Interest income, net</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460</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617</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Other</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(69)</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8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3,371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3,181</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6,567</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1,647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1,359</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3,146</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8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5,018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4,540</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9,713</w:t>
            </w: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80" w:type="dxa"/>
            <w:vAlign w:val="bottom"/>
            <w:vMerge w:val="restart"/>
          </w:tcPr>
          <w:p>
            <w:pPr>
              <w:jc w:val="right"/>
              <w:ind w:right="1790"/>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 expense and amortization expense related to intangible assets divided by the weighted average number of shares of common stock outstanding during each period. The following table provides a reconciliation of net income to non-GAAP income per share (in thousands, except per share amounts):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5"/>
          </w:tcPr>
          <w:p>
            <w:pPr>
              <w:ind w:left="14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1660" w:type="dxa"/>
            <w:vAlign w:val="bottom"/>
            <w:gridSpan w:val="6"/>
          </w:tcPr>
          <w:p>
            <w:pPr>
              <w:jc w:val="right"/>
              <w:ind w:right="3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color w:val="auto"/>
              </w:rPr>
              <w:t>June 30,</w:t>
            </w:r>
          </w:p>
        </w:tc>
        <w:tc>
          <w:tcPr>
            <w:tcW w:w="5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color w:val="auto"/>
              </w:rPr>
              <w:t>2015</w:t>
            </w: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color w:val="auto"/>
              </w:rPr>
              <w:t>2014</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color w:val="auto"/>
              </w:rPr>
              <w:t>2015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6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3,146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1,678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0"/>
        </w:trPr>
        <w:tc>
          <w:tcPr>
            <w:tcW w:w="666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660" w:type="dxa"/>
            <w:vAlign w:val="bottom"/>
            <w:gridSpan w:val="2"/>
          </w:tcPr>
          <w:p>
            <w:pPr>
              <w:spacing w:after="0"/>
              <w:rPr>
                <w:sz w:val="20"/>
                <w:szCs w:val="20"/>
                <w:color w:val="auto"/>
              </w:rPr>
            </w:pPr>
            <w:r>
              <w:rPr>
                <w:rFonts w:ascii="Arial" w:cs="Arial" w:eastAsia="Arial" w:hAnsi="Arial"/>
                <w:sz w:val="18"/>
                <w:szCs w:val="18"/>
                <w:color w:val="auto"/>
              </w:rPr>
              <w:t>Non-GAAP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3,131</w:t>
            </w:r>
          </w:p>
        </w:tc>
        <w:tc>
          <w:tcPr>
            <w:tcW w:w="4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2,680</w:t>
            </w:r>
          </w:p>
        </w:tc>
        <w:tc>
          <w:tcPr>
            <w:tcW w:w="4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6,061</w:t>
            </w:r>
          </w:p>
        </w:tc>
        <w:tc>
          <w:tcPr>
            <w:tcW w:w="24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6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non-GAAP income per share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16,536</w:t>
            </w: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16,210</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16,485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16,998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16,768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17,043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16,799</w:t>
            </w:r>
          </w:p>
        </w:tc>
        <w:tc>
          <w:tcPr>
            <w:tcW w:w="0" w:type="dxa"/>
            <w:vAlign w:val="bottom"/>
          </w:tcPr>
          <w:p>
            <w:pPr>
              <w:spacing w:after="0"/>
              <w:rPr>
                <w:sz w:val="1"/>
                <w:szCs w:val="1"/>
                <w:color w:val="auto"/>
              </w:rPr>
            </w:pPr>
          </w:p>
        </w:tc>
      </w:tr>
      <w:tr>
        <w:trPr>
          <w:trHeight w:val="324"/>
        </w:trPr>
        <w:tc>
          <w:tcPr>
            <w:tcW w:w="6660" w:type="dxa"/>
            <w:vAlign w:val="bottom"/>
            <w:gridSpan w:val="2"/>
          </w:tcPr>
          <w:p>
            <w:pPr>
              <w:spacing w:after="0"/>
              <w:rPr>
                <w:sz w:val="20"/>
                <w:szCs w:val="20"/>
                <w:color w:val="auto"/>
              </w:rPr>
            </w:pPr>
            <w:r>
              <w:rPr>
                <w:rFonts w:ascii="Arial" w:cs="Arial" w:eastAsia="Arial" w:hAnsi="Arial"/>
                <w:sz w:val="18"/>
                <w:szCs w:val="18"/>
                <w:color w:val="auto"/>
              </w:rPr>
              <w:t>Non-GAAP income per share</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0.18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0.16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0.36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At June 30, 2015, our principal sources of liquidity were cash and cash equivalents of $121.3 million and accounts receivable, net of allowance for doubtful accounts, of $17.3 million. Our working capital at June 30, 2015 was $135.2 million compared to $137.6 million at December 31, 2014. The decrease in working capital from December 31, 2014 to June 30, 2015 resulted from the following:</w:t>
      </w:r>
    </w:p>
    <w:p>
      <w:pPr>
        <w:spacing w:after="0" w:line="87" w:lineRule="exact"/>
        <w:rPr>
          <w:sz w:val="20"/>
          <w:szCs w:val="20"/>
          <w:color w:val="auto"/>
        </w:rPr>
      </w:pPr>
    </w:p>
    <w:p>
      <w:pPr>
        <w:ind w:left="900" w:hanging="446"/>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$9.5 million decrease in cash and cash equivalents, due primarily to $2.4 million of cash provided by operations and $3.5 million of cash received from the exercise of stock options and proceeds from our employee stock purchase plan, reduced by $5.1 million of cash used for capital expenditures and $10.0 million used to purchase marketable securities;</w:t>
      </w:r>
    </w:p>
    <w:p>
      <w:pPr>
        <w:spacing w:after="0" w:line="86"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$1.8 million increase in net accounts receivable, as new accounts exceeded collections of outstanding balances for the six months ended June 30, 2015 due to growth in our business;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$1.9 million increase in deferred costs for expenses related to increased implementation resources and commission payments for new business;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$2.5 million increase in other current assets, primarily due to a prepayment for certain discounted cloud-based services;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$255,000 decrease in accounts payable, primarily due to timing of payments and receipt of invoices;</w:t>
      </w:r>
    </w:p>
    <w:p>
      <w:pPr>
        <w:spacing w:after="0" w:line="130" w:lineRule="exact"/>
        <w:rPr>
          <w:rFonts w:ascii="Arial" w:cs="Arial" w:eastAsia="Arial" w:hAnsi="Arial"/>
          <w:sz w:val="18"/>
          <w:szCs w:val="18"/>
          <w:color w:val="auto"/>
        </w:rPr>
      </w:pPr>
    </w:p>
    <w:p>
      <w:pPr>
        <w:ind w:left="900" w:right="52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$458,000 decrease in accrued compensation due primarily to increased headcount and payroll timing, offset by payments made in 2015 for bonuses accrued as of December 31, 2014;</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$341,000 decrease in accrued expenses due primarily to timing of receiving invoices;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$328,000 increase in deferred revenue due to new business in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117" w:lineRule="exact"/>
        <w:rPr>
          <w:sz w:val="20"/>
          <w:szCs w:val="20"/>
          <w:color w:val="auto"/>
        </w:rPr>
      </w:pPr>
    </w:p>
    <w:p>
      <w:pPr>
        <w:jc w:val="both"/>
        <w:ind w:right="180" w:firstLine="456"/>
        <w:spacing w:after="0" w:line="286" w:lineRule="auto"/>
        <w:rPr>
          <w:sz w:val="20"/>
          <w:szCs w:val="20"/>
          <w:color w:val="auto"/>
        </w:rPr>
      </w:pPr>
      <w:r>
        <w:rPr>
          <w:rFonts w:ascii="Arial" w:cs="Arial" w:eastAsia="Arial" w:hAnsi="Arial"/>
          <w:sz w:val="17"/>
          <w:szCs w:val="17"/>
          <w:color w:val="auto"/>
        </w:rPr>
        <w:t>Net cash provided by operating activities was $2.4 million and $6.9 million for the six months ended June 30, 2015 and 2014, respectively. The slight increase in net income, the changes in non-cash expenses, including increased depreciation, amortization and stock-based compensation, and the changes in our working capital accounts, including those discussed above, all resulted in the decrease in net cash provided by operations.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117"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Net cash used in investing activities was $15.1 million and $3.4 million for the six months ended June 30, 2015 and 2014, respectively. In 2015, we purchased marketable securities of $10.0 million. In 2015 and 2014, we had capital expenditures of $5.1 million and $3.4 million, respectively. Our capital expenditures are for supporting our business growth and existing customer base, as well as for our internal use such as equipment for our employees.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Net cash provided by financing activities was $3.5 million and $1.7 million for the six months ended June 30, 2015 and 2014, respectively, all related to the exercise of stock options and proceeds from our employee stock purchase plan.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Foreign Currency Exchange Rate Changes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Our results of operations and cash flows were not materially affected by fluctuations in foreign currency exchange rates. We maintain less than 10% of our total cash and cash equivalents outside of the United States in foreign currencies, primarily in Australian dollars. We believe that a significant change in foreign currency exchange rates or an inability to access these funds would not affect our ability to meet our operational needs.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460" w:firstLine="456"/>
        <w:spacing w:after="0" w:line="312" w:lineRule="auto"/>
        <w:rPr>
          <w:sz w:val="20"/>
          <w:szCs w:val="20"/>
          <w:color w:val="auto"/>
        </w:rPr>
      </w:pPr>
      <w:r>
        <w:rPr>
          <w:rFonts w:ascii="Arial" w:cs="Arial" w:eastAsia="Arial" w:hAnsi="Arial"/>
          <w:sz w:val="16"/>
          <w:szCs w:val="16"/>
          <w:color w:val="auto"/>
        </w:rPr>
        <w:t>We have a revolving credit agreement with JPMorgan Chase Bank, N.A. that will mature on September 30, 2016. The revolving credit agreement provides for a $20 million revolving credit facility that we may draw upon from time to time, subject to certain terms and conditions. There were no borrowings outstanding at June 30, 2015 and we were in compliance with all covenants under the revolving credit agreement as of that date.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3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to develop and implement new solutions and applications, if 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sales and marketing resources needed to further penetrate our market and gain acceptance of new solutions and applications that we may develop;</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expansion of our operations in the United States and internationally;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response of competitors to our solutions and applications;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personnel, and we anticipate that our expenditures will continue to increase as we expand our business.</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believe our cash and cash equivalents and our cash flows from operations will be sufficient to meet our working capital and capital expenditure requirements for at least the next twelve months.</w:t>
      </w:r>
    </w:p>
    <w:p>
      <w:pPr>
        <w:spacing w:after="0" w:line="1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six months ended June 30, 2015 and we do not expect that inflation or changing prices will materially affect our business in the foreseeable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 Risk</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investments (primarily cash and cash equivalents, which approximate fair value due to their short maturities, and marketable securities), we believe there is no material risk exposure. We did not have any outstanding debt as of June 30, 2015. We therefore do not have any material risk to interest rate fluctuations unless we borrow under our credit facility in the future.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revenue, expenses, assets and liabilities that are denominated in currencies other than the U.S. dollar, primarily the Australian dollar. As we expand internationally, our results of operations and cash flows may be impacted by changes in foreign currency exchange rates, and would be adversely impacted when the U.S. dollar depreciates relative to other foreign currencies. We have not used any forward contracts or currency borrowings to hedge our exposure to foreign currency exchange risk, although we may do so in the future.</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June 30,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2015 that have materially affected, or are reasonably likely to materially affect, our internal control over financial reporting.</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2014 as filed with the Securities and Exchange Commission on February 20, 2015.</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jc w:val="center"/>
        <w:ind w:left="320" w:right="380"/>
        <w:spacing w:after="0" w:line="449" w:lineRule="auto"/>
        <w:rPr>
          <w:sz w:val="20"/>
          <w:szCs w:val="20"/>
          <w:color w:val="auto"/>
        </w:rPr>
      </w:pPr>
      <w:r>
        <w:rPr>
          <w:rFonts w:ascii="Arial" w:cs="Arial" w:eastAsia="Arial" w:hAnsi="Arial"/>
          <w:sz w:val="18"/>
          <w:szCs w:val="18"/>
          <w:color w:val="auto"/>
        </w:rPr>
        <w:t>The exhibits filed as part of this Quarterly Report on Form 10-Q are listed in the Exhibit Index immediately following the signatures to this report. 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Dated: July 30, 2015</w:t>
      </w:r>
      <w:r>
        <w:rPr>
          <w:sz w:val="20"/>
          <w:szCs w:val="20"/>
          <w:color w:val="auto"/>
        </w:rPr>
        <w:tab/>
      </w:r>
      <w:r>
        <w:rPr>
          <w:rFonts w:ascii="Arial" w:cs="Arial" w:eastAsia="Arial" w:hAnsi="Arial"/>
          <w:sz w:val="17"/>
          <w:szCs w:val="17"/>
          <w:b w:val="1"/>
          <w:bCs w:val="1"/>
          <w:color w:val="auto"/>
        </w:rPr>
        <w:t>SPS COMMERCE, INC.</w:t>
      </w:r>
    </w:p>
    <w:p>
      <w:pPr>
        <w:spacing w:after="0" w:line="2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10940" w:type="dxa"/>
            <w:vAlign w:val="bottom"/>
            <w:gridSpan w:val="3"/>
          </w:tcPr>
          <w:p>
            <w:pPr>
              <w:ind w:left="4540"/>
              <w:spacing w:after="0"/>
              <w:rPr>
                <w:sz w:val="20"/>
                <w:szCs w:val="20"/>
                <w:color w:val="auto"/>
              </w:rPr>
            </w:pPr>
            <w:r>
              <w:rPr>
                <w:rFonts w:ascii="Arial" w:cs="Arial" w:eastAsia="Arial" w:hAnsi="Arial"/>
                <w:sz w:val="18"/>
                <w:szCs w:val="18"/>
                <w:b w:val="1"/>
                <w:bCs w:val="1"/>
                <w:color w:val="auto"/>
              </w:rPr>
              <w:t>EXHIBIT INDEX</w:t>
            </w:r>
          </w:p>
        </w:tc>
      </w:tr>
      <w:tr>
        <w:trPr>
          <w:trHeight w:val="373"/>
        </w:trPr>
        <w:tc>
          <w:tcPr>
            <w:tcW w:w="480" w:type="dxa"/>
            <w:vAlign w:val="bottom"/>
          </w:tcPr>
          <w:p>
            <w:pPr>
              <w:ind w:left="40"/>
              <w:spacing w:after="0"/>
              <w:rPr>
                <w:sz w:val="20"/>
                <w:szCs w:val="20"/>
                <w:color w:val="auto"/>
              </w:rPr>
            </w:pPr>
            <w:r>
              <w:rPr>
                <w:rFonts w:ascii="Arial" w:cs="Arial" w:eastAsia="Arial" w:hAnsi="Arial"/>
                <w:sz w:val="14"/>
                <w:szCs w:val="14"/>
                <w:i w:val="1"/>
                <w:iCs w:val="1"/>
                <w:color w:val="auto"/>
                <w:w w:val="99"/>
              </w:rPr>
              <w:t>Exhibit</w:t>
            </w:r>
          </w:p>
        </w:tc>
        <w:tc>
          <w:tcPr>
            <w:tcW w:w="5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181"/>
        </w:trPr>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w w:val="88"/>
              </w:rPr>
              <w:t>Number</w:t>
            </w:r>
          </w:p>
        </w:tc>
        <w:tc>
          <w:tcPr>
            <w:tcW w:w="5340" w:type="dxa"/>
            <w:vAlign w:val="bottom"/>
          </w:tcPr>
          <w:p>
            <w:pPr>
              <w:spacing w:after="0"/>
              <w:rPr>
                <w:sz w:val="15"/>
                <w:szCs w:val="15"/>
                <w:color w:val="auto"/>
              </w:rPr>
            </w:pPr>
          </w:p>
        </w:tc>
        <w:tc>
          <w:tcPr>
            <w:tcW w:w="5600" w:type="dxa"/>
            <w:vAlign w:val="bottom"/>
            <w:gridSpan w:val="2"/>
          </w:tcPr>
          <w:p>
            <w:pPr>
              <w:ind w:left="20"/>
              <w:spacing w:after="0"/>
              <w:rPr>
                <w:sz w:val="20"/>
                <w:szCs w:val="20"/>
                <w:color w:val="auto"/>
              </w:rPr>
            </w:pPr>
            <w:r>
              <w:rPr>
                <w:rFonts w:ascii="Arial" w:cs="Arial" w:eastAsia="Arial" w:hAnsi="Arial"/>
                <w:sz w:val="14"/>
                <w:szCs w:val="14"/>
                <w:i w:val="1"/>
                <w:iCs w:val="1"/>
                <w:color w:val="auto"/>
              </w:rPr>
              <w:t>Description</w:t>
            </w:r>
          </w:p>
        </w:tc>
      </w:tr>
      <w:tr>
        <w:trPr>
          <w:trHeight w:val="20"/>
        </w:trPr>
        <w:tc>
          <w:tcPr>
            <w:tcW w:w="4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77"/>
        </w:trPr>
        <w:tc>
          <w:tcPr>
            <w:tcW w:w="480" w:type="dxa"/>
            <w:vAlign w:val="bottom"/>
          </w:tcPr>
          <w:p>
            <w:pPr>
              <w:ind w:left="100"/>
              <w:spacing w:after="0"/>
              <w:rPr>
                <w:sz w:val="20"/>
                <w:szCs w:val="20"/>
                <w:color w:val="auto"/>
              </w:rPr>
            </w:pPr>
            <w:r>
              <w:rPr>
                <w:rFonts w:ascii="Arial" w:cs="Arial" w:eastAsia="Arial" w:hAnsi="Arial"/>
                <w:sz w:val="18"/>
                <w:szCs w:val="18"/>
                <w:color w:val="auto"/>
              </w:rPr>
              <w:t>3.1</w:t>
            </w: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w w:val="92"/>
              </w:rPr>
              <w:t>Certificate of Incorporation (incorporated by reference to Exhibit 4.1 to our Registration Statement on Form S-3 (File No. 333-182097) filed with</w:t>
            </w:r>
          </w:p>
        </w:tc>
      </w:tr>
      <w:tr>
        <w:trPr>
          <w:trHeight w:val="230"/>
        </w:trPr>
        <w:tc>
          <w:tcPr>
            <w:tcW w:w="480" w:type="dxa"/>
            <w:vAlign w:val="bottom"/>
          </w:tcPr>
          <w:p>
            <w:pPr>
              <w:spacing w:after="0"/>
              <w:rPr>
                <w:sz w:val="20"/>
                <w:szCs w:val="20"/>
                <w:color w:val="auto"/>
              </w:rPr>
            </w:pP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rPr>
              <w:t>the Commission on June 13, 2012).</w:t>
            </w:r>
          </w:p>
        </w:tc>
      </w:tr>
      <w:tr>
        <w:trPr>
          <w:trHeight w:val="310"/>
        </w:trPr>
        <w:tc>
          <w:tcPr>
            <w:tcW w:w="480" w:type="dxa"/>
            <w:vAlign w:val="bottom"/>
          </w:tcPr>
          <w:p>
            <w:pPr>
              <w:ind w:left="100"/>
              <w:spacing w:after="0"/>
              <w:rPr>
                <w:sz w:val="20"/>
                <w:szCs w:val="20"/>
                <w:color w:val="auto"/>
              </w:rPr>
            </w:pPr>
            <w:r>
              <w:rPr>
                <w:rFonts w:ascii="Arial" w:cs="Arial" w:eastAsia="Arial" w:hAnsi="Arial"/>
                <w:sz w:val="18"/>
                <w:szCs w:val="18"/>
                <w:color w:val="auto"/>
              </w:rPr>
              <w:t>3.2</w:t>
            </w: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w w:val="92"/>
              </w:rPr>
              <w:t>Bylaws (incorporated by reference to Exhibit 3.2 to our Registration Statement on Form S-1/A (File No. 333-163476) filed with the Commission</w:t>
            </w:r>
          </w:p>
        </w:tc>
      </w:tr>
      <w:tr>
        <w:trPr>
          <w:trHeight w:val="230"/>
        </w:trPr>
        <w:tc>
          <w:tcPr>
            <w:tcW w:w="480" w:type="dxa"/>
            <w:vAlign w:val="bottom"/>
          </w:tcPr>
          <w:p>
            <w:pPr>
              <w:spacing w:after="0"/>
              <w:rPr>
                <w:sz w:val="20"/>
                <w:szCs w:val="20"/>
                <w:color w:val="auto"/>
              </w:rPr>
            </w:pP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rPr>
              <w:t>on March 5, 2010).</w:t>
            </w:r>
          </w:p>
        </w:tc>
      </w:tr>
      <w:tr>
        <w:trPr>
          <w:trHeight w:val="324"/>
        </w:trPr>
        <w:tc>
          <w:tcPr>
            <w:tcW w:w="480" w:type="dxa"/>
            <w:vAlign w:val="bottom"/>
          </w:tcPr>
          <w:p>
            <w:pPr>
              <w:ind w:left="100"/>
              <w:spacing w:after="0"/>
              <w:rPr>
                <w:sz w:val="20"/>
                <w:szCs w:val="20"/>
                <w:color w:val="auto"/>
              </w:rPr>
            </w:pPr>
            <w:r>
              <w:rPr>
                <w:rFonts w:ascii="Arial" w:cs="Arial" w:eastAsia="Arial" w:hAnsi="Arial"/>
                <w:sz w:val="18"/>
                <w:szCs w:val="18"/>
                <w:color w:val="auto"/>
              </w:rPr>
              <w:t>31.1</w:t>
            </w: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w w:val="91"/>
              </w:rPr>
              <w:t>Certification of Principal Executive Officer pursuant to Rules 13a-14(a) under the Securities Exchange Act of 1934, as amended (filed herewith).</w:t>
            </w:r>
          </w:p>
        </w:tc>
      </w:tr>
      <w:tr>
        <w:trPr>
          <w:trHeight w:val="324"/>
        </w:trPr>
        <w:tc>
          <w:tcPr>
            <w:tcW w:w="480" w:type="dxa"/>
            <w:vAlign w:val="bottom"/>
          </w:tcPr>
          <w:p>
            <w:pPr>
              <w:ind w:left="100"/>
              <w:spacing w:after="0"/>
              <w:rPr>
                <w:sz w:val="20"/>
                <w:szCs w:val="20"/>
                <w:color w:val="auto"/>
              </w:rPr>
            </w:pPr>
            <w:r>
              <w:rPr>
                <w:rFonts w:ascii="Arial" w:cs="Arial" w:eastAsia="Arial" w:hAnsi="Arial"/>
                <w:sz w:val="18"/>
                <w:szCs w:val="18"/>
                <w:color w:val="auto"/>
              </w:rPr>
              <w:t>31.2</w:t>
            </w: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w w:val="92"/>
              </w:rPr>
              <w:t>Certification of Principal Financial Officer pursuant to Rules 13a-14(a) under the Securities Exchange Act of 1934, as amended (filed herewith).</w:t>
            </w:r>
          </w:p>
        </w:tc>
      </w:tr>
      <w:tr>
        <w:trPr>
          <w:trHeight w:val="310"/>
        </w:trPr>
        <w:tc>
          <w:tcPr>
            <w:tcW w:w="480" w:type="dxa"/>
            <w:vAlign w:val="bottom"/>
          </w:tcPr>
          <w:p>
            <w:pPr>
              <w:ind w:left="100"/>
              <w:spacing w:after="0"/>
              <w:rPr>
                <w:sz w:val="20"/>
                <w:szCs w:val="20"/>
                <w:color w:val="auto"/>
              </w:rPr>
            </w:pPr>
            <w:r>
              <w:rPr>
                <w:rFonts w:ascii="Arial" w:cs="Arial" w:eastAsia="Arial" w:hAnsi="Arial"/>
                <w:sz w:val="18"/>
                <w:szCs w:val="18"/>
                <w:color w:val="auto"/>
              </w:rPr>
              <w:t>32.1</w:t>
            </w: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w w:val="92"/>
              </w:rPr>
              <w:t>Certification of Chief Executive Officer and Chief Financial Officer pursuant to 18 U.S.C. Sec. 1350, as adopted pursuant to Section 906 of the</w:t>
            </w:r>
          </w:p>
        </w:tc>
      </w:tr>
      <w:tr>
        <w:trPr>
          <w:trHeight w:val="230"/>
        </w:trPr>
        <w:tc>
          <w:tcPr>
            <w:tcW w:w="480" w:type="dxa"/>
            <w:vAlign w:val="bottom"/>
          </w:tcPr>
          <w:p>
            <w:pPr>
              <w:spacing w:after="0"/>
              <w:rPr>
                <w:sz w:val="20"/>
                <w:szCs w:val="20"/>
                <w:color w:val="auto"/>
              </w:rPr>
            </w:pP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rPr>
              <w:t>Sarbanes-Oxley Act of 2002 (filed herewith).</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101</w:t>
            </w:r>
          </w:p>
        </w:tc>
        <w:tc>
          <w:tcPr>
            <w:tcW w:w="10940" w:type="dxa"/>
            <w:vAlign w:val="bottom"/>
            <w:gridSpan w:val="3"/>
          </w:tcPr>
          <w:p>
            <w:pPr>
              <w:ind w:left="440"/>
              <w:spacing w:after="0"/>
              <w:rPr>
                <w:sz w:val="20"/>
                <w:szCs w:val="20"/>
                <w:color w:val="auto"/>
              </w:rPr>
            </w:pPr>
            <w:r>
              <w:rPr>
                <w:rFonts w:ascii="Arial" w:cs="Arial" w:eastAsia="Arial" w:hAnsi="Arial"/>
                <w:sz w:val="18"/>
                <w:szCs w:val="18"/>
                <w:color w:val="auto"/>
              </w:rPr>
              <w:t>Interactive Data Files Pursuant to Rule 405 of Regulation S-T (filed herewith).</w:t>
            </w:r>
          </w:p>
        </w:tc>
      </w:tr>
    </w:tbl>
    <w:p>
      <w:pPr>
        <w:spacing w:after="0" w:line="22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131"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200" w:hanging="440"/>
        <w:spacing w:after="0" w:line="264" w:lineRule="auto"/>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40" w:hanging="440"/>
        <w:spacing w:after="0" w:line="277" w:lineRule="auto"/>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30, 2015</w:t>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13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900" w:right="4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920" w:right="420" w:hanging="440"/>
        <w:spacing w:after="0" w:line="286" w:lineRule="auto"/>
        <w:tabs>
          <w:tab w:leader="none" w:pos="19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ind w:left="1920" w:right="200" w:hanging="440"/>
        <w:spacing w:after="0" w:line="264" w:lineRule="auto"/>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6" w:lineRule="exact"/>
        <w:rPr>
          <w:rFonts w:ascii="Arial" w:cs="Arial" w:eastAsia="Arial" w:hAnsi="Arial"/>
          <w:sz w:val="18"/>
          <w:szCs w:val="18"/>
          <w:color w:val="auto"/>
        </w:rPr>
      </w:pPr>
    </w:p>
    <w:p>
      <w:pPr>
        <w:ind w:left="1920" w:right="40" w:hanging="440"/>
        <w:spacing w:after="0" w:line="286" w:lineRule="auto"/>
        <w:tabs>
          <w:tab w:leader="none" w:pos="19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00" w:right="140" w:hanging="446"/>
        <w:spacing w:after="0" w:line="34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 w:lineRule="exact"/>
        <w:rPr>
          <w:rFonts w:ascii="Arial" w:cs="Arial" w:eastAsia="Arial" w:hAnsi="Arial"/>
          <w:sz w:val="16"/>
          <w:szCs w:val="16"/>
          <w:color w:val="auto"/>
        </w:rPr>
      </w:pPr>
    </w:p>
    <w:p>
      <w:pPr>
        <w:ind w:left="1920" w:hanging="440"/>
        <w:spacing w:after="0" w:line="342" w:lineRule="auto"/>
        <w:tabs>
          <w:tab w:leader="none" w:pos="19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920" w:right="240" w:hanging="440"/>
        <w:spacing w:after="0" w:line="277" w:lineRule="auto"/>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30, 2015</w:t>
      </w:r>
    </w:p>
    <w:p>
      <w:pPr>
        <w:sectPr>
          <w:pgSz w:w="11900" w:h="16838" w:orient="portrait"/>
          <w:cols w:equalWidth="0" w:num="1">
            <w:col w:w="11420"/>
          </w:cols>
          <w:pgMar w:left="240" w:top="12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June 30, 2015,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52"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July 30,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2019-12-29T17:54:44Z</dcterms:created>
  <dcterms:modified xsi:type="dcterms:W3CDTF">2019-12-29T17:54:44Z</dcterms:modified>
</cp:coreProperties>
</file>