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73" w:lineRule="exact"/>
        <w:rPr>
          <w:sz w:val="24"/>
          <w:szCs w:val="24"/>
          <w:color w:val="auto"/>
        </w:rPr>
      </w:pPr>
    </w:p>
    <w:p>
      <w:pPr>
        <w:ind w:left="1140" w:hanging="565"/>
        <w:spacing w:after="0"/>
        <w:tabs>
          <w:tab w:leader="none" w:pos="11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w:t>
      </w:r>
    </w:p>
    <w:p>
      <w:pPr>
        <w:spacing w:after="0" w:line="31" w:lineRule="exact"/>
        <w:rPr>
          <w:rFonts w:ascii="MS PGothic" w:cs="MS PGothic" w:eastAsia="MS PGothic" w:hAnsi="MS PGothic"/>
          <w:sz w:val="22"/>
          <w:szCs w:val="22"/>
          <w:color w:val="auto"/>
        </w:rPr>
      </w:pPr>
    </w:p>
    <w:p>
      <w:pPr>
        <w:ind w:left="1140"/>
        <w:spacing w:after="0"/>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OF THE SECURITIES EXCHANGE ACT OF 1934</w:t>
      </w:r>
    </w:p>
    <w:p>
      <w:pPr>
        <w:spacing w:after="0" w:line="58"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2014</w:t>
      </w:r>
    </w:p>
    <w:p>
      <w:pPr>
        <w:spacing w:after="0" w:line="75" w:lineRule="exact"/>
        <w:rPr>
          <w:sz w:val="24"/>
          <w:szCs w:val="24"/>
          <w:color w:val="auto"/>
        </w:rPr>
      </w:pPr>
    </w:p>
    <w:p>
      <w:pPr>
        <w:ind w:left="1140" w:hanging="565"/>
        <w:spacing w:after="0"/>
        <w:tabs>
          <w:tab w:leader="none" w:pos="11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w:t>
      </w:r>
    </w:p>
    <w:p>
      <w:pPr>
        <w:spacing w:after="0" w:line="31" w:lineRule="exact"/>
        <w:rPr>
          <w:rFonts w:ascii="MS PGothic" w:cs="MS PGothic" w:eastAsia="MS PGothic" w:hAnsi="MS PGothic"/>
          <w:sz w:val="22"/>
          <w:szCs w:val="22"/>
          <w:color w:val="auto"/>
        </w:rPr>
      </w:pPr>
    </w:p>
    <w:p>
      <w:pPr>
        <w:ind w:left="1140"/>
        <w:spacing w:after="0"/>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OF THE SECURITIES EXCHANGE ACT OF 1934</w:t>
      </w:r>
    </w:p>
    <w:p>
      <w:pPr>
        <w:spacing w:after="0" w:line="58" w:lineRule="exact"/>
        <w:rPr>
          <w:sz w:val="24"/>
          <w:szCs w:val="24"/>
          <w:color w:val="auto"/>
        </w:rPr>
      </w:pPr>
    </w:p>
    <w:tbl>
      <w:tblPr>
        <w:tblLayout w:type="fixed"/>
        <w:tblInd w:w="460" w:type="dxa"/>
        <w:tblCellMar>
          <w:top w:w="0" w:type="dxa"/>
          <w:left w:w="0" w:type="dxa"/>
          <w:bottom w:w="0" w:type="dxa"/>
          <w:right w:w="0" w:type="dxa"/>
        </w:tblCellMar>
      </w:tblPr>
      <w:tr>
        <w:trPr>
          <w:trHeight w:val="230"/>
        </w:trPr>
        <w:tc>
          <w:tcPr>
            <w:tcW w:w="308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w w:val="97"/>
              </w:rPr>
              <w:t>For the Transition Period from</w:t>
            </w:r>
          </w:p>
        </w:tc>
        <w:tc>
          <w:tcPr>
            <w:tcW w:w="390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to</w:t>
            </w: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48"/>
        </w:trPr>
        <w:tc>
          <w:tcPr>
            <w:tcW w:w="3080" w:type="dxa"/>
            <w:vAlign w:val="bottom"/>
          </w:tcPr>
          <w:p>
            <w:pPr>
              <w:spacing w:after="0"/>
              <w:rPr>
                <w:sz w:val="21"/>
                <w:szCs w:val="21"/>
                <w:color w:val="auto"/>
              </w:rPr>
            </w:pPr>
          </w:p>
        </w:tc>
        <w:tc>
          <w:tcPr>
            <w:tcW w:w="3900" w:type="dxa"/>
            <w:vAlign w:val="bottom"/>
          </w:tcPr>
          <w:p>
            <w:pPr>
              <w:jc w:val="center"/>
              <w:ind w:left="359"/>
              <w:spacing w:after="0"/>
              <w:rPr>
                <w:sz w:val="20"/>
                <w:szCs w:val="20"/>
                <w:color w:val="auto"/>
              </w:rPr>
            </w:pPr>
            <w:r>
              <w:rPr>
                <w:rFonts w:ascii="Times New Roman" w:cs="Times New Roman" w:eastAsia="Times New Roman" w:hAnsi="Times New Roman"/>
                <w:sz w:val="18"/>
                <w:szCs w:val="18"/>
                <w:b w:val="1"/>
                <w:bCs w:val="1"/>
                <w:color w:val="auto"/>
                <w:w w:val="97"/>
              </w:rPr>
              <w:t>Commission file number 001-34702</w:t>
            </w:r>
          </w:p>
        </w:tc>
        <w:tc>
          <w:tcPr>
            <w:tcW w:w="1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536"/>
        </w:trPr>
        <w:tc>
          <w:tcPr>
            <w:tcW w:w="8300" w:type="dxa"/>
            <w:vAlign w:val="bottom"/>
            <w:gridSpan w:val="3"/>
          </w:tcPr>
          <w:p>
            <w:pPr>
              <w:jc w:val="center"/>
              <w:ind w:left="2125"/>
              <w:spacing w:after="0"/>
              <w:rPr>
                <w:sz w:val="20"/>
                <w:szCs w:val="20"/>
                <w:color w:val="auto"/>
              </w:rPr>
            </w:pPr>
            <w:r>
              <w:rPr>
                <w:rFonts w:ascii="Times New Roman" w:cs="Times New Roman" w:eastAsia="Times New Roman" w:hAnsi="Times New Roman"/>
                <w:sz w:val="43"/>
                <w:szCs w:val="43"/>
                <w:b w:val="1"/>
                <w:bCs w:val="1"/>
                <w:color w:val="auto"/>
              </w:rPr>
              <w:t>SPS COMMERCE, INC.</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6"/>
        </w:trPr>
        <w:tc>
          <w:tcPr>
            <w:tcW w:w="3080" w:type="dxa"/>
            <w:vAlign w:val="bottom"/>
          </w:tcPr>
          <w:p>
            <w:pPr>
              <w:spacing w:after="0"/>
              <w:rPr>
                <w:sz w:val="15"/>
                <w:szCs w:val="15"/>
                <w:color w:val="auto"/>
              </w:rPr>
            </w:pPr>
          </w:p>
        </w:tc>
        <w:tc>
          <w:tcPr>
            <w:tcW w:w="3900" w:type="dxa"/>
            <w:vAlign w:val="bottom"/>
          </w:tcPr>
          <w:p>
            <w:pPr>
              <w:jc w:val="center"/>
              <w:ind w:left="379"/>
              <w:spacing w:after="0"/>
              <w:rPr>
                <w:sz w:val="20"/>
                <w:szCs w:val="20"/>
                <w:color w:val="auto"/>
              </w:rPr>
            </w:pPr>
            <w:r>
              <w:rPr>
                <w:rFonts w:ascii="Times New Roman" w:cs="Times New Roman" w:eastAsia="Times New Roman" w:hAnsi="Times New Roman"/>
                <w:sz w:val="14"/>
                <w:szCs w:val="14"/>
                <w:i w:val="1"/>
                <w:iCs w:val="1"/>
                <w:color w:val="auto"/>
                <w:w w:val="96"/>
              </w:rPr>
              <w:t>(Exact Name of Registrant as Specified in its Charter)</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69"/>
        </w:trPr>
        <w:tc>
          <w:tcPr>
            <w:tcW w:w="3080" w:type="dxa"/>
            <w:vAlign w:val="bottom"/>
          </w:tcPr>
          <w:p>
            <w:pPr>
              <w:jc w:val="center"/>
              <w:ind w:left="1645"/>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3900" w:type="dxa"/>
            <w:vAlign w:val="bottom"/>
          </w:tcPr>
          <w:p>
            <w:pPr>
              <w:spacing w:after="0"/>
              <w:rPr>
                <w:sz w:val="23"/>
                <w:szCs w:val="23"/>
                <w:color w:val="auto"/>
              </w:rPr>
            </w:pPr>
          </w:p>
        </w:tc>
        <w:tc>
          <w:tcPr>
            <w:tcW w:w="1740" w:type="dxa"/>
            <w:vAlign w:val="bottom"/>
            <w:gridSpan w:val="2"/>
          </w:tcPr>
          <w:p>
            <w:pPr>
              <w:jc w:val="center"/>
              <w:ind w:left="662"/>
              <w:spacing w:after="0"/>
              <w:rPr>
                <w:sz w:val="20"/>
                <w:szCs w:val="20"/>
                <w:color w:val="auto"/>
              </w:rPr>
            </w:pPr>
            <w:r>
              <w:rPr>
                <w:rFonts w:ascii="Times New Roman" w:cs="Times New Roman" w:eastAsia="Times New Roman" w:hAnsi="Times New Roman"/>
                <w:sz w:val="18"/>
                <w:szCs w:val="18"/>
                <w:b w:val="1"/>
                <w:bCs w:val="1"/>
                <w:color w:val="auto"/>
                <w:w w:val="96"/>
              </w:rPr>
              <w:t>41-2015127</w:t>
            </w: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49"/>
        </w:trPr>
        <w:tc>
          <w:tcPr>
            <w:tcW w:w="6980" w:type="dxa"/>
            <w:vAlign w:val="bottom"/>
            <w:gridSpan w:val="2"/>
          </w:tcPr>
          <w:p>
            <w:pPr>
              <w:jc w:val="center"/>
              <w:ind w:right="2099"/>
              <w:spacing w:after="0" w:line="149" w:lineRule="exact"/>
              <w:rPr>
                <w:sz w:val="20"/>
                <w:szCs w:val="20"/>
                <w:color w:val="auto"/>
              </w:rPr>
            </w:pPr>
            <w:r>
              <w:rPr>
                <w:rFonts w:ascii="Times New Roman" w:cs="Times New Roman" w:eastAsia="Times New Roman" w:hAnsi="Times New Roman"/>
                <w:sz w:val="14"/>
                <w:szCs w:val="14"/>
                <w:i w:val="1"/>
                <w:iCs w:val="1"/>
                <w:color w:val="auto"/>
                <w:w w:val="96"/>
              </w:rPr>
              <w:t>(State or Other Jurisdiction of</w:t>
            </w:r>
          </w:p>
        </w:tc>
        <w:tc>
          <w:tcPr>
            <w:tcW w:w="1740" w:type="dxa"/>
            <w:vAlign w:val="bottom"/>
            <w:gridSpan w:val="2"/>
          </w:tcPr>
          <w:p>
            <w:pPr>
              <w:jc w:val="center"/>
              <w:ind w:left="642"/>
              <w:spacing w:after="0" w:line="149" w:lineRule="exact"/>
              <w:rPr>
                <w:sz w:val="20"/>
                <w:szCs w:val="20"/>
                <w:color w:val="auto"/>
              </w:rPr>
            </w:pPr>
            <w:r>
              <w:rPr>
                <w:rFonts w:ascii="Times New Roman" w:cs="Times New Roman" w:eastAsia="Times New Roman" w:hAnsi="Times New Roman"/>
                <w:sz w:val="14"/>
                <w:szCs w:val="14"/>
                <w:i w:val="1"/>
                <w:iCs w:val="1"/>
                <w:color w:val="auto"/>
                <w:w w:val="96"/>
              </w:rPr>
              <w:t>(I.R.S. Employer</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6"/>
        </w:trPr>
        <w:tc>
          <w:tcPr>
            <w:tcW w:w="6980" w:type="dxa"/>
            <w:vAlign w:val="bottom"/>
            <w:gridSpan w:val="2"/>
          </w:tcPr>
          <w:p>
            <w:pPr>
              <w:jc w:val="center"/>
              <w:ind w:right="2079"/>
              <w:spacing w:after="0"/>
              <w:rPr>
                <w:sz w:val="20"/>
                <w:szCs w:val="20"/>
                <w:color w:val="auto"/>
              </w:rPr>
            </w:pPr>
            <w:r>
              <w:rPr>
                <w:rFonts w:ascii="Times New Roman" w:cs="Times New Roman" w:eastAsia="Times New Roman" w:hAnsi="Times New Roman"/>
                <w:sz w:val="14"/>
                <w:szCs w:val="14"/>
                <w:i w:val="1"/>
                <w:iCs w:val="1"/>
                <w:color w:val="auto"/>
                <w:w w:val="95"/>
              </w:rPr>
              <w:t>Incorporation or Organization)</w:t>
            </w:r>
          </w:p>
        </w:tc>
        <w:tc>
          <w:tcPr>
            <w:tcW w:w="1740" w:type="dxa"/>
            <w:vAlign w:val="bottom"/>
            <w:gridSpan w:val="2"/>
          </w:tcPr>
          <w:p>
            <w:pPr>
              <w:jc w:val="center"/>
              <w:ind w:left="662"/>
              <w:spacing w:after="0"/>
              <w:rPr>
                <w:sz w:val="20"/>
                <w:szCs w:val="20"/>
                <w:color w:val="auto"/>
              </w:rPr>
            </w:pPr>
            <w:r>
              <w:rPr>
                <w:rFonts w:ascii="Times New Roman" w:cs="Times New Roman" w:eastAsia="Times New Roman" w:hAnsi="Times New Roman"/>
                <w:sz w:val="14"/>
                <w:szCs w:val="14"/>
                <w:i w:val="1"/>
                <w:iCs w:val="1"/>
                <w:color w:val="auto"/>
                <w:w w:val="96"/>
              </w:rPr>
              <w:t>Identification No.)</w:t>
            </w: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83"/>
        </w:trPr>
        <w:tc>
          <w:tcPr>
            <w:tcW w:w="8300" w:type="dxa"/>
            <w:vAlign w:val="bottom"/>
            <w:gridSpan w:val="3"/>
          </w:tcPr>
          <w:p>
            <w:pPr>
              <w:jc w:val="center"/>
              <w:ind w:left="2105"/>
              <w:spacing w:after="0"/>
              <w:rPr>
                <w:sz w:val="20"/>
                <w:szCs w:val="20"/>
                <w:color w:val="auto"/>
              </w:rPr>
            </w:pPr>
            <w:r>
              <w:rPr>
                <w:rFonts w:ascii="Times New Roman" w:cs="Times New Roman" w:eastAsia="Times New Roman" w:hAnsi="Times New Roman"/>
                <w:sz w:val="18"/>
                <w:szCs w:val="18"/>
                <w:b w:val="1"/>
                <w:bCs w:val="1"/>
                <w:color w:val="auto"/>
                <w:w w:val="97"/>
              </w:rPr>
              <w:t>333 South Seventh Street, Suite 1000, Minneapolis, MN 55402</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6"/>
        </w:trPr>
        <w:tc>
          <w:tcPr>
            <w:tcW w:w="3080" w:type="dxa"/>
            <w:vAlign w:val="bottom"/>
          </w:tcPr>
          <w:p>
            <w:pPr>
              <w:spacing w:after="0"/>
              <w:rPr>
                <w:sz w:val="15"/>
                <w:szCs w:val="15"/>
                <w:color w:val="auto"/>
              </w:rPr>
            </w:pPr>
          </w:p>
        </w:tc>
        <w:tc>
          <w:tcPr>
            <w:tcW w:w="3900" w:type="dxa"/>
            <w:vAlign w:val="bottom"/>
          </w:tcPr>
          <w:p>
            <w:pPr>
              <w:jc w:val="center"/>
              <w:ind w:left="359"/>
              <w:spacing w:after="0"/>
              <w:rPr>
                <w:sz w:val="20"/>
                <w:szCs w:val="20"/>
                <w:color w:val="auto"/>
              </w:rPr>
            </w:pPr>
            <w:r>
              <w:rPr>
                <w:rFonts w:ascii="Times New Roman" w:cs="Times New Roman" w:eastAsia="Times New Roman" w:hAnsi="Times New Roman"/>
                <w:sz w:val="14"/>
                <w:szCs w:val="14"/>
                <w:i w:val="1"/>
                <w:iCs w:val="1"/>
                <w:color w:val="auto"/>
                <w:w w:val="96"/>
              </w:rPr>
              <w:t>(Address of Principal Executive Offices, Including Zip Code)</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69"/>
        </w:trPr>
        <w:tc>
          <w:tcPr>
            <w:tcW w:w="3080" w:type="dxa"/>
            <w:vAlign w:val="bottom"/>
          </w:tcPr>
          <w:p>
            <w:pPr>
              <w:spacing w:after="0"/>
              <w:rPr>
                <w:sz w:val="23"/>
                <w:szCs w:val="23"/>
                <w:color w:val="auto"/>
              </w:rPr>
            </w:pPr>
          </w:p>
        </w:tc>
        <w:tc>
          <w:tcPr>
            <w:tcW w:w="3900" w:type="dxa"/>
            <w:vAlign w:val="bottom"/>
          </w:tcPr>
          <w:p>
            <w:pPr>
              <w:jc w:val="center"/>
              <w:ind w:left="359"/>
              <w:spacing w:after="0"/>
              <w:rPr>
                <w:sz w:val="20"/>
                <w:szCs w:val="20"/>
                <w:color w:val="auto"/>
              </w:rPr>
            </w:pPr>
            <w:r>
              <w:rPr>
                <w:rFonts w:ascii="Times New Roman" w:cs="Times New Roman" w:eastAsia="Times New Roman" w:hAnsi="Times New Roman"/>
                <w:sz w:val="18"/>
                <w:szCs w:val="18"/>
                <w:b w:val="1"/>
                <w:bCs w:val="1"/>
                <w:color w:val="auto"/>
                <w:w w:val="97"/>
              </w:rPr>
              <w:t>(612) 435-9400</w:t>
            </w:r>
          </w:p>
        </w:tc>
        <w:tc>
          <w:tcPr>
            <w:tcW w:w="1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76"/>
        </w:trPr>
        <w:tc>
          <w:tcPr>
            <w:tcW w:w="3080" w:type="dxa"/>
            <w:vAlign w:val="bottom"/>
          </w:tcPr>
          <w:p>
            <w:pPr>
              <w:spacing w:after="0"/>
              <w:rPr>
                <w:sz w:val="15"/>
                <w:szCs w:val="15"/>
                <w:color w:val="auto"/>
              </w:rPr>
            </w:pPr>
          </w:p>
        </w:tc>
        <w:tc>
          <w:tcPr>
            <w:tcW w:w="3900" w:type="dxa"/>
            <w:vAlign w:val="bottom"/>
          </w:tcPr>
          <w:p>
            <w:pPr>
              <w:jc w:val="center"/>
              <w:ind w:left="379"/>
              <w:spacing w:after="0"/>
              <w:rPr>
                <w:sz w:val="20"/>
                <w:szCs w:val="20"/>
                <w:color w:val="auto"/>
              </w:rPr>
            </w:pPr>
            <w:r>
              <w:rPr>
                <w:rFonts w:ascii="Times New Roman" w:cs="Times New Roman" w:eastAsia="Times New Roman" w:hAnsi="Times New Roman"/>
                <w:sz w:val="14"/>
                <w:szCs w:val="14"/>
                <w:i w:val="1"/>
                <w:iCs w:val="1"/>
                <w:color w:val="auto"/>
                <w:w w:val="94"/>
              </w:rPr>
              <w:t>(Registrant’s Telephone Number, Including Area Code)</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82"/>
        </w:trPr>
        <w:tc>
          <w:tcPr>
            <w:tcW w:w="3080" w:type="dxa"/>
            <w:vAlign w:val="bottom"/>
          </w:tcPr>
          <w:p>
            <w:pPr>
              <w:spacing w:after="0"/>
              <w:rPr>
                <w:sz w:val="24"/>
                <w:szCs w:val="24"/>
                <w:color w:val="auto"/>
              </w:rPr>
            </w:pPr>
          </w:p>
        </w:tc>
        <w:tc>
          <w:tcPr>
            <w:tcW w:w="5220" w:type="dxa"/>
            <w:vAlign w:val="bottom"/>
            <w:gridSpan w:val="2"/>
          </w:tcPr>
          <w:p>
            <w:pPr>
              <w:jc w:val="center"/>
              <w:ind w:right="802"/>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85"/>
        </w:trPr>
        <w:tc>
          <w:tcPr>
            <w:tcW w:w="30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6"/>
              </w:rPr>
              <w:t>The Nasdaq Stock Market LLC</w:t>
            </w:r>
          </w:p>
        </w:tc>
      </w:tr>
      <w:tr>
        <w:trPr>
          <w:trHeight w:val="229"/>
        </w:trPr>
        <w:tc>
          <w:tcPr>
            <w:tcW w:w="6980" w:type="dxa"/>
            <w:vAlign w:val="bottom"/>
            <w:gridSpan w:val="2"/>
          </w:tcPr>
          <w:p>
            <w:pPr>
              <w:jc w:val="center"/>
              <w:ind w:right="1979"/>
              <w:spacing w:after="0"/>
              <w:rPr>
                <w:sz w:val="20"/>
                <w:szCs w:val="20"/>
                <w:color w:val="auto"/>
              </w:rPr>
            </w:pPr>
            <w:r>
              <w:rPr>
                <w:rFonts w:ascii="Times New Roman" w:cs="Times New Roman" w:eastAsia="Times New Roman" w:hAnsi="Times New Roman"/>
                <w:sz w:val="18"/>
                <w:szCs w:val="18"/>
                <w:color w:val="auto"/>
                <w:w w:val="97"/>
              </w:rPr>
              <w:t>Common stock, par value $0.001 per share</w:t>
            </w:r>
          </w:p>
        </w:tc>
        <w:tc>
          <w:tcPr>
            <w:tcW w:w="26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(Nasdaq Global Market)</w:t>
            </w:r>
          </w:p>
        </w:tc>
      </w:tr>
      <w:tr>
        <w:trPr>
          <w:trHeight w:val="176"/>
        </w:trPr>
        <w:tc>
          <w:tcPr>
            <w:tcW w:w="3080" w:type="dxa"/>
            <w:vAlign w:val="bottom"/>
          </w:tcPr>
          <w:p>
            <w:pPr>
              <w:jc w:val="center"/>
              <w:ind w:left="1725"/>
              <w:spacing w:after="0"/>
              <w:rPr>
                <w:sz w:val="20"/>
                <w:szCs w:val="20"/>
                <w:color w:val="auto"/>
              </w:rPr>
            </w:pPr>
            <w:r>
              <w:rPr>
                <w:rFonts w:ascii="Times New Roman" w:cs="Times New Roman" w:eastAsia="Times New Roman" w:hAnsi="Times New Roman"/>
                <w:sz w:val="14"/>
                <w:szCs w:val="14"/>
                <w:i w:val="1"/>
                <w:iCs w:val="1"/>
                <w:color w:val="auto"/>
                <w:w w:val="95"/>
              </w:rPr>
              <w:t>(Title of each class)</w:t>
            </w:r>
          </w:p>
        </w:tc>
        <w:tc>
          <w:tcPr>
            <w:tcW w:w="3900" w:type="dxa"/>
            <w:vAlign w:val="bottom"/>
          </w:tcPr>
          <w:p>
            <w:pPr>
              <w:spacing w:after="0"/>
              <w:rPr>
                <w:sz w:val="15"/>
                <w:szCs w:val="15"/>
                <w:color w:val="auto"/>
              </w:rPr>
            </w:pPr>
          </w:p>
        </w:tc>
        <w:tc>
          <w:tcPr>
            <w:tcW w:w="2620" w:type="dxa"/>
            <w:vAlign w:val="bottom"/>
            <w:gridSpan w:val="4"/>
          </w:tcPr>
          <w:p>
            <w:pPr>
              <w:jc w:val="center"/>
              <w:spacing w:after="0"/>
              <w:rPr>
                <w:sz w:val="20"/>
                <w:szCs w:val="20"/>
                <w:color w:val="auto"/>
              </w:rPr>
            </w:pPr>
            <w:r>
              <w:rPr>
                <w:rFonts w:ascii="Times New Roman" w:cs="Times New Roman" w:eastAsia="Times New Roman" w:hAnsi="Times New Roman"/>
                <w:sz w:val="14"/>
                <w:szCs w:val="14"/>
                <w:i w:val="1"/>
                <w:iCs w:val="1"/>
                <w:color w:val="auto"/>
                <w:w w:val="96"/>
              </w:rPr>
              <w:t>(Name of each exchange on which registered)</w:t>
            </w:r>
          </w:p>
        </w:tc>
      </w:tr>
      <w:tr>
        <w:trPr>
          <w:trHeight w:val="268"/>
        </w:trPr>
        <w:tc>
          <w:tcPr>
            <w:tcW w:w="3080" w:type="dxa"/>
            <w:vAlign w:val="bottom"/>
          </w:tcPr>
          <w:p>
            <w:pPr>
              <w:spacing w:after="0"/>
              <w:rPr>
                <w:sz w:val="23"/>
                <w:szCs w:val="23"/>
                <w:color w:val="auto"/>
              </w:rPr>
            </w:pPr>
          </w:p>
        </w:tc>
        <w:tc>
          <w:tcPr>
            <w:tcW w:w="5220" w:type="dxa"/>
            <w:vAlign w:val="bottom"/>
            <w:gridSpan w:val="2"/>
          </w:tcPr>
          <w:p>
            <w:pPr>
              <w:jc w:val="center"/>
              <w:ind w:right="782"/>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12(g) of the Act:</w:t>
            </w: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30"/>
        </w:trPr>
        <w:tc>
          <w:tcPr>
            <w:tcW w:w="3080" w:type="dxa"/>
            <w:vAlign w:val="bottom"/>
          </w:tcPr>
          <w:p>
            <w:pPr>
              <w:spacing w:after="0"/>
              <w:rPr>
                <w:sz w:val="20"/>
                <w:szCs w:val="20"/>
                <w:color w:val="auto"/>
              </w:rPr>
            </w:pPr>
          </w:p>
        </w:tc>
        <w:tc>
          <w:tcPr>
            <w:tcW w:w="3900" w:type="dxa"/>
            <w:vAlign w:val="bottom"/>
          </w:tcPr>
          <w:p>
            <w:pPr>
              <w:jc w:val="center"/>
              <w:ind w:left="359"/>
              <w:spacing w:after="0"/>
              <w:rPr>
                <w:sz w:val="20"/>
                <w:szCs w:val="20"/>
                <w:color w:val="auto"/>
              </w:rPr>
            </w:pPr>
            <w:r>
              <w:rPr>
                <w:rFonts w:ascii="Times New Roman" w:cs="Times New Roman" w:eastAsia="Times New Roman" w:hAnsi="Times New Roman"/>
                <w:sz w:val="18"/>
                <w:szCs w:val="18"/>
                <w:b w:val="1"/>
                <w:bCs w:val="1"/>
                <w:color w:val="auto"/>
                <w:w w:val="94"/>
              </w:rPr>
              <w:t>None</w:t>
            </w: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17"/>
        </w:trPr>
        <w:tc>
          <w:tcPr>
            <w:tcW w:w="83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Indicate by check mark if the registrant is a well-known seasoned issuer, as defined in Rule 405 of the Securities Act.</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5"/>
              </w:rPr>
              <w:t>Yes</w:t>
            </w:r>
          </w:p>
        </w:tc>
        <w:tc>
          <w:tcPr>
            <w:tcW w:w="28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600" w:type="dxa"/>
            <w:vAlign w:val="bottom"/>
          </w:tcPr>
          <w:p>
            <w:pPr>
              <w:ind w:left="140"/>
              <w:spacing w:after="0" w:line="207" w:lineRule="exact"/>
              <w:rPr>
                <w:sz w:val="20"/>
                <w:szCs w:val="20"/>
                <w:color w:val="auto"/>
              </w:rPr>
            </w:pPr>
            <w:r>
              <w:rPr>
                <w:rFonts w:ascii="Times New Roman" w:cs="Times New Roman" w:eastAsia="Times New Roman" w:hAnsi="Times New Roman"/>
                <w:sz w:val="18"/>
                <w:szCs w:val="18"/>
                <w:color w:val="auto"/>
                <w:w w:val="98"/>
              </w:rPr>
              <w:t xml:space="preserve">No </w:t>
            </w:r>
            <w:r>
              <w:rPr>
                <w:rFonts w:ascii="MS PGothic" w:cs="MS PGothic" w:eastAsia="MS PGothic" w:hAnsi="MS PGothic"/>
                <w:sz w:val="18"/>
                <w:szCs w:val="18"/>
                <w:color w:val="auto"/>
                <w:w w:val="98"/>
              </w:rPr>
              <w:t>☒</w:t>
            </w:r>
          </w:p>
        </w:tc>
      </w:tr>
      <w:tr>
        <w:trPr>
          <w:trHeight w:val="297"/>
        </w:trPr>
        <w:tc>
          <w:tcPr>
            <w:tcW w:w="83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Indicate by check mark if the registrant is not required to file reports pursuant to Section 13 or 15(d) of the Act.  Yes</w:t>
            </w:r>
          </w:p>
        </w:tc>
        <w:tc>
          <w:tcPr>
            <w:tcW w:w="4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6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49" w:lineRule="exact"/>
        <w:rPr>
          <w:sz w:val="24"/>
          <w:szCs w:val="24"/>
          <w:color w:val="auto"/>
        </w:rPr>
      </w:pPr>
    </w:p>
    <w:p>
      <w:pPr>
        <w:ind w:right="28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right="6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16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9" w:lineRule="exact"/>
        <w:rPr>
          <w:sz w:val="24"/>
          <w:szCs w:val="24"/>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6" w:right="239" w:bottom="1440" w:gutter="0" w:footer="0" w:header="0"/>
        </w:sectPr>
      </w:pP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left="460"/>
        <w:spacing w:after="0" w:line="199"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6"/>
          <w:szCs w:val="16"/>
          <w:color w:val="auto"/>
        </w:rPr>
        <w:t>☐</w:t>
      </w:r>
    </w:p>
    <w:p>
      <w:pPr>
        <w:spacing w:after="0" w:line="353" w:lineRule="exact"/>
        <w:rPr>
          <w:sz w:val="24"/>
          <w:szCs w:val="24"/>
          <w:color w:val="auto"/>
        </w:rPr>
      </w:pPr>
    </w:p>
    <w:p>
      <w:pPr>
        <w:sectPr>
          <w:pgSz w:w="11900" w:h="16838" w:orient="portrait"/>
          <w:cols w:equalWidth="0" w:num="7">
            <w:col w:w="1660" w:space="80"/>
            <w:col w:w="1160" w:space="720"/>
            <w:col w:w="1220" w:space="80"/>
            <w:col w:w="160" w:space="540"/>
            <w:col w:w="3280" w:space="260"/>
            <w:col w:w="2020" w:space="80"/>
            <w:col w:w="160"/>
          </w:cols>
          <w:pgMar w:left="240" w:top="226" w:right="23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7980" w:space="160"/>
            <w:col w:w="260" w:space="80"/>
            <w:col w:w="160" w:space="180"/>
            <w:col w:w="220" w:space="80"/>
            <w:col w:w="2300"/>
          </w:cols>
          <w:pgMar w:left="240" w:top="226" w:right="239" w:bottom="1440" w:gutter="0" w:footer="0" w:header="0"/>
          <w:type w:val="continuous"/>
        </w:sectPr>
      </w:pPr>
    </w:p>
    <w:p>
      <w:pPr>
        <w:jc w:val="both"/>
        <w:ind w:right="340" w:firstLine="456"/>
        <w:spacing w:after="0" w:line="262" w:lineRule="auto"/>
        <w:rPr>
          <w:sz w:val="20"/>
          <w:szCs w:val="20"/>
          <w:color w:val="auto"/>
        </w:rPr>
      </w:pPr>
      <w:r>
        <w:rPr>
          <w:rFonts w:ascii="Times New Roman" w:cs="Times New Roman" w:eastAsia="Times New Roman" w:hAnsi="Times New Roman"/>
          <w:sz w:val="18"/>
          <w:szCs w:val="18"/>
          <w:color w:val="auto"/>
        </w:rPr>
        <w:t>As of June 30, 2014, the last business day of the registrant’s most recently completed second fiscal quarter, the aggregate market value of shares of the registrant’s common stock held by non-affiliates of the registrant (based upon the closing sale price of $63.19 per share on the Nasdaq Global Market on such date) was approximately $1.02 billion.</w:t>
      </w:r>
    </w:p>
    <w:p>
      <w:pPr>
        <w:spacing w:after="0" w:line="5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number of shares of the registrant’s common stock, par value $0.001 per share, outstanding as of February 5, 2015 was 16,349,054 shares.</w:t>
      </w:r>
    </w:p>
    <w:p>
      <w:pPr>
        <w:spacing w:after="0" w:line="8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92" w:lineRule="exact"/>
        <w:rPr>
          <w:sz w:val="24"/>
          <w:szCs w:val="24"/>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Portions of the Company’s definitive Proxy Statement for the Annual Meeting of Stockholders to be held on May 14, 2015 (the “2015 Proxy Statement”), which is expected to be filed within 120 days after the end of the fiscal year covered by this Annual Report on Form 10-K,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780" w:type="dxa"/>
            <w:vAlign w:val="bottom"/>
            <w:gridSpan w:val="8"/>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7"/>
              </w:rPr>
              <w:t>SPS COMMERCE, INC.</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80" w:type="dxa"/>
            <w:vAlign w:val="bottom"/>
            <w:gridSpan w:val="8"/>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w w:val="97"/>
              </w:rPr>
              <w:t>ANNUAL REPORT ON FORM 10-K</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40" w:type="dxa"/>
            <w:vAlign w:val="bottom"/>
            <w:gridSpan w:val="7"/>
          </w:tcPr>
          <w:p>
            <w:pPr>
              <w:jc w:val="center"/>
              <w:ind w:right="46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80" w:type="dxa"/>
            <w:vAlign w:val="bottom"/>
            <w:gridSpan w:val="6"/>
            <w:vMerge w:val="restart"/>
          </w:tcPr>
          <w:p>
            <w:pPr>
              <w:jc w:val="center"/>
              <w:ind w:right="496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780" w:type="dxa"/>
            <w:vAlign w:val="bottom"/>
            <w:gridSpan w:val="6"/>
            <w:vMerge w:val="continu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gridSpan w:val="2"/>
          </w:tcPr>
          <w:p>
            <w:pPr>
              <w:spacing w:after="0" w:line="190" w:lineRule="exact"/>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Business</w:t>
              </w:r>
            </w:hyperlink>
          </w:p>
        </w:tc>
        <w:tc>
          <w:tcPr>
            <w:tcW w:w="9400" w:type="dxa"/>
            <w:vAlign w:val="bottom"/>
            <w:gridSpan w:val="18"/>
          </w:tcPr>
          <w:p>
            <w:pPr>
              <w:spacing w:after="0"/>
              <w:rPr>
                <w:sz w:val="16"/>
                <w:szCs w:val="16"/>
                <w:color w:val="auto"/>
              </w:rPr>
            </w:pPr>
          </w:p>
        </w:tc>
        <w:tc>
          <w:tcPr>
            <w:tcW w:w="2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Risk Factors</w:t>
              </w:r>
            </w:hyperlink>
          </w:p>
        </w:tc>
        <w:tc>
          <w:tcPr>
            <w:tcW w:w="914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10040" w:type="dxa"/>
            <w:vAlign w:val="bottom"/>
            <w:gridSpan w:val="20"/>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Unresolved Staff Comments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w:anchor="page25">
              <w:r>
                <w:rPr>
                  <w:rFonts w:ascii="Times New Roman" w:cs="Times New Roman" w:eastAsia="Times New Roman" w:hAnsi="Times New Roman"/>
                  <w:sz w:val="18"/>
                  <w:szCs w:val="18"/>
                  <w:color w:val="0000EE"/>
                  <w:w w:val="95"/>
                </w:rPr>
                <w:t>Properties</w:t>
              </w:r>
            </w:hyperlink>
          </w:p>
        </w:tc>
        <w:tc>
          <w:tcPr>
            <w:tcW w:w="1280" w:type="dxa"/>
            <w:vAlign w:val="bottom"/>
            <w:tcBorders>
              <w:top w:val="single" w:sz="8" w:color="0000EE"/>
            </w:tcBorders>
            <w:gridSpan w:val="6"/>
          </w:tcPr>
          <w:p>
            <w:pPr>
              <w:spacing w:after="0"/>
              <w:rPr>
                <w:sz w:val="17"/>
                <w:szCs w:val="17"/>
                <w:color w:val="auto"/>
              </w:rPr>
            </w:pPr>
          </w:p>
        </w:tc>
        <w:tc>
          <w:tcPr>
            <w:tcW w:w="80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0040" w:type="dxa"/>
            <w:vAlign w:val="bottom"/>
            <w:gridSpan w:val="20"/>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6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0040" w:type="dxa"/>
            <w:vAlign w:val="bottom"/>
            <w:gridSpan w:val="20"/>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Mine Safety Disclosures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30"/>
        </w:trPr>
        <w:tc>
          <w:tcPr>
            <w:tcW w:w="10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80" w:type="dxa"/>
            <w:vAlign w:val="bottom"/>
            <w:gridSpan w:val="6"/>
          </w:tcPr>
          <w:p>
            <w:pPr>
              <w:jc w:val="center"/>
              <w:ind w:right="498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Item 5.</w:t>
            </w:r>
          </w:p>
        </w:tc>
        <w:tc>
          <w:tcPr>
            <w:tcW w:w="10040" w:type="dxa"/>
            <w:vAlign w:val="bottom"/>
            <w:gridSpan w:val="20"/>
          </w:tcPr>
          <w:p>
            <w:pPr>
              <w:spacing w:after="0" w:line="190"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2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6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Selected Financial Data</w:t>
              </w:r>
            </w:hyperlink>
          </w:p>
        </w:tc>
        <w:tc>
          <w:tcPr>
            <w:tcW w:w="6200" w:type="dxa"/>
            <w:vAlign w:val="bottom"/>
            <w:tcBorders>
              <w:top w:val="single" w:sz="8" w:color="0000EE"/>
            </w:tcBorders>
            <w:gridSpan w:val="13"/>
          </w:tcPr>
          <w:p>
            <w:pPr>
              <w:spacing w:after="0"/>
              <w:rPr>
                <w:sz w:val="17"/>
                <w:szCs w:val="17"/>
                <w:color w:val="auto"/>
              </w:rPr>
            </w:pPr>
          </w:p>
        </w:tc>
        <w:tc>
          <w:tcPr>
            <w:tcW w:w="21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10040" w:type="dxa"/>
            <w:vAlign w:val="bottom"/>
            <w:gridSpan w:val="20"/>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2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7"/>
              </w:rPr>
            </w:pPr>
            <w:hyperlink w:anchor="page44">
              <w:r>
                <w:rPr>
                  <w:rFonts w:ascii="Times New Roman" w:cs="Times New Roman" w:eastAsia="Times New Roman" w:hAnsi="Times New Roman"/>
                  <w:sz w:val="18"/>
                  <w:szCs w:val="18"/>
                  <w:color w:val="0000EE"/>
                  <w:w w:val="97"/>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37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2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7"/>
              </w:rPr>
            </w:pPr>
            <w:hyperlink w:anchor="page45">
              <w:r>
                <w:rPr>
                  <w:rFonts w:ascii="Times New Roman" w:cs="Times New Roman" w:eastAsia="Times New Roman" w:hAnsi="Times New Roman"/>
                  <w:sz w:val="18"/>
                  <w:szCs w:val="18"/>
                  <w:color w:val="0000EE"/>
                  <w:w w:val="97"/>
                </w:rPr>
                <w:t>Financial Statements and Supplementary Data</w:t>
              </w:r>
            </w:hyperlink>
          </w:p>
        </w:tc>
        <w:tc>
          <w:tcPr>
            <w:tcW w:w="678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3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7"/>
              </w:rPr>
            </w:pPr>
            <w:hyperlink w:anchor="page70">
              <w:r>
                <w:rPr>
                  <w:rFonts w:ascii="Times New Roman" w:cs="Times New Roman" w:eastAsia="Times New Roman" w:hAnsi="Times New Roman"/>
                  <w:sz w:val="18"/>
                  <w:szCs w:val="18"/>
                  <w:color w:val="0000EE"/>
                  <w:w w:val="97"/>
                </w:rPr>
                <w:t>Changes in and Disagreements With Accountants on Accounting and Financial Disclosure</w:t>
              </w:r>
            </w:hyperlink>
          </w:p>
        </w:tc>
        <w:tc>
          <w:tcPr>
            <w:tcW w:w="36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70">
              <w:r>
                <w:rPr>
                  <w:rFonts w:ascii="Times New Roman" w:cs="Times New Roman" w:eastAsia="Times New Roman" w:hAnsi="Times New Roman"/>
                  <w:sz w:val="18"/>
                  <w:szCs w:val="18"/>
                  <w:color w:val="0000EE"/>
                  <w:w w:val="97"/>
                </w:rPr>
                <w:t>Controls and Procedures</w:t>
              </w:r>
            </w:hyperlink>
          </w:p>
        </w:tc>
        <w:tc>
          <w:tcPr>
            <w:tcW w:w="830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0040" w:type="dxa"/>
            <w:vAlign w:val="bottom"/>
            <w:gridSpan w:val="20"/>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330"/>
        </w:trPr>
        <w:tc>
          <w:tcPr>
            <w:tcW w:w="10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80" w:type="dxa"/>
            <w:vAlign w:val="bottom"/>
            <w:gridSpan w:val="6"/>
          </w:tcPr>
          <w:p>
            <w:pPr>
              <w:jc w:val="center"/>
              <w:ind w:right="4960"/>
              <w:spacing w:after="0"/>
              <w:rPr>
                <w:sz w:val="20"/>
                <w:szCs w:val="20"/>
                <w:color w:val="auto"/>
              </w:rPr>
            </w:pPr>
            <w:r>
              <w:rPr>
                <w:rFonts w:ascii="Times New Roman" w:cs="Times New Roman" w:eastAsia="Times New Roman" w:hAnsi="Times New Roman"/>
                <w:sz w:val="18"/>
                <w:szCs w:val="18"/>
                <w:b w:val="1"/>
                <w:bCs w:val="1"/>
                <w:color w:val="auto"/>
                <w:w w:val="93"/>
              </w:rPr>
              <w:t>PART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Item 10.</w:t>
            </w:r>
          </w:p>
        </w:tc>
        <w:tc>
          <w:tcPr>
            <w:tcW w:w="10040" w:type="dxa"/>
            <w:vAlign w:val="bottom"/>
            <w:gridSpan w:val="20"/>
          </w:tcPr>
          <w:p>
            <w:pPr>
              <w:spacing w:after="0" w:line="190"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Directors, Executive Officers and Corporate Governance</w:t>
              </w:r>
            </w:hyperlink>
          </w:p>
        </w:tc>
        <w:tc>
          <w:tcPr>
            <w:tcW w:w="2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40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Executive Compensation</w:t>
              </w:r>
            </w:hyperlink>
          </w:p>
        </w:tc>
        <w:tc>
          <w:tcPr>
            <w:tcW w:w="60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2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10040" w:type="dxa"/>
            <w:vAlign w:val="bottom"/>
            <w:gridSpan w:val="20"/>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1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Certain Relationships and Related Transactions, and Director Independence</w:t>
              </w:r>
            </w:hyperlink>
          </w:p>
        </w:tc>
        <w:tc>
          <w:tcPr>
            <w:tcW w:w="29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3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Principal Accounting Fees and Services</w:t>
              </w:r>
            </w:hyperlink>
          </w:p>
        </w:tc>
        <w:tc>
          <w:tcPr>
            <w:tcW w:w="472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330"/>
        </w:trPr>
        <w:tc>
          <w:tcPr>
            <w:tcW w:w="10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80" w:type="dxa"/>
            <w:vAlign w:val="bottom"/>
            <w:gridSpan w:val="6"/>
          </w:tcPr>
          <w:p>
            <w:pPr>
              <w:jc w:val="center"/>
              <w:ind w:right="496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Item 15.</w:t>
            </w:r>
          </w:p>
        </w:tc>
        <w:tc>
          <w:tcPr>
            <w:tcW w:w="2840" w:type="dxa"/>
            <w:vAlign w:val="bottom"/>
            <w:tcBorders>
              <w:bottom w:val="single" w:sz="8" w:color="0000EE"/>
            </w:tcBorders>
            <w:gridSpan w:val="11"/>
          </w:tcPr>
          <w:p>
            <w:pPr>
              <w:spacing w:after="0" w:line="190" w:lineRule="exact"/>
              <w:rPr>
                <w:rFonts w:ascii="Times New Roman" w:cs="Times New Roman" w:eastAsia="Times New Roman" w:hAnsi="Times New Roman"/>
                <w:sz w:val="18"/>
                <w:szCs w:val="18"/>
                <w:color w:val="0000EE"/>
                <w:w w:val="97"/>
              </w:rPr>
            </w:pPr>
            <w:hyperlink w:anchor="page72">
              <w:r>
                <w:rPr>
                  <w:rFonts w:ascii="Times New Roman" w:cs="Times New Roman" w:eastAsia="Times New Roman" w:hAnsi="Times New Roman"/>
                  <w:sz w:val="18"/>
                  <w:szCs w:val="18"/>
                  <w:color w:val="0000EE"/>
                  <w:w w:val="97"/>
                </w:rPr>
                <w:t>Exhibits, Financial Statement Schedules</w:t>
              </w:r>
            </w:hyperlink>
          </w:p>
        </w:tc>
        <w:tc>
          <w:tcPr>
            <w:tcW w:w="7200" w:type="dxa"/>
            <w:vAlign w:val="bottom"/>
            <w:gridSpan w:val="9"/>
          </w:tcPr>
          <w:p>
            <w:pPr>
              <w:spacing w:after="0"/>
              <w:rPr>
                <w:sz w:val="16"/>
                <w:szCs w:val="16"/>
                <w:color w:val="auto"/>
              </w:rPr>
            </w:pPr>
          </w:p>
        </w:tc>
        <w:tc>
          <w:tcPr>
            <w:tcW w:w="2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b w:val="1"/>
                <w:bCs w:val="1"/>
                <w:color w:val="0000EE"/>
                <w:w w:val="95"/>
              </w:rPr>
            </w:pPr>
            <w:hyperlink w:anchor="page73">
              <w:r>
                <w:rPr>
                  <w:rFonts w:ascii="Times New Roman" w:cs="Times New Roman" w:eastAsia="Times New Roman" w:hAnsi="Times New Roman"/>
                  <w:sz w:val="18"/>
                  <w:szCs w:val="18"/>
                  <w:b w:val="1"/>
                  <w:bCs w:val="1"/>
                  <w:color w:val="0000EE"/>
                  <w:w w:val="95"/>
                </w:rPr>
                <w:t>SIGNATURES</w:t>
              </w:r>
            </w:hyperlink>
          </w:p>
        </w:tc>
        <w:tc>
          <w:tcPr>
            <w:tcW w:w="990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bl>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INFORMATION</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This Annual Report on Form 10-K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included in this Annual Report on Form 10-K. Readers are cautioned not to place undue reliance on these forward-looking statements, which speak only as of the date of this report. In some cases, you can identify forward-looking statements by the following words: “anticipate,” “believe,” “continue,” “could,” “estimate,” “expect,” “intend,” “may,” “ongoing,” “plan,” “potential,” “predict,” “project,” “should,” “will,” “would,” or the negative of these terms or other comparable terminology, although not all forward-looking statements contain these words.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Securities and Exchange Commission that advise interested parties of the risks and factors that may affect our business.</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455" w:right="27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8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i w:val="1"/>
          <w:iCs w:val="1"/>
          <w:color w:val="auto"/>
        </w:rPr>
        <w:t>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We are a leading provider of cloud-based supply chain management solutions, providing network-proven integrations and comprehensive retail performance analytics to thousands of customers worldwide. We provide our solutions through the SPS Commerce platform, a cloud-based product suite that improves the way suppliers, retailers, distributors and other customers place, manage and fulfill orders. Implementing and maintaining supply chain management capabilities is resource intensive and not a core competency for most businesses. The SPS Commerce platform eliminates the need for on-premise software and support staff, which enables our supplier customers to focus their resources on their core business. The SPS Commerce platform enables retailers and suppliers to shorten supply cycle times, optimize inventory levels and sell-through, reduce costs and ensure suppliers satisfy exacting retailer requirements.</w:t>
      </w:r>
    </w:p>
    <w:p>
      <w:pPr>
        <w:spacing w:after="0" w:line="111" w:lineRule="exact"/>
        <w:rPr>
          <w:sz w:val="20"/>
          <w:szCs w:val="20"/>
          <w:color w:val="auto"/>
        </w:rPr>
      </w:pPr>
    </w:p>
    <w:p>
      <w:pPr>
        <w:ind w:right="340" w:firstLine="456"/>
        <w:spacing w:after="0" w:line="258" w:lineRule="auto"/>
        <w:rPr>
          <w:sz w:val="20"/>
          <w:szCs w:val="20"/>
          <w:color w:val="auto"/>
        </w:rPr>
      </w:pPr>
      <w:r>
        <w:rPr>
          <w:rFonts w:ascii="Times New Roman" w:cs="Times New Roman" w:eastAsia="Times New Roman" w:hAnsi="Times New Roman"/>
          <w:sz w:val="18"/>
          <w:szCs w:val="18"/>
          <w:color w:val="auto"/>
        </w:rPr>
        <w:t>As of December 31, 2014, we had approximately 22,000 customers with contracts to pay us monthly fees, which we refer to as recurring revenue customers. We have also generated revenues by providing our cloud-based supply chain management solutions to an additional 38,000 organizations that, together with our recurring revenue customers, we refer to as our customers. Once connected to our platform, our customers often require integrations to new organizations that represent an expansion of our platform and new sources of revenues for us.</w:t>
      </w:r>
    </w:p>
    <w:p>
      <w:pPr>
        <w:spacing w:after="0" w:line="136"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As a provider of cloud services, we enable our customers to easily interact with their trading partners around the world without the local implementation and servicing of software that traditional on-premise solutions require. Our delivery model also enables us to offer functionality, integration, analytics and reliability with less cost and risk than traditional solutions.</w:t>
      </w:r>
    </w:p>
    <w:p>
      <w:pPr>
        <w:spacing w:after="0" w:line="132" w:lineRule="exact"/>
        <w:rPr>
          <w:sz w:val="20"/>
          <w:szCs w:val="20"/>
          <w:color w:val="auto"/>
        </w:rPr>
      </w:pPr>
    </w:p>
    <w:p>
      <w:pPr>
        <w:jc w:val="both"/>
        <w:ind w:right="60" w:firstLine="456"/>
        <w:spacing w:after="0" w:line="258" w:lineRule="auto"/>
        <w:rPr>
          <w:sz w:val="20"/>
          <w:szCs w:val="20"/>
          <w:color w:val="auto"/>
        </w:rPr>
      </w:pPr>
      <w:r>
        <w:rPr>
          <w:rFonts w:ascii="Times New Roman" w:cs="Times New Roman" w:eastAsia="Times New Roman" w:hAnsi="Times New Roman"/>
          <w:sz w:val="18"/>
          <w:szCs w:val="18"/>
          <w:color w:val="auto"/>
        </w:rPr>
        <w:t>For 2014, 2013 and 2012, we generated revenues of $127.9 million, $104.4 million and $77.1 million, respectively. Our fiscal quarter ended December 31, 2014 represented our 56th consecutive quarter of increased revenues. Recurring revenues from recurring revenue customers accounted for 90%, 89% and 88% of our total revenues for 2014, 2013 and 2012, respectively. Our revenues are not concentrated with any customer, as our largest customer represented 2% or less of total revenues for 2014, 2013 and 2012.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Today’s Retail Landscape</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One of the driving factors in the retail industry today is the rising influence of e-commerce and the mobile shopping experience. The retail industry is in the midst of a transformation, as retailers, suppliers and the many companies that facilitate transactions in the industry reshape how they do business and adapt to omnichannel retailing — defined as providing a shopper with a consistent experience regardless of where they might engage a retailer (or increasingly a supplier), whether bricks-and-mortar, website, or mobile experience.</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Supply Chain Management Industry Background</w:t>
      </w:r>
    </w:p>
    <w:p>
      <w:pPr>
        <w:spacing w:after="0" w:line="94"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supply chain management industry enables thousands of retailers around the world to transact and grow their relationships with tens of thousands of suppliers. Additional participants in this market include distributors, third-party logistics providers, manufacturers, fulfillment and warehousing providers and sourcing companies. Supply chain management involves communicating data about the goods themselves, data related to the exchange of goods among these trading partners, and information about the many thousands of companies who are members of the supply chain community. At every stage of the supply chain there are inefficient, labor-intensive processes between trading partners with significant documentation requirements, such as the counting, sorting and verifying of goods before shipment,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455" w:right="2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while in transit and upon delivery. Supply chain management solutions must address trading partners’ needs for integration, collaboration, connectivity, visibility and data analytics to improve the speed, accuracy and efficiency with which goods are ordered and supplied.</w:t>
      </w:r>
    </w:p>
    <w:p>
      <w:pPr>
        <w:spacing w:after="0" w:line="12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industry initially focused on automating and streamlining the processing of fulfillment transactions between retailers and suppliers, and others in the supply chain, ensuring orders were placed accurately and quickly, and that goods were delivered on time and meeting the retailer’s requirements. As the pace of change in retailing has accelerated with the emergence of e-commerce, today’s supply chain solutions need to also encompass a growing set of valuable capabilities that draw on this foundational transaction information, and add value beyond the supply chain management function within retailers and suppliers. In today’s rapidly changing omnichannel retail market, where retailers and suppliers are increasingly focused on electronic commerce and brick-and-mortar commerce as a continuum, supply chain information has a role across the entire enterprise. Demand planning and forecasting groups need visibility from the front of the store all the way back to the factory to ensure supply meets demand. Sourcing operations require access to thousands of new items to drive their e-commerce growth and ensure physical stores have the items consumers will find compelling and engaging.</w:t>
      </w:r>
    </w:p>
    <w:p>
      <w:pPr>
        <w:spacing w:after="0" w:line="138"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As familiarity and acceptance of cloud-based services continues to accelerate, we believe companies, both large and small, will continue to turn to cloud-based services similar to ours for their supply chain integration needs, as opposed to traditional on-premise software deployment.</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Omnichannel Foundation — Fulfillment Automation Between Retailers and Suppliers</w:t>
      </w:r>
    </w:p>
    <w:p>
      <w:pPr>
        <w:spacing w:after="0" w:line="9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Retailers impose specific work-flow rules and standards on their trading partners for electronically communicating their supply chain information. These “rule books” include specific business processes for suppliers to exchange data and documentation requirements such as invoices, purchase orders and advance shipping notices. Rule books can be hundreds of pages, and retailers frequently have multiple rule books for international requirements or specific fulfillment models. Suppliers working with multiple retailers need to accommodate different rule books for each retailer. These rule books are not standardized between retailers, but vary based on a retailer’s size, industry and technological capabilities. The responsibility for creating information “maps,” which are integration connections between the retailer and the supplier that comply with the retailer’s rule books, resides primarily with the supplier. The cost of noncompliance can be refusal of delivered goods, fines and ultimately a termination of the supplier’s relationship with the retailer. The complexity of retailers’ requirements and consequences of noncompliance create growing demand for specialized supply chain management automation solutions.</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Traditional Supply Chain Management Solutions</w:t>
      </w:r>
    </w:p>
    <w:p>
      <w:pPr>
        <w:spacing w:after="0" w:line="94"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Traditional supply chain management solutions, which range from non-automated paper or fax solutions to electronic solutions, implemented using on-premise licensed software, tend to focus primarily on fulfillment automation. On-premise licensed software provides connectivity between only one organization and its trading partners and typically requires significant time and technical expertise to configure, deploy and maintain. These software providers primarily link retailers and suppliers through the Electronic Data Interchange (EDI) protocol that enables the structured electronic transmission of data between organizations. Because of set-up and maintenance costs, technical complexity and a growing volume of requirements from retailers, the traditional software model is not well suited for many suppliers, especially those small and medium in size.</w:t>
      </w:r>
    </w:p>
    <w:p>
      <w:pPr>
        <w:spacing w:after="0" w:line="139" w:lineRule="exact"/>
        <w:rPr>
          <w:sz w:val="20"/>
          <w:szCs w:val="20"/>
          <w:color w:val="auto"/>
        </w:rPr>
      </w:pPr>
    </w:p>
    <w:p>
      <w:pPr>
        <w:ind w:right="380" w:firstLine="456"/>
        <w:spacing w:after="0" w:line="258" w:lineRule="auto"/>
        <w:rPr>
          <w:sz w:val="20"/>
          <w:szCs w:val="20"/>
          <w:color w:val="auto"/>
        </w:rPr>
      </w:pPr>
      <w:r>
        <w:rPr>
          <w:rFonts w:ascii="Times New Roman" w:cs="Times New Roman" w:eastAsia="Times New Roman" w:hAnsi="Times New Roman"/>
          <w:sz w:val="18"/>
          <w:szCs w:val="18"/>
          <w:color w:val="auto"/>
        </w:rPr>
        <w:t>Additionally, the traditional approach to supply chain automation involves a system architecture made up of many point-to-point connections between retailers and their suppliers. These collections of connections are inherently error prone and can be difficult to adapt to changing requirements and market circumstances. For instance, if there is a broad trend in the market (such as the growing popularity of mobile commerce) that many members of a retailing segment would like to adapt to, a supplier would be faced with a series of enhancements,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455"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on a one-by-one basis, to the collection of connections they have with their retailers. Traditional approaches do not have the inherent, or architectural, capabilities to enable the flexibility and adaptability to embrace the ongoing change that omnichannel retailing requires.</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Moving Beyond Transactions — Insight and Data Analysis Powering Intelligent Decision Making</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Fulfillment automation is a first step toward addressing the complexities in the supply chain ecosystem, but is only the necessary first step in providing omnichannel retail success. As the number and geographic dispersion of trading partners has grown, it has never been more important for retailers and suppliers to have precise, timely insight into demand and supply, by item and by location. As a result, trading partners need a solution that effectively consolidates, distills and provides sell-through information to managers and decision-makers who can use the information to drive efficiency, revenue growth and profitability. The abundance of data produced by these processes, including data for fulfillment, sales and inventory levels, is often inaccessible to trading partners for analysis. The data and related analytics are essential for optimizing the inventory and fulfillment process and will continue to drive demand for supply chain management solutions.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Cloud Services Provide Flexibility, Adaptability and a Key Source of Information Across the Supply Chain</w:t>
      </w:r>
    </w:p>
    <w:p>
      <w:pPr>
        <w:spacing w:after="0" w:line="9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Cloud services are well suited for providing supply chain management solutions because they inherently enable rapid provisioning of capabilities and offer robust and reliable integration with retailer and supplier systems. Cloud services are able to continue utilizing standard connectivity protocols, such as EDI, but also are able to support the growing use of standard internet protocols that retailers require, such as XML, in addition to enabling API-based integration. These cloud services connect suppliers and retailers more efficiently than traditional on-premise software solutions by leveraging the integrations created for a single supplier across all participating suppliers.</w:t>
      </w:r>
    </w:p>
    <w:p>
      <w:pPr>
        <w:spacing w:after="0" w:line="139" w:lineRule="exact"/>
        <w:rPr>
          <w:sz w:val="20"/>
          <w:szCs w:val="20"/>
          <w:color w:val="auto"/>
        </w:rPr>
      </w:pPr>
    </w:p>
    <w:p>
      <w:pPr>
        <w:jc w:val="both"/>
        <w:ind w:right="280" w:firstLine="456"/>
        <w:spacing w:after="0" w:line="262" w:lineRule="auto"/>
        <w:rPr>
          <w:sz w:val="20"/>
          <w:szCs w:val="20"/>
          <w:color w:val="auto"/>
        </w:rPr>
      </w:pPr>
      <w:r>
        <w:rPr>
          <w:rFonts w:ascii="Times New Roman" w:cs="Times New Roman" w:eastAsia="Times New Roman" w:hAnsi="Times New Roman"/>
          <w:sz w:val="18"/>
          <w:szCs w:val="18"/>
          <w:color w:val="auto"/>
        </w:rPr>
        <w:t>Cloud services enable an organization to connect across the supply chain ecosystem, addressing increased retailer demands, globalization and increased complexity affecting the supply chain. In addition, cloud services can integrate supply chain management applications with organizations’ existing enterprise resource planning systems.</w:t>
      </w:r>
    </w:p>
    <w:p>
      <w:pPr>
        <w:spacing w:after="0" w:line="13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Cloud services and API-based service integration provide retailers and suppliers with access to new and powerful capabilities quickly, often integrated with analytics to enable rapid service innovation and responsiveness as the retailing landscape continues to respond to omnichannel advancements.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92" w:lineRule="exact"/>
        <w:rPr>
          <w:sz w:val="20"/>
          <w:szCs w:val="20"/>
          <w:color w:val="auto"/>
        </w:rPr>
      </w:pPr>
    </w:p>
    <w:p>
      <w:pPr>
        <w:ind w:right="20" w:firstLine="456"/>
        <w:spacing w:after="0" w:line="296" w:lineRule="auto"/>
        <w:rPr>
          <w:sz w:val="20"/>
          <w:szCs w:val="20"/>
          <w:color w:val="auto"/>
        </w:rPr>
      </w:pPr>
      <w:r>
        <w:rPr>
          <w:rFonts w:ascii="Times New Roman" w:cs="Times New Roman" w:eastAsia="Times New Roman" w:hAnsi="Times New Roman"/>
          <w:sz w:val="16"/>
          <w:szCs w:val="16"/>
          <w:color w:val="auto"/>
        </w:rPr>
        <w:t>We operate one of the largest retail trading partner networks through a cloud-based services suite that improves the way suppliers, retailers, distributors and other trading partners manage and fulfill orders, manage sell-through performance and source new items. Approximately 60,000 customers across more than 60 countries have used our platform to improve the performance of their trading relationships. Our platform fundamentally changes how organizations use electronic communication to manage their supply chains by replacing the collection of traditional, custom-built, point-to-point integrations with a “hub-and-spoke” model whereby a single integration to our platform enables an organization to connect seamlessly to the entire SPS Commerce network of trading partners.</w:t>
      </w:r>
    </w:p>
    <w:p>
      <w:pPr>
        <w:spacing w:after="0" w:line="108"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From that single connection, a member of our network can make use of the full suite of our solutions, from fulfillment automation, to the analysis and optimization of item sell-through performance, to sourcing new items, new retailing relationships or providers of logistics and other services. This represents a fundamental change to fulfillment automation and enables inherent adaptability and flexibility not possible with traditional supply chain management system architectures.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455" w:right="2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platform is comprised of a set of coupled cloud services that deliver value as stand-alone offerings, but also provide additional value when used collectively. Our fulfillment product combines integrations that comply with numerous rule books for retailers and distributors with whom we and our customers have done business. By maintaining current integrations with retailers, our platform obviates the need for suppliers to continually stay up-to-date with the rule book changes required by retailers. Moreover, by utilizing a cloud services model, we eliminate or greatly reduce the burden on suppliers to support and maintain an on-premise software application, thereby reducing ongoing operating costs. As the transaction hub for trading partners, we also are able to provide increased performance visibility and data analytics capabilities for retailers and suppliers across their supply chains, each of which is difficult to gain from traditional, point-to-point integration solutions.</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solutions are enabled through the SPS Commerce cloud services platform:</w:t>
      </w:r>
    </w:p>
    <w:p>
      <w:pPr>
        <w:spacing w:after="0" w:line="88" w:lineRule="exact"/>
        <w:rPr>
          <w:sz w:val="20"/>
          <w:szCs w:val="20"/>
          <w:color w:val="auto"/>
        </w:rPr>
      </w:pPr>
    </w:p>
    <w:p>
      <w:pPr>
        <w:jc w:val="both"/>
        <w:ind w:left="660" w:right="360" w:hanging="206"/>
        <w:spacing w:after="0" w:line="26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Trading Partner Fulfillment. </w:t>
      </w:r>
      <w:r>
        <w:rPr>
          <w:rFonts w:ascii="Times New Roman" w:cs="Times New Roman" w:eastAsia="Times New Roman" w:hAnsi="Times New Roman"/>
          <w:sz w:val="18"/>
          <w:szCs w:val="18"/>
          <w:color w:val="auto"/>
        </w:rPr>
        <w:t>Our Trading Partner Fulfillment solution provides fulfillment automation and replaces or augments an organization’s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trading partner electronic communication infrastructure, enabling suppliers to comply with retailers’ rule books and enabling the electronic exchange of information among numerous trading partners through various protocols.</w:t>
      </w:r>
    </w:p>
    <w:p>
      <w:pPr>
        <w:spacing w:after="0" w:line="46" w:lineRule="exact"/>
        <w:rPr>
          <w:rFonts w:ascii="Times New Roman" w:cs="Times New Roman" w:eastAsia="Times New Roman" w:hAnsi="Times New Roman"/>
          <w:sz w:val="18"/>
          <w:szCs w:val="18"/>
          <w:color w:val="auto"/>
        </w:rPr>
      </w:pPr>
    </w:p>
    <w:p>
      <w:pPr>
        <w:ind w:left="660" w:right="240" w:hanging="206"/>
        <w:spacing w:after="0" w:line="25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Trading Partner Assortment. </w:t>
      </w:r>
      <w:r>
        <w:rPr>
          <w:rFonts w:ascii="Times New Roman" w:cs="Times New Roman" w:eastAsia="Times New Roman" w:hAnsi="Times New Roman"/>
          <w:sz w:val="18"/>
          <w:szCs w:val="18"/>
          <w:color w:val="auto"/>
        </w:rPr>
        <w:t>Today’s retail marketplace requires the management of tens and even hundreds of individual attributes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item a retailer or supplier sells today. This information can include digital images/video, customer facing descriptions and measurements, and warehouse information. Our Assortment product provides robust, extensible management of this information, enabling accurate orders and rapid fulfillment.</w:t>
      </w:r>
    </w:p>
    <w:p>
      <w:pPr>
        <w:spacing w:after="0" w:line="51" w:lineRule="exact"/>
        <w:rPr>
          <w:rFonts w:ascii="Times New Roman" w:cs="Times New Roman" w:eastAsia="Times New Roman" w:hAnsi="Times New Roman"/>
          <w:sz w:val="18"/>
          <w:szCs w:val="18"/>
          <w:color w:val="auto"/>
        </w:rPr>
      </w:pPr>
    </w:p>
    <w:p>
      <w:pPr>
        <w:jc w:val="both"/>
        <w:ind w:left="660" w:right="240" w:hanging="206"/>
        <w:spacing w:after="0" w:line="312"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Trading Partner Analytics. </w:t>
      </w:r>
      <w:r>
        <w:rPr>
          <w:rFonts w:ascii="Times New Roman" w:cs="Times New Roman" w:eastAsia="Times New Roman" w:hAnsi="Times New Roman"/>
          <w:sz w:val="16"/>
          <w:szCs w:val="16"/>
          <w:color w:val="auto"/>
        </w:rPr>
        <w:t>Our Trading Partner Analytics solution consists of data analytics applications that enable our customers to improve their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visibility across, and analysis of, their supply chains. When focused on point-of-sale data, for example, retailers and suppliers can ensure inventory is located where demand is highest. Retailers improve their visibility into supplier performance and their understanding of product sell-through.</w:t>
      </w:r>
    </w:p>
    <w:p>
      <w:pPr>
        <w:spacing w:after="0" w:line="11" w:lineRule="exact"/>
        <w:rPr>
          <w:rFonts w:ascii="Times New Roman" w:cs="Times New Roman" w:eastAsia="Times New Roman" w:hAnsi="Times New Roman"/>
          <w:sz w:val="16"/>
          <w:szCs w:val="16"/>
          <w:color w:val="auto"/>
        </w:rPr>
      </w:pPr>
    </w:p>
    <w:p>
      <w:pPr>
        <w:ind w:left="660" w:right="240" w:hanging="206"/>
        <w:spacing w:after="0" w:line="27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Partner Sourcing</w:t>
      </w:r>
      <w:r>
        <w:rPr>
          <w:rFonts w:ascii="Times New Roman" w:cs="Times New Roman" w:eastAsia="Times New Roman" w:hAnsi="Times New Roman"/>
          <w:sz w:val="18"/>
          <w:szCs w:val="18"/>
          <w:color w:val="auto"/>
        </w:rPr>
        <w:t>. Through Retail Universe, our social network for the retail industry, retailers can source providers of new items, suppliers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connect with new retailers, and the broader retailing community can make connections to expand their business networks and grow.</w:t>
      </w:r>
    </w:p>
    <w:p>
      <w:pPr>
        <w:spacing w:after="0" w:line="35" w:lineRule="exact"/>
        <w:rPr>
          <w:rFonts w:ascii="Times New Roman" w:cs="Times New Roman" w:eastAsia="Times New Roman" w:hAnsi="Times New Roman"/>
          <w:sz w:val="18"/>
          <w:szCs w:val="18"/>
          <w:color w:val="auto"/>
        </w:rPr>
      </w:pPr>
    </w:p>
    <w:p>
      <w:pPr>
        <w:ind w:left="660" w:right="400" w:hanging="206"/>
        <w:spacing w:after="0" w:line="26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Trading Partner Enablement. </w:t>
      </w:r>
      <w:r>
        <w:rPr>
          <w:rFonts w:ascii="Times New Roman" w:cs="Times New Roman" w:eastAsia="Times New Roman" w:hAnsi="Times New Roman"/>
          <w:sz w:val="18"/>
          <w:szCs w:val="18"/>
          <w:color w:val="auto"/>
        </w:rPr>
        <w:t>Our Trading Partner Enablement solution provides communications programs based on our best practices, enabling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from large to small retailers and suppliers to emerging providers of value-added products and services, to establish trading partner relationships with new trading partners to expand their businesses.</w:t>
      </w:r>
    </w:p>
    <w:p>
      <w:pPr>
        <w:spacing w:after="0" w:line="46" w:lineRule="exact"/>
        <w:rPr>
          <w:rFonts w:ascii="Times New Roman" w:cs="Times New Roman" w:eastAsia="Times New Roman" w:hAnsi="Times New Roman"/>
          <w:sz w:val="18"/>
          <w:szCs w:val="18"/>
          <w:color w:val="auto"/>
        </w:rPr>
      </w:pPr>
    </w:p>
    <w:p>
      <w:pPr>
        <w:ind w:left="660" w:right="380" w:hanging="206"/>
        <w:spacing w:after="0" w:line="27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Trading Partner Solutions. </w:t>
      </w:r>
      <w:r>
        <w:rPr>
          <w:rFonts w:ascii="Times New Roman" w:cs="Times New Roman" w:eastAsia="Times New Roman" w:hAnsi="Times New Roman"/>
          <w:sz w:val="18"/>
          <w:szCs w:val="18"/>
          <w:color w:val="auto"/>
        </w:rPr>
        <w:t>We provide a number of peripheral solutions such as barcode labeling and our scan and pack application,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helps trading partners process information to streamline the picking and packaging process.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 and Sales Sources</w:t>
      </w:r>
    </w:p>
    <w:p>
      <w:pPr>
        <w:spacing w:after="0" w:line="9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As one of the largest providers of cloud services for supply chain management, the trading partner relationships that we enable among our retailer, supplier and fulfillment customers naturally lead to new customer acquisition opportunities.</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“Network Effect”</w:t>
      </w:r>
    </w:p>
    <w:p>
      <w:pPr>
        <w:spacing w:after="0" w:line="9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Once connected to our network, trading partners can exchange electronic supply chain information with each other. Through our platform, we have helped approximately 60,000 customers to improve the performance of their trading partner relationships. The value of our platform increases with the number of trading partners connected to the platform. The addition of each new customer to our platform enables that new customer to communicate with our existing customers and enables our existing customers to do business with the new customer. Additionally, through Retail Universe, our community now has a social network focused on facilitating</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connections and business interactions among retailers and suppliers. This “network effect” of adding an additional customer to our platform creates a significant opportunity for existing customers to realize incremental sales by working with our new trading partners and vice versa. As a result of this increased volume of activity amongst our network participants, we earn additional revenues from these participants.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Sources</w:t>
      </w:r>
    </w:p>
    <w:p>
      <w:pPr>
        <w:spacing w:after="0" w:line="92" w:lineRule="exact"/>
        <w:rPr>
          <w:sz w:val="20"/>
          <w:szCs w:val="20"/>
          <w:color w:val="auto"/>
        </w:rPr>
      </w:pPr>
    </w:p>
    <w:p>
      <w:pPr>
        <w:ind w:right="60" w:firstLine="456"/>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Trading Partner Enablement. </w:t>
      </w:r>
      <w:r>
        <w:rPr>
          <w:rFonts w:ascii="Times New Roman" w:cs="Times New Roman" w:eastAsia="Times New Roman" w:hAnsi="Times New Roman"/>
          <w:sz w:val="16"/>
          <w:szCs w:val="16"/>
          <w:color w:val="auto"/>
        </w:rPr>
        <w:t>As retailers and suppliers reshape how they do business in an omnichannel landscape, they need to bring new capabilities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services to their trading partner networks. For instance, a supplier may wish to collaborate with their retailers around point-of-sale analytics data, or a retailer may decide to change the workflow or protocol by which it interacts with its suppliers. In each case, the supplier and retailer may engage us to work with its trading partner base to enable the new capability. Performing these programs on behalf of retailers and suppliers often generates supplier sales leads for us.</w:t>
      </w:r>
    </w:p>
    <w:p>
      <w:pPr>
        <w:spacing w:after="0" w:line="100" w:lineRule="exact"/>
        <w:rPr>
          <w:sz w:val="20"/>
          <w:szCs w:val="20"/>
          <w:color w:val="auto"/>
        </w:rPr>
      </w:pPr>
    </w:p>
    <w:p>
      <w:pPr>
        <w:ind w:right="30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Referrals from Our Customers. </w:t>
      </w:r>
      <w:r>
        <w:rPr>
          <w:rFonts w:ascii="Times New Roman" w:cs="Times New Roman" w:eastAsia="Times New Roman" w:hAnsi="Times New Roman"/>
          <w:sz w:val="18"/>
          <w:szCs w:val="18"/>
          <w:color w:val="auto"/>
        </w:rPr>
        <w:t>We also receive sales leads from our customers seeking to communicate electronically with their trading partners.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example, a supplier may refer to us its third-party logistics provider or manufacturer which is not in our network.</w:t>
      </w:r>
    </w:p>
    <w:p>
      <w:pPr>
        <w:spacing w:after="0" w:line="11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Channel Partners. </w:t>
      </w:r>
      <w:r>
        <w:rPr>
          <w:rFonts w:ascii="Times New Roman" w:cs="Times New Roman" w:eastAsia="Times New Roman" w:hAnsi="Times New Roman"/>
          <w:sz w:val="18"/>
          <w:szCs w:val="18"/>
          <w:color w:val="auto"/>
        </w:rPr>
        <w:t>In addition to the customer acquisition sources identified above, we market and sell our solutions through a variety of channel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software providers, resellers, system integrators and logistics partners. For example, software partners such as Microsoft, NetSuite, Oracle or SAP and their business partner communities generate sales for us as part of broader enterprise resource planning, warehouse management system and/or transportation management system sales efforts. Our logistics partners also drive new sales both by providing leads and by embedding our solutions as part of their service offerings. For example, we have a contractual relationship with a leading global logistics provider where we private label our solutions, which are in turn sold as that company’s branded solution.</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Sales Force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also sell our solutions through a global sales force which is organized as follows:</w:t>
      </w:r>
    </w:p>
    <w:p>
      <w:pPr>
        <w:spacing w:after="0" w:line="88" w:lineRule="exact"/>
        <w:rPr>
          <w:sz w:val="20"/>
          <w:szCs w:val="20"/>
          <w:color w:val="auto"/>
        </w:rPr>
      </w:pPr>
    </w:p>
    <w:p>
      <w:pPr>
        <w:ind w:left="660" w:hanging="20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Retailer Sales.  </w:t>
      </w:r>
      <w:r>
        <w:rPr>
          <w:rFonts w:ascii="Times New Roman" w:cs="Times New Roman" w:eastAsia="Times New Roman" w:hAnsi="Times New Roman"/>
          <w:sz w:val="18"/>
          <w:szCs w:val="18"/>
          <w:color w:val="auto"/>
        </w:rPr>
        <w:t>We employ a team of sales professionals who focus on selling our cloud services suite to retailers and distributors.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Supplier Sales.  </w:t>
      </w:r>
      <w:r>
        <w:rPr>
          <w:rFonts w:ascii="Times New Roman" w:cs="Times New Roman" w:eastAsia="Times New Roman" w:hAnsi="Times New Roman"/>
          <w:sz w:val="18"/>
          <w:szCs w:val="18"/>
          <w:color w:val="auto"/>
        </w:rPr>
        <w:t>We employ a team of supplier sales representatives focused on selling our cloud services suite to suppliers.</w:t>
      </w:r>
    </w:p>
    <w:p>
      <w:pPr>
        <w:spacing w:after="0" w:line="90" w:lineRule="exact"/>
        <w:rPr>
          <w:rFonts w:ascii="Times New Roman" w:cs="Times New Roman" w:eastAsia="Times New Roman" w:hAnsi="Times New Roman"/>
          <w:sz w:val="18"/>
          <w:szCs w:val="18"/>
          <w:color w:val="auto"/>
        </w:rPr>
      </w:pPr>
    </w:p>
    <w:p>
      <w:pPr>
        <w:ind w:left="660" w:right="600" w:hanging="206"/>
        <w:spacing w:after="0" w:line="27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Development Efforts. </w:t>
      </w:r>
      <w:r>
        <w:rPr>
          <w:rFonts w:ascii="Times New Roman" w:cs="Times New Roman" w:eastAsia="Times New Roman" w:hAnsi="Times New Roman"/>
          <w:sz w:val="18"/>
          <w:szCs w:val="18"/>
          <w:color w:val="auto"/>
        </w:rPr>
        <w:t>Our business development organization is tasked with finding new sources of revenue and development of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opportunities through channel partners and other areas that present opportunity for growth.</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objective is to be the leading global provider of supply chain management solutions. Key elements of our strategy include:</w:t>
      </w:r>
    </w:p>
    <w:p>
      <w:pPr>
        <w:spacing w:after="0" w:line="88" w:lineRule="exact"/>
        <w:rPr>
          <w:sz w:val="20"/>
          <w:szCs w:val="20"/>
          <w:color w:val="auto"/>
        </w:rPr>
      </w:pPr>
    </w:p>
    <w:p>
      <w:pPr>
        <w:ind w:left="660" w:right="100" w:hanging="206"/>
        <w:spacing w:after="0" w:line="25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Further Penetrate Our Current Market. </w:t>
      </w:r>
      <w:r>
        <w:rPr>
          <w:rFonts w:ascii="Times New Roman" w:cs="Times New Roman" w:eastAsia="Times New Roman" w:hAnsi="Times New Roman"/>
          <w:sz w:val="18"/>
          <w:szCs w:val="18"/>
          <w:color w:val="auto"/>
        </w:rPr>
        <w:t>We believe the global supply chain management market is underpenetrated and, as the retail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continues to respond to the changing requirements of the omnichannel marketplace, and as the supply chain ecosystem becomes more complex and geographically dispersed, the demand for supply chain management solutions will increase, especially among small- and medium-sized businesses. We intend to continue leveraging our relationships with customers and their trading partners to obtain new sales leads.</w:t>
      </w:r>
    </w:p>
    <w:p>
      <w:pPr>
        <w:spacing w:after="0" w:line="51" w:lineRule="exact"/>
        <w:rPr>
          <w:rFonts w:ascii="Times New Roman" w:cs="Times New Roman" w:eastAsia="Times New Roman" w:hAnsi="Times New Roman"/>
          <w:sz w:val="18"/>
          <w:szCs w:val="18"/>
          <w:color w:val="auto"/>
        </w:rPr>
      </w:pPr>
    </w:p>
    <w:p>
      <w:pPr>
        <w:jc w:val="both"/>
        <w:ind w:left="660" w:right="40" w:hanging="206"/>
        <w:spacing w:after="0" w:line="26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Revenues from Our Customer Base. </w:t>
      </w:r>
      <w:r>
        <w:rPr>
          <w:rFonts w:ascii="Times New Roman" w:cs="Times New Roman" w:eastAsia="Times New Roman" w:hAnsi="Times New Roman"/>
          <w:sz w:val="18"/>
          <w:szCs w:val="18"/>
          <w:color w:val="auto"/>
        </w:rPr>
        <w:t>We believe our overall customer satisfaction is strong and will lead our customers to further expand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of the solutions they have currently purchased as well as purchase additional services to continue improving the performance of their trading partner relationships, generating additional revenues for us. We also expect to introduce new solutions to sell to</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80"/>
        <w:spacing w:after="0" w:line="333" w:lineRule="auto"/>
        <w:rPr>
          <w:sz w:val="20"/>
          <w:szCs w:val="20"/>
          <w:color w:val="auto"/>
        </w:rPr>
      </w:pPr>
      <w:r>
        <w:rPr>
          <w:rFonts w:ascii="Times New Roman" w:cs="Times New Roman" w:eastAsia="Times New Roman" w:hAnsi="Times New Roman"/>
          <w:sz w:val="16"/>
          <w:szCs w:val="16"/>
          <w:color w:val="auto"/>
        </w:rPr>
        <w:t>our customers. We believe our position as the incumbent supply chain management solution provider to our customers, our integration into our recurring revenue customers’ business systems and the modular nature of our platform are conducive to deploying additional solutions with customers.</w:t>
      </w:r>
    </w:p>
    <w:p>
      <w:pPr>
        <w:spacing w:after="0" w:line="1" w:lineRule="exact"/>
        <w:rPr>
          <w:sz w:val="20"/>
          <w:szCs w:val="20"/>
          <w:color w:val="auto"/>
        </w:rPr>
      </w:pPr>
    </w:p>
    <w:p>
      <w:pPr>
        <w:ind w:left="660" w:right="20" w:hanging="206"/>
        <w:spacing w:after="0" w:line="27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Our Distribution Channels. </w:t>
      </w:r>
      <w:r>
        <w:rPr>
          <w:rFonts w:ascii="Times New Roman" w:cs="Times New Roman" w:eastAsia="Times New Roman" w:hAnsi="Times New Roman"/>
          <w:sz w:val="18"/>
          <w:szCs w:val="18"/>
          <w:color w:val="auto"/>
        </w:rPr>
        <w:t>We intend to grow our business by expanding our network of sales representatives to gain new customers. We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there are valuable opportunities to promote and sell our solutions through collaboration with other providers.</w:t>
      </w:r>
    </w:p>
    <w:p>
      <w:pPr>
        <w:spacing w:after="0" w:line="35" w:lineRule="exact"/>
        <w:rPr>
          <w:rFonts w:ascii="Times New Roman" w:cs="Times New Roman" w:eastAsia="Times New Roman" w:hAnsi="Times New Roman"/>
          <w:sz w:val="18"/>
          <w:szCs w:val="18"/>
          <w:color w:val="auto"/>
        </w:rPr>
      </w:pPr>
    </w:p>
    <w:p>
      <w:pPr>
        <w:ind w:left="660" w:right="140" w:hanging="206"/>
        <w:spacing w:after="0" w:line="259"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Our International Presence. </w:t>
      </w:r>
      <w:r>
        <w:rPr>
          <w:rFonts w:ascii="Times New Roman" w:cs="Times New Roman" w:eastAsia="Times New Roman" w:hAnsi="Times New Roman"/>
          <w:sz w:val="18"/>
          <w:szCs w:val="18"/>
          <w:color w:val="auto"/>
        </w:rPr>
        <w:t>We believe our presence in Asia Pacific, as well as Europe, represents a significant competitive advantage.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to increase our international sales efforts to obtain new supplier and retailer customers around the world. We intend to leverage our current international presence to increase the number of integrations we have with retailers in foreign markets to make our platform more valuable to suppliers based overseas.</w:t>
      </w:r>
    </w:p>
    <w:p>
      <w:pPr>
        <w:spacing w:after="0" w:line="51" w:lineRule="exact"/>
        <w:rPr>
          <w:rFonts w:ascii="Times New Roman" w:cs="Times New Roman" w:eastAsia="Times New Roman" w:hAnsi="Times New Roman"/>
          <w:sz w:val="18"/>
          <w:szCs w:val="18"/>
          <w:color w:val="auto"/>
        </w:rPr>
      </w:pPr>
    </w:p>
    <w:p>
      <w:pPr>
        <w:ind w:left="660" w:right="160" w:hanging="206"/>
        <w:spacing w:after="0" w:line="27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 and Expand Our Platform. </w:t>
      </w:r>
      <w:r>
        <w:rPr>
          <w:rFonts w:ascii="Times New Roman" w:cs="Times New Roman" w:eastAsia="Times New Roman" w:hAnsi="Times New Roman"/>
          <w:sz w:val="18"/>
          <w:szCs w:val="18"/>
          <w:color w:val="auto"/>
        </w:rPr>
        <w:t>We intend to further improve and develop the functionality and features of our platform, including,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developing new solutions and applications.</w:t>
      </w:r>
    </w:p>
    <w:p>
      <w:pPr>
        <w:spacing w:after="0" w:line="35" w:lineRule="exact"/>
        <w:rPr>
          <w:rFonts w:ascii="Times New Roman" w:cs="Times New Roman" w:eastAsia="Times New Roman" w:hAnsi="Times New Roman"/>
          <w:sz w:val="18"/>
          <w:szCs w:val="18"/>
          <w:color w:val="auto"/>
        </w:rPr>
      </w:pPr>
    </w:p>
    <w:p>
      <w:pPr>
        <w:ind w:left="660" w:right="20" w:hanging="206"/>
        <w:spacing w:after="0" w:line="253"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Selectively Pursue Strategic Acquisitions. </w:t>
      </w:r>
      <w:r>
        <w:rPr>
          <w:rFonts w:ascii="Times New Roman" w:cs="Times New Roman" w:eastAsia="Times New Roman" w:hAnsi="Times New Roman"/>
          <w:sz w:val="18"/>
          <w:szCs w:val="18"/>
          <w:color w:val="auto"/>
        </w:rPr>
        <w:t>The fragmented nature of our market provides opportunity for selective acquisitions. In 2014, we 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all of the assets of Leadtec Systems Australia Pty Ltd (“Leadtec”) and its affiliates, a privately-held provider of cloud-based integration solutions in Australia and New Zealand. This acquisition expanded our base of recurring revenue customers and added suppliers to our network. In 2012, we purchased substantially all of the assets of Edifice Information Management Systems, Inc., a privately-held information services company specializing in the collection, analysis and distribution of point-of-sale data used by retailers and suppliers to improve their supply chain efficiencies. This acquisition increased our point-of-sale analytic offerings, expanded our base of recurring revenue customers and added suppliers to our network. To complement and accelerate our internal growth, we may pursue acquisitions of other supply chain management companies to add customers. We plan to evaluate potential acquisitions of other supply chain management companies primarily based on the number of customers and revenue the acquisition would provide relative to the purchase price. We also may pursue acquisitions that allow us to expand into regions where we do not have a significant presence or to offer new functionalities we do not currently provide. We plan to evaluate potential acquisitions to expand into new regions or offer additional functionalities primarily based on the anticipated growth the acquisition would provide, the purchase price and our ability to integrate and operate the acquired business.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Development and Operations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Technology</w:t>
      </w:r>
    </w:p>
    <w:p>
      <w:pPr>
        <w:spacing w:after="0" w:line="94"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We were an early provider of cloud services to the retail supply chain management industry, launching the first version of our platform in 1997. We use commercially available hardware and a combination of proprietary and commercially available software.</w:t>
      </w:r>
    </w:p>
    <w:p>
      <w:pPr>
        <w:spacing w:after="0" w:line="120"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Our cloud platform treats all customers as logically separate tenants in a common infrastructure. As a result, we spread the cost of delivering our solutions across our customer base. Because we do not manage thousands of distinct applications with their own business logic and database schemes, we believe that we can scale our business faster than traditional software vendors, even those that modified their products to be accessible over the Internet.</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Development</w:t>
      </w:r>
    </w:p>
    <w:p>
      <w:pPr>
        <w:spacing w:after="0" w:line="94"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Our research and development efforts focus on maintaining our existing solutions and, from time to time, improving and enhancing our existing solutions, as well as developing new solutions and applications. Our multi-tenant platform serves all of our customers, which allows us to maintain relatively low research and development expenses and release more frequently compared to traditional on-premise licensed software solutions that support multiple versions. Our development efforts take place at our locations in Minnesota and New Jersey, as well as in Ukraine (where we relocated our office from Kharkiv to Kiev during fiscal 2014).</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94"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We operate infrastructure in third-party data centers located in Minnesota and New Jersey, as well as provision services in public cloud providers. In all cases, infrastructure and services on which our platform runs is managed by us.</w:t>
      </w:r>
    </w:p>
    <w:p>
      <w:pPr>
        <w:spacing w:after="0" w:line="120"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We have internal and third party monitoring software that continually checks our platform and key underlying components for continuous availability and performance, ensuring our platform is available and providing adequate service levels. We have a technology operations team that provides system provisioning, management, maintenance, monitoring and back-up.</w:t>
      </w:r>
    </w:p>
    <w:p>
      <w:pPr>
        <w:spacing w:after="0" w:line="132"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To facilitate high availability, we operate a multi-tiered system configuration with load-balanced web server pools, replicated database servers and fault-tolerant storage devices. Our databases are replicated between locations insuring a quick recovery point objective.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As of December 31, 2014, we had approximately 22,000 recurring revenue customers and approximately 60,000 total customers. Our primary source of revenue is from small- to mid-sized suppliers in the consumer packaged goods industry. We also generate revenues from other members of the supply chain ecosystem, including retailers, distributors, third-party logistics providers and other trading partners. Our revenues are not concentrated with any customer, as our largest customer represented 2% or less of total revenues in 2014, 2013 and 2012.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2"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Vendors in the supply chain management industry offer solutions through three delivery methods: on demand or cloud-based, traditional on-premise software and managed services.</w:t>
      </w:r>
    </w:p>
    <w:p>
      <w:pPr>
        <w:spacing w:after="0" w:line="120"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The market for cloud-based supply chain management solutions is fragmented and rapidly evolving. Cloud service vendors compete directly with each other based on the following:</w:t>
      </w:r>
    </w:p>
    <w:p>
      <w:pPr>
        <w:spacing w:after="0" w:line="39" w:lineRule="exact"/>
        <w:rPr>
          <w:sz w:val="20"/>
          <w:szCs w:val="20"/>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pre-built connections to retailers, third-party logistics providers and other trading partners;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history of establishing and maintaining reliable integration connections with trading partners;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of the cloud service vendor in the supply chain management industry;</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specialization in a customer market segment;</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speed and quality with which the cloud service vendor can integrate its customers to their trading partners;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functionality of the cloud service solution, such as the ability to integrate the solution with a customer’s business systems;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complementary supply chain management solutions the cloud service vendor offers;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and customer support services provided during and after a customer’s initial integration.</w:t>
      </w:r>
    </w:p>
    <w:p>
      <w:pPr>
        <w:spacing w:after="0" w:line="17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expect to encounter new and increased competition as this market segment consolidates and matures. Consolidation among cloud service vendors could create a direct competitor that is able to compete with us more effectively than the numerous, smaller vendors currently offering cloud service supply chain management solutions. Increased competition from cloud service vendors could reduce our market share, revenues and operating margins or otherwise adversely affect our business.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340" w:firstLine="456"/>
        <w:spacing w:after="0" w:line="287" w:lineRule="auto"/>
        <w:rPr>
          <w:sz w:val="20"/>
          <w:szCs w:val="20"/>
          <w:color w:val="auto"/>
        </w:rPr>
      </w:pPr>
      <w:r>
        <w:rPr>
          <w:rFonts w:ascii="Times New Roman" w:cs="Times New Roman" w:eastAsia="Times New Roman" w:hAnsi="Times New Roman"/>
          <w:sz w:val="16"/>
          <w:szCs w:val="16"/>
          <w:color w:val="auto"/>
        </w:rPr>
        <w:t>Cloud service vendors also compete with traditional on-premise software companies and managed service providers. Traditional on-premise software companies focused on supply chain integration management include IBM-Sterling Commerce and OpenText-GXS. These companies offer a “do-it-yourself” approach in which customers purchase, install and manage specialized software, hardware and value-added networks for their supply chain integration needs.</w:t>
      </w:r>
    </w:p>
    <w:p>
      <w:pPr>
        <w:spacing w:after="0" w:line="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This approach requires customers to invest in staff to operate and maintain the software. Traditional on-premise software companies use a single-tenant approach in which information maps to retailers are built for and used by one supplier, as compared to cloud service solutions that allow multiple customers to share information maps with a retailer.</w:t>
      </w:r>
    </w:p>
    <w:p>
      <w:pPr>
        <w:spacing w:after="0" w:line="138"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Managed service providers focused on the supply chain management market include IBM-Sterling Commerce and OpenText-GXS. These companies combine traditional on-premise software, hardware and value-added networks with professional information technology services to manage these resources. Like traditional on-premise software companies, managed service providers use a single-tenant approach.</w:t>
      </w:r>
    </w:p>
    <w:p>
      <w:pPr>
        <w:spacing w:after="0" w:line="132"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Customers of traditional on-premise software companies and managed service providers typically make significant upfront investments in the supply chain management solutions these competitors provide, which can decrease the customers’ willingness to abandon their investments in favor of a cloud service solution. Cloud service supply chain management solutions also are at a relatively early stage of development compared to traditional on-premise software and managed service providers. Cloud service vendors compete with these better established solutions based on total cost of ownership and flexibility. If suppliers do not perceive the benefits of cloud service solutions, or if suppliers are unwilling to abandon their investments in other supply chain management solutions, our business and growth may suffer. In addition, many traditional on-premise software companies and managed service providers have larger customer bases and may be better capitalized than we are, which may provide them with an advantage in developing, marketing or servicing solutions that compete with ours.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Proprietary Content</w:t>
      </w:r>
    </w:p>
    <w:p>
      <w:pPr>
        <w:spacing w:after="0" w:line="9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rely on a combination of copyright, trademark and trade secret laws as well as confidentiality procedures and contractual provisions to protect our proprietary technology and our brand. We enter into confidentiality and proprietary rights agreements with our employees, consultants and other third parties and control access to software, documentation and other proprietary information. We registered the marks Retail Universe, SPS and SPS Commerce in the United States of America. Additional trademark applications are pending in the United States of America and certain foreign countries. We do not have any patents but we have pending patent applications. Our trade secrets consist primarily of the software we have developed for our SPS Commerce platform. Our software is also protected under copyright law, but we do not have any registered copyrights.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92"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As of December 31, 2014, we had 943 employees. We also employ independent contractors to support our operations. We believe that our continued success will depend on our ability to continue to attract and retain skilled technical and sales personnel. We have never had a work stoppage, and none of our employees are represented by a labor union. We believe our relationship with our employees is good.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92"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We were originally incorporated as St. Paul Software, Inc., a Minnesota corporation, on January 28, 1987. On May 30, 2001, we reincorporated in Delaware under our current name, SPS Commerce, Inc. Our principal executive offices are located at 333 South Seventh Street, Suite 1000, Minneapolis, Minnesota 55402, and our telephone number is (612) 435-9400. Our website address is </w:t>
      </w:r>
      <w:r>
        <w:rPr>
          <w:rFonts w:ascii="Times New Roman" w:cs="Times New Roman" w:eastAsia="Times New Roman" w:hAnsi="Times New Roman"/>
          <w:sz w:val="18"/>
          <w:szCs w:val="18"/>
          <w:i w:val="1"/>
          <w:iCs w:val="1"/>
          <w:color w:val="auto"/>
        </w:rPr>
        <w:t>www.spscommerce.com</w:t>
      </w:r>
      <w:r>
        <w:rPr>
          <w:rFonts w:ascii="Times New Roman" w:cs="Times New Roman" w:eastAsia="Times New Roman" w:hAnsi="Times New Roman"/>
          <w:sz w:val="18"/>
          <w:szCs w:val="18"/>
          <w:color w:val="auto"/>
        </w:rPr>
        <w:t>. Information on our website does not constitute part of this Annual Report on Form 10-K or any other report we file or furnish with the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Securities and Exchange Commission (“SEC”). We provide free access to various reports that we file with or furnish to the SEC through our website as soon as reasonably practicable after they have been filed or furnished. These reports include, but are not limited to, our Annual Reports on Form 10-K, Quarterly Reports on Form 10-Q, Current Reports on Form 8-K and any amendments to these reports. Our SEC reports can be accessed through the investor relations section of our website or through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Stockholders may also request copies of these documents from:</w:t>
      </w:r>
    </w:p>
    <w:p>
      <w:pPr>
        <w:spacing w:after="0" w:line="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SPS Commerce, Inc.</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333 South Seventh Street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Suite 1000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Minneapolis, MN 55402</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Set forth below are the names, ages and titles of the persons serving as our executive officers.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9"/>
        </w:trPr>
        <w:tc>
          <w:tcPr>
            <w:tcW w:w="3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w w:val="73"/>
              </w:rPr>
              <w:t>Archie</w:t>
            </w:r>
          </w:p>
        </w:tc>
        <w:tc>
          <w:tcPr>
            <w:tcW w:w="426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C. Black</w:t>
            </w:r>
          </w:p>
        </w:tc>
        <w:tc>
          <w:tcPr>
            <w:tcW w:w="220" w:type="dxa"/>
            <w:vAlign w:val="bottom"/>
            <w:tcBorders>
              <w:top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color w:val="auto"/>
                <w:w w:val="77"/>
              </w:rPr>
              <w:t>52</w:t>
            </w:r>
          </w:p>
        </w:tc>
        <w:tc>
          <w:tcPr>
            <w:tcW w:w="320" w:type="dxa"/>
            <w:vAlign w:val="bottom"/>
          </w:tcPr>
          <w:p>
            <w:pPr>
              <w:spacing w:after="0"/>
              <w:rPr>
                <w:sz w:val="16"/>
                <w:szCs w:val="16"/>
                <w:color w:val="auto"/>
              </w:rPr>
            </w:pPr>
          </w:p>
        </w:tc>
        <w:tc>
          <w:tcPr>
            <w:tcW w:w="4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Chief</w:t>
            </w:r>
          </w:p>
        </w:tc>
        <w:tc>
          <w:tcPr>
            <w:tcW w:w="33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Executive Officer and President</w:t>
            </w: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Kimberly K. Nelson</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47</w:t>
            </w: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Executive Vice President and Chief Financial Officer</w:t>
            </w:r>
          </w:p>
        </w:tc>
      </w:tr>
      <w:tr>
        <w:trPr>
          <w:trHeight w:val="228"/>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J. Frome</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50</w:t>
            </w: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Executive Vice President and Chief Operating Officer</w:t>
            </w:r>
          </w:p>
        </w:tc>
      </w:tr>
    </w:tbl>
    <w:p>
      <w:pPr>
        <w:spacing w:after="0" w:line="150"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Archie C. Black has served as our President and Chief Executive Officer and a director since 2001. Previously, Mr. Black served as our Senior Vice President and Chief Financial Officer from 1998 to 2001. Prior to joining us, Mr. Black was a Senior Vice President and Chief Financial Officer at Investment Advisors, Inc. in Minneapolis, Minnesota and also spent three years at Price Waterhouse.</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Kimberly K. Nelson has served as our Executive Vice President and Chief Financial Officer since November 2007. Prior to joining us, Ms. Nelson served as the Finance Director, Investor Relations for Amazon.com, from June 2005 through November 2007, and as the Finance Director, Worldwide Application for Amazon.com’s Technology group, from April 2003 until June 2005. Ms. Nelson also served as Amazon.com’s Finance Director, Financial Planning and Analysis from December 2000 until April 2003.</w:t>
      </w:r>
    </w:p>
    <w:p>
      <w:pPr>
        <w:spacing w:after="0" w:line="13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James J. Frome has served as our Executive Vice President and Chief Operating Officer since August 2012. Previously, Mr. Frome served as our Executive Vice President and Chief Strategy Officer, from March 2001 to August 2012, and our Vice President of Marketing, from July 2000 to March 2001. Prior to joining us, Mr. Frome served as a Divisional Vice President of Marketing at Sterling Software, Inc., from 1999 to 2000, and as a Senior Product Manager and Director of Product Management at Information Advantage, Inc., from 1993 to 1999.</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60"/>
          </w:cols>
          <w:pgMar w:left="240" w:top="455" w:right="29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90"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Set forth below and elsewhere in this Annual Report on Form 10-K, and in other documents we file with the Securities and Exchange Commission, are risks and uncertainties that could cause our actual results to differ materially from the results contemplated by the forward-looking statements contained in this Annual Report on Form 10-K and in other written and oral communications from time to time. Our business could be harmed by any of these risks. The trading price of our common stock could decline due to any of these risks. In assessing these risks, you should also refer to the other information contained in this Annual Report on Form 10-K, including our financial statements and related notes.</w:t>
      </w:r>
    </w:p>
    <w:p>
      <w:pPr>
        <w:spacing w:after="0" w:line="213" w:lineRule="exact"/>
        <w:rPr>
          <w:sz w:val="20"/>
          <w:szCs w:val="20"/>
          <w:color w:val="auto"/>
        </w:rPr>
      </w:pPr>
    </w:p>
    <w:p>
      <w:pPr>
        <w:ind w:left="240" w:right="4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market for cloud-based supply chain management solutions is at an early stage of development. If this market does not develop or develops more slowly than we expect, our revenues may decline or fail to grow and we may incur operating losses.</w:t>
      </w:r>
    </w:p>
    <w:p>
      <w:pPr>
        <w:spacing w:after="0" w:line="3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derive, and expect to continue to derive, substantially all of our revenues from providing cloud-based supply chain management solutions to suppliers. The market for cloud-based supply chain management solutions is in an early stage of development, and it is uncertain whether these solutions will achieve and sustain high levels of demand and market acceptance. Our success will depend on the willingness of suppliers to accept our cloud-based supply chain management solutions as an alternative to traditional licensed hardware and software solutions.</w:t>
      </w:r>
    </w:p>
    <w:p>
      <w:pPr>
        <w:spacing w:after="0" w:line="13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Some suppliers may be reluctant or unwilling to use our cloud-based supply chain management solutions for a number of reasons, including existing investments in supply chain management technology. Supply chain management functions traditionally have been performed using purchased or licensed hardware and software implemented by each supplier. Because this traditional approach often requires significant initial investments to purchase the necessary technology and to establish systems that comply with retailers’ unique requirements, suppliers may be unwilling to abandon their current solutions for our cloud-based supply chain management solutions.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factors that may limit market acceptance of our cloud-based supply chain management solutions include:</w:t>
      </w:r>
    </w:p>
    <w:p>
      <w:pPr>
        <w:spacing w:after="0" w:line="90" w:lineRule="exact"/>
        <w:rPr>
          <w:sz w:val="20"/>
          <w:szCs w:val="20"/>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high levels of customer satisfaction;</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continuity of service for all users of our platform;</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performance and availability of competing solutions;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assuage suppliers’ confidentiality concerns about information stored outside of their controlled computing environments.</w:t>
      </w:r>
    </w:p>
    <w:p>
      <w:pPr>
        <w:spacing w:after="0" w:line="171"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If suppliers do not perceive the benefits of our cloud-based supply chain management solutions, or if suppliers are unwilling to accept our platform as an alternative to the traditional approach, the market for our solutions might not continue to develop or might develop more slowly than we expect, either of which would significantly adversely affect our revenues and growth prospects.</w:t>
      </w:r>
    </w:p>
    <w:p>
      <w:pPr>
        <w:spacing w:after="0" w:line="209" w:lineRule="exact"/>
        <w:rPr>
          <w:sz w:val="20"/>
          <w:szCs w:val="20"/>
          <w:color w:val="auto"/>
        </w:rPr>
      </w:pPr>
    </w:p>
    <w:p>
      <w:pPr>
        <w:ind w:left="240" w:right="2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do not have long-term contracts with most of our recurring revenue customers, and our success therefore depends on our ability to maintain a high level of customer satisfaction and a strong reputation in the supply chain management industry.</w:t>
      </w:r>
    </w:p>
    <w:p>
      <w:pPr>
        <w:spacing w:after="0" w:line="3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contracts with our recurring revenue customers typically allow the customer to cancel the contract for any reason with 30 days prior notice. Our continued success therefore depends significantly on our ability to meet or exceed our recurring revenue customers’ expectations because most recurring revenue customers do not make long-term commitments to use our solutions. In addition, if our reputation in the supply chain management industry is harmed or diminished for any reason, our recurring revenue customers have the ability to terminate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their relationship with us on short notice and seek alternative supply chain management solutions. If a significant number of recurring revenue customers seek to terminate their relationship with us, our business, results of operations and financial condition can be adversely affected in a short period of time.</w:t>
      </w:r>
    </w:p>
    <w:p>
      <w:pPr>
        <w:spacing w:after="0" w:line="197" w:lineRule="exact"/>
        <w:rPr>
          <w:sz w:val="20"/>
          <w:szCs w:val="20"/>
          <w:color w:val="auto"/>
        </w:rPr>
      </w:pPr>
    </w:p>
    <w:p>
      <w:pPr>
        <w:ind w:left="240"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Economic weakness and uncertainty could adversely affect our revenue, lengthen our sales cycles and make it difficult for us to forecast operating results accurately.</w:t>
      </w:r>
    </w:p>
    <w:p>
      <w:pPr>
        <w:spacing w:after="0" w:line="34"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Our revenues depend significantly on general economic conditions and the health of retailers. Economic weakness and constrained retail spending adversely affected revenue growth rates in late 2008 and similar circumstances may result in slower growth, or reductions, in revenues and gross profits in the future. We have experienced, and may experience in the future, reduced spending in our business due to financial turmoil affecting the U.S. and global economy, and other macroeconomic factors affecting spending behavior. Uncertainty about future economic conditions makes it difficult for us to forecast operating results and to make decisions about future investments. In addition, economic conditions or uncertainty may cause customers and potential customers to reduce or delay technology purchases, including purchases of our solutions. Our sales cycle may lengthen if purchasing decisions are delayed as a result of uncertain information technology or development budgets or contract negotiations become more protracted or difficult as customers institute additional internal approvals for information technology purchases. Delays or reductions in information technology spending could have a material adverse effect on demand for our solutions, and consequently our results of operations, prospects and stock price.</w:t>
      </w:r>
    </w:p>
    <w:p>
      <w:pPr>
        <w:spacing w:after="0" w:line="220" w:lineRule="exact"/>
        <w:rPr>
          <w:sz w:val="20"/>
          <w:szCs w:val="20"/>
          <w:color w:val="auto"/>
        </w:rPr>
      </w:pPr>
    </w:p>
    <w:p>
      <w:pPr>
        <w:ind w:left="240"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or sell additional solutions, or if our customers do not increase their use of our solutions, our revenue growth and profitability will be adversely affected.</w:t>
      </w:r>
    </w:p>
    <w:p>
      <w:pPr>
        <w:spacing w:after="0" w:line="34"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To increase our revenues and achieve and maintain profitability, we must regularly add new customers, sell additional solutions and our customers must increase their use of the solutions for which they currently subscribe. We intend to grow our business by hiring additional sales personnel, developing strategic relationships with resellers, including resellers that incorporate our applications in their offerings, and increasing our marketing activities. If we are unable to hire or retain quality sales personnel, convert companies that have been referred to us by our existing network into paying customers, ensure the effectiveness of our marketing programs, or if our existing or new customers do not perceive our solutions to be of sufficiently high value and quality, we might not be able to increase sales and our operating results will be adversely affected. If we fail to sell our new solutions to existing or new customers, we will not generate anticipated revenues from these solutions, our operating results will suffer and we might be unable to grow our revenues or achieve or maintain profitability.</w:t>
      </w:r>
    </w:p>
    <w:p>
      <w:pPr>
        <w:spacing w:after="0" w:line="1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of operations may fluctuate in the future, which could result in volatility in our stock price.</w:t>
      </w:r>
    </w:p>
    <w:p>
      <w:pPr>
        <w:spacing w:after="0" w:line="94"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Our quarterly revenues and results of operations have varied in the past and may fluctuate as a result of a variety of factors, including the success of our more recent offerings such as our Trading Partner Analytics solution. If our quarterly revenues or results of operations fluctuate, the price of our common stock could decline substantially. Fluctuations in our results of operations may be due to a number of factors, including, but not limited to, those listed below and identified throughout this “Risk Factors” section:</w:t>
      </w:r>
    </w:p>
    <w:p>
      <w:pPr>
        <w:spacing w:after="0" w:line="55" w:lineRule="exact"/>
        <w:rPr>
          <w:sz w:val="20"/>
          <w:szCs w:val="20"/>
          <w:color w:val="auto"/>
        </w:rPr>
      </w:pPr>
    </w:p>
    <w:p>
      <w:pPr>
        <w:ind w:left="660" w:right="220" w:hanging="206"/>
        <w:spacing w:after="0" w:line="27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increase sales to customers and attract new customers, including our ability to maintain and increase our number of recurring revenue customers;</w:t>
      </w:r>
    </w:p>
    <w:p>
      <w:pPr>
        <w:spacing w:after="0" w:line="38"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introductions of new solutions or upgrades by us or our competitors;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the economy, in particular as it affects the retail sector;</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including entry into the industry by new competitors and new offerings by existing competitors;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60"/>
          </w:cols>
          <w:pgMar w:left="240" w:top="455" w:right="29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60" w:right="420" w:hanging="206"/>
        <w:spacing w:after="0" w:line="27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expenses, including stock-based compensation and expenditures related to expanding our operations, supporting new customers, performing research and development, or introducing new solutions; and</w:t>
      </w:r>
    </w:p>
    <w:p>
      <w:pPr>
        <w:spacing w:after="0" w:line="38"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payment terms for our solutions.</w:t>
      </w:r>
    </w:p>
    <w:p>
      <w:pPr>
        <w:spacing w:after="0" w:line="171"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Due to the foregoing factors, and the other risks discussed in this Annual Report on Form 10-K, you should not rely on comparisons of our results of operations as an indication of our future performance.</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operating losses in the past and may incur operating losses in the future.</w:t>
      </w:r>
    </w:p>
    <w:p>
      <w:pPr>
        <w:spacing w:after="0" w:line="9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began operating our supply chain management solution business in 1997. Throughout most of our history, we have experienced net losses and negative cash flows from operations. As of December 31, 2014, we had an accumulated deficit of $44.1 million. We expect our operating expenses to continue to increase in the future as we expand our operations. If our revenues do not continue to grow to offset these increased expenses, we may not be profitable. We cannot assure you that we will be able to maintain profitability. You should not consider recent revenue growth as indicative of our future performance. In fact, in future periods, we may not have any revenue growth, or our revenues could decline.</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adapt to rapid technological change could impair our ability to remain competitive.</w:t>
      </w:r>
    </w:p>
    <w:p>
      <w:pPr>
        <w:spacing w:after="0" w:line="94"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6"/>
          <w:szCs w:val="16"/>
          <w:color w:val="auto"/>
        </w:rPr>
        <w:t>The industry in which we compete is characterized by rapid technological change, frequent introductions of new products and evolving industry standards. Existing products can become obsolete and unmarketable when vendors introduce products utilizing new technologies or new industry standards emerge, and as a result, it is difficult for us to estimate the life cycles of our products. Our ability to attract new customers and increase revenues from customers will depend in significant part on our ability to anticipate industry standards and to continue to enhance existing solutions or introduce or acquire new solutions on a timely basis to keep pace with technological developments. The success of any enhancement or new solution depends on several factors, including the timely completion, introduction and market acceptance of the enhancement or solution. Any new solution we develop or acquire might not be introduced in a timely or cost-effective manner and might not achieve the broad market acceptance necessary to generate significant revenues. If any of our competitors implements new technologies before we are able to implement them, those competitors may be able to provide more effective solutions than ours at lower prices. Any delay or failure in the introduction of new or enhanced solutions could adversely affect our business, results of operations and financial condition.</w:t>
      </w:r>
    </w:p>
    <w:p>
      <w:pPr>
        <w:spacing w:after="0" w:line="190" w:lineRule="exact"/>
        <w:rPr>
          <w:sz w:val="20"/>
          <w:szCs w:val="20"/>
          <w:color w:val="auto"/>
        </w:rPr>
      </w:pPr>
    </w:p>
    <w:p>
      <w:pPr>
        <w:ind w:left="240" w:right="4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experience service failures or interruptions due to defects in the hardware, software, infrastructure, third party components or processes that comprise our existing or new solutions, any of which could adversely affect our business.</w:t>
      </w:r>
    </w:p>
    <w:p>
      <w:pPr>
        <w:spacing w:after="0" w:line="3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Technology solutions as complex as ours may contain undetected defects in the hardware, software, infrastructure, third party components or processes that are part of the solutions we provide. If these defects lead to service failures, we could experience delays or lost revenues, diversion of software engineering resources, material non-monetary concessions, negative media attention or increased service costs as a result of performance claims during the period required to correct the cause of the defects. We cannot be certain that defects will not be found in new solutions or upgraded solutions, resulting in loss of, or delay in, market acceptance, which could have an adverse effect on our business, results of operations and financial condition.</w:t>
      </w:r>
    </w:p>
    <w:p>
      <w:pPr>
        <w:spacing w:after="0" w:line="139" w:lineRule="exact"/>
        <w:rPr>
          <w:sz w:val="20"/>
          <w:szCs w:val="20"/>
          <w:color w:val="auto"/>
        </w:rPr>
      </w:pPr>
    </w:p>
    <w:p>
      <w:pPr>
        <w:jc w:val="both"/>
        <w:ind w:right="100" w:firstLine="456"/>
        <w:spacing w:after="0" w:line="256" w:lineRule="auto"/>
        <w:rPr>
          <w:sz w:val="20"/>
          <w:szCs w:val="20"/>
          <w:color w:val="auto"/>
        </w:rPr>
      </w:pPr>
      <w:r>
        <w:rPr>
          <w:rFonts w:ascii="Times New Roman" w:cs="Times New Roman" w:eastAsia="Times New Roman" w:hAnsi="Times New Roman"/>
          <w:sz w:val="18"/>
          <w:szCs w:val="18"/>
          <w:color w:val="auto"/>
        </w:rPr>
        <w:t>Because customers use our cloud-based supply chain management solutions for critical business processes, any defect in our solutions, any disruption to our solutions or any error in execution could cause recurring revenue customers to cancel their contracts with us, prevent potential customers from joining our network and harm our reputation. Although most of our contracts with our customers limit our liability to our customers for these defects, disruptions or errors, we nonetheless could be subject to litigation for actual or alleged losses to our customers’ businesses, which may require us to spend significant time and money in litigation or arbitration or to</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pay significant settlements or damages. We do not currently maintain any warranty reserves. Defending a lawsuit, regardless of its merit, could be costly and divert management’s attention and could cause our business to suffer.</w:t>
      </w:r>
    </w:p>
    <w:p>
      <w:pPr>
        <w:spacing w:after="0" w:line="120"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insurers under our existing liability insurance policy could deny coverage of a future claim that results from an error or defect in our technology or a resulting disruption in our solutions, or our existing liability insurance might not be adequate to cover all of the damages and other costs of such a claim. Moreover, we cannot assure you that our current liability insurance coverage will continue to be available to us on acceptable terms or at all. The successful assertion against us of one or more large claims that exceeds our insurance coverage, or the occurrence of changes in our liability insurance policy, including an increase in premiums or imposition of large deductible or co-insurance requirements, could have an adverse effect on our business, financial condition and operating results. Even if we succeed in litigation with respect to a claim, we are likely to incur substantial costs and our management’s attention will be diverted from our operations.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Interruptions or delays from third-party data centers could impair the delivery of our solutions and our business could suffer.</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use third-party data centers, located in Minnesota and New Jersey, to conduct our operations. All of our solutions reside on infrastructure that we own and operate in these locations. Our operations depend on the protection of the equipment and information we store in these third-party centers against damage or service interruptions that may be caused by fire, flood, severe storm, power loss, telecommunications failures, unauthorized intrusion, computer viruses and disabling devices, denial of service attacks, natural disasters, war, criminal act, military action, terrorist attack and other similar events beyond our control. A prolonged service disruption affecting our solutions for any of the foregoing reasons could damage our reputation with current and potential customers, expose us to liability, cause us to lose recurring revenue customers or otherwise adversely affect our business. We may also incur significant costs for using alternative equipment or taking other actions in preparation for, or in reaction to, events that damage the data centers we use.</w:t>
      </w:r>
    </w:p>
    <w:p>
      <w:pPr>
        <w:spacing w:after="0" w:line="14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Our cloud-based supply chain management solutions are accessed by a large number of customers at the same time. As we continue to expand the number of our customers and solutions available to our customers, we may not be able to scale our technology to accommodate the increased capacity requirements, which may result in interruptions or delays in service. In addition, the failure of our third-party data centers to meet our capacity requirements could result in interruptions or delays in our solutions or impede our ability to scale our operations. In the event that our data center arrangements are terminated, or there is a lapse of service or damage to such facilities, we could experience interruptions in our solutions as well as delays and additional expense in arranging new facilities and services.</w:t>
      </w:r>
    </w:p>
    <w:p>
      <w:pPr>
        <w:spacing w:after="0" w:line="216" w:lineRule="exact"/>
        <w:rPr>
          <w:sz w:val="20"/>
          <w:szCs w:val="20"/>
          <w:color w:val="auto"/>
        </w:rPr>
      </w:pPr>
    </w:p>
    <w:p>
      <w:pPr>
        <w:ind w:left="240" w:right="5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A failure to protect the integrity and security of our customers’ information and access to our customers’ information systems could expose us to litigation, materially damage our reputation and harm our business, and the costs of preventing such a failure could adversely affect our results of operations.</w:t>
      </w:r>
    </w:p>
    <w:p>
      <w:pPr>
        <w:spacing w:after="0" w:line="4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business involves the collection and use of confidential information of our customers and their trading partners. The collection and use of this information sometimes requires our direct access to our customers’ information systems. We cannot assure you that our efforts to protect this confidential information and access will be successful. Our security measures may be breached as a result of third-party action, including intentional misconduct by computer hackers, employee error, malfeasance or otherwise and result in someone obtaining unauthorized access to our customers’ data or our data, including our intellectual property and other confidential business information, or our IT systems. Additionally, third parties may attempt to fraudulently induce employees or customers into disclosing sensitive information such as user names, passwords or other information in order to gain access to our customers’ data or our data or IT systems. Because the techniques used to obtain unauthorized access, or to sabotage systems, change frequently and generally are not recognized until launched against a target, we may be unable to anticipate these techniques or to implement adequate preventative measures. Malicious third-parties may also conduct attacks designed to temporarily deny customers access to our services.</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455" w:right="2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If any compromise of this information security were to occur, or if we fail to detect and appropriately respond to a significant data security breach, we could be subject to legal claims and government action, experience an adverse effect on our reputation and need to incur significant additional costs to protect against similar information security breaches in the future, each of which could adversely impact our financial condition, results of operations and growth prospects. In addition, because of the critical nature of data security, any perceived breach of our security measures could cause existing or potential customers not to use our solutions and could harm our reputation.</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Evolving regulation of the Internet may increase our expenditures related to compliance efforts, which may adversely affect our financial condition.</w:t>
      </w:r>
    </w:p>
    <w:p>
      <w:pPr>
        <w:spacing w:after="0" w:line="94" w:lineRule="exact"/>
        <w:rPr>
          <w:sz w:val="20"/>
          <w:szCs w:val="20"/>
          <w:color w:val="auto"/>
        </w:rPr>
      </w:pPr>
    </w:p>
    <w:p>
      <w:pPr>
        <w:ind w:right="40" w:firstLine="456"/>
        <w:spacing w:after="0" w:line="291" w:lineRule="auto"/>
        <w:rPr>
          <w:sz w:val="20"/>
          <w:szCs w:val="20"/>
          <w:color w:val="auto"/>
        </w:rPr>
      </w:pPr>
      <w:r>
        <w:rPr>
          <w:rFonts w:ascii="Times New Roman" w:cs="Times New Roman" w:eastAsia="Times New Roman" w:hAnsi="Times New Roman"/>
          <w:sz w:val="16"/>
          <w:szCs w:val="16"/>
          <w:color w:val="auto"/>
        </w:rPr>
        <w:t>As Internet commerce continues to evolve, increasing regulation by federal, state or foreign agencies becomes more likely. We are particularly sensitive to these risks because the Internet is a critical component of our cloud-based business model. For example, we believe that increased regulation is likely in the area of data privacy, and laws and regulations applying to the solicitation, collection, processing or use of personal or consumer information could affect our customers’ ability to use and share data, potentially reducing demand for solutions accessed via the Internet and restricting our ability to store, process and share data with our clients via the Internet. In addition, taxation of services provided over the Internet or other charges imposed by government agencies or by private organizations for accessing the Internet may be imposed. Any regulation imposing greater fees for Internet use or restricting information exchange over the Internet could result in a decline in the use of the Internet and the viability of Internet-based services, which could harm our business.</w:t>
      </w:r>
    </w:p>
    <w:p>
      <w:pPr>
        <w:spacing w:after="0" w:line="190" w:lineRule="exact"/>
        <w:rPr>
          <w:sz w:val="20"/>
          <w:szCs w:val="20"/>
          <w:color w:val="auto"/>
        </w:rPr>
      </w:pPr>
    </w:p>
    <w:p>
      <w:pPr>
        <w:ind w:left="240"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Privacy concerns and laws, evolving regulation of cloud computing, cross-border data transfer restrictions and other domestic or foreign regulations may limit the use and adoption of our solutions and adversely affect our business.</w:t>
      </w:r>
    </w:p>
    <w:p>
      <w:pPr>
        <w:spacing w:after="0" w:line="3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Regulation related to the provision of services on the Internet is increasing, as federal, state and foreign governments continue to adopt new laws and regulations addressing data privacy and the collection, processing, storage and use of personal information. In some cases foreign data privacy laws and regulations, such as the European Union’s Data Protection Directive, and the country-specific regulations that implement that directive, also govern the processing of personal information. Further, laws are increasingly aimed at the use of personal information for marketing purposes, such as the European Union’s e-Privacy Directive, and the country-specific regulations that implement that directive. Such laws and regulations are subject to differing interpretations and may be inconsistent among jurisdictions. These and other requirements could reduce demand for our solutions or restrict our ability to store and process data or, in some cases, impact our ability to offer our services and solutions in certain locations.</w:t>
      </w:r>
    </w:p>
    <w:p>
      <w:pPr>
        <w:spacing w:after="0" w:line="141"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In addition to government activity, privacy advocacy and other industry groups have established or may establish new self-regulatory standards that may place additional burdens on us. Our customers may expect us to meet voluntary certification or other standards established by third parties. If we are unable to maintain these certifications or meet these standards, it could adversely affect our ability to provide our solutions to certain customers and could harm our business.</w:t>
      </w:r>
    </w:p>
    <w:p>
      <w:pPr>
        <w:spacing w:after="0" w:line="136"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The costs of compliance with and other burdens imposed by laws, regulations and standards may limit the use and adoption of our service and reduce overall demand for it, or lead to significant fines, penalties or liabilities for any noncompliance.</w:t>
      </w:r>
    </w:p>
    <w:p>
      <w:pPr>
        <w:spacing w:after="0" w:line="120"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Furthermore, concerns regarding data privacy may cause our customers’ customers to resist providing the data necessary to allow our customers to use our service effectively. Even the perception that the privacy of personal information is not satisfactorily protected or does not meet regulatory requirements could inhibit sales of our products or services, and could limit adoption of our cloud-based solutions.</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60"/>
          </w:cols>
          <w:pgMar w:left="240" w:top="455" w:right="2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Industry-specific regulation is evolving and unfavorable industry-specific laws, regulations or interpretive positions could harm our business.</w:t>
      </w:r>
    </w:p>
    <w:p>
      <w:pPr>
        <w:spacing w:after="0" w:line="94"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Our customers and potential customers do business in a variety of industries. Regulators in certain industries have adopted and may in the future adopt regulations or interpretive positions regarding the use of cloud computing and other outsourced services. The costs of compliance with, and other burdens imposed by, industry-specific laws, regulations and interpretive positions may limit customers’ use and adoption of our services and reduce overall demand for our services. In addition, an inability to satisfy the standards of certain voluntary third-party certification bodies that our customers may expect may have an adverse impact on our business. If in the future we are unable to achieve or maintain these industry-specific certifications or other requirements or standards relevant to our customers, it may harm our business.</w:t>
      </w:r>
    </w:p>
    <w:p>
      <w:pPr>
        <w:spacing w:after="0" w:line="139"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In some cases, industry-specific laws, regulations or interpretive positions may also apply directly to us as a service provider. Any failure or perceived failure by us to comply with such requirements could have an adverse impact on our business.</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If we fail to protect our intellectual property and proprietary rights adequately, our business could be adversely affected.</w:t>
      </w:r>
    </w:p>
    <w:p>
      <w:pPr>
        <w:spacing w:after="0" w:line="94"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We believe that proprietary technology is essential to establishing and maintaining our leadership position. We seek to protect our intellectual property through trade secrets, copyrights, confidentiality, non-compete and nondisclosure agreements, trademarks, domain names and other measures, some of which afford only limited protection. We do not have any patents or registered copyrights. Despite our efforts to protect our proprietary rights, unauthorized parties may attempt to copy aspects of our technology or to obtain and use information that we regard as proprietary. We cannot assure you that our means of protecting our proprietary rights will be adequate or that our competitors will not independently develop similar or superior technology or design around our intellectual property. In addition, the laws of some foreign countries do not protect our proprietary rights to as great an extent as the laws of the United States of America. Intellectual property protections may also be unavailable, limited or difficult to enforce in some countries, which could make it easier for competitors to capture market share. Our failure to protect adequately our intellectual property and proprietary rights could adversely affect our business, financial condition and results of operations.</w:t>
      </w:r>
    </w:p>
    <w:p>
      <w:pPr>
        <w:spacing w:after="0" w:line="220" w:lineRule="exact"/>
        <w:rPr>
          <w:sz w:val="20"/>
          <w:szCs w:val="20"/>
          <w:color w:val="auto"/>
        </w:rPr>
      </w:pPr>
    </w:p>
    <w:p>
      <w:pPr>
        <w:ind w:left="240"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An assertion by a third party that we are infringing its intellectual property could subject us to costly and time-consuming litigation or expensive licenses and our business might be harmed.</w:t>
      </w:r>
    </w:p>
    <w:p>
      <w:pPr>
        <w:spacing w:after="0" w:line="34"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The Internet supply chain management and technology industries are characterized by the existence of a large number of patents, copyrights, trademarks and trade secrets and by frequent litigation based on allegations of infringement or other violations of intellectual property rights. As we seek to extend our solutions, we could be constrained by the intellectual property rights of others.</w:t>
      </w:r>
    </w:p>
    <w:p>
      <w:pPr>
        <w:spacing w:after="0" w:line="13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might not prevail in any intellectual property infringement litigation given the complex technical issues and inherent uncertainties in such litigation. Defending such claims, regardless of their merit, could be time-consuming and distracting to management, result in costly litigation or settlement, cause development delays, or require us to enter into royalty or licensing agreements. If our solutions violate any third-party proprietary rights, we could be required to withdraw those solutions from the market, re-develop those solutions or seek to obtain licenses from third parties, which might not be available on reasonable terms or at all. Any efforts to re-develop our solutions, obtain licenses from third parties on favorable terms or license a substitute technology might not be successful and, in any case, might substantially increase our costs and harm our business, financial condition and operating results. Withdrawal of any of our solutions from the market might harm our business, financial condition and operating results.</w:t>
      </w:r>
    </w:p>
    <w:p>
      <w:pPr>
        <w:spacing w:after="0" w:line="141"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In addition, we incorporate open source software into our platform. Given the nature of open source software, third parties might assert copyright and other intellectual property infringement claims against us based on our use of certain open source software programs. The terms of many open source licenses to which we are</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455" w:right="2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subject have not been interpreted by U.S. or foreign courts, and there is a risk that those licenses could be construed in a manner that imposes unanticipated conditions or restrictions on our ability to commercialize our solutions. In that event, we could be required to seek licenses from third parties in order to continue offering our solutions, to re-develop our solutions or to discontinue sales of our solutions, or to release our proprietary software code under the terms of an open source license, any of which could adversely affect our business.</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party infrastructure, software and services that could take a significant time to replace or upgrade.</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rely on infrastructure, software and services licensed from third parties to offer our cloud-based supply chain management solutions. This infrastructure, software and services, as well as maintenance rights for this infrastructure, software and services, may not continue to be available to us on commercially reasonable terms, or at all. If we lose the right to use or upgrade any of these licenses, our customers could experience delays or be unable to access our solutions until we can obtain and integrate equivalent technology. There might not always be commercially reasonable hardware or software alternatives to the third-party infrastructure, software and services that we currently license. Any such alternatives could be more difficult or costly to replace than the third-party infrastructure, software and services we currently license, and integration of the alternatives into our platform could require significant work and substantial time and resources. Any delays or failures associated with our platform could injure our reputation with customers and potential customers and result in an adverse effect on our business, results of operations and financial condition.</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new products and changes to existing products could fail to attract or retain users or generate revenue.</w:t>
      </w:r>
    </w:p>
    <w:p>
      <w:pPr>
        <w:spacing w:after="0" w:line="9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Our ability to retain, increase and engage our customers and to increase our revenues will depend heavily on our ability to create successful new products. We may introduce significant changes to our existing products or develop and introduce new and unproven products which include or use technologies with which we have little or no prior development or operating experience. If new or enhanced products fail to engage customers, we may fail to attract or retain customers or to generate sufficient revenues, operating margin, or other value to justify our investments and our business may be adversely affected. In the future, we may invest in new products and initiatives to generate revenue, but there is no guarantee these approaches will be successful. If we are not successful with new approaches to monetization, we may not be able to maintain or grow our revenues as anticipated or recover any associated development costs, and our financial results could be adversely affected.</w:t>
      </w:r>
    </w:p>
    <w:p>
      <w:pPr>
        <w:spacing w:after="0" w:line="218" w:lineRule="exact"/>
        <w:rPr>
          <w:sz w:val="20"/>
          <w:szCs w:val="20"/>
          <w:color w:val="auto"/>
        </w:rPr>
      </w:pPr>
    </w:p>
    <w:p>
      <w:pPr>
        <w:ind w:left="240" w:right="2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our ability to maintain and scale our technical infrastructure, and any significant disruption in our service could damage our reputation, result in a potential loss of users and engagement, and adversely affect our financial results.</w:t>
      </w:r>
    </w:p>
    <w:p>
      <w:pPr>
        <w:spacing w:after="0" w:line="3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reputation and ability to attract, retain and serve our customers is dependent upon the reliable performance of our platform and our underlying technical infrastructure. As our user base and the amount and types of information shared on our platform continue to grow, we will need an increasing amount of technical infrastructure, including network capacity and computing power, to continue to satisfy the needs of our users. It is possible that we may fail to effectively scale and grow our technical infrastructure to accommodate these increased demands.</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software is highly technical, and if it contains undetected errors, our business could be adversely affected.</w:t>
      </w:r>
    </w:p>
    <w:p>
      <w:pPr>
        <w:spacing w:after="0" w:line="9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Our products incorporate software that is highly technical and complex. Our software has contained, and may now or in the future contain, undetected errors, bugs or vulnerabilities. Some errors in our software code may only be discovered after the code has been released. Any defects or errors discovered in our code after release could result in damage to our reputation, loss of customers, loss of revenue or liability for damages, any of which could adversely affect our business and financial results.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right="4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industry is a prime target for those that seek to steal confidential information and computer malware, viruses, hacking and phishing attacks, and spamming could harm our business and cause us to lose the confidence of our users, which could significantly impact our business and results of operations.</w:t>
      </w:r>
    </w:p>
    <w:p>
      <w:pPr>
        <w:spacing w:after="0" w:line="48" w:lineRule="exact"/>
        <w:rPr>
          <w:sz w:val="20"/>
          <w:szCs w:val="20"/>
          <w:color w:val="auto"/>
        </w:rPr>
      </w:pPr>
    </w:p>
    <w:p>
      <w:pPr>
        <w:ind w:right="100" w:firstLine="456"/>
        <w:spacing w:after="0" w:line="287" w:lineRule="auto"/>
        <w:rPr>
          <w:sz w:val="20"/>
          <w:szCs w:val="20"/>
          <w:color w:val="auto"/>
        </w:rPr>
      </w:pPr>
      <w:r>
        <w:rPr>
          <w:rFonts w:ascii="Times New Roman" w:cs="Times New Roman" w:eastAsia="Times New Roman" w:hAnsi="Times New Roman"/>
          <w:sz w:val="16"/>
          <w:szCs w:val="16"/>
          <w:color w:val="auto"/>
        </w:rPr>
        <w:t>As demonstrated by recent material and high-profile data security breaches within the retail industry, computer malware, viruses, and computer hacking and phishing attacks have become more prevalent in our industry, have occurred on our systems in the past, and may occur on our systems in the future. Furthermore, given the interconnected nature of the retail supply chain and our significant presence in the retail industry, we believe that we are a particularly attractive target for such attacks. In addition, our connection to the retail industry could present the opportunity for an attack on our system to serve as a way to obtain access into our user’s systems, which could have a material adverse effect on our financial condition and growth prospectus. Businesses in our industry have experienced material sales declines after discovering data breaches, and our business could be similarly impacted. Reputational value is based in large part on perceptions of subjective qualities. While reputations may take decades to build, any negative incidents can quickly erode trust and confidence, particularly if they result in adverse mainstream and social media publicity, governmental investigations or litigation. Though it is difficult to determine what, if any, harm may directly result from any specific interruption or attack, any failure to maintain performance, reliability, security and availability of our products and technical infrastructure to the satisfaction of our users may harm our reputation, impair our ability to retain existing customers and attract new customers and expose us to legal claims and government action, each of which could have a material adverse impact on our financial condition, results of operations and growth prospects.</w:t>
      </w:r>
    </w:p>
    <w:p>
      <w:pPr>
        <w:spacing w:after="0" w:line="1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use of open source software in our products may expose us to additional risks and harm our intellectual property.</w:t>
      </w:r>
    </w:p>
    <w:p>
      <w:pPr>
        <w:spacing w:after="0" w:line="94"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Some of our products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unfavorable terms or at no cost. This can subject previously proprietary software to open source license terms.</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While we monitor the use of all open source software in our products, processes and technology and try to ensure that no open source software is used in such a way as to require us to disclose the source code to the related product or solution, such use could inadvertently occur. Additionally, if a third-party software provider has incorporated certain types of open source software into software we license from such third party for our products and solutions, we could, under certain circumstances, be required to disclose the source code to our products and solutions. This could harm our intellectual property position and have a material adverse effect on our business, results of operations, cash flow and financial condition.</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If the open source community expands into enterprise application and supply chain software, our license fee revenues may decline.</w:t>
      </w:r>
    </w:p>
    <w:p>
      <w:pPr>
        <w:spacing w:after="0" w:line="94"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open source community is comprised of many different formal and informal groups of software developers and individuals who have created a wide variety of software and have made that software available for use, distribution and modification, often free of charge. Open source software, such as the Linux operating system, has been gaining in popularity among business users. If developers contribute enterprise and supply chain application software to the open source community, and that software has competitive features and scale to support business users in our markets, we may need to change our product pricing and distribution strategy to compete successfully.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right="5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pursue acquisitions and our potential inability to successfully integrate newly acquired companies or businesses could adversely affect our financial results.</w:t>
      </w:r>
    </w:p>
    <w:p>
      <w:pPr>
        <w:spacing w:after="0" w:line="34"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We may pursue acquisitions of other companies or their businesses in the future. If we complete acquisitions, we face many risks commonly encountered with growth through acquisitions. These risks include:</w:t>
      </w:r>
    </w:p>
    <w:p>
      <w:pPr>
        <w:spacing w:after="0" w:line="39" w:lineRule="exact"/>
        <w:rPr>
          <w:sz w:val="20"/>
          <w:szCs w:val="20"/>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significantly higher than anticipated capital expenditures and operating expenses;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assimilate the operations and personnel of the acquired company or business;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disrupting our ongoing business;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dissipating our management resources;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maintain uniform standards, controls and policies;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relationships with employees and customers as a result of changes in management.</w:t>
      </w:r>
    </w:p>
    <w:p>
      <w:pPr>
        <w:spacing w:after="0" w:line="17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Fully integrating an acquired company or business into our operations may take a significant amount of time. We cannot assure you that we will be successful in overcoming these risks or any other problems encountered with acquisitions. To the extent we do not successfully avoid or overcome the risks or problems related to any acquisitions, including our recent acquisitions of Leadtec and Edifice, our results of operations and financial condition could be adversely affected. Future acquisitions also could impact our financial position and capital needs, and could cause substantial fluctuations in our quarterly and yearly results of operations. Acquisitions could include significant goodwill and intangible assets, which may result in future impairment charges that would reduce our stated earnings.</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U.S. net operating loss carryforwards might be limited.</w:t>
      </w:r>
    </w:p>
    <w:p>
      <w:pPr>
        <w:spacing w:after="0" w:line="94" w:lineRule="exact"/>
        <w:rPr>
          <w:sz w:val="20"/>
          <w:szCs w:val="20"/>
          <w:color w:val="auto"/>
        </w:rPr>
      </w:pPr>
    </w:p>
    <w:p>
      <w:pPr>
        <w:ind w:right="20" w:firstLine="456"/>
        <w:spacing w:after="0" w:line="283" w:lineRule="auto"/>
        <w:rPr>
          <w:sz w:val="20"/>
          <w:szCs w:val="20"/>
          <w:color w:val="auto"/>
        </w:rPr>
      </w:pPr>
      <w:r>
        <w:rPr>
          <w:rFonts w:ascii="Times New Roman" w:cs="Times New Roman" w:eastAsia="Times New Roman" w:hAnsi="Times New Roman"/>
          <w:sz w:val="16"/>
          <w:szCs w:val="16"/>
          <w:color w:val="auto"/>
        </w:rPr>
        <w:t>As of December 31, 2014, we had net operating loss carryforwards of $69.8 million for U.S. federal tax purposes. We also had $28.3 million of various state net operating loss carryforwards. The loss carryforwards for federal tax purposes will expire between 2019 and 2034 if not utilized. The loss carryforwards for state tax purposes will expire between 2015 and 2034 if not utilized. To the extent these net operating loss carryforwards are available, we intend to use them to reduce the corporate income tax liability associated with our operations. Section 382 of the U.S. Internal Revenue Code generally imposes an annual limitation on the amount of net operating loss carryforwards that might be used to offset taxable income when a corporation has undergone significant changes in stock ownership. We have performed a Section 382 analysis for the time period from our inception through December 8, 2010. During this time period it was determined that we had six separate ownership changes under Section 382. We have not updated the Section 382 analysis subsequent to December 8, 2010; however, we believe there have not been any events subsequent to that date that would materially impact the analysis. We believe that approximately</w:t>
      </w:r>
    </w:p>
    <w:p>
      <w:pPr>
        <w:spacing w:after="0" w:line="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$17.6 million of federal losses will expire unused due to Section 382 limitations. The maximum annual limitation of federal net operating losses under Section 382 is approximately $990,000. This limitation could be further restricted if any ownership changes occur in future years. To the extent our use of net operating loss carryforwards is significantly limited, our taxable income could be subject to corporate income tax earlier than it would if we were able to use net operating loss carryforwards, which could result in lower profits.</w:t>
      </w:r>
    </w:p>
    <w:p>
      <w:pPr>
        <w:spacing w:after="0" w:line="215" w:lineRule="exact"/>
        <w:rPr>
          <w:sz w:val="20"/>
          <w:szCs w:val="20"/>
          <w:color w:val="auto"/>
        </w:rPr>
      </w:pPr>
    </w:p>
    <w:p>
      <w:pPr>
        <w:ind w:left="240" w:right="5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highly competitive, and our failure to compete successfully would make it difficult for us to add and retain customers and would reduce or impede the growth of our business.</w:t>
      </w:r>
    </w:p>
    <w:p>
      <w:pPr>
        <w:spacing w:after="0" w:line="34"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The markets for supply chain management solutions are increasingly competitive and global. We expect competition to increase in the future both from existing competitors and new companies that may enter our markets. Increased competition could result in pricing pressure, reduced sales, lower margins or the failure of our solutions to achieve or maintain broad market acceptance. We face competition from:</w:t>
      </w:r>
    </w:p>
    <w:p>
      <w:pPr>
        <w:spacing w:after="0" w:line="51" w:lineRule="exact"/>
        <w:rPr>
          <w:sz w:val="20"/>
          <w:szCs w:val="20"/>
          <w:color w:val="auto"/>
        </w:rPr>
      </w:pPr>
    </w:p>
    <w:p>
      <w:pPr>
        <w:ind w:left="660" w:hanging="20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service providers that deliver business-to-business information systems using a multi-tenant approach;</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on-premise software providers;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service providers that combine traditional on-premise software with professional information technology services.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455" w:right="2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To remain competitive, we will need to invest continuously in software development, marketing, customer service and support and product delivery infrastructure. However, we cannot assure you that new or established competitors will not offer solutions that are superior to or lower in price than ours. We may not have sufficient resources to continue the investments in all areas of software development and marketing needed to maintain our competitive position. In addition, some of our competitors are better capitalized than us, which may provide them with an advantage in developing, marketing or servicing new solutions. Increased competition could reduce our market share, revenues and operating margins, increase our costs of operations and otherwise adversely affect our business.</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Mergers or other strategic transactions involving our competitors could weaken our competitive position, which could harm our operating results.</w:t>
      </w:r>
    </w:p>
    <w:p>
      <w:pPr>
        <w:spacing w:after="0" w:line="94"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Our industry is highly fragmented, and we believe it is likely that our existing competitors will continue to consolidate or will be acquired. In addition, some of our competitors may enter into new alliances with each other or may establish or strengthen cooperative relationships with systems integrators, third-party consulting firms or other parties. Any such consolidation, acquisition, alliance or cooperative relationship could lead to pricing pressure and our loss of market share and could result in a competitor with greater financial, technical, marketing, service and other resources, all of which could have a material adverse effect on our business, operating results and financial condition.</w:t>
      </w:r>
    </w:p>
    <w:p>
      <w:pPr>
        <w:spacing w:after="0" w:line="216" w:lineRule="exact"/>
        <w:rPr>
          <w:sz w:val="20"/>
          <w:szCs w:val="20"/>
          <w:color w:val="auto"/>
        </w:rPr>
      </w:pPr>
    </w:p>
    <w:p>
      <w:pPr>
        <w:ind w:left="240" w:right="5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Chief Executive Officer and other key personnel, our business would be harmed and we might not be able to implement our business plan successfully.</w:t>
      </w:r>
    </w:p>
    <w:p>
      <w:pPr>
        <w:spacing w:after="0" w:line="34" w:lineRule="exact"/>
        <w:rPr>
          <w:sz w:val="20"/>
          <w:szCs w:val="20"/>
          <w:color w:val="auto"/>
        </w:rPr>
      </w:pPr>
    </w:p>
    <w:p>
      <w:pPr>
        <w:ind w:right="60" w:firstLine="456"/>
        <w:spacing w:after="0" w:line="301" w:lineRule="auto"/>
        <w:rPr>
          <w:sz w:val="20"/>
          <w:szCs w:val="20"/>
          <w:color w:val="auto"/>
        </w:rPr>
      </w:pPr>
      <w:r>
        <w:rPr>
          <w:rFonts w:ascii="Times New Roman" w:cs="Times New Roman" w:eastAsia="Times New Roman" w:hAnsi="Times New Roman"/>
          <w:sz w:val="16"/>
          <w:szCs w:val="16"/>
          <w:color w:val="auto"/>
        </w:rPr>
        <w:t>Given the complex nature of the technology on which our business is based and the speed with which such technology advances, our future success is dependent, in large part, upon our ability to attract and retain highly qualified managerial, technical and sales personnel. Competition for talented personnel is intense, and we cannot be certain that we can retain our managerial, technical and sales personnel or that we can attract, assimilate or retain such personnel in the future. Our inability to attract and retain such personnel could have an adverse effect on our business, results of operations and financial condition.</w:t>
      </w:r>
    </w:p>
    <w:p>
      <w:pPr>
        <w:spacing w:after="0" w:line="180" w:lineRule="exact"/>
        <w:rPr>
          <w:sz w:val="20"/>
          <w:szCs w:val="20"/>
          <w:color w:val="auto"/>
        </w:rPr>
      </w:pPr>
    </w:p>
    <w:p>
      <w:pPr>
        <w:ind w:left="240"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3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have experienced a period of rapid growth in our headcount and operations. To the extent that we are able to sustain such growth, it will place a significant strain on our management, administrative, operational and financial infrastructure.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 The additional headcount we are adding will increase our cost base, which will make it more difficult for us to offset any future revenue shortfalls by reducing expenses in the short term. If we fail to successfully manage our growth, we will be unable to execute our business plan.</w:t>
      </w:r>
    </w:p>
    <w:p>
      <w:pPr>
        <w:spacing w:after="0" w:line="215" w:lineRule="exact"/>
        <w:rPr>
          <w:sz w:val="20"/>
          <w:szCs w:val="20"/>
          <w:color w:val="auto"/>
        </w:rPr>
      </w:pPr>
    </w:p>
    <w:p>
      <w:pPr>
        <w:ind w:left="2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failure to maintain adequate internal control over financial reporting in accordance with Section 404 of the Sarbanes-Oxley Act of 2002 or to prevent or detect material misstatements in our annual or interim financial statements in the future could result in inaccurate financial reporting, or could otherwise harm our business.</w:t>
      </w:r>
    </w:p>
    <w:p>
      <w:pPr>
        <w:spacing w:after="0" w:line="48"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Ensuring that we have internal financial and accounting controls and procedures adequate to produce accurate financial statements on a timely basis is a costly and time-consuming effort that needs to be re-evaluated</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455" w:right="2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frequently. The Sarbanes-Oxley Act requires, among other things, that we maintain effective internal control over financial reporting and disclosure controls and procedures. In particular, we are required to perform annual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Furthermore, implementing any appropriate future changes to our internal control over financial reporting may entail substantial costs in order to modify our existing accounting systems, may take a significant period of time to complete and may distract our officers, directors and employees from the operation of our business. If we are not able to comply with the requirements of Section 404 in the future, or if material weaknesses are identified, the market price of our common stock could decline.</w:t>
      </w:r>
    </w:p>
    <w:p>
      <w:pPr>
        <w:spacing w:after="0" w:line="218"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failure to raise additional capital or generate cash flows necessary to expand our operations and invest in new technologies could reduce our ability to compete successfully and adversely affect our results of operations.</w:t>
      </w:r>
    </w:p>
    <w:p>
      <w:pPr>
        <w:spacing w:after="0" w:line="3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may need to raise additional funds, and we may not be able to obtain additional debt or equity financing on favorable terms, if at all. If we raise additional equity financing, our security holders may experience significant dilution of their ownership interests and the value of shares of our common stock could decline. If we engage in debt financing, we may be required to accept terms that restrict our ability to incur additional indebtedness, force us to maintain specified liquidity or other ratios or restrict our ability to pay dividends or make acquisitions. If we need additional capital and cannot raise it on acceptable terms, we may not be able to, among other things:</w:t>
      </w:r>
    </w:p>
    <w:p>
      <w:pPr>
        <w:spacing w:after="0" w:line="58" w:lineRule="exact"/>
        <w:rPr>
          <w:sz w:val="20"/>
          <w:szCs w:val="20"/>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enhance our solutions;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our technology development, sales and marketing organizations;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employees; or</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or unanticipated working capital requirements.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inability to do any of the foregoing could reduce our ability to compete successfully and adversely affect our results of operations.</w:t>
      </w:r>
    </w:p>
    <w:p>
      <w:pPr>
        <w:spacing w:after="0" w:line="248" w:lineRule="exact"/>
        <w:rPr>
          <w:sz w:val="20"/>
          <w:szCs w:val="20"/>
          <w:color w:val="auto"/>
        </w:rPr>
      </w:pPr>
    </w:p>
    <w:p>
      <w:pPr>
        <w:ind w:left="240" w:right="3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Because our long-term success depends, in part, on our ability to expand the sales of our solutions to customers located outside of the United States of America, our business will be susceptible to risks associated with international operations.</w:t>
      </w:r>
    </w:p>
    <w:p>
      <w:pPr>
        <w:spacing w:after="0" w:line="3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have limited experience operating in foreign jurisdictions. Customers in countries outside of North America accounted for 3% of our revenues for 2014 and 2% of our revenues for each of 2013 and 2012. In 2014, we purchased substantially all of the assets of Leadtec, a privately-held provider of cloud-based integration solutions in Australia and New Zealand. We also undertake software development activities in the Ukraine. Our inexperience in operating our business outside of North America increases the risk that our current and any future international expansion efforts will not be successful. Conducting international operations subjects us to new risks that, generally, we have not faced in the United States of America, including:</w:t>
      </w:r>
    </w:p>
    <w:p>
      <w:pPr>
        <w:spacing w:after="0" w:line="58" w:lineRule="exact"/>
        <w:rPr>
          <w:sz w:val="20"/>
          <w:szCs w:val="20"/>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foreign regulatory requirements;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payment cycles and difficulties in collecting accounts receivable;</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international operations;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foreign value added tax systems and restrictions on the repatriation of earnings;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localization of our solutions, including translation into foreign languages and associated expenses;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of complying with a wide variety of foreign laws and different legal standards, including laws and regulations related to privacy;</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abroad (including the current hostilities in Ukraine), terrorist attacks and security concerns in general;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171" w:lineRule="exact"/>
        <w:rPr>
          <w:sz w:val="20"/>
          <w:szCs w:val="20"/>
          <w:color w:val="auto"/>
        </w:rPr>
      </w:pPr>
    </w:p>
    <w:p>
      <w:pPr>
        <w:ind w:right="100" w:firstLine="456"/>
        <w:spacing w:after="0" w:line="310" w:lineRule="auto"/>
        <w:rPr>
          <w:sz w:val="20"/>
          <w:szCs w:val="20"/>
          <w:color w:val="auto"/>
        </w:rPr>
      </w:pPr>
      <w:r>
        <w:rPr>
          <w:rFonts w:ascii="Times New Roman" w:cs="Times New Roman" w:eastAsia="Times New Roman" w:hAnsi="Times New Roman"/>
          <w:sz w:val="16"/>
          <w:szCs w:val="16"/>
          <w:color w:val="auto"/>
        </w:rPr>
        <w:t>The occurrence of any one of these risks could negatively affect our international business and, consequently, our results of operations generally. Additionally, operating in international markets also requires significant management attention and financial resources. We cannot be certain that the investment and additional resources required in establishing, acquiring or integrating operations in other countries will produce desired levels of revenues or profitability.</w:t>
      </w:r>
    </w:p>
    <w:p>
      <w:pPr>
        <w:spacing w:after="0" w:line="9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addition, we operate in parts of the world, such as Ukraine, that are recognized as having governmental corruption problems to some degree and where local customs and practices may not foster strict compliance with anti-corruption laws. Our continued operation and potential expansion outside the United States could increase the risk of such violations in the future. Despite our training and compliance programs, we cannot assure you that our internal control policies and procedures will protect us from unauthorized reckless or criminal acts committed by our employees or agents. In the event that we believe or have reason to believe that our employees or agents have or may have violated applicable anti-corruption laws, including the U.S. Foreign Corrupt Practices Act, we may be required to investigate or have outside counsel investigate the relevant facts and circumstances, which can be expensive and require significant time and attention from senior management. Violations of these laws may result in severe criminal or civil sanctions, which could disrupt our business and result in a material adverse effect on our reputation, business, results of operations or financial condition.</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adversely affected by ongoing developments in Ukraine.</w:t>
      </w:r>
    </w:p>
    <w:p>
      <w:pPr>
        <w:spacing w:after="0" w:line="94"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Ukraine has been undergoing heightened political turmoil since the removal of President Yanukovych from power by the Ukrainian parliament in late February 2014, which was followed by reports of Russian military activity in the Crimean region. The situation in Ukraine is rapidly developing, and we cannot predict the outcome of developments there or the reaction to such developments by U.S., European, U.N. or other international authorities.</w:t>
      </w:r>
    </w:p>
    <w:p>
      <w:pPr>
        <w:spacing w:after="0" w:line="132"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We currently engage in software development activities in the Ukraine and have an office in Kiev with 51 employees. We recently relocated our office to Kiev from Kharkiv due, in part, to the hostilities. We continue to monitor the situation closely. We have no way to predict the progress or outcome of the situation, as the political and civil unrest and reported military activities are fluid and beyond our control. Prolonged or expanded unrest, military activities, or broad-based sanctions, should they be implemented, could have a material adverse effect on our operations.</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9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Shares of our common stock were sold in our April 2010 initial public offering at a price of $12.00 per share and, through December 31, 2014, our common stock has traded as high as $79.98 per share and as low as $8.45 per share. An active, liquid and orderly market for our common stock may not develop or be sustained, which could depress the trading price of our common stock. Some of the factors that may cause the market price of our common stock to fluctuate include:</w:t>
      </w:r>
    </w:p>
    <w:p>
      <w:pPr>
        <w:spacing w:after="0" w:line="55" w:lineRule="exact"/>
        <w:rPr>
          <w:sz w:val="20"/>
          <w:szCs w:val="20"/>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financial results or the quarterly financial results of companies perceived to be similar to us;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recorded revenue, even during periods of significant sales order activity;</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60"/>
          </w:cols>
          <w:pgMar w:left="240" w:top="455" w:right="2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of our financial results or recommendations by securities analysts;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of our solutions to achieve or maintain market acceptance;</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competitive products or services;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debt;</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solutions, contracts, acquisitions or strategic alliances;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of America, foreign countries or both;</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our company, our general industry or both;</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us;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industry and market conditions.</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addition, if the market for software stocks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class action lawsuits that, even if unsuccessful, could be costly to defend and a distraction to management.</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our existing stockholders could cause our stock price to decline.</w:t>
      </w:r>
    </w:p>
    <w:p>
      <w:pPr>
        <w:spacing w:after="0" w:line="9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If our stockholders sell substantial amounts of our common stock in the public market, the market price of our common stock could decrease significantly. The perception in the public market that our stockholders might sell shares of our common stock could also depress the market price of our common stock. As of December 31, 2014, we had approximately 2.6 million shares of our common stock issuable under approved equity compensation plans which are covered by effective registration statements.</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may inhibit a takeover that stockholders consider favorable.</w:t>
      </w:r>
    </w:p>
    <w:p>
      <w:pPr>
        <w:spacing w:after="0" w:line="9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Provisions of our certificate of incorporation and bylaws and applicable provisions of Delaware law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These provisions:</w:t>
      </w:r>
    </w:p>
    <w:p>
      <w:pPr>
        <w:spacing w:after="0" w:line="51" w:lineRule="exact"/>
        <w:rPr>
          <w:sz w:val="20"/>
          <w:szCs w:val="20"/>
          <w:color w:val="auto"/>
        </w:rPr>
      </w:pPr>
    </w:p>
    <w:p>
      <w:pPr>
        <w:ind w:left="660" w:right="80" w:hanging="206"/>
        <w:spacing w:after="0" w:line="275"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up to 5,000,000 shares of preferred stock, with any rights, preferences and privileges as our board may designate, including the right to approve an acquisition or other change in our control;</w:t>
      </w:r>
    </w:p>
    <w:p>
      <w:pPr>
        <w:spacing w:after="0" w:line="38"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by resolution of the board of directors;</w:t>
      </w:r>
    </w:p>
    <w:p>
      <w:pPr>
        <w:spacing w:after="0" w:line="90" w:lineRule="exact"/>
        <w:rPr>
          <w:rFonts w:ascii="Times New Roman" w:cs="Times New Roman" w:eastAsia="Times New Roman" w:hAnsi="Times New Roman"/>
          <w:sz w:val="18"/>
          <w:szCs w:val="18"/>
          <w:color w:val="auto"/>
        </w:rPr>
      </w:pPr>
    </w:p>
    <w:p>
      <w:pPr>
        <w:ind w:left="660" w:right="580" w:hanging="206"/>
        <w:spacing w:after="0" w:line="275"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38" w:lineRule="exact"/>
        <w:rPr>
          <w:rFonts w:ascii="Times New Roman" w:cs="Times New Roman" w:eastAsia="Times New Roman" w:hAnsi="Times New Roman"/>
          <w:sz w:val="18"/>
          <w:szCs w:val="18"/>
          <w:color w:val="auto"/>
        </w:rPr>
      </w:pPr>
    </w:p>
    <w:p>
      <w:pPr>
        <w:ind w:left="660" w:right="80" w:hanging="206"/>
        <w:spacing w:after="0" w:line="26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and</w:t>
      </w:r>
    </w:p>
    <w:p>
      <w:pPr>
        <w:spacing w:after="0" w:line="51"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60"/>
          </w:cols>
          <w:pgMar w:left="240" w:top="455" w:right="29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In addition, Section 203 of the Delaware General Corporation Law generally limits our ability to engage in any business combination with certain persons who own 15% or more of our outstanding voting stock or any of our associates or affiliates who at any time in the past three years have owned 15% or more of our outstanding voting stock.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declare dividends on our stock in the foreseeable future.</w:t>
      </w:r>
    </w:p>
    <w:p>
      <w:pPr>
        <w:spacing w:after="0" w:line="9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currently intend to retain all future earnings for the operation and expansion of our business and, therefore, do not anticipate declaring or paying cash dividends on our common stock in the foreseeable future. Any payment of cash dividends on our common stock will be at the discretion of our board of directors and will depend upon our results of operations, earnings, capital requirements, financial condition, future prospects, contractual restrictions and other factors deemed relevant by our board of directors. Therefore, you should not expect to receive dividend income from shares of our common stock.</w:t>
      </w:r>
    </w:p>
    <w:p>
      <w:pPr>
        <w:spacing w:after="0" w:line="25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i w:val="1"/>
          <w:iCs w:val="1"/>
          <w:color w:val="auto"/>
        </w:rPr>
        <w:t>Unresolved Staff Comments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8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i w:val="1"/>
          <w:iCs w:val="1"/>
          <w:color w:val="auto"/>
        </w:rPr>
        <w:t>Properties</w:t>
      </w:r>
    </w:p>
    <w:p>
      <w:pPr>
        <w:spacing w:after="0" w:line="9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Our corporate headquarters, including our principal administrative, marketing, sales, technical support and research and development facilities, are located in Minneapolis, MN where we lease approximately 142,000 square feet under an agreement that expires on April 30, 2020. Our current lease agreement includes a right of first offer to lease certain additional space, which we exercised, and two options to extend the term of the lease for three years at a market rate determined in accordance with the lease.</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also have operations in Parsippany, New Jersey, where we lease approximately 23,000 square feet under an agreement that expires on January 31, 2016.</w:t>
      </w:r>
    </w:p>
    <w:p>
      <w:pPr>
        <w:spacing w:after="0" w:line="194"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We believe that our current facilities are suitable and adequate to meet our current needs, and that suitable additional or substitute space will be available as needed to accommodate expansion of our operations.</w:t>
      </w:r>
    </w:p>
    <w:p>
      <w:pPr>
        <w:spacing w:after="0" w:line="23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i w:val="1"/>
          <w:iCs w:val="1"/>
          <w:color w:val="auto"/>
        </w:rPr>
        <w:t>Legal Proceedings</w:t>
      </w:r>
    </w:p>
    <w:p>
      <w:pPr>
        <w:spacing w:after="0" w:line="9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From time to time, we may be named as a defendant in legal actions or otherwise be subject to claims arising from our normal business activities. We believe that we have obtained adequate insurance coverage or rights to indemnification in connection with potential legal proceedings that may arise.</w:t>
      </w:r>
    </w:p>
    <w:p>
      <w:pPr>
        <w:spacing w:after="0" w:line="25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i w:val="1"/>
          <w:iCs w:val="1"/>
          <w:color w:val="auto"/>
        </w:rPr>
        <w:t>Mine Safety Disclosures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8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i w:val="1"/>
          <w:iCs w:val="1"/>
          <w:color w:val="auto"/>
        </w:rPr>
        <w:t>Market for Registrant’s Common Equity, Related Stockholder Matters and Issuer Purchases of Equity Securities</w:t>
      </w:r>
    </w:p>
    <w:p>
      <w:pPr>
        <w:spacing w:after="0" w:line="92" w:lineRule="exact"/>
        <w:rPr>
          <w:sz w:val="20"/>
          <w:szCs w:val="20"/>
          <w:color w:val="auto"/>
        </w:rPr>
      </w:pPr>
    </w:p>
    <w:p>
      <w:pPr>
        <w:ind w:right="1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Market Information. </w:t>
      </w:r>
      <w:r>
        <w:rPr>
          <w:rFonts w:ascii="Times New Roman" w:cs="Times New Roman" w:eastAsia="Times New Roman" w:hAnsi="Times New Roman"/>
          <w:sz w:val="18"/>
          <w:szCs w:val="18"/>
          <w:color w:val="auto"/>
        </w:rPr>
        <w:t>Our common stock has traded on the Nasdaq Global Market under the symbol “SPSC” since April 22, 2010, the date of our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offering. The following table sets forth, for the periods indicated, the high and low sales prices for our common stock as reported on the Nasdaq Global Market.</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51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4"/>
              </w:rPr>
              <w:t>High</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Low</w:t>
            </w:r>
          </w:p>
        </w:tc>
      </w:tr>
      <w:tr>
        <w:trPr>
          <w:trHeight w:val="196"/>
        </w:trPr>
        <w:tc>
          <w:tcPr>
            <w:tcW w:w="5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Fiscal 2013</w:t>
            </w:r>
          </w:p>
        </w:tc>
        <w:tc>
          <w:tcPr>
            <w:tcW w:w="38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First Quarter</w:t>
            </w:r>
          </w:p>
        </w:tc>
        <w:tc>
          <w:tcPr>
            <w:tcW w:w="4800" w:type="dxa"/>
            <w:vAlign w:val="bottom"/>
            <w:gridSpan w:val="3"/>
          </w:tcPr>
          <w:p>
            <w:pPr>
              <w:jc w:val="center"/>
              <w:ind w:left="3212"/>
              <w:spacing w:after="0"/>
              <w:rPr>
                <w:sz w:val="20"/>
                <w:szCs w:val="20"/>
                <w:color w:val="auto"/>
              </w:rPr>
            </w:pPr>
            <w:r>
              <w:rPr>
                <w:rFonts w:ascii="Times New Roman" w:cs="Times New Roman" w:eastAsia="Times New Roman" w:hAnsi="Times New Roman"/>
                <w:sz w:val="18"/>
                <w:szCs w:val="18"/>
                <w:color w:val="auto"/>
              </w:rPr>
              <w:t>$42.84</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Second Quarter</w:t>
            </w:r>
          </w:p>
        </w:tc>
        <w:tc>
          <w:tcPr>
            <w:tcW w:w="4800" w:type="dxa"/>
            <w:vAlign w:val="bottom"/>
            <w:gridSpan w:val="3"/>
            <w:shd w:val="clear" w:color="auto" w:fill="CCEEFF"/>
          </w:tcPr>
          <w:p>
            <w:pPr>
              <w:jc w:val="center"/>
              <w:ind w:left="3212"/>
              <w:spacing w:after="0"/>
              <w:rPr>
                <w:sz w:val="20"/>
                <w:szCs w:val="20"/>
                <w:color w:val="auto"/>
              </w:rPr>
            </w:pPr>
            <w:r>
              <w:rPr>
                <w:rFonts w:ascii="Times New Roman" w:cs="Times New Roman" w:eastAsia="Times New Roman" w:hAnsi="Times New Roman"/>
                <w:sz w:val="18"/>
                <w:szCs w:val="18"/>
                <w:color w:val="auto"/>
              </w:rPr>
              <w:t>$57.34</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Third Quarter</w:t>
            </w:r>
          </w:p>
        </w:tc>
        <w:tc>
          <w:tcPr>
            <w:tcW w:w="4800" w:type="dxa"/>
            <w:vAlign w:val="bottom"/>
            <w:gridSpan w:val="3"/>
          </w:tcPr>
          <w:p>
            <w:pPr>
              <w:jc w:val="center"/>
              <w:ind w:left="3212"/>
              <w:spacing w:after="0"/>
              <w:rPr>
                <w:sz w:val="20"/>
                <w:szCs w:val="20"/>
                <w:color w:val="auto"/>
              </w:rPr>
            </w:pPr>
            <w:r>
              <w:rPr>
                <w:rFonts w:ascii="Times New Roman" w:cs="Times New Roman" w:eastAsia="Times New Roman" w:hAnsi="Times New Roman"/>
                <w:sz w:val="18"/>
                <w:szCs w:val="18"/>
                <w:color w:val="auto"/>
              </w:rPr>
              <w:t>$73.53</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$54.03</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Fourth Quarter</w:t>
            </w:r>
          </w:p>
        </w:tc>
        <w:tc>
          <w:tcPr>
            <w:tcW w:w="4800" w:type="dxa"/>
            <w:vAlign w:val="bottom"/>
            <w:gridSpan w:val="3"/>
            <w:shd w:val="clear" w:color="auto" w:fill="CCEEFF"/>
          </w:tcPr>
          <w:p>
            <w:pPr>
              <w:jc w:val="center"/>
              <w:ind w:left="3212"/>
              <w:spacing w:after="0"/>
              <w:rPr>
                <w:sz w:val="20"/>
                <w:szCs w:val="20"/>
                <w:color w:val="auto"/>
              </w:rPr>
            </w:pPr>
            <w:r>
              <w:rPr>
                <w:rFonts w:ascii="Times New Roman" w:cs="Times New Roman" w:eastAsia="Times New Roman" w:hAnsi="Times New Roman"/>
                <w:sz w:val="18"/>
                <w:szCs w:val="18"/>
                <w:color w:val="auto"/>
              </w:rPr>
              <w:t>$79.98</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$60.37</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Fiscal 2014</w:t>
            </w:r>
          </w:p>
        </w:tc>
        <w:tc>
          <w:tcPr>
            <w:tcW w:w="3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First Quarter</w:t>
            </w:r>
          </w:p>
        </w:tc>
        <w:tc>
          <w:tcPr>
            <w:tcW w:w="4800" w:type="dxa"/>
            <w:vAlign w:val="bottom"/>
            <w:gridSpan w:val="3"/>
            <w:shd w:val="clear" w:color="auto" w:fill="CCEEFF"/>
          </w:tcPr>
          <w:p>
            <w:pPr>
              <w:jc w:val="center"/>
              <w:ind w:left="3212"/>
              <w:spacing w:after="0"/>
              <w:rPr>
                <w:sz w:val="20"/>
                <w:szCs w:val="20"/>
                <w:color w:val="auto"/>
              </w:rPr>
            </w:pPr>
            <w:r>
              <w:rPr>
                <w:rFonts w:ascii="Times New Roman" w:cs="Times New Roman" w:eastAsia="Times New Roman" w:hAnsi="Times New Roman"/>
                <w:sz w:val="18"/>
                <w:szCs w:val="18"/>
                <w:color w:val="auto"/>
              </w:rPr>
              <w:t>$71.82</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$58.37</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Second Quarter</w:t>
            </w:r>
          </w:p>
        </w:tc>
        <w:tc>
          <w:tcPr>
            <w:tcW w:w="4800" w:type="dxa"/>
            <w:vAlign w:val="bottom"/>
            <w:gridSpan w:val="3"/>
          </w:tcPr>
          <w:p>
            <w:pPr>
              <w:jc w:val="center"/>
              <w:ind w:left="3212"/>
              <w:spacing w:after="0"/>
              <w:rPr>
                <w:sz w:val="20"/>
                <w:szCs w:val="20"/>
                <w:color w:val="auto"/>
              </w:rPr>
            </w:pPr>
            <w:r>
              <w:rPr>
                <w:rFonts w:ascii="Times New Roman" w:cs="Times New Roman" w:eastAsia="Times New Roman" w:hAnsi="Times New Roman"/>
                <w:sz w:val="18"/>
                <w:szCs w:val="18"/>
                <w:color w:val="auto"/>
              </w:rPr>
              <w:t>$64.10</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Third Quarter</w:t>
            </w:r>
          </w:p>
        </w:tc>
        <w:tc>
          <w:tcPr>
            <w:tcW w:w="4800" w:type="dxa"/>
            <w:vAlign w:val="bottom"/>
            <w:gridSpan w:val="3"/>
            <w:shd w:val="clear" w:color="auto" w:fill="CCEEFF"/>
          </w:tcPr>
          <w:p>
            <w:pPr>
              <w:jc w:val="center"/>
              <w:ind w:left="3212"/>
              <w:spacing w:after="0"/>
              <w:rPr>
                <w:sz w:val="20"/>
                <w:szCs w:val="20"/>
                <w:color w:val="auto"/>
              </w:rPr>
            </w:pPr>
            <w:r>
              <w:rPr>
                <w:rFonts w:ascii="Times New Roman" w:cs="Times New Roman" w:eastAsia="Times New Roman" w:hAnsi="Times New Roman"/>
                <w:sz w:val="18"/>
                <w:szCs w:val="18"/>
                <w:color w:val="auto"/>
              </w:rPr>
              <w:t>$64.99</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$48.97</w:t>
            </w:r>
          </w:p>
        </w:tc>
        <w:tc>
          <w:tcPr>
            <w:tcW w:w="100" w:type="dxa"/>
            <w:vAlign w:val="bottom"/>
            <w:shd w:val="clear" w:color="auto" w:fill="CCEEFF"/>
          </w:tcPr>
          <w:p>
            <w:pPr>
              <w:spacing w:after="0"/>
              <w:rPr>
                <w:sz w:val="18"/>
                <w:szCs w:val="18"/>
                <w:color w:val="auto"/>
              </w:rPr>
            </w:pPr>
          </w:p>
        </w:tc>
      </w:tr>
      <w:tr>
        <w:trPr>
          <w:trHeight w:val="228"/>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Fourth Quarter</w:t>
            </w:r>
          </w:p>
        </w:tc>
        <w:tc>
          <w:tcPr>
            <w:tcW w:w="4800" w:type="dxa"/>
            <w:vAlign w:val="bottom"/>
            <w:gridSpan w:val="3"/>
          </w:tcPr>
          <w:p>
            <w:pPr>
              <w:jc w:val="center"/>
              <w:ind w:left="3212"/>
              <w:spacing w:after="0"/>
              <w:rPr>
                <w:sz w:val="20"/>
                <w:szCs w:val="20"/>
                <w:color w:val="auto"/>
              </w:rPr>
            </w:pPr>
            <w:r>
              <w:rPr>
                <w:rFonts w:ascii="Times New Roman" w:cs="Times New Roman" w:eastAsia="Times New Roman" w:hAnsi="Times New Roman"/>
                <w:sz w:val="18"/>
                <w:szCs w:val="18"/>
                <w:color w:val="auto"/>
              </w:rPr>
              <w:t>$64.00</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$49.44</w:t>
            </w:r>
          </w:p>
        </w:tc>
        <w:tc>
          <w:tcPr>
            <w:tcW w:w="100" w:type="dxa"/>
            <w:vAlign w:val="bottom"/>
          </w:tcPr>
          <w:p>
            <w:pPr>
              <w:spacing w:after="0"/>
              <w:rPr>
                <w:sz w:val="19"/>
                <w:szCs w:val="19"/>
                <w:color w:val="auto"/>
              </w:rPr>
            </w:pPr>
          </w:p>
        </w:tc>
      </w:tr>
    </w:tbl>
    <w:p>
      <w:pPr>
        <w:spacing w:after="0" w:line="133" w:lineRule="exact"/>
        <w:rPr>
          <w:sz w:val="20"/>
          <w:szCs w:val="20"/>
          <w:color w:val="auto"/>
        </w:rPr>
      </w:pPr>
    </w:p>
    <w:p>
      <w:pPr>
        <w:ind w:right="4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As of February 5, 2015, we had 84 stockholders of record of our common stock, excluding holders whose stock is held either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nominee name and/or street name brokerage accounts.</w:t>
      </w:r>
    </w:p>
    <w:p>
      <w:pPr>
        <w:spacing w:after="0" w:line="116"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We have not historically paid dividends on our common stock. We intend to retain our future earnings, if any, to finance the expansion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of our business, and we do not expect to pay cash dividends on our common stock in the foreseeable future. Payment of future cash dividends, if any, will be at the discretion of our board of directors after taking into account various factors, including our financial condition, operating results, current and anticipated cash needs, outstanding indebtedness and plans for expansion and restrictions imposed by lenders, if any.</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40"/>
          </w:cols>
          <w:pgMar w:left="240" w:top="455" w:right="31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 and Cumulative Total Return</w:t>
      </w:r>
    </w:p>
    <w:p>
      <w:pPr>
        <w:spacing w:after="0" w:line="90"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Notwithstanding any statement to the contrary in any of our previous or future filings with the Securities and Exchange Commission, or SEC, the following information relating to the price performance of our common stock shall not be deemed to be “filed” with the SEC or to be “soliciting material” under the Securities Exchange Act of 1934, as amended, or the Exchange Act, and it shall not be deemed to be incorporated by reference into any of our filings under the Securities Act or the Exchange Act, except to the extent we specifically incorporate it by reference into such filing.</w:t>
      </w:r>
    </w:p>
    <w:p>
      <w:pPr>
        <w:spacing w:after="0" w:line="135"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of our common stock with that of the NASDAQ US Benchmark TR Index and the NASDAQ US Benchmark Computer Services TR Index from April 22, 2010 (the date on which our common stock commenced trading on the Nasdaq Global Market) through December 31, 2014. The graph assumes that $100 was invested in shares of our common stock, the NASDAQ US Benchmark TR Index and the NASDAQ US Benchmark Computer Services TR Index at the close of market on April 22, 2010, and that dividends, if any, were reinvested. The comparisons in this graph are based on historical data and are not intended to forecast or be indicative of future performance of our common stock.</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Returns of SPS Commerce, Inc., NASDAQ US Benchmark TR Index and</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NASDAQ US Benchmark Computer Services TR Index</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5560" w:type="dxa"/>
            <w:vAlign w:val="bottom"/>
            <w:tcBorders>
              <w:top w:val="single" w:sz="8" w:color="auto"/>
              <w:left w:val="single" w:sz="8" w:color="auto"/>
              <w:right w:val="single" w:sz="8" w:color="auto"/>
            </w:tcBorders>
          </w:tcPr>
          <w:p>
            <w:pPr>
              <w:spacing w:after="0"/>
              <w:rPr>
                <w:sz w:val="12"/>
                <w:szCs w:val="12"/>
                <w:color w:val="auto"/>
              </w:rPr>
            </w:pPr>
          </w:p>
        </w:tc>
        <w:tc>
          <w:tcPr>
            <w:tcW w:w="1860" w:type="dxa"/>
            <w:vAlign w:val="bottom"/>
            <w:tcBorders>
              <w:top w:val="single" w:sz="8" w:color="auto"/>
              <w:right w:val="single" w:sz="8" w:color="auto"/>
            </w:tcBorders>
          </w:tcPr>
          <w:p>
            <w:pPr>
              <w:spacing w:after="0"/>
              <w:rPr>
                <w:sz w:val="12"/>
                <w:szCs w:val="12"/>
                <w:color w:val="auto"/>
              </w:rPr>
            </w:pPr>
          </w:p>
        </w:tc>
        <w:tc>
          <w:tcPr>
            <w:tcW w:w="1740" w:type="dxa"/>
            <w:vAlign w:val="bottom"/>
            <w:tcBorders>
              <w:top w:val="single" w:sz="8" w:color="auto"/>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4"/>
              </w:rPr>
              <w:t>NASDAQ US</w:t>
            </w:r>
          </w:p>
        </w:tc>
        <w:tc>
          <w:tcPr>
            <w:tcW w:w="2280" w:type="dxa"/>
            <w:vAlign w:val="bottom"/>
            <w:tcBorders>
              <w:top w:val="single" w:sz="8" w:color="auto"/>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6"/>
              </w:rPr>
              <w:t>NASDAQ US</w:t>
            </w:r>
          </w:p>
        </w:tc>
      </w:tr>
      <w:tr>
        <w:trPr>
          <w:trHeight w:val="149"/>
        </w:trPr>
        <w:tc>
          <w:tcPr>
            <w:tcW w:w="556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Benchmark</w:t>
            </w:r>
          </w:p>
        </w:tc>
        <w:tc>
          <w:tcPr>
            <w:tcW w:w="22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Benchmark Computer</w:t>
            </w:r>
          </w:p>
        </w:tc>
      </w:tr>
      <w:tr>
        <w:trPr>
          <w:trHeight w:val="165"/>
        </w:trPr>
        <w:tc>
          <w:tcPr>
            <w:tcW w:w="5560" w:type="dxa"/>
            <w:vAlign w:val="bottom"/>
            <w:tcBorders>
              <w:left w:val="single" w:sz="8" w:color="auto"/>
              <w:bottom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SPS Commerce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 Index</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Services TR Index</w:t>
            </w:r>
          </w:p>
        </w:tc>
      </w:tr>
      <w:tr>
        <w:trPr>
          <w:trHeight w:val="210"/>
        </w:trPr>
        <w:tc>
          <w:tcPr>
            <w:tcW w:w="55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4/22/2010</w:t>
            </w:r>
          </w:p>
        </w:tc>
        <w:tc>
          <w:tcPr>
            <w:tcW w:w="1860" w:type="dxa"/>
            <w:vAlign w:val="bottom"/>
            <w:tcBorders>
              <w:bottom w:val="single" w:sz="8" w:color="auto"/>
              <w:right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100.0</w:t>
            </w:r>
          </w:p>
        </w:tc>
        <w:tc>
          <w:tcPr>
            <w:tcW w:w="1740" w:type="dxa"/>
            <w:vAlign w:val="bottom"/>
            <w:tcBorders>
              <w:bottom w:val="single" w:sz="8" w:color="auto"/>
              <w:right w:val="single" w:sz="8" w:color="auto"/>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100.0</w:t>
            </w:r>
          </w:p>
        </w:tc>
        <w:tc>
          <w:tcPr>
            <w:tcW w:w="2280" w:type="dxa"/>
            <w:vAlign w:val="bottom"/>
            <w:tcBorders>
              <w:bottom w:val="single" w:sz="8" w:color="auto"/>
              <w:right w:val="single" w:sz="8" w:color="auto"/>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100.0</w:t>
            </w:r>
          </w:p>
        </w:tc>
      </w:tr>
      <w:tr>
        <w:trPr>
          <w:trHeight w:val="210"/>
        </w:trPr>
        <w:tc>
          <w:tcPr>
            <w:tcW w:w="5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6/30/2010</w:t>
            </w:r>
          </w:p>
        </w:tc>
        <w:tc>
          <w:tcPr>
            <w:tcW w:w="1860" w:type="dxa"/>
            <w:vAlign w:val="bottom"/>
            <w:tcBorders>
              <w:bottom w:val="single" w:sz="8" w:color="auto"/>
              <w:right w:val="single" w:sz="8" w:color="auto"/>
            </w:tcBorders>
          </w:tcPr>
          <w:p>
            <w:pPr>
              <w:jc w:val="right"/>
              <w:ind w:right="434"/>
              <w:spacing w:after="0"/>
              <w:rPr>
                <w:sz w:val="20"/>
                <w:szCs w:val="20"/>
                <w:color w:val="auto"/>
              </w:rPr>
            </w:pPr>
            <w:r>
              <w:rPr>
                <w:rFonts w:ascii="Times New Roman" w:cs="Times New Roman" w:eastAsia="Times New Roman" w:hAnsi="Times New Roman"/>
                <w:sz w:val="18"/>
                <w:szCs w:val="18"/>
                <w:color w:val="auto"/>
              </w:rPr>
              <w:t>85.4</w:t>
            </w:r>
          </w:p>
        </w:tc>
        <w:tc>
          <w:tcPr>
            <w:tcW w:w="1740" w:type="dxa"/>
            <w:vAlign w:val="bottom"/>
            <w:tcBorders>
              <w:bottom w:val="single" w:sz="8" w:color="auto"/>
              <w:right w:val="single" w:sz="8" w:color="auto"/>
            </w:tcBorders>
          </w:tcPr>
          <w:p>
            <w:pPr>
              <w:jc w:val="right"/>
              <w:ind w:right="417"/>
              <w:spacing w:after="0"/>
              <w:rPr>
                <w:sz w:val="20"/>
                <w:szCs w:val="20"/>
                <w:color w:val="auto"/>
              </w:rPr>
            </w:pPr>
            <w:r>
              <w:rPr>
                <w:rFonts w:ascii="Times New Roman" w:cs="Times New Roman" w:eastAsia="Times New Roman" w:hAnsi="Times New Roman"/>
                <w:sz w:val="18"/>
                <w:szCs w:val="18"/>
                <w:color w:val="auto"/>
              </w:rPr>
              <w:t>85.5</w:t>
            </w:r>
          </w:p>
        </w:tc>
        <w:tc>
          <w:tcPr>
            <w:tcW w:w="2280" w:type="dxa"/>
            <w:vAlign w:val="bottom"/>
            <w:tcBorders>
              <w:bottom w:val="single" w:sz="8" w:color="auto"/>
              <w:right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color w:val="auto"/>
              </w:rPr>
              <w:t>94.4</w:t>
            </w:r>
          </w:p>
        </w:tc>
      </w:tr>
      <w:tr>
        <w:trPr>
          <w:trHeight w:val="210"/>
        </w:trPr>
        <w:tc>
          <w:tcPr>
            <w:tcW w:w="55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12/31/2010</w:t>
            </w:r>
          </w:p>
        </w:tc>
        <w:tc>
          <w:tcPr>
            <w:tcW w:w="1860" w:type="dxa"/>
            <w:vAlign w:val="bottom"/>
            <w:tcBorders>
              <w:bottom w:val="single" w:sz="8" w:color="auto"/>
              <w:right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116.2</w:t>
            </w:r>
          </w:p>
        </w:tc>
        <w:tc>
          <w:tcPr>
            <w:tcW w:w="1740" w:type="dxa"/>
            <w:vAlign w:val="bottom"/>
            <w:tcBorders>
              <w:bottom w:val="single" w:sz="8" w:color="auto"/>
              <w:right w:val="single" w:sz="8" w:color="auto"/>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106.5</w:t>
            </w:r>
          </w:p>
        </w:tc>
        <w:tc>
          <w:tcPr>
            <w:tcW w:w="2280" w:type="dxa"/>
            <w:vAlign w:val="bottom"/>
            <w:tcBorders>
              <w:bottom w:val="single" w:sz="8" w:color="auto"/>
              <w:right w:val="single" w:sz="8" w:color="auto"/>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115.9</w:t>
            </w:r>
          </w:p>
        </w:tc>
      </w:tr>
      <w:tr>
        <w:trPr>
          <w:trHeight w:val="210"/>
        </w:trPr>
        <w:tc>
          <w:tcPr>
            <w:tcW w:w="5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6/30/2011</w:t>
            </w:r>
          </w:p>
        </w:tc>
        <w:tc>
          <w:tcPr>
            <w:tcW w:w="1860" w:type="dxa"/>
            <w:vAlign w:val="bottom"/>
            <w:tcBorders>
              <w:bottom w:val="single" w:sz="8" w:color="auto"/>
              <w:right w:val="single" w:sz="8" w:color="auto"/>
            </w:tcBorders>
          </w:tcPr>
          <w:p>
            <w:pPr>
              <w:jc w:val="right"/>
              <w:ind w:right="434"/>
              <w:spacing w:after="0"/>
              <w:rPr>
                <w:sz w:val="20"/>
                <w:szCs w:val="20"/>
                <w:color w:val="auto"/>
              </w:rPr>
            </w:pPr>
            <w:r>
              <w:rPr>
                <w:rFonts w:ascii="Times New Roman" w:cs="Times New Roman" w:eastAsia="Times New Roman" w:hAnsi="Times New Roman"/>
                <w:sz w:val="18"/>
                <w:szCs w:val="18"/>
                <w:color w:val="auto"/>
              </w:rPr>
              <w:t>130.8</w:t>
            </w:r>
          </w:p>
        </w:tc>
        <w:tc>
          <w:tcPr>
            <w:tcW w:w="1740" w:type="dxa"/>
            <w:vAlign w:val="bottom"/>
            <w:tcBorders>
              <w:bottom w:val="single" w:sz="8" w:color="auto"/>
              <w:right w:val="single" w:sz="8" w:color="auto"/>
            </w:tcBorders>
          </w:tcPr>
          <w:p>
            <w:pPr>
              <w:jc w:val="right"/>
              <w:ind w:right="417"/>
              <w:spacing w:after="0"/>
              <w:rPr>
                <w:sz w:val="20"/>
                <w:szCs w:val="20"/>
                <w:color w:val="auto"/>
              </w:rPr>
            </w:pPr>
            <w:r>
              <w:rPr>
                <w:rFonts w:ascii="Times New Roman" w:cs="Times New Roman" w:eastAsia="Times New Roman" w:hAnsi="Times New Roman"/>
                <w:sz w:val="18"/>
                <w:szCs w:val="18"/>
                <w:color w:val="auto"/>
              </w:rPr>
              <w:t>112.0</w:t>
            </w:r>
          </w:p>
        </w:tc>
        <w:tc>
          <w:tcPr>
            <w:tcW w:w="2280" w:type="dxa"/>
            <w:vAlign w:val="bottom"/>
            <w:tcBorders>
              <w:bottom w:val="single" w:sz="8" w:color="auto"/>
              <w:right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color w:val="auto"/>
              </w:rPr>
              <w:t>132.6</w:t>
            </w:r>
          </w:p>
        </w:tc>
      </w:tr>
      <w:tr>
        <w:trPr>
          <w:trHeight w:val="210"/>
        </w:trPr>
        <w:tc>
          <w:tcPr>
            <w:tcW w:w="55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12/30/2011</w:t>
            </w:r>
          </w:p>
        </w:tc>
        <w:tc>
          <w:tcPr>
            <w:tcW w:w="1860" w:type="dxa"/>
            <w:vAlign w:val="bottom"/>
            <w:tcBorders>
              <w:bottom w:val="single" w:sz="8" w:color="auto"/>
              <w:right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190.8</w:t>
            </w:r>
          </w:p>
        </w:tc>
        <w:tc>
          <w:tcPr>
            <w:tcW w:w="1740" w:type="dxa"/>
            <w:vAlign w:val="bottom"/>
            <w:tcBorders>
              <w:bottom w:val="single" w:sz="8" w:color="auto"/>
              <w:right w:val="single" w:sz="8" w:color="auto"/>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106.8</w:t>
            </w:r>
          </w:p>
        </w:tc>
        <w:tc>
          <w:tcPr>
            <w:tcW w:w="2280" w:type="dxa"/>
            <w:vAlign w:val="bottom"/>
            <w:tcBorders>
              <w:bottom w:val="single" w:sz="8" w:color="auto"/>
              <w:right w:val="single" w:sz="8" w:color="auto"/>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135.2</w:t>
            </w:r>
          </w:p>
        </w:tc>
      </w:tr>
      <w:tr>
        <w:trPr>
          <w:trHeight w:val="210"/>
        </w:trPr>
        <w:tc>
          <w:tcPr>
            <w:tcW w:w="5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6/29/2012</w:t>
            </w:r>
          </w:p>
        </w:tc>
        <w:tc>
          <w:tcPr>
            <w:tcW w:w="1860" w:type="dxa"/>
            <w:vAlign w:val="bottom"/>
            <w:tcBorders>
              <w:bottom w:val="single" w:sz="8" w:color="auto"/>
              <w:right w:val="single" w:sz="8" w:color="auto"/>
            </w:tcBorders>
          </w:tcPr>
          <w:p>
            <w:pPr>
              <w:jc w:val="right"/>
              <w:ind w:right="434"/>
              <w:spacing w:after="0"/>
              <w:rPr>
                <w:sz w:val="20"/>
                <w:szCs w:val="20"/>
                <w:color w:val="auto"/>
              </w:rPr>
            </w:pPr>
            <w:r>
              <w:rPr>
                <w:rFonts w:ascii="Times New Roman" w:cs="Times New Roman" w:eastAsia="Times New Roman" w:hAnsi="Times New Roman"/>
                <w:sz w:val="18"/>
                <w:szCs w:val="18"/>
                <w:color w:val="auto"/>
              </w:rPr>
              <w:t>223.4</w:t>
            </w:r>
          </w:p>
        </w:tc>
        <w:tc>
          <w:tcPr>
            <w:tcW w:w="1740" w:type="dxa"/>
            <w:vAlign w:val="bottom"/>
            <w:tcBorders>
              <w:bottom w:val="single" w:sz="8" w:color="auto"/>
              <w:right w:val="single" w:sz="8" w:color="auto"/>
            </w:tcBorders>
          </w:tcPr>
          <w:p>
            <w:pPr>
              <w:jc w:val="right"/>
              <w:ind w:right="417"/>
              <w:spacing w:after="0"/>
              <w:rPr>
                <w:sz w:val="20"/>
                <w:szCs w:val="20"/>
                <w:color w:val="auto"/>
              </w:rPr>
            </w:pPr>
            <w:r>
              <w:rPr>
                <w:rFonts w:ascii="Times New Roman" w:cs="Times New Roman" w:eastAsia="Times New Roman" w:hAnsi="Times New Roman"/>
                <w:sz w:val="18"/>
                <w:szCs w:val="18"/>
                <w:color w:val="auto"/>
              </w:rPr>
              <w:t>116.9</w:t>
            </w:r>
          </w:p>
        </w:tc>
        <w:tc>
          <w:tcPr>
            <w:tcW w:w="2280" w:type="dxa"/>
            <w:vAlign w:val="bottom"/>
            <w:tcBorders>
              <w:bottom w:val="single" w:sz="8" w:color="auto"/>
              <w:right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color w:val="auto"/>
              </w:rPr>
              <w:t>147.4</w:t>
            </w:r>
          </w:p>
        </w:tc>
      </w:tr>
      <w:tr>
        <w:trPr>
          <w:trHeight w:val="210"/>
        </w:trPr>
        <w:tc>
          <w:tcPr>
            <w:tcW w:w="55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12/31/2012</w:t>
            </w:r>
          </w:p>
        </w:tc>
        <w:tc>
          <w:tcPr>
            <w:tcW w:w="1860" w:type="dxa"/>
            <w:vAlign w:val="bottom"/>
            <w:tcBorders>
              <w:bottom w:val="single" w:sz="8" w:color="auto"/>
              <w:right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274.0</w:t>
            </w:r>
          </w:p>
        </w:tc>
        <w:tc>
          <w:tcPr>
            <w:tcW w:w="1740" w:type="dxa"/>
            <w:vAlign w:val="bottom"/>
            <w:tcBorders>
              <w:bottom w:val="single" w:sz="8" w:color="auto"/>
              <w:right w:val="single" w:sz="8" w:color="auto"/>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124.3</w:t>
            </w:r>
          </w:p>
        </w:tc>
        <w:tc>
          <w:tcPr>
            <w:tcW w:w="2280" w:type="dxa"/>
            <w:vAlign w:val="bottom"/>
            <w:tcBorders>
              <w:bottom w:val="single" w:sz="8" w:color="auto"/>
              <w:right w:val="single" w:sz="8" w:color="auto"/>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148.9</w:t>
            </w:r>
          </w:p>
        </w:tc>
      </w:tr>
      <w:tr>
        <w:trPr>
          <w:trHeight w:val="210"/>
        </w:trPr>
        <w:tc>
          <w:tcPr>
            <w:tcW w:w="5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6/28/2013</w:t>
            </w:r>
          </w:p>
        </w:tc>
        <w:tc>
          <w:tcPr>
            <w:tcW w:w="1860" w:type="dxa"/>
            <w:vAlign w:val="bottom"/>
            <w:tcBorders>
              <w:bottom w:val="single" w:sz="8" w:color="auto"/>
              <w:right w:val="single" w:sz="8" w:color="auto"/>
            </w:tcBorders>
          </w:tcPr>
          <w:p>
            <w:pPr>
              <w:jc w:val="right"/>
              <w:ind w:right="434"/>
              <w:spacing w:after="0"/>
              <w:rPr>
                <w:sz w:val="20"/>
                <w:szCs w:val="20"/>
                <w:color w:val="auto"/>
              </w:rPr>
            </w:pPr>
            <w:r>
              <w:rPr>
                <w:rFonts w:ascii="Times New Roman" w:cs="Times New Roman" w:eastAsia="Times New Roman" w:hAnsi="Times New Roman"/>
                <w:sz w:val="18"/>
                <w:szCs w:val="18"/>
                <w:color w:val="auto"/>
              </w:rPr>
              <w:t>404.4</w:t>
            </w:r>
          </w:p>
        </w:tc>
        <w:tc>
          <w:tcPr>
            <w:tcW w:w="1740" w:type="dxa"/>
            <w:vAlign w:val="bottom"/>
            <w:tcBorders>
              <w:bottom w:val="single" w:sz="8" w:color="auto"/>
              <w:right w:val="single" w:sz="8" w:color="auto"/>
            </w:tcBorders>
          </w:tcPr>
          <w:p>
            <w:pPr>
              <w:jc w:val="right"/>
              <w:ind w:right="417"/>
              <w:spacing w:after="0"/>
              <w:rPr>
                <w:sz w:val="20"/>
                <w:szCs w:val="20"/>
                <w:color w:val="auto"/>
              </w:rPr>
            </w:pPr>
            <w:r>
              <w:rPr>
                <w:rFonts w:ascii="Times New Roman" w:cs="Times New Roman" w:eastAsia="Times New Roman" w:hAnsi="Times New Roman"/>
                <w:sz w:val="18"/>
                <w:szCs w:val="18"/>
                <w:color w:val="auto"/>
              </w:rPr>
              <w:t>141.9</w:t>
            </w:r>
          </w:p>
        </w:tc>
        <w:tc>
          <w:tcPr>
            <w:tcW w:w="2280" w:type="dxa"/>
            <w:vAlign w:val="bottom"/>
            <w:tcBorders>
              <w:bottom w:val="single" w:sz="8" w:color="auto"/>
              <w:right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color w:val="auto"/>
              </w:rPr>
              <w:t>149.7</w:t>
            </w:r>
          </w:p>
        </w:tc>
      </w:tr>
      <w:tr>
        <w:trPr>
          <w:trHeight w:val="210"/>
        </w:trPr>
        <w:tc>
          <w:tcPr>
            <w:tcW w:w="55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12/31/2013</w:t>
            </w:r>
          </w:p>
        </w:tc>
        <w:tc>
          <w:tcPr>
            <w:tcW w:w="1860" w:type="dxa"/>
            <w:vAlign w:val="bottom"/>
            <w:tcBorders>
              <w:bottom w:val="single" w:sz="8" w:color="auto"/>
              <w:right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480.1</w:t>
            </w:r>
          </w:p>
        </w:tc>
        <w:tc>
          <w:tcPr>
            <w:tcW w:w="1740" w:type="dxa"/>
            <w:vAlign w:val="bottom"/>
            <w:tcBorders>
              <w:bottom w:val="single" w:sz="8" w:color="auto"/>
              <w:right w:val="single" w:sz="8" w:color="auto"/>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166.0</w:t>
            </w:r>
          </w:p>
        </w:tc>
        <w:tc>
          <w:tcPr>
            <w:tcW w:w="2280" w:type="dxa"/>
            <w:vAlign w:val="bottom"/>
            <w:tcBorders>
              <w:bottom w:val="single" w:sz="8" w:color="auto"/>
              <w:right w:val="single" w:sz="8" w:color="auto"/>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160.8</w:t>
            </w:r>
          </w:p>
        </w:tc>
      </w:tr>
      <w:tr>
        <w:trPr>
          <w:trHeight w:val="210"/>
        </w:trPr>
        <w:tc>
          <w:tcPr>
            <w:tcW w:w="5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6/30/2014</w:t>
            </w:r>
          </w:p>
        </w:tc>
        <w:tc>
          <w:tcPr>
            <w:tcW w:w="1860" w:type="dxa"/>
            <w:vAlign w:val="bottom"/>
            <w:tcBorders>
              <w:bottom w:val="single" w:sz="8" w:color="auto"/>
              <w:right w:val="single" w:sz="8" w:color="auto"/>
            </w:tcBorders>
          </w:tcPr>
          <w:p>
            <w:pPr>
              <w:jc w:val="right"/>
              <w:ind w:right="434"/>
              <w:spacing w:after="0"/>
              <w:rPr>
                <w:sz w:val="20"/>
                <w:szCs w:val="20"/>
                <w:color w:val="auto"/>
              </w:rPr>
            </w:pPr>
            <w:r>
              <w:rPr>
                <w:rFonts w:ascii="Times New Roman" w:cs="Times New Roman" w:eastAsia="Times New Roman" w:hAnsi="Times New Roman"/>
                <w:sz w:val="18"/>
                <w:szCs w:val="18"/>
                <w:color w:val="auto"/>
              </w:rPr>
              <w:t>464.6</w:t>
            </w:r>
          </w:p>
        </w:tc>
        <w:tc>
          <w:tcPr>
            <w:tcW w:w="1740" w:type="dxa"/>
            <w:vAlign w:val="bottom"/>
            <w:tcBorders>
              <w:bottom w:val="single" w:sz="8" w:color="auto"/>
              <w:right w:val="single" w:sz="8" w:color="auto"/>
            </w:tcBorders>
          </w:tcPr>
          <w:p>
            <w:pPr>
              <w:jc w:val="right"/>
              <w:ind w:right="417"/>
              <w:spacing w:after="0"/>
              <w:rPr>
                <w:sz w:val="20"/>
                <w:szCs w:val="20"/>
                <w:color w:val="auto"/>
              </w:rPr>
            </w:pPr>
            <w:r>
              <w:rPr>
                <w:rFonts w:ascii="Times New Roman" w:cs="Times New Roman" w:eastAsia="Times New Roman" w:hAnsi="Times New Roman"/>
                <w:sz w:val="18"/>
                <w:szCs w:val="18"/>
                <w:color w:val="auto"/>
              </w:rPr>
              <w:t>177.5</w:t>
            </w:r>
          </w:p>
        </w:tc>
        <w:tc>
          <w:tcPr>
            <w:tcW w:w="2280" w:type="dxa"/>
            <w:vAlign w:val="bottom"/>
            <w:tcBorders>
              <w:bottom w:val="single" w:sz="8" w:color="auto"/>
              <w:right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color w:val="auto"/>
              </w:rPr>
              <w:t>157.9</w:t>
            </w:r>
          </w:p>
        </w:tc>
      </w:tr>
      <w:tr>
        <w:trPr>
          <w:trHeight w:val="210"/>
        </w:trPr>
        <w:tc>
          <w:tcPr>
            <w:tcW w:w="55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12/31/2014</w:t>
            </w:r>
          </w:p>
        </w:tc>
        <w:tc>
          <w:tcPr>
            <w:tcW w:w="1860" w:type="dxa"/>
            <w:vAlign w:val="bottom"/>
            <w:tcBorders>
              <w:bottom w:val="single" w:sz="8" w:color="auto"/>
              <w:right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416.4</w:t>
            </w:r>
          </w:p>
        </w:tc>
        <w:tc>
          <w:tcPr>
            <w:tcW w:w="1740" w:type="dxa"/>
            <w:vAlign w:val="bottom"/>
            <w:tcBorders>
              <w:bottom w:val="single" w:sz="8" w:color="auto"/>
              <w:right w:val="single" w:sz="8" w:color="auto"/>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186.6</w:t>
            </w:r>
          </w:p>
        </w:tc>
        <w:tc>
          <w:tcPr>
            <w:tcW w:w="2280" w:type="dxa"/>
            <w:vAlign w:val="bottom"/>
            <w:tcBorders>
              <w:bottom w:val="single" w:sz="8" w:color="auto"/>
              <w:right w:val="single" w:sz="8" w:color="auto"/>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153.1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128905</wp:posOffset>
            </wp:positionV>
            <wp:extent cx="5213985" cy="21526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3985"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40"/>
          </w:cols>
          <w:pgMar w:left="240" w:top="455" w:right="21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October 12, 2014, we completed an asset purchase agreement with Leadtec and its affiliates, Advanced Barcode Solutions Pty Ltd, Scott Needham and Leading Technology Group Pty Ltd. Pursuant to the asset purchase agreement, on October 12, 2014, we issued an aggregate of 43,595 shares of our common stock to Leadtec in an unregistered transaction. We did so in reliance upon the exemption contained in Section 4(2) of the Securities Act of 1933, as amended, as a transaction not involving a public offering, and Rule 506 promulgated thereunder, in view of the absence of a general solicitation, the limited number of offerees and purchasers, and the representations and agreements of Leadtec in the asset purchase agreement.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Sales of Registered Securities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8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i w:val="1"/>
          <w:iCs w:val="1"/>
          <w:color w:val="auto"/>
        </w:rPr>
        <w:t>Selected Financial Data</w:t>
      </w:r>
    </w:p>
    <w:p>
      <w:pPr>
        <w:spacing w:after="0" w:line="92" w:lineRule="exact"/>
        <w:rPr>
          <w:sz w:val="20"/>
          <w:szCs w:val="20"/>
          <w:color w:val="auto"/>
        </w:rPr>
      </w:pPr>
    </w:p>
    <w:p>
      <w:pPr>
        <w:ind w:right="280" w:firstLine="456"/>
        <w:spacing w:after="0" w:line="264" w:lineRule="auto"/>
        <w:rPr>
          <w:sz w:val="20"/>
          <w:szCs w:val="20"/>
          <w:color w:val="auto"/>
        </w:rPr>
      </w:pPr>
      <w:r>
        <w:rPr>
          <w:rFonts w:ascii="Times New Roman" w:cs="Times New Roman" w:eastAsia="Times New Roman" w:hAnsi="Times New Roman"/>
          <w:sz w:val="18"/>
          <w:szCs w:val="18"/>
          <w:color w:val="auto"/>
        </w:rPr>
        <w:t xml:space="preserve">The following selected financial data should be read together with our audited financial statements and the related notes and with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of Financial Condition and Results of Operations” </w:t>
      </w:r>
      <w:r>
        <w:rPr>
          <w:rFonts w:ascii="Times New Roman" w:cs="Times New Roman" w:eastAsia="Times New Roman" w:hAnsi="Times New Roman"/>
          <w:sz w:val="18"/>
          <w:szCs w:val="18"/>
          <w:color w:val="auto"/>
        </w:rPr>
        <w:t>which are included elsewhere in this Annual Report on Form 10-K. Our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are not necessarily indicative of results to be expected for any future period.</w:t>
      </w:r>
    </w:p>
    <w:p>
      <w:pPr>
        <w:spacing w:after="0" w:line="129"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statements of income data for each of the years ended December 31, 2014, 2013, and 2012; the balance sheet data as of December 31, 2014 and 2013; and the operating data relating to Adjusted EBITDA and non-GAAP income per diluted share for each of the years ended December 31, 2014, 2013 and 2012 have been derived from our audited annual consolidated financial statements which are included in this Annual Report on Form 10-K.</w:t>
      </w:r>
    </w:p>
    <w:p>
      <w:pPr>
        <w:spacing w:after="0" w:line="13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statements of income data for the years ended December 31, 2011 and 2010; the balance sheet data as of December 31, 2012, 2011 and 2010; and the operating data relating to Adjusted EBITDA and non-GAAP income per diluted share for each of the years ended December 31, 2011 and 2010 have been derived from our audited annual consolidated financial statements which are not included in this Annual Report on Form 10-K.</w:t>
      </w:r>
    </w:p>
    <w:p>
      <w:pPr>
        <w:spacing w:after="0" w:line="13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Adjusted EBITDA and non-GAAP income per diluted share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13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These non-GAAP measures should not be considered a substitute for, or superior to, financial measures calculated in accordance with generally accepted accounting principles in the United States of America. These non-GAAP financial measures exclude significant expenses and income that are required by GAAP to be recorded in the company’s financial statements and are subject to inherent limitations. Investors should review the reconciliations of these non-GAAP financial measures to the comparable GAAP financial measures that are included below.</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operating data relating to recurring revenue customers for all periods presented is unaudited and has been derived from our internal records of our operations.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20" w:type="dxa"/>
            <w:vAlign w:val="bottom"/>
            <w:gridSpan w:val="10"/>
          </w:tcPr>
          <w:p>
            <w:pPr>
              <w:jc w:val="center"/>
              <w:ind w:right="500"/>
              <w:spacing w:after="0" w:line="142" w:lineRule="exact"/>
              <w:rPr>
                <w:sz w:val="20"/>
                <w:szCs w:val="20"/>
                <w:color w:val="auto"/>
              </w:rPr>
            </w:pPr>
            <w:r>
              <w:rPr>
                <w:rFonts w:ascii="Times New Roman" w:cs="Times New Roman" w:eastAsia="Times New Roman" w:hAnsi="Times New Roman"/>
                <w:sz w:val="14"/>
                <w:szCs w:val="14"/>
                <w:b w:val="1"/>
                <w:bCs w:val="1"/>
                <w:color w:val="auto"/>
                <w:w w:val="95"/>
              </w:rPr>
              <w:t>(In thousands, except per share data)</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Statements of Income Data</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5"/>
              </w:rPr>
              <w:t>127,947</w:t>
            </w:r>
          </w:p>
        </w:tc>
        <w:tc>
          <w:tcPr>
            <w:tcW w:w="10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$104,391</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$77,106</w:t>
            </w:r>
          </w:p>
        </w:tc>
        <w:tc>
          <w:tcPr>
            <w:tcW w:w="4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57,969</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44,597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revenues(1)</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39,991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22,040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15,366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12,626</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87,956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55,066</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42,603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31,971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marketing(1)</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46,990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39,621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30,037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23,836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16,601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development(1)</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13,494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4,349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administrative(1)</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17,189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13,524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11,151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7,985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assets(2)</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2,856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20"/>
                <w:szCs w:val="20"/>
                <w:color w:val="auto"/>
              </w:rPr>
            </w:pPr>
          </w:p>
        </w:tc>
        <w:tc>
          <w:tcPr>
            <w:tcW w:w="4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83,573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70,838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53,494</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41,468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28,935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4,383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expense(3)</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(expense) benefit(4)</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12,619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13,703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4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4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16,236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13,056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11,960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8,036</w:t>
            </w:r>
          </w:p>
        </w:tc>
        <w:tc>
          <w:tcPr>
            <w:tcW w:w="8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16,814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15,931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13,910</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12,744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11,596</w:t>
            </w:r>
          </w:p>
        </w:tc>
        <w:tc>
          <w:tcPr>
            <w:tcW w:w="80" w:type="dxa"/>
            <w:vAlign w:val="bottom"/>
          </w:tcPr>
          <w:p>
            <w:pPr>
              <w:spacing w:after="0"/>
              <w:rPr>
                <w:sz w:val="19"/>
                <w:szCs w:val="19"/>
                <w:color w:val="auto"/>
              </w:rPr>
            </w:pPr>
          </w:p>
        </w:tc>
      </w:tr>
      <w:tr>
        <w:trPr>
          <w:trHeight w:val="33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As of December 31,</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Data</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$130,795</w:t>
            </w:r>
          </w:p>
        </w:tc>
        <w:tc>
          <w:tcPr>
            <w:tcW w:w="2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$131,294</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66,050</w:t>
            </w:r>
          </w:p>
        </w:tc>
        <w:tc>
          <w:tcPr>
            <w:tcW w:w="9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$31,985</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$40,473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137,634</w:t>
            </w:r>
          </w:p>
        </w:tc>
        <w:tc>
          <w:tcPr>
            <w:tcW w:w="2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137,160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77,040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36,773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42,552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243,775</w:t>
            </w:r>
          </w:p>
        </w:tc>
        <w:tc>
          <w:tcPr>
            <w:tcW w:w="2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223,330</w:t>
            </w:r>
          </w:p>
        </w:tc>
        <w:tc>
          <w:tcPr>
            <w:tcW w:w="100" w:type="dxa"/>
            <w:vAlign w:val="bottom"/>
          </w:tcPr>
          <w:p>
            <w:pPr>
              <w:spacing w:after="0"/>
              <w:rPr>
                <w:sz w:val="18"/>
                <w:szCs w:val="18"/>
                <w:color w:val="auto"/>
              </w:rPr>
            </w:pPr>
          </w:p>
        </w:tc>
        <w:tc>
          <w:tcPr>
            <w:tcW w:w="14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159,201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77,618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57,880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9,913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6,599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5,283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 debt(5)</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205,091</w:t>
            </w:r>
          </w:p>
        </w:tc>
        <w:tc>
          <w:tcPr>
            <w:tcW w:w="2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192,773</w:t>
            </w:r>
          </w:p>
        </w:tc>
        <w:tc>
          <w:tcPr>
            <w:tcW w:w="1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134,817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59,553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43,508</w:t>
            </w:r>
          </w:p>
        </w:tc>
        <w:tc>
          <w:tcPr>
            <w:tcW w:w="80" w:type="dxa"/>
            <w:vAlign w:val="bottom"/>
            <w:shd w:val="clear" w:color="auto" w:fill="CCEEFF"/>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20"/>
          </w:cols>
          <w:pgMar w:left="240" w:top="455" w:right="6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537"/>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2012</w:t>
            </w: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3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100" w:type="dxa"/>
            <w:vAlign w:val="bottom"/>
            <w:gridSpan w:val="5"/>
          </w:tcPr>
          <w:p>
            <w:pPr>
              <w:jc w:val="center"/>
              <w:ind w:right="317"/>
              <w:spacing w:after="0" w:line="142" w:lineRule="exact"/>
              <w:rPr>
                <w:sz w:val="20"/>
                <w:szCs w:val="20"/>
                <w:color w:val="auto"/>
              </w:rPr>
            </w:pPr>
            <w:r>
              <w:rPr>
                <w:rFonts w:ascii="Times New Roman" w:cs="Times New Roman" w:eastAsia="Times New Roman" w:hAnsi="Times New Roman"/>
                <w:sz w:val="14"/>
                <w:szCs w:val="14"/>
                <w:b w:val="1"/>
                <w:bCs w:val="1"/>
                <w:color w:val="auto"/>
                <w:w w:val="96"/>
              </w:rPr>
              <w:t>(Unaudited, adjusted EBITDA in thousands)</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Data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w w:val="92"/>
              </w:rPr>
              <w:t>18,160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13,774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8,997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5,410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income per diluted share(7)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0.65</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0.41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0.26</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18"/>
                <w:szCs w:val="18"/>
                <w:color w:val="auto"/>
              </w:rPr>
            </w:pPr>
          </w:p>
        </w:tc>
      </w:tr>
      <w:tr>
        <w:trPr>
          <w:trHeight w:val="228"/>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Recurring revenue customers(8)</w:t>
            </w:r>
          </w:p>
        </w:tc>
        <w:tc>
          <w:tcPr>
            <w:tcW w:w="100" w:type="dxa"/>
            <w:vAlign w:val="bottom"/>
          </w:tcPr>
          <w:p>
            <w:pPr>
              <w:spacing w:after="0"/>
              <w:rPr>
                <w:sz w:val="19"/>
                <w:szCs w:val="19"/>
                <w:color w:val="auto"/>
              </w:rPr>
            </w:pPr>
          </w:p>
        </w:tc>
        <w:tc>
          <w:tcPr>
            <w:tcW w:w="78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w w:val="92"/>
              </w:rPr>
              <w:t>21,983</w:t>
            </w: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19,690</w:t>
            </w:r>
          </w:p>
        </w:tc>
        <w:tc>
          <w:tcPr>
            <w:tcW w:w="620" w:type="dxa"/>
            <w:vAlign w:val="bottom"/>
          </w:tcPr>
          <w:p>
            <w:pPr>
              <w:spacing w:after="0"/>
              <w:rPr>
                <w:sz w:val="19"/>
                <w:szCs w:val="19"/>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w w:val="92"/>
              </w:rPr>
              <w:t>17,977</w:t>
            </w:r>
          </w:p>
        </w:tc>
        <w:tc>
          <w:tcPr>
            <w:tcW w:w="160" w:type="dxa"/>
            <w:vAlign w:val="bottom"/>
          </w:tcPr>
          <w:p>
            <w:pPr>
              <w:spacing w:after="0"/>
              <w:rPr>
                <w:sz w:val="19"/>
                <w:szCs w:val="19"/>
                <w:color w:val="auto"/>
              </w:rPr>
            </w:pPr>
          </w:p>
        </w:tc>
        <w:tc>
          <w:tcPr>
            <w:tcW w:w="78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w w:val="92"/>
              </w:rPr>
              <w:t>16,129</w:t>
            </w: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12,399</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stock-based compensation expense as follows (in thousands):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9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9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2014</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8"/>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2012</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2011</w:t>
            </w:r>
          </w:p>
        </w:tc>
        <w:tc>
          <w:tcPr>
            <w:tcW w:w="26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4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3"/>
              </w:rPr>
              <w:t>1,933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3"/>
              </w:rPr>
              <w:t>1,481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895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3"/>
              </w:rPr>
              <w:t>2,405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3"/>
              </w:rPr>
              <w:t>1,981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3"/>
              </w:rPr>
              <w:t>1,338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8"/>
                <w:szCs w:val="18"/>
                <w:color w:val="auto"/>
              </w:rPr>
            </w:pPr>
          </w:p>
        </w:tc>
      </w:tr>
      <w:tr>
        <w:trPr>
          <w:trHeight w:val="27"/>
        </w:trPr>
        <w:tc>
          <w:tcPr>
            <w:tcW w:w="39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3"/>
              </w:rPr>
              <w:t>5,396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3"/>
              </w:rPr>
              <w:t>4,203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3"/>
              </w:rPr>
              <w:t>2,755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3"/>
              </w:rPr>
              <w:t>1,768</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2013, amortization of intangible assets included $290,000 for the impairment of a certain non-competition agreement.</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2014, other expense included $338,000 for a one-time Australian stamp duty tax related to the Leadtec acquisition.</w:t>
      </w:r>
    </w:p>
    <w:p>
      <w:pPr>
        <w:spacing w:after="0" w:line="90" w:lineRule="exact"/>
        <w:rPr>
          <w:rFonts w:ascii="Times New Roman" w:cs="Times New Roman" w:eastAsia="Times New Roman" w:hAnsi="Times New Roman"/>
          <w:sz w:val="18"/>
          <w:szCs w:val="18"/>
          <w:color w:val="auto"/>
        </w:rPr>
      </w:pPr>
    </w:p>
    <w:p>
      <w:pPr>
        <w:ind w:left="460" w:right="480" w:hanging="452"/>
        <w:spacing w:after="0" w:line="275"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2011, we determined it was more-likely-than-not that we would be able to realize a substantial portion of our deferred tax assets and, therefore, we recorded an income tax benefit of $12.8 million for the reversal of the valuation allowance on these deferred tax assets.</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debt for 2011 consisted of current capital lease obligations.</w:t>
      </w:r>
    </w:p>
    <w:p>
      <w:pPr>
        <w:spacing w:after="0" w:line="90" w:lineRule="exact"/>
        <w:rPr>
          <w:rFonts w:ascii="Times New Roman" w:cs="Times New Roman" w:eastAsia="Times New Roman" w:hAnsi="Times New Roman"/>
          <w:sz w:val="18"/>
          <w:szCs w:val="18"/>
          <w:color w:val="auto"/>
        </w:rPr>
      </w:pPr>
    </w:p>
    <w:p>
      <w:pPr>
        <w:ind w:left="460" w:hanging="452"/>
        <w:spacing w:after="0" w:line="290" w:lineRule="auto"/>
        <w:tabs>
          <w:tab w:leader="none" w:pos="4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consists of net income plus depreciation and amortization, interest expense, interest income, income tax expense (benefit), stock-based compensation expense and other adjustments as necessary for a fair presentation. Other adjustments included the impact of a one-time Australian stamp duty tax related to the Leadtec acquisition in 2014, as well as the impact of use tax refunds in 2014 and 2013 related to items previously expensed. We use Adjusted EBITDA as a measure of operating performance because it assists us in comparing performance on a consistent basis, as it removes from our operating results the impact of our capital structure.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 The following table provides a reconciliation of net income to Adjusted EBITDA (in thousands):</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8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20" w:type="dxa"/>
            <w:vAlign w:val="bottom"/>
          </w:tcPr>
          <w:p>
            <w:pPr>
              <w:spacing w:after="0"/>
              <w:rPr>
                <w:sz w:val="12"/>
                <w:szCs w:val="12"/>
                <w:color w:val="auto"/>
              </w:rPr>
            </w:pPr>
          </w:p>
        </w:tc>
        <w:tc>
          <w:tcPr>
            <w:tcW w:w="50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80" w:type="dxa"/>
            <w:vAlign w:val="bottom"/>
          </w:tcPr>
          <w:p>
            <w:pPr>
              <w:spacing w:after="0"/>
              <w:rPr>
                <w:sz w:val="12"/>
                <w:szCs w:val="12"/>
                <w:color w:val="auto"/>
              </w:rPr>
            </w:pPr>
          </w:p>
        </w:tc>
        <w:tc>
          <w:tcPr>
            <w:tcW w:w="740" w:type="dxa"/>
            <w:vAlign w:val="bottom"/>
            <w:gridSpan w:val="2"/>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$1,222</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13,703</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8,570</w:t>
            </w:r>
          </w:p>
        </w:tc>
        <w:tc>
          <w:tcPr>
            <w:tcW w:w="100" w:type="dxa"/>
            <w:vAlign w:val="bottom"/>
          </w:tcPr>
          <w:p>
            <w:pPr>
              <w:spacing w:after="0"/>
              <w:rPr>
                <w:sz w:val="18"/>
                <w:szCs w:val="18"/>
                <w:color w:val="auto"/>
              </w:rPr>
            </w:pPr>
          </w:p>
        </w:tc>
        <w:tc>
          <w:tcPr>
            <w:tcW w:w="100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8,051</w:t>
            </w: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4,918</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2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1,533</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(112)</w:t>
            </w: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tcPr>
          <w:p>
            <w:pPr>
              <w:spacing w:after="0"/>
              <w:rPr>
                <w:sz w:val="18"/>
                <w:szCs w:val="18"/>
                <w:color w:val="auto"/>
              </w:rPr>
            </w:pPr>
          </w:p>
        </w:tc>
        <w:tc>
          <w:tcPr>
            <w:tcW w:w="100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686</w:t>
            </w: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(12,619)</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(105)</w:t>
            </w: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EBITDA</w:t>
            </w:r>
          </w:p>
        </w:tc>
        <w:tc>
          <w:tcPr>
            <w:tcW w:w="1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12,764</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5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5,396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4,203</w:t>
            </w: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2,755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22"/>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17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18,160</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13,774</w:t>
            </w:r>
          </w:p>
        </w:tc>
        <w:tc>
          <w:tcPr>
            <w:tcW w:w="5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8,997</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70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hanging="452"/>
        <w:spacing w:after="0" w:line="258"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income per share consists of net income plus stock-based compensation expense and amortization expense related to intangible assets minus the deferred tax asset valuation allowance reversal divided by the weighted average number of shares of common stock outstanding during each period. We believe non-GAAP income per share is useful to an investor because it is widely used to measure a company’s operating performance. The following table provides a reconciliation of net income to non-GAAP income per share (in thousands, except per share amounts):</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8"/>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 valuation allowance reversal</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(12,802)</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Non-GAAP income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10,956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8,412</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3,312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Non-GAAP income per share</w:t>
            </w: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to compute non-GAAP income per share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16,236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15,201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13,056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11,960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16,814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15,931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13,910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12,744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right="260" w:hanging="452"/>
        <w:spacing w:after="0" w:line="258"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reflects the number of recurring revenue customers at the end of the period. Recurring revenue customers are customers with contracts to pay us monthly fees. A minority portion of our recurring revenue customers consists of separate units within a larger organization. We treat each of these units, which may include divisions, departments, affiliates and franchises, as distinct customers. Our contracts with our recurring revenue customers typically allow the customer to cancel the contract for any reason with 30 days prior notice.</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455" w:right="27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i w:val="1"/>
          <w:iCs w:val="1"/>
          <w:color w:val="auto"/>
        </w:rPr>
        <w:t>Management’s Discussion and Analysis of Financial Condition and Results of Operations</w:t>
      </w:r>
    </w:p>
    <w:p>
      <w:pPr>
        <w:spacing w:after="0" w:line="92"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section titled “Selected Financial Data” and our audited financial statements and related notes which are included elsewhere in this Annual Report on Form 10-K. Our actual results could differ materially from those anticipated in the forward-looking statements included in this discussion as a result of certain factors, including, but not limited to, those discussed in “Risk Factors” included elsewhere in this Annual Report on Form 10-K.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right="340" w:firstLine="456"/>
        <w:spacing w:after="0" w:line="258" w:lineRule="auto"/>
        <w:rPr>
          <w:sz w:val="20"/>
          <w:szCs w:val="20"/>
          <w:color w:val="auto"/>
        </w:rPr>
      </w:pPr>
      <w:r>
        <w:rPr>
          <w:rFonts w:ascii="Times New Roman" w:cs="Times New Roman" w:eastAsia="Times New Roman" w:hAnsi="Times New Roman"/>
          <w:sz w:val="18"/>
          <w:szCs w:val="18"/>
          <w:color w:val="auto"/>
        </w:rPr>
        <w:t>We are a leading provider of cloud-based supply chain management solutions, providing network-proven integrations and comprehensive retail performance analytics to thousands of customers worldwide. We provide our solutions through the SPS Commerce platform, a cloud-based product suite that improves the way suppliers, retailers, distributors and other customers manage and fulfill orders. We derive the majority of our revenues from thousands of monthly recurring subscriptions from businesses that utilize our solutions.</w:t>
      </w:r>
    </w:p>
    <w:p>
      <w:pPr>
        <w:spacing w:after="0" w:line="136" w:lineRule="exact"/>
        <w:rPr>
          <w:sz w:val="20"/>
          <w:szCs w:val="20"/>
          <w:color w:val="auto"/>
        </w:rPr>
      </w:pPr>
    </w:p>
    <w:p>
      <w:pPr>
        <w:ind w:right="220" w:firstLine="456"/>
        <w:spacing w:after="0" w:line="310" w:lineRule="auto"/>
        <w:rPr>
          <w:sz w:val="20"/>
          <w:szCs w:val="20"/>
          <w:color w:val="auto"/>
        </w:rPr>
      </w:pPr>
      <w:r>
        <w:rPr>
          <w:rFonts w:ascii="Times New Roman" w:cs="Times New Roman" w:eastAsia="Times New Roman" w:hAnsi="Times New Roman"/>
          <w:sz w:val="16"/>
          <w:szCs w:val="16"/>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97" w:lineRule="exact"/>
        <w:rPr>
          <w:sz w:val="20"/>
          <w:szCs w:val="20"/>
          <w:color w:val="auto"/>
        </w:rPr>
      </w:pPr>
    </w:p>
    <w:p>
      <w:pPr>
        <w:jc w:val="both"/>
        <w:ind w:right="60" w:firstLine="456"/>
        <w:spacing w:after="0" w:line="258" w:lineRule="auto"/>
        <w:rPr>
          <w:sz w:val="20"/>
          <w:szCs w:val="20"/>
          <w:color w:val="auto"/>
        </w:rPr>
      </w:pPr>
      <w:r>
        <w:rPr>
          <w:rFonts w:ascii="Times New Roman" w:cs="Times New Roman" w:eastAsia="Times New Roman" w:hAnsi="Times New Roman"/>
          <w:sz w:val="18"/>
          <w:szCs w:val="18"/>
          <w:color w:val="auto"/>
        </w:rPr>
        <w:t>For 2014, 2013 and 2012, we generated revenues of $127.9 million, $104.4 million and $77.1 million, respectively. Our fiscal quarter ended December 31, 2014 represented our 56th consecutive quarter of increased revenues. Recurring revenues from recurring revenue customers accounted for 90%, 89% and 88% of our total revenues for 2014, 2013 and 2012, respectively. Our revenues are not concentrated with any customer, as our largest customer represented 2% or less of total revenues in 2014, 2013 and 2012.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Terms and Metrics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Revenues</w:t>
      </w:r>
    </w:p>
    <w:p>
      <w:pPr>
        <w:spacing w:after="0" w:line="92" w:lineRule="exact"/>
        <w:rPr>
          <w:sz w:val="20"/>
          <w:szCs w:val="20"/>
          <w:color w:val="auto"/>
        </w:rPr>
      </w:pPr>
    </w:p>
    <w:p>
      <w:pPr>
        <w:ind w:right="1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Trading Partner Fulfillment. </w:t>
      </w:r>
      <w:r>
        <w:rPr>
          <w:rFonts w:ascii="Times New Roman" w:cs="Times New Roman" w:eastAsia="Times New Roman" w:hAnsi="Times New Roman"/>
          <w:sz w:val="18"/>
          <w:szCs w:val="18"/>
          <w:color w:val="auto"/>
        </w:rPr>
        <w:t>Our revenues primarily consist of monthly revenues from our customers for our Trading Partner Fulfillment solution.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 consists of a monthly subscription fee and a transaction-based fee. We also receive set-up fees for initial integration services we provide to our customers. Most of our customers have contracts with us that may be terminated by the customer by providing 30 days prior notice.</w:t>
      </w:r>
    </w:p>
    <w:p>
      <w:pPr>
        <w:spacing w:after="0" w:line="127" w:lineRule="exact"/>
        <w:rPr>
          <w:sz w:val="20"/>
          <w:szCs w:val="20"/>
          <w:color w:val="auto"/>
        </w:rPr>
      </w:pPr>
    </w:p>
    <w:p>
      <w:pPr>
        <w:jc w:val="both"/>
        <w:ind w:right="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Trading Partner Enablement. </w:t>
      </w:r>
      <w:r>
        <w:rPr>
          <w:rFonts w:ascii="Times New Roman" w:cs="Times New Roman" w:eastAsia="Times New Roman" w:hAnsi="Times New Roman"/>
          <w:sz w:val="18"/>
          <w:szCs w:val="18"/>
          <w:color w:val="auto"/>
        </w:rPr>
        <w:t>Our Trading Partner Enablement solution helps organizations, typically large retailers, to implement new integrations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trading partners. This solution ranges from Electronic Data Interchange testing and certification to more complex business workflow automation and results in a one-time payment to us.</w:t>
      </w:r>
    </w:p>
    <w:p>
      <w:pPr>
        <w:spacing w:after="0" w:line="127" w:lineRule="exact"/>
        <w:rPr>
          <w:sz w:val="20"/>
          <w:szCs w:val="20"/>
          <w:color w:val="auto"/>
        </w:rPr>
      </w:pPr>
    </w:p>
    <w:p>
      <w:pPr>
        <w:ind w:right="16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Trading Partner Analytics. </w:t>
      </w:r>
      <w:r>
        <w:rPr>
          <w:rFonts w:ascii="Times New Roman" w:cs="Times New Roman" w:eastAsia="Times New Roman" w:hAnsi="Times New Roman"/>
          <w:sz w:val="18"/>
          <w:szCs w:val="18"/>
          <w:color w:val="auto"/>
        </w:rPr>
        <w:t>Our Trading Partner Analytics solution consists of data analytics applications which allow our customers to improve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visibility across, and analysis of, their supply chains. Through interactive data analysis, our retailer customers improve their visibility into supplier performance and their understanding of product sell-through. Our revenues for this solution primarily consist of a monthly subscription fee.</w:t>
      </w:r>
    </w:p>
    <w:p>
      <w:pPr>
        <w:spacing w:after="0" w:line="127" w:lineRule="exact"/>
        <w:rPr>
          <w:sz w:val="20"/>
          <w:szCs w:val="20"/>
          <w:color w:val="auto"/>
        </w:rPr>
      </w:pPr>
    </w:p>
    <w:p>
      <w:pPr>
        <w:ind w:right="200" w:firstLine="456"/>
        <w:spacing w:after="0" w:line="342" w:lineRule="auto"/>
        <w:rPr>
          <w:sz w:val="20"/>
          <w:szCs w:val="20"/>
          <w:color w:val="auto"/>
        </w:rPr>
      </w:pPr>
      <w:r>
        <w:rPr>
          <w:rFonts w:ascii="Times New Roman" w:cs="Times New Roman" w:eastAsia="Times New Roman" w:hAnsi="Times New Roman"/>
          <w:sz w:val="16"/>
          <w:szCs w:val="16"/>
          <w:i w:val="1"/>
          <w:iCs w:val="1"/>
          <w:color w:val="auto"/>
        </w:rPr>
        <w:t xml:space="preserve">Other Trading Partner Solutions. </w:t>
      </w:r>
      <w:r>
        <w:rPr>
          <w:rFonts w:ascii="Times New Roman" w:cs="Times New Roman" w:eastAsia="Times New Roman" w:hAnsi="Times New Roman"/>
          <w:sz w:val="16"/>
          <w:szCs w:val="16"/>
          <w:color w:val="auto"/>
        </w:rPr>
        <w:t>The remainder of our revenues are derived from solutions that allow our customers to perform tasks such as barcode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labeling or picking-and-packaging information tracking as well as purchases of miscellaneous supplies. These revenues are primarily transaction-based.</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Operating Expenses</w:t>
      </w:r>
    </w:p>
    <w:p>
      <w:pPr>
        <w:spacing w:after="0" w:line="92" w:lineRule="exact"/>
        <w:rPr>
          <w:sz w:val="20"/>
          <w:szCs w:val="20"/>
          <w:color w:val="auto"/>
        </w:rPr>
      </w:pPr>
    </w:p>
    <w:p>
      <w:pPr>
        <w:ind w:right="4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Overhead Allocation. </w:t>
      </w:r>
      <w:r>
        <w:rPr>
          <w:rFonts w:ascii="Times New Roman" w:cs="Times New Roman" w:eastAsia="Times New Roman" w:hAnsi="Times New Roman"/>
          <w:sz w:val="18"/>
          <w:szCs w:val="18"/>
          <w:color w:val="auto"/>
        </w:rPr>
        <w:t>We allocate overhead expenses such as rent, certain employee benefit costs, office supplies and depreciation of general office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to cost of revenues and operating expenses categories based on headcount.</w:t>
      </w:r>
    </w:p>
    <w:p>
      <w:pPr>
        <w:spacing w:after="0" w:line="116"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consist primarily of personnel costs for our implementation teams, customer support personnel and application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personnel. Cost of revenues also includes our cost of network services, which is primarily data center costs for the locations where we keep the equipment that serves our customers, and connectivity costs that facilitate electronic data transmission between our customers and their trading partners.</w:t>
      </w:r>
    </w:p>
    <w:p>
      <w:pPr>
        <w:spacing w:after="0" w:line="127" w:lineRule="exact"/>
        <w:rPr>
          <w:sz w:val="20"/>
          <w:szCs w:val="20"/>
          <w:color w:val="auto"/>
        </w:rPr>
      </w:pPr>
    </w:p>
    <w:p>
      <w:pPr>
        <w:ind w:right="36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consist primarily of personnel costs for our sales, marketing and product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teams, commissions earned by our sales personnel and marketing costs. In order to expand our business, we will continue to add resources to our sales and marketing efforts over time.</w:t>
      </w:r>
    </w:p>
    <w:p>
      <w:pPr>
        <w:spacing w:after="0" w:line="127" w:lineRule="exact"/>
        <w:rPr>
          <w:sz w:val="20"/>
          <w:szCs w:val="20"/>
          <w:color w:val="auto"/>
        </w:rPr>
      </w:pPr>
    </w:p>
    <w:p>
      <w:pPr>
        <w:ind w:right="34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consist primarily of personnel costs for development and maintenance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solutions. Our research and development group is also responsible for enhancing existing solutions and applications as well as internal tools and developing new information maps that integrate our customers to their trading partners in compliance with those trading partners’ requirements.</w:t>
      </w:r>
    </w:p>
    <w:p>
      <w:pPr>
        <w:spacing w:after="0" w:line="127" w:lineRule="exact"/>
        <w:rPr>
          <w:sz w:val="20"/>
          <w:szCs w:val="20"/>
          <w:color w:val="auto"/>
        </w:rPr>
      </w:pPr>
    </w:p>
    <w:p>
      <w:pPr>
        <w:ind w:right="54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consist primarily of personnel costs for finance, human resources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 information technology support, as well as legal, accounting and other fees, such as credit card processing fees.</w:t>
      </w:r>
    </w:p>
    <w:p>
      <w:pPr>
        <w:spacing w:after="0" w:line="1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Metrics</w:t>
      </w:r>
    </w:p>
    <w:p>
      <w:pPr>
        <w:spacing w:after="0" w:line="92" w:lineRule="exact"/>
        <w:rPr>
          <w:sz w:val="20"/>
          <w:szCs w:val="20"/>
          <w:color w:val="auto"/>
        </w:rPr>
      </w:pPr>
    </w:p>
    <w:p>
      <w:pPr>
        <w:ind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Recurring Revenue Customers. </w:t>
      </w:r>
      <w:r>
        <w:rPr>
          <w:rFonts w:ascii="Times New Roman" w:cs="Times New Roman" w:eastAsia="Times New Roman" w:hAnsi="Times New Roman"/>
          <w:sz w:val="16"/>
          <w:szCs w:val="16"/>
          <w:color w:val="auto"/>
        </w:rPr>
        <w:t>As of December 31, 2014, we had approximately 22,000 customers with contracts to pay us monthly fees, which we refer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as recurring revenue customers. We report recurring revenue customers at the end of a period. A small portion of our recurring revenue customers consist of separate units within a larger organization. We treat each of these units, which may include divisions, departments, affiliates and franchises, as distinct customers.</w:t>
      </w:r>
    </w:p>
    <w:p>
      <w:pPr>
        <w:spacing w:after="0" w:line="93"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Average Recurring Revenues Per Recurring Revenue Customer. </w:t>
      </w:r>
      <w:r>
        <w:rPr>
          <w:rFonts w:ascii="Times New Roman" w:cs="Times New Roman" w:eastAsia="Times New Roman" w:hAnsi="Times New Roman"/>
          <w:sz w:val="18"/>
          <w:szCs w:val="18"/>
          <w:color w:val="auto"/>
        </w:rPr>
        <w:t>We calculate average recurring revenues per recurring revenue customer, which we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 to as wallet share, by dividing the recurring revenues from recurring revenue customers for the period by the average of the beginning and ending number of recurring revenue customers for the period. For interim periods, we annualize this number by multiplying the quotient calculated above by the quotient of 12 divided by the number of months in the period. We anticipate that average recurring revenues per recurring revenue customer will continue to increase as we increase the number of solutions we offer and increase the penetration of those solutions across our customer base.</w:t>
      </w:r>
    </w:p>
    <w:p>
      <w:pPr>
        <w:spacing w:after="0" w:line="134"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Non-GAAP Financial Measures. </w:t>
      </w:r>
      <w:r>
        <w:rPr>
          <w:rFonts w:ascii="Times New Roman" w:cs="Times New Roman" w:eastAsia="Times New Roman" w:hAnsi="Times New Roman"/>
          <w:sz w:val="18"/>
          <w:szCs w:val="18"/>
          <w:color w:val="auto"/>
        </w:rPr>
        <w:t>To supplement our financial statements, we also provide investors with Adjusted EBITDA and non-GAAP income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136"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These non-GAAP measures should not be considered a substitute for, or superior to, financial measures calculated in accordance with generally accepted accounting principles in the United States of America. These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non-GAAP financial measures exclude significant expenses and income that are required by GAAP to be recorded in the company’s financial statements and are subject to inherent limitations. Investors should review the reconciliations of non-GAAP financial measures to the comparable GAAP financial measures that are included in this “Management’s Discussion and Analysis of Financial Condition and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2" w:lineRule="exact"/>
        <w:rPr>
          <w:sz w:val="20"/>
          <w:szCs w:val="20"/>
          <w:color w:val="auto"/>
        </w:rPr>
      </w:pPr>
    </w:p>
    <w:p>
      <w:pPr>
        <w:ind w:right="120" w:firstLine="456"/>
        <w:spacing w:after="0" w:line="296" w:lineRule="auto"/>
        <w:rPr>
          <w:sz w:val="20"/>
          <w:szCs w:val="20"/>
          <w:color w:val="auto"/>
        </w:rPr>
      </w:pPr>
      <w:r>
        <w:rPr>
          <w:rFonts w:ascii="Times New Roman" w:cs="Times New Roman" w:eastAsia="Times New Roman" w:hAnsi="Times New Roman"/>
          <w:sz w:val="16"/>
          <w:szCs w:val="16"/>
          <w:color w:val="auto"/>
        </w:rPr>
        <w:t>The discussion of our financial condition and results of operations is based upon our financial statements, which are prepared in accordance with accounting principles generally accepted in the United States of America, or GAAP. The preparation of these financial statements requires us to make estimates, judgments and assumptions that affect the reported amounts of assets, liabilities, revenues, costs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108"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We believe that of our significant accounting policies, which are described in the notes to our financial statements, the following accounting policies involve a greater degree of judgment, complexity and effect on materiality. 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4" w:lineRule="exact"/>
        <w:rPr>
          <w:sz w:val="20"/>
          <w:szCs w:val="20"/>
          <w:color w:val="auto"/>
        </w:rPr>
      </w:pPr>
    </w:p>
    <w:p>
      <w:pPr>
        <w:ind w:right="780" w:firstLine="456"/>
        <w:spacing w:after="0" w:line="339" w:lineRule="auto"/>
        <w:rPr>
          <w:sz w:val="20"/>
          <w:szCs w:val="20"/>
          <w:color w:val="auto"/>
        </w:rPr>
      </w:pPr>
      <w:r>
        <w:rPr>
          <w:rFonts w:ascii="Times New Roman" w:cs="Times New Roman" w:eastAsia="Times New Roman" w:hAnsi="Times New Roman"/>
          <w:sz w:val="16"/>
          <w:szCs w:val="16"/>
          <w:color w:val="auto"/>
        </w:rPr>
        <w:t>We generate revenues by providing a number of solutions to our customers. These solutions include Trading Partner Fulfillment, Trading Partner Enablement and Trading Partner Analytics. Our cloud-based solutions allow our customers to meet their supply chain management requirements.</w:t>
      </w:r>
    </w:p>
    <w:p>
      <w:pPr>
        <w:spacing w:after="0" w:line="74" w:lineRule="exact"/>
        <w:rPr>
          <w:sz w:val="20"/>
          <w:szCs w:val="20"/>
          <w:color w:val="auto"/>
        </w:rPr>
      </w:pPr>
    </w:p>
    <w:p>
      <w:pPr>
        <w:ind w:right="40" w:firstLine="456"/>
        <w:spacing w:after="0" w:line="290" w:lineRule="auto"/>
        <w:rPr>
          <w:sz w:val="20"/>
          <w:szCs w:val="20"/>
          <w:color w:val="auto"/>
        </w:rPr>
      </w:pPr>
      <w:r>
        <w:rPr>
          <w:rFonts w:ascii="Times New Roman" w:cs="Times New Roman" w:eastAsia="Times New Roman" w:hAnsi="Times New Roman"/>
          <w:sz w:val="16"/>
          <w:szCs w:val="16"/>
          <w:color w:val="auto"/>
        </w:rPr>
        <w:t>Fees related to our Trading Partner Fulfillment, Trading Partner Enablement and Trading Partner Analytics solutions consist of two revenue sources: set-up fees and recurring monthly fees. Set-up fees are specific for each connection a customer has with a trading partner and most of our customers have connections with numerous trading partners. Set-up fees are nonrefundable upfront fees that do not have standalone value to our customer and are not separable from the recurring monthly fees. All set-up fees and related costs are deferred and recognized ratably over the average life of the connection between the customer and the trading partner, which is approximately two years. We begin recognizing set-up fee revenue once the connection is established. Set-up fees for which connections have not yet been established are classified as long-term. We continue to evaluate the length of the amortization period as more experience is gained with cancellations and technology changes requested by our customers. It is possible that, in the future, the period over which such subscription set-up fees and costs are amortized may be adjusted. Any change in our estimate of the average connection life will affect our future results of operations.</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maintain an allowance for doubtful accounts for estimated losses resulting from our customers’ inability to pay us. The provision is based on the overall composition of our accounts receivable aging, our prior history of accounts receivable writeoffs, the type of customers and our experience with specific customers. In order to identify these customers, we perform ongoing reviews of all customers that have breached their payment terms, as well as those that have filed for bankruptcy or for whom information has become available indicating a significant risk of non-recoverability. In addition, we have experienced significant growth in the number of our customers, and we have less payment history to rely upon with these customers. We rely on historical trends of bad debt as a percentage of total accounts receivable and apply these percentages to the accounts receivable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associated with new customers and evaluate these customers over time. To the extent that our future collections differ from our assumptions based on historical experience, the amount of our bad debt and allowance recorded may be different.</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account for income taxes using the liability method, which requires recognition of deferred tax assets and liabilities for the expected future tax consequences of events that have been included in the financial statements. Under this method, deferred tax assets and liabilities are determined based on the difference between the financial statement and tax basis of assets and liabilities using enacted tax rates in effect for the year in which the differences are expected to reverse. Deferred tax assets are reduced by a valuation allowance when it is not “more likely than not” that the deferred tax asset will be utilized.</w:t>
      </w:r>
    </w:p>
    <w:p>
      <w:pPr>
        <w:spacing w:after="0" w:line="136" w:lineRule="exact"/>
        <w:rPr>
          <w:sz w:val="20"/>
          <w:szCs w:val="20"/>
          <w:color w:val="auto"/>
        </w:rPr>
      </w:pPr>
    </w:p>
    <w:p>
      <w:pPr>
        <w:ind w:right="80" w:firstLine="456"/>
        <w:spacing w:after="0" w:line="301" w:lineRule="auto"/>
        <w:rPr>
          <w:sz w:val="20"/>
          <w:szCs w:val="20"/>
          <w:color w:val="auto"/>
        </w:rPr>
      </w:pPr>
      <w:r>
        <w:rPr>
          <w:rFonts w:ascii="Times New Roman" w:cs="Times New Roman" w:eastAsia="Times New Roman" w:hAnsi="Times New Roman"/>
          <w:sz w:val="16"/>
          <w:szCs w:val="16"/>
          <w:color w:val="auto"/>
        </w:rPr>
        <w:t>We assess our ability to realize our deferred tax assets at the end of each reporting period. Realization of our deferred tax assets is contingent upon future taxable earnings. Accordingly, this assessment requires significant estimates and judgment. If the estimates of future taxable income vary from actual results, our assessment regarding the realization of these deferred tax assets could change. Future changes in the estimated amount of deferred taxes expected to be realized will be reflected in our consolidated financial statements in the period the estimate is changed, with a corresponding adjustment to our operating results.</w:t>
      </w:r>
    </w:p>
    <w:p>
      <w:pPr>
        <w:spacing w:after="0" w:line="103"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We recognize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likelihood of being realized upon ultimate settlement with the relevant tax authority.</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Stock-based compensation is measured at the grant date, based on the fair value of the award, and is recognized ratably as an expense over the vesting period of the award. Determining the appropriate fair value model and calculating the fair value of stock-based payment awards require the use of subjective assumptions, including the expected life of the stock-based payment awards and stock price volatility. We use the Black-Scholes option pricing model to value our award grants and determine the related compensation expense. The assumptions used in calculating the fair value of stock-based payment awards represent management’s best estimates, but the estimates involve inherent uncertainties and the application of management judgment. As a result, if factors change and we use different assumptions, our stock-based compensation expense could be materially different in the future. We expect to continue to grant stock-based awards in the future, and to the extent that we do, our actual stock-based compensation expense recognized in future periods will likely increase.</w:t>
      </w:r>
    </w:p>
    <w:p>
      <w:pPr>
        <w:spacing w:after="0" w:line="14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Prior to becoming a public entity in 2010, historical volatility was not available for our common stock. As a result, we do not have sufficient data to rely solely on the historical volatility of our common stock. Therefore, we have estimated volatility based partially on the historical volatilities of the publicly traded shares of a selected peer group, and partially on the historical volatility of our common stock, which collectively provided a reasonable basis for estimating volatility. Beginning in 2015, we anticipate that we will be able to rely solely on the historical volatility of our common stock.</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Valuation of Goodwill and Purchased Intangible Assets</w:t>
      </w:r>
    </w:p>
    <w:p>
      <w:pPr>
        <w:spacing w:after="0" w:line="94"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net assets acquired in a business combination. Assets acquired may include identifiable intangible assets, such as subscriber relationships, which are recognized separately from goodwill.</w:t>
      </w:r>
    </w:p>
    <w:p>
      <w:pPr>
        <w:spacing w:after="0" w:line="120"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We test goodwill for impairment annually at December 31, or more frequently if events or changes in circumstances indicate that the asset might be impaired. The impairment test is conducted by comparing the fair</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value of the net assets with the carrying value of the reporting unit. Fair value is determined using the direct market observation of market price and outstanding equity of the reporting unit at December 31. If the carrying value of the goodwill were to exceed the fair value of the reporting unit, the goodwill may be impaired. If this were to occur, the fair value would then be allocated to assets and liabilities in a manner similar to a purchase price allocation in order to determine the implied fair value of the goodwill. This implied fair value would then be compared to the carrying amount of the goodwill and, if it were less, an impairment loss would be recognized.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2014 Compared to Year Ended December 31, 2013</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71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7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61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127,947</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104,391</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18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$23,556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39,991</w:t>
            </w:r>
          </w:p>
        </w:tc>
        <w:tc>
          <w:tcPr>
            <w:tcW w:w="80" w:type="dxa"/>
            <w:vAlign w:val="bottom"/>
          </w:tcPr>
          <w:p>
            <w:pPr>
              <w:spacing w:after="0"/>
              <w:rPr>
                <w:sz w:val="19"/>
                <w:szCs w:val="19"/>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40" w:type="dxa"/>
            <w:vAlign w:val="bottom"/>
          </w:tcPr>
          <w:p>
            <w:pPr>
              <w:spacing w:after="0"/>
              <w:rPr>
                <w:sz w:val="19"/>
                <w:szCs w:val="19"/>
                <w:color w:val="auto"/>
              </w:rPr>
            </w:pPr>
          </w:p>
        </w:tc>
        <w:tc>
          <w:tcPr>
            <w:tcW w:w="118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8,210</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87,956</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15,346</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2"/>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46,990</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7,369</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13,494</w:t>
            </w:r>
          </w:p>
        </w:tc>
        <w:tc>
          <w:tcPr>
            <w:tcW w:w="80" w:type="dxa"/>
            <w:vAlign w:val="bottom"/>
          </w:tcPr>
          <w:p>
            <w:pPr>
              <w:spacing w:after="0"/>
              <w:rPr>
                <w:sz w:val="18"/>
                <w:szCs w:val="18"/>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18"/>
                <w:szCs w:val="18"/>
                <w:color w:val="auto"/>
              </w:rPr>
            </w:pPr>
          </w:p>
        </w:tc>
        <w:tc>
          <w:tcPr>
            <w:tcW w:w="118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2,624</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3,044</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80" w:type="dxa"/>
            <w:vAlign w:val="bottom"/>
          </w:tcPr>
          <w:p>
            <w:pPr>
              <w:spacing w:after="0"/>
              <w:rPr>
                <w:sz w:val="19"/>
                <w:szCs w:val="19"/>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Pr>
          <w:p>
            <w:pPr>
              <w:spacing w:after="0"/>
              <w:rPr>
                <w:sz w:val="19"/>
                <w:szCs w:val="19"/>
                <w:color w:val="auto"/>
              </w:rPr>
            </w:pPr>
          </w:p>
        </w:tc>
        <w:tc>
          <w:tcPr>
            <w:tcW w:w="118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(302)</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83,573</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12,735</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80" w:type="dxa"/>
            <w:vAlign w:val="bottom"/>
          </w:tcPr>
          <w:p>
            <w:pPr>
              <w:spacing w:after="0"/>
              <w:rPr>
                <w:sz w:val="19"/>
                <w:szCs w:val="19"/>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spacing w:after="0"/>
              <w:rPr>
                <w:sz w:val="19"/>
                <w:szCs w:val="19"/>
                <w:color w:val="auto"/>
              </w:rPr>
            </w:pPr>
          </w:p>
        </w:tc>
        <w:tc>
          <w:tcPr>
            <w:tcW w:w="118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2,611</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8"/>
                <w:szCs w:val="18"/>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18"/>
                <w:szCs w:val="18"/>
                <w:color w:val="auto"/>
              </w:rPr>
            </w:pPr>
          </w:p>
        </w:tc>
        <w:tc>
          <w:tcPr>
            <w:tcW w:w="118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75</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(458)</w:t>
            </w:r>
          </w:p>
        </w:tc>
        <w:tc>
          <w:tcPr>
            <w:tcW w:w="16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w:t>
            </w:r>
          </w:p>
        </w:tc>
        <w:tc>
          <w:tcPr>
            <w:tcW w:w="1180" w:type="dxa"/>
            <w:vAlign w:val="bottom"/>
            <w:gridSpan w:val="2"/>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(311)</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Pr>
          <w:p>
            <w:pPr>
              <w:spacing w:after="0"/>
              <w:rPr>
                <w:sz w:val="20"/>
                <w:szCs w:val="20"/>
                <w:color w:val="auto"/>
              </w:rPr>
            </w:pPr>
          </w:p>
        </w:tc>
        <w:tc>
          <w:tcPr>
            <w:tcW w:w="1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(236)</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2,375</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(1,408)</w:t>
            </w:r>
          </w:p>
        </w:tc>
        <w:tc>
          <w:tcPr>
            <w:tcW w:w="1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(686)</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(0.7)</w:t>
            </w:r>
          </w:p>
        </w:tc>
        <w:tc>
          <w:tcPr>
            <w:tcW w:w="118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(722)</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1,653</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Due to rounding, totals may not equal the sum of the line items in the table above</w:t>
      </w:r>
    </w:p>
    <w:p>
      <w:pPr>
        <w:spacing w:after="0" w:line="169" w:lineRule="exact"/>
        <w:rPr>
          <w:sz w:val="20"/>
          <w:szCs w:val="20"/>
          <w:color w:val="auto"/>
        </w:rPr>
      </w:pPr>
    </w:p>
    <w:p>
      <w:pPr>
        <w:jc w:val="both"/>
        <w:ind w:right="1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for 2014 increased $23.6 million, or 23%, to $127.9 million from $104.4 million for 2013. The increase in revenues resulted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two primary factors: the increase in recurring revenue customers and the increase in average recurring revenues per recurring revenue customer, which we also refer to as wallet share.</w:t>
      </w:r>
    </w:p>
    <w:p>
      <w:pPr>
        <w:spacing w:after="0" w:line="48" w:lineRule="exact"/>
        <w:rPr>
          <w:sz w:val="20"/>
          <w:szCs w:val="20"/>
          <w:color w:val="auto"/>
        </w:rPr>
      </w:pPr>
    </w:p>
    <w:p>
      <w:pPr>
        <w:ind w:left="660" w:hanging="20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recurring revenue customers increased 12% to 21,983 at December 31, 2014 from 19,690 at December 31, 2013.</w:t>
      </w:r>
    </w:p>
    <w:p>
      <w:pPr>
        <w:spacing w:after="0" w:line="90" w:lineRule="exact"/>
        <w:rPr>
          <w:rFonts w:ascii="Times New Roman" w:cs="Times New Roman" w:eastAsia="Times New Roman" w:hAnsi="Times New Roman"/>
          <w:sz w:val="18"/>
          <w:szCs w:val="18"/>
          <w:color w:val="auto"/>
        </w:rPr>
      </w:pPr>
    </w:p>
    <w:p>
      <w:pPr>
        <w:ind w:left="660" w:right="120" w:hanging="206"/>
        <w:spacing w:after="0" w:line="26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recurring revenues per recurring revenue customer, or wallet share, increased 12% to $5,524 for 2014 from $4,920 for 2013. This increase in wallet share was primarily attributable to increased fees resulting from increased usage of our solutions by our recurring revenue customers and growth in larger customers.</w:t>
      </w:r>
    </w:p>
    <w:p>
      <w:pPr>
        <w:spacing w:after="0" w:line="13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Recurring revenues from recurring revenue customers increased 24% in 2014, as compared to 2013, and accounted for 90% of our total revenues for 2014 and 89% for 2013. We anticipate that the number of recurring revenue customers and wallet share will continue to increase as we increase the number of solutions we offer and increase the penetration of those solutions across our customer base.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for 2014 increased $8.2 million, or 26%, to $40.0 million from $31.8 million for 2013. This increase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increased headcount in 2014 which resulted in higher personnel costs. We also incurred higher expenses for software subscriptions in 2014 as compared to 2013. As a percentage of revenues, cost of revenues was 31% for 2014 compared to 30% for 2013. Going forward, we anticipate that cost of revenues will increase in absolute dollars as we continue to expand our business.</w:t>
      </w:r>
    </w:p>
    <w:p>
      <w:pPr>
        <w:spacing w:after="0" w:line="133" w:lineRule="exact"/>
        <w:rPr>
          <w:sz w:val="20"/>
          <w:szCs w:val="20"/>
          <w:color w:val="auto"/>
        </w:rPr>
      </w:pPr>
    </w:p>
    <w:p>
      <w:pPr>
        <w:ind w:right="16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for 2014 increased $7.4 million, or 19%, to $47.0 million from $39.6 million for 2013.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increase was primarily due to increased headcount in 2014, which resulted in higher personnel costs, and increased commissions earned by sales personnel from new business. We also had increased promotional, occupancy, depreciation and stock-based compensation expenses in 2014 as compared to 2013. As a percentage of revenues, sales and marketing expenses were 37% for 2014 compared to 38% for 2013. As we expand our business, we will continue to add resources to our sales and marketing efforts over time, and we expect that these expenses will continue to increase in absolute dollars.</w:t>
      </w:r>
    </w:p>
    <w:p>
      <w:pPr>
        <w:spacing w:after="0" w:line="134"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for 2014 increased $2.6 million, or 24%, to $13.5 million from $10.9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2013. This increase was primarily due to increased headcount in 2014 which resulted in higher personnel costs. Also contributing to the increase were higher expenses for depreciation, stock-based compensation and occupancy in 2014 as compared to 2013. As a percentage of revenues, research and development expenses were 11% for 2014, compared to 10% for 2013. As we enhance and expand our solutions and applications, we expect that research and development expenses will continue to increase in absolute dollars.</w:t>
      </w:r>
    </w:p>
    <w:p>
      <w:pPr>
        <w:spacing w:after="0" w:line="134"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for 2014 increased $3.0 million, or 18%, to $20.2 million from $17.2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2013. This increase was due to increased legal costs, including costs related to the Leadtec acquisition, and increased costs for personnel, stock-based compensation and computer software and hardware maintenance in 2014 as compared to 2013. As a percentage of revenues, general and administrative expenses were 16% for 2014, compared to 17% for 2013. Going forward, we expect that general and administrative expenses will continue to increase in absolute dollars as we expand our business.</w:t>
      </w:r>
    </w:p>
    <w:p>
      <w:pPr>
        <w:spacing w:after="0" w:line="134" w:lineRule="exact"/>
        <w:rPr>
          <w:sz w:val="20"/>
          <w:szCs w:val="20"/>
          <w:color w:val="auto"/>
        </w:rPr>
      </w:pPr>
    </w:p>
    <w:p>
      <w:pPr>
        <w:ind w:right="2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Amortization of Intangible Assets. </w:t>
      </w:r>
      <w:r>
        <w:rPr>
          <w:rFonts w:ascii="Times New Roman" w:cs="Times New Roman" w:eastAsia="Times New Roman" w:hAnsi="Times New Roman"/>
          <w:sz w:val="18"/>
          <w:szCs w:val="18"/>
          <w:color w:val="auto"/>
        </w:rPr>
        <w:t>Amortization of intangible assets for 2014 decreased $302,000 from 2013. Amortization expense for 2013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$290,000 for the impairment of a certain non-competition agreement.</w:t>
      </w:r>
    </w:p>
    <w:p>
      <w:pPr>
        <w:spacing w:after="0" w:line="116" w:lineRule="exact"/>
        <w:rPr>
          <w:sz w:val="20"/>
          <w:szCs w:val="20"/>
          <w:color w:val="auto"/>
        </w:rPr>
      </w:pPr>
    </w:p>
    <w:p>
      <w:pPr>
        <w:ind w:left="460"/>
        <w:spacing w:after="0"/>
        <w:tabs>
          <w:tab w:leader="none" w:pos="1740" w:val="left"/>
        </w:tabs>
        <w:rPr>
          <w:sz w:val="20"/>
          <w:szCs w:val="20"/>
          <w:color w:val="auto"/>
        </w:rPr>
      </w:pPr>
      <w:r>
        <w:rPr>
          <w:rFonts w:ascii="Times New Roman" w:cs="Times New Roman" w:eastAsia="Times New Roman" w:hAnsi="Times New Roman"/>
          <w:sz w:val="18"/>
          <w:szCs w:val="18"/>
          <w:i w:val="1"/>
          <w:iCs w:val="1"/>
          <w:color w:val="auto"/>
        </w:rPr>
        <w:t>Other Expense.</w:t>
      </w:r>
      <w:r>
        <w:rPr>
          <w:sz w:val="20"/>
          <w:szCs w:val="20"/>
          <w:color w:val="auto"/>
        </w:rPr>
        <w:tab/>
      </w:r>
      <w:r>
        <w:rPr>
          <w:rFonts w:ascii="Times New Roman" w:cs="Times New Roman" w:eastAsia="Times New Roman" w:hAnsi="Times New Roman"/>
          <w:sz w:val="16"/>
          <w:szCs w:val="16"/>
          <w:color w:val="auto"/>
        </w:rPr>
        <w:t>Other expense for 2014 included $338,000 for a one-time Australian stamp duty tax related to the Leadtec acquisition in October 2014.</w:t>
      </w:r>
    </w:p>
    <w:p>
      <w:pPr>
        <w:spacing w:after="0" w:line="17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Our 2014 provision for income taxes was $1.4 million and included current federal, state and foreign income taxes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federal and state income taxes. Our 2013 provision for income taxes was $686,000 and included current state and foreign income taxes as well as deferred federal and state income taxes. It also included a one-time tax benefit for the retroactive benefit of the 2012 federal R&amp;D credit. If this one-time tax benefit were excluded, our 2013 provision for income taxes would have been $803,000. For 2015, we expect that our annual effective income tax rate will be approximately 40%. See Note K to our consolidated financial statements, included in this Annual Report on Form 10-K, for additional information regarding our income taxes.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firstLine="456"/>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Adjusted EBITDA. </w:t>
      </w:r>
      <w:r>
        <w:rPr>
          <w:rFonts w:ascii="Times New Roman" w:cs="Times New Roman" w:eastAsia="Times New Roman" w:hAnsi="Times New Roman"/>
          <w:sz w:val="16"/>
          <w:szCs w:val="16"/>
          <w:color w:val="auto"/>
        </w:rPr>
        <w:t>Adjusted EBITDA, which is a non-GAAP measure of financial performance, consists of net income plus depreciation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amortization, interest expense, interest income, income tax expense, stock-based compensation expense and other adjustments as necessary for a fair presentation. Other adjustments included the impact of a one-time Australian stamp duty tax related to the Leadtec acquisition in 2014, as well as the impact of use tax refunds in 2014 and 2013 related to items previously expensed. The following table provides a reconciliation of net income to Adjusted EBITDA (in thousands):</w:t>
      </w:r>
    </w:p>
    <w:p>
      <w:pPr>
        <w:spacing w:after="0" w:line="12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8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8,570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8,051</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r>
      <w:tr>
        <w:trPr>
          <w:trHeight w:val="222"/>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EBITDA</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12,764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100" w:type="dxa"/>
            <w:vAlign w:val="bottom"/>
          </w:tcPr>
          <w:p>
            <w:pPr>
              <w:spacing w:after="0"/>
              <w:rPr>
                <w:sz w:val="19"/>
                <w:szCs w:val="19"/>
                <w:color w:val="auto"/>
              </w:rPr>
            </w:pPr>
          </w:p>
        </w:tc>
      </w:tr>
      <w:tr>
        <w:trPr>
          <w:trHeight w:val="217"/>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5,396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4,203</w:t>
            </w:r>
          </w:p>
        </w:tc>
      </w:tr>
      <w:tr>
        <w:trPr>
          <w:trHeight w:val="223"/>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18,160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13,774</w:t>
            </w:r>
          </w:p>
        </w:tc>
        <w:tc>
          <w:tcPr>
            <w:tcW w:w="100" w:type="dxa"/>
            <w:vAlign w:val="bottom"/>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ind w:right="1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Non-GAAP Income per Share. </w:t>
      </w:r>
      <w:r>
        <w:rPr>
          <w:rFonts w:ascii="Times New Roman" w:cs="Times New Roman" w:eastAsia="Times New Roman" w:hAnsi="Times New Roman"/>
          <w:sz w:val="18"/>
          <w:szCs w:val="18"/>
          <w:color w:val="auto"/>
        </w:rPr>
        <w:t>Non-GAAP income per share, which is also a non-GAAP measure of financial performance, consists of net income 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 expense and amortization expense related to intangible assets divided by the weighted average number of shares of common stock outstanding during each period. The following table provides a reconciliation of net income to non-GAAP income per share (in thousands, except per share amounts):</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44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60" w:type="dxa"/>
            <w:vAlign w:val="bottom"/>
            <w:tcBorders>
              <w:bottom w:val="single" w:sz="8" w:color="CCEEFF"/>
            </w:tcBorders>
          </w:tcPr>
          <w:p>
            <w:pPr>
              <w:spacing w:after="0"/>
              <w:rPr>
                <w:sz w:val="12"/>
                <w:szCs w:val="12"/>
                <w:color w:val="auto"/>
              </w:rPr>
            </w:pPr>
          </w:p>
        </w:tc>
        <w:tc>
          <w:tcPr>
            <w:tcW w:w="4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5,396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shd w:val="clear" w:color="auto" w:fill="CCEEFF"/>
          </w:tcPr>
          <w:p>
            <w:pPr>
              <w:spacing w:after="0"/>
              <w:rPr>
                <w:sz w:val="18"/>
                <w:szCs w:val="18"/>
                <w:color w:val="auto"/>
              </w:rPr>
            </w:pPr>
          </w:p>
        </w:tc>
      </w:tr>
      <w:tr>
        <w:trPr>
          <w:trHeight w:val="223"/>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Non-GAAP income</w:t>
            </w:r>
          </w:p>
        </w:tc>
        <w:tc>
          <w:tcPr>
            <w:tcW w:w="4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10,956</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8,412</w:t>
            </w:r>
          </w:p>
        </w:tc>
        <w:tc>
          <w:tcPr>
            <w:tcW w:w="10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income per share</w:t>
            </w:r>
          </w:p>
        </w:tc>
        <w:tc>
          <w:tcPr>
            <w:tcW w:w="4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4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4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Shares used to compute non-GAAP income per share</w:t>
            </w:r>
          </w:p>
        </w:tc>
        <w:tc>
          <w:tcPr>
            <w:tcW w:w="4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4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6"/>
              </w:rPr>
              <w:t>16,236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15,201</w:t>
            </w:r>
          </w:p>
        </w:tc>
        <w:tc>
          <w:tcPr>
            <w:tcW w:w="100" w:type="dxa"/>
            <w:vAlign w:val="bottom"/>
            <w:shd w:val="clear" w:color="auto" w:fill="CCEEFF"/>
          </w:tcPr>
          <w:p>
            <w:pPr>
              <w:spacing w:after="0"/>
              <w:rPr>
                <w:sz w:val="18"/>
                <w:szCs w:val="18"/>
                <w:color w:val="auto"/>
              </w:rPr>
            </w:pPr>
          </w:p>
        </w:tc>
      </w:tr>
      <w:tr>
        <w:trPr>
          <w:trHeight w:val="228"/>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4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6"/>
              </w:rPr>
              <w:t>16,814</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15,931</w:t>
            </w:r>
          </w:p>
        </w:tc>
        <w:tc>
          <w:tcPr>
            <w:tcW w:w="100" w:type="dxa"/>
            <w:vAlign w:val="bottom"/>
          </w:tcPr>
          <w:p>
            <w:pPr>
              <w:spacing w:after="0"/>
              <w:rPr>
                <w:sz w:val="19"/>
                <w:szCs w:val="19"/>
                <w:color w:val="auto"/>
              </w:rPr>
            </w:pPr>
          </w:p>
        </w:tc>
      </w:tr>
      <w:tr>
        <w:trPr>
          <w:trHeight w:val="350"/>
        </w:trPr>
        <w:tc>
          <w:tcPr>
            <w:tcW w:w="4460" w:type="dxa"/>
            <w:vAlign w:val="bottom"/>
          </w:tcPr>
          <w:p>
            <w:pPr>
              <w:spacing w:after="0"/>
              <w:rPr>
                <w:sz w:val="24"/>
                <w:szCs w:val="24"/>
                <w:color w:val="auto"/>
              </w:rPr>
            </w:pPr>
          </w:p>
        </w:tc>
        <w:tc>
          <w:tcPr>
            <w:tcW w:w="4180" w:type="dxa"/>
            <w:vAlign w:val="bottom"/>
          </w:tcPr>
          <w:p>
            <w:pPr>
              <w:jc w:val="right"/>
              <w:ind w:right="3212"/>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2013 Compared to Year Ended December 31, 2012</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7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7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61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104,391</w:t>
            </w: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77,106</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18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$27,285</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31,781</w:t>
            </w: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22,040</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340" w:type="dxa"/>
            <w:vAlign w:val="bottom"/>
          </w:tcPr>
          <w:p>
            <w:pPr>
              <w:spacing w:after="0"/>
              <w:rPr>
                <w:sz w:val="18"/>
                <w:szCs w:val="18"/>
                <w:color w:val="auto"/>
              </w:rPr>
            </w:pPr>
          </w:p>
        </w:tc>
        <w:tc>
          <w:tcPr>
            <w:tcW w:w="118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9,741</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72,610</w:t>
            </w:r>
          </w:p>
        </w:tc>
        <w:tc>
          <w:tcPr>
            <w:tcW w:w="16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55,066</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17,544</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2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39,621</w:t>
            </w:r>
          </w:p>
        </w:tc>
        <w:tc>
          <w:tcPr>
            <w:tcW w:w="16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30,037</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9,584</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10,870</w:t>
            </w: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tcPr>
          <w:p>
            <w:pPr>
              <w:spacing w:after="0"/>
              <w:rPr>
                <w:sz w:val="18"/>
                <w:szCs w:val="18"/>
                <w:color w:val="auto"/>
              </w:rPr>
            </w:pPr>
          </w:p>
        </w:tc>
        <w:tc>
          <w:tcPr>
            <w:tcW w:w="118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2,704</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17,189</w:t>
            </w:r>
          </w:p>
        </w:tc>
        <w:tc>
          <w:tcPr>
            <w:tcW w:w="16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13,524</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3,665</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3,158</w:t>
            </w: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Pr>
          <w:p>
            <w:pPr>
              <w:spacing w:after="0"/>
              <w:rPr>
                <w:sz w:val="18"/>
                <w:szCs w:val="18"/>
                <w:color w:val="auto"/>
              </w:rPr>
            </w:pPr>
          </w:p>
        </w:tc>
        <w:tc>
          <w:tcPr>
            <w:tcW w:w="118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1,391</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70,838</w:t>
            </w:r>
          </w:p>
        </w:tc>
        <w:tc>
          <w:tcPr>
            <w:tcW w:w="16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53,494</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17,344</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Income from operations</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Pr>
          <w:p>
            <w:pPr>
              <w:spacing w:after="0"/>
              <w:rPr>
                <w:sz w:val="19"/>
                <w:szCs w:val="19"/>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Pr>
          <w:p>
            <w:pPr>
              <w:spacing w:after="0"/>
              <w:rPr>
                <w:sz w:val="19"/>
                <w:szCs w:val="19"/>
                <w:color w:val="auto"/>
              </w:rPr>
            </w:pPr>
          </w:p>
        </w:tc>
        <w:tc>
          <w:tcPr>
            <w:tcW w:w="118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200</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93</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(0.3)</w:t>
            </w:r>
          </w:p>
        </w:tc>
        <w:tc>
          <w:tcPr>
            <w:tcW w:w="118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101</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other expense, net</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w:t>
            </w:r>
          </w:p>
        </w:tc>
        <w:tc>
          <w:tcPr>
            <w:tcW w:w="118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194</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1,737</w:t>
            </w:r>
          </w:p>
        </w:tc>
        <w:tc>
          <w:tcPr>
            <w:tcW w:w="16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394</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(686)</w:t>
            </w: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118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(565)</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1,051</w:t>
            </w:r>
          </w:p>
        </w:tc>
        <w:tc>
          <w:tcPr>
            <w:tcW w:w="16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(171)</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9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Due to rounding, totals may not equal the sum of the line items in the table above</w:t>
      </w:r>
    </w:p>
    <w:p>
      <w:pPr>
        <w:spacing w:after="0" w:line="169" w:lineRule="exact"/>
        <w:rPr>
          <w:sz w:val="20"/>
          <w:szCs w:val="20"/>
          <w:color w:val="auto"/>
        </w:rPr>
      </w:pPr>
    </w:p>
    <w:p>
      <w:pPr>
        <w:jc w:val="both"/>
        <w:ind w:right="26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for 2013 increased $27.3 million, or 35%, to $104.4 million from $77.1 million for 2012. The increase in revenues resulted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two primary factors: the increase in recurring revenue customers and the increase in average recurring revenues per recurring revenue customer, which we also refer to as wallet share.</w:t>
      </w:r>
    </w:p>
    <w:p>
      <w:pPr>
        <w:spacing w:after="0" w:line="48" w:lineRule="exact"/>
        <w:rPr>
          <w:sz w:val="20"/>
          <w:szCs w:val="20"/>
          <w:color w:val="auto"/>
        </w:rPr>
      </w:pPr>
    </w:p>
    <w:p>
      <w:pPr>
        <w:ind w:left="660" w:hanging="206"/>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recurring revenue customers increased 10% to 19,690 at December 31, 2013 from 17,977 at December 31, 2012.</w:t>
      </w:r>
    </w:p>
    <w:p>
      <w:pPr>
        <w:spacing w:after="0" w:line="90" w:lineRule="exact"/>
        <w:rPr>
          <w:rFonts w:ascii="Times New Roman" w:cs="Times New Roman" w:eastAsia="Times New Roman" w:hAnsi="Times New Roman"/>
          <w:sz w:val="18"/>
          <w:szCs w:val="18"/>
          <w:color w:val="auto"/>
        </w:rPr>
      </w:pPr>
    </w:p>
    <w:p>
      <w:pPr>
        <w:ind w:left="660" w:right="120" w:hanging="206"/>
        <w:spacing w:after="0" w:line="26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recurring revenues per recurring revenue customer, or wallet share, increased 24% to $4,920 for 2013 from $3,964 for 2012. This increase in wallet share was primarily attributable to increased fees resulting from increased usage of our solutions by our recurring revenue customers and growth in larger customers, including those acquired from Edifice in 2012.</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Recurring revenues from recurring revenue customers accounted for 89% of our total revenues for 2013, compared to 88% for 2012.</w:t>
      </w:r>
    </w:p>
    <w:p>
      <w:pPr>
        <w:spacing w:after="0" w:line="169"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for 2013 were $31.8 million, an increase of $9.7 million, or 44%, from $22.0 million for 2012. This increase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increased headcount in 2013 which resulted in higher personnel costs. We also incurred higher expenses for depreciation, occupancy and network services in 2013 as compared to 2012. As a percentage of revenues, cost of revenues was 30% for 2013 compared to 29% for 2012.</w:t>
      </w:r>
    </w:p>
    <w:p>
      <w:pPr>
        <w:spacing w:after="0" w:line="127" w:lineRule="exact"/>
        <w:rPr>
          <w:sz w:val="20"/>
          <w:szCs w:val="20"/>
          <w:color w:val="auto"/>
        </w:rPr>
      </w:pPr>
    </w:p>
    <w:p>
      <w:pPr>
        <w:ind w:right="3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for 2013 increased $9.6 million, or 32%, to $39.6 million from $30.0 million for 2012.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increase was primarily due to increased headcount in 2013,</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which resulted in higher personnel costs, as well as increased commissions earned by sales personnel from new business. We also incurred increased expenses for depreciation, stock-based compensation and occupancy in 2013 as compared to 2012. As a percentage of revenues, sales and marketing expenses were 38% for 2013 compared to 39% for 2012.</w:t>
      </w:r>
    </w:p>
    <w:p>
      <w:pPr>
        <w:spacing w:after="0" w:line="130"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for 2013 were $10.9 million, an increase of $2.7 million, or 33%, from $8.2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2012. This increase was primarily due to increased headcount in 2013 which resulted in higher personnel costs. Also contributing to the increase were higher expenses for depreciation, software subscriptions, stock-based compensation and occupancy in 2013 as compared to 2012. As a percentage of revenues, research and development expenses were 10% for 2013 and 11% for 2012.</w:t>
      </w:r>
    </w:p>
    <w:p>
      <w:pPr>
        <w:spacing w:after="0" w:line="133"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for 2013 increased $3.7 million, or 27%, to $17.2 million from $13.5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2012. This increase was due to increased headcount in 2013, which resulted in higher personnel costs, as well as increased stock-based compensation, depreciation and software maintenance and subscription expenses compared to 2012. In addition, legal expenses in 2013 decreased slightly as compared to 2012. As a percentage of revenues, general and administrative expenses were 17% for 2013, compared to 18% for 2012.</w:t>
      </w:r>
    </w:p>
    <w:p>
      <w:pPr>
        <w:spacing w:after="0" w:line="133" w:lineRule="exact"/>
        <w:rPr>
          <w:sz w:val="20"/>
          <w:szCs w:val="20"/>
          <w:color w:val="auto"/>
        </w:rPr>
      </w:pPr>
    </w:p>
    <w:p>
      <w:pPr>
        <w:ind w:right="16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Amortization of Intangible Assets. </w:t>
      </w:r>
      <w:r>
        <w:rPr>
          <w:rFonts w:ascii="Times New Roman" w:cs="Times New Roman" w:eastAsia="Times New Roman" w:hAnsi="Times New Roman"/>
          <w:sz w:val="18"/>
          <w:szCs w:val="18"/>
          <w:color w:val="auto"/>
        </w:rPr>
        <w:t>Amortization expense for the year ended December 31, 2013 included $290,000 for the impairment of a certain non-competition agreement.</w:t>
      </w:r>
    </w:p>
    <w:p>
      <w:pPr>
        <w:spacing w:after="0" w:line="116" w:lineRule="exact"/>
        <w:rPr>
          <w:sz w:val="20"/>
          <w:szCs w:val="20"/>
          <w:color w:val="auto"/>
        </w:rPr>
      </w:pPr>
    </w:p>
    <w:p>
      <w:pPr>
        <w:ind w:right="10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Our 2013 provision for income taxes was $686,000 and included current state and foreign income taxes as well as deferred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state income taxes. It also included a one-time tax benefit for the retroactive benefit of the 2012 federal R&amp;D credit. The American Taxpayer Relief Act of 2012 was enacted on January 2, 2013 and extended the federal R&amp;D credit from January 1, 2012 through December 31, 2013. If this one-time tax benefit were excluded, our 2013 provision for income taxes would have been $803,000.</w:t>
      </w:r>
    </w:p>
    <w:p>
      <w:pPr>
        <w:spacing w:after="0" w:line="13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2012 provision for income taxes was $121,000 and included current state and foreign income taxes as well as deferred federal and state income taxes. It also included one-time tax benefits related to true-up adjustments for prior years and increased state effective tax rates. If these one-time benefits were excluded, our 2012 provision for income taxes would have been $418,000. See Note K to our consolidated financial statements, included in this Annual Report on Form 10-K, for additional information regarding our income taxes.</w:t>
      </w:r>
    </w:p>
    <w:p>
      <w:pPr>
        <w:spacing w:after="0" w:line="134"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Adjusted EBITDA, which is a non-GAAP measure of financial performance, consists of net income plus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interest expense, interest income, income tax expense, stock-based compensation expense and other adjustments as necessary for a fair presentation. In 2013, other adjustments included the impact of a use tax refund related to items previously expensed. The following table provides a reconciliation of net income to Adjusted EBITDA (in thousands):</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65"/>
        </w:trPr>
        <w:tc>
          <w:tcPr>
            <w:tcW w:w="38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8,051</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4,918</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686</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EBITDA</w:t>
            </w:r>
          </w:p>
        </w:tc>
        <w:tc>
          <w:tcPr>
            <w:tcW w:w="4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4,203</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r>
        <w:trPr>
          <w:trHeight w:val="222"/>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49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13,774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940" w:type="dxa"/>
            <w:vAlign w:val="bottom"/>
            <w:vMerge w:val="restart"/>
          </w:tcPr>
          <w:p>
            <w:pPr>
              <w:jc w:val="right"/>
              <w:ind w:right="3352"/>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4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0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Non-GAAP Income per Share. </w:t>
      </w:r>
      <w:r>
        <w:rPr>
          <w:rFonts w:ascii="Times New Roman" w:cs="Times New Roman" w:eastAsia="Times New Roman" w:hAnsi="Times New Roman"/>
          <w:sz w:val="18"/>
          <w:szCs w:val="18"/>
          <w:color w:val="auto"/>
        </w:rPr>
        <w:t>Non-GAAP income per share, which is also a non-GAAP measure of financial performance, consists of net income 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 expense and amortization expense related to intangible assets divided by the weighted average number of shares of common stock outstanding during each period. The following table provides a reconciliation of net income to non-GAAP income per share (in thousands, except per share amounts):</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8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6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shd w:val="clear" w:color="auto" w:fill="CCEEFF"/>
          </w:tcPr>
          <w:p>
            <w:pPr>
              <w:spacing w:after="0"/>
              <w:rPr>
                <w:sz w:val="18"/>
                <w:szCs w:val="18"/>
                <w:color w:val="auto"/>
              </w:rPr>
            </w:pPr>
          </w:p>
        </w:tc>
      </w:tr>
      <w:tr>
        <w:trPr>
          <w:trHeight w:val="223"/>
        </w:trPr>
        <w:tc>
          <w:tcPr>
            <w:tcW w:w="8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Non-GAAP income</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8,412</w:t>
            </w:r>
          </w:p>
        </w:tc>
        <w:tc>
          <w:tcPr>
            <w:tcW w:w="5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10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income per share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Shares used to compute non-GAAP income per share</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15,201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13,056</w:t>
            </w:r>
          </w:p>
        </w:tc>
        <w:tc>
          <w:tcPr>
            <w:tcW w:w="100" w:type="dxa"/>
            <w:vAlign w:val="bottom"/>
            <w:shd w:val="clear" w:color="auto" w:fill="CCEEFF"/>
          </w:tcPr>
          <w:p>
            <w:pPr>
              <w:spacing w:after="0"/>
              <w:rPr>
                <w:sz w:val="18"/>
                <w:szCs w:val="18"/>
                <w:color w:val="auto"/>
              </w:rPr>
            </w:pPr>
          </w:p>
        </w:tc>
      </w:tr>
      <w:tr>
        <w:trPr>
          <w:trHeight w:val="228"/>
        </w:trPr>
        <w:tc>
          <w:tcPr>
            <w:tcW w:w="8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15,931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13,910</w:t>
            </w:r>
          </w:p>
        </w:tc>
        <w:tc>
          <w:tcPr>
            <w:tcW w:w="100" w:type="dxa"/>
            <w:vAlign w:val="bottom"/>
          </w:tcPr>
          <w:p>
            <w:pPr>
              <w:spacing w:after="0"/>
              <w:rPr>
                <w:sz w:val="19"/>
                <w:szCs w:val="19"/>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At December 31, 2014, our principal sources of liquidity were cash and cash equivalents totaling $130.8 million and accounts receivable, net of allowance for doubtful accounts of $15.4 million compared to cash and cash equivalents of $131.3 million and accounts receivable, net of allowance for doubtful accounts of $11.6 million at December 31, 2013. Our working capital at December 31, 2014 was $137.6 million compared to working capital of $137.2 million at December 31, 2013.</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slight increase in working capital from December 31, 2013 to December 31, 2014 resulted primarily from the following:</w:t>
      </w:r>
    </w:p>
    <w:p>
      <w:pPr>
        <w:spacing w:after="0" w:line="90" w:lineRule="exact"/>
        <w:rPr>
          <w:sz w:val="20"/>
          <w:szCs w:val="20"/>
          <w:color w:val="auto"/>
        </w:rPr>
      </w:pPr>
    </w:p>
    <w:p>
      <w:pPr>
        <w:ind w:left="660" w:right="280" w:hanging="206"/>
        <w:spacing w:after="0" w:line="310"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$499,000 decrease in cash and cash equivalents, due primarily to the $16.8 million of cash provided by operations and $3.5 million of cash received from the exercise of stock options and net proceeds from our employee stock purchase plan, all reduced by the $12.6 million of cash used for the Leadtec acquisition, the $7.6 million of cash used for capital expenditures and the impact of changes in foreign currency exchange rates;</w:t>
      </w:r>
    </w:p>
    <w:p>
      <w:pPr>
        <w:spacing w:after="0" w:line="16" w:lineRule="exact"/>
        <w:rPr>
          <w:rFonts w:ascii="Times New Roman" w:cs="Times New Roman" w:eastAsia="Times New Roman" w:hAnsi="Times New Roman"/>
          <w:sz w:val="16"/>
          <w:szCs w:val="16"/>
          <w:color w:val="auto"/>
        </w:rPr>
      </w:pPr>
    </w:p>
    <w:p>
      <w:pPr>
        <w:ind w:left="660" w:hanging="206"/>
        <w:spacing w:after="0"/>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$3.8 million increase in net accounts receivable, as new accounts exceeded collections of outstanding balances in 2014 due to growth in our business;</w:t>
      </w:r>
    </w:p>
    <w:p>
      <w:pPr>
        <w:spacing w:after="0" w:line="113" w:lineRule="exact"/>
        <w:rPr>
          <w:rFonts w:ascii="Times New Roman" w:cs="Times New Roman" w:eastAsia="Times New Roman" w:hAnsi="Times New Roman"/>
          <w:sz w:val="16"/>
          <w:szCs w:val="16"/>
          <w:color w:val="auto"/>
        </w:rPr>
      </w:pPr>
    </w:p>
    <w:p>
      <w:pPr>
        <w:ind w:left="660" w:hanging="20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million increase in deferred costs for expenses related to increased implementation resources and commission payments for new business;</w:t>
      </w:r>
    </w:p>
    <w:p>
      <w:pPr>
        <w:spacing w:after="0" w:line="90" w:lineRule="exact"/>
        <w:rPr>
          <w:rFonts w:ascii="Times New Roman" w:cs="Times New Roman" w:eastAsia="Times New Roman" w:hAnsi="Times New Roman"/>
          <w:sz w:val="18"/>
          <w:szCs w:val="18"/>
          <w:color w:val="auto"/>
        </w:rPr>
      </w:pPr>
    </w:p>
    <w:p>
      <w:pPr>
        <w:ind w:left="660" w:hanging="206"/>
        <w:spacing w:after="0" w:line="275"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decrease in deferred income taxes primarily related to the decrease in the amount of federal net operating loss carryforwards that we expect to utilize in 2015 as compared to 2014;</w:t>
      </w:r>
    </w:p>
    <w:p>
      <w:pPr>
        <w:spacing w:after="0" w:line="38"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$996,000 increase in other current assets, primarily due to prepaid service contracts;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million increase in accounts payable, primarily due to timing of payments and growth in our business;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increase in accrued compensation, due to increased headcount and payroll timing;</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$367,000 increase in accrued expenses and deferred rent due primarily to office expansion,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increase in deferred revenue due to new business in 2014.</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60"/>
          </w:cols>
          <w:pgMar w:left="240" w:top="455" w:right="29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Cash Flows from Operating Activities</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Net cash provided by operating activities was $16.8 million for 2014 compared to $18.2 million for 2013. The increase in net income, the changes in non-cash expenses, including increased depreciation and stock-based compensation, and the changes in our working capital accounts, including those discussed above, resulted in the overall decrease in net cash provided by operations.</w:t>
      </w:r>
    </w:p>
    <w:p>
      <w:pPr>
        <w:spacing w:after="0" w:line="13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Net cash provided by operating activities was $18.2 million for 2013 compared to $6.8 million for 2012. The slight decrease in net income, the changes in non-cash expenses, including increased depreciation, amortization and stock-based compensation, and the changes in our working capital accounts, including those discussed above, resulted in the overall increase in net cash provided by operations.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Cash Flows from Investing Activities</w:t>
      </w:r>
    </w:p>
    <w:p>
      <w:pPr>
        <w:spacing w:after="0" w:line="94" w:lineRule="exact"/>
        <w:rPr>
          <w:sz w:val="20"/>
          <w:szCs w:val="20"/>
          <w:color w:val="auto"/>
        </w:rPr>
      </w:pPr>
    </w:p>
    <w:p>
      <w:pPr>
        <w:ind w:right="540" w:firstLine="456"/>
        <w:spacing w:after="0" w:line="262" w:lineRule="auto"/>
        <w:rPr>
          <w:sz w:val="20"/>
          <w:szCs w:val="20"/>
          <w:color w:val="auto"/>
        </w:rPr>
      </w:pPr>
      <w:r>
        <w:rPr>
          <w:rFonts w:ascii="Times New Roman" w:cs="Times New Roman" w:eastAsia="Times New Roman" w:hAnsi="Times New Roman"/>
          <w:sz w:val="18"/>
          <w:szCs w:val="18"/>
          <w:color w:val="auto"/>
        </w:rPr>
        <w:t>Net cash used in investing activities was $20.2 million for 2014, including $12.6 million for the acquisition of Leadtec and $7.6 million for capital expenditures. In general, our capital expenditures are for supporting our business growth and existing customer base, as well as for our internal use such as equipment for our employees.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 was $5.7 million for 2013, all for capital expenditures.</w:t>
      </w:r>
    </w:p>
    <w:p>
      <w:pPr>
        <w:spacing w:after="0" w:line="171" w:lineRule="exact"/>
        <w:rPr>
          <w:sz w:val="20"/>
          <w:szCs w:val="20"/>
          <w:color w:val="auto"/>
        </w:rPr>
      </w:pPr>
    </w:p>
    <w:p>
      <w:pPr>
        <w:ind w:right="680" w:firstLine="456"/>
        <w:spacing w:after="0" w:line="275" w:lineRule="auto"/>
        <w:rPr>
          <w:sz w:val="20"/>
          <w:szCs w:val="20"/>
          <w:color w:val="auto"/>
        </w:rPr>
      </w:pPr>
      <w:r>
        <w:rPr>
          <w:rFonts w:ascii="Times New Roman" w:cs="Times New Roman" w:eastAsia="Times New Roman" w:hAnsi="Times New Roman"/>
          <w:sz w:val="18"/>
          <w:szCs w:val="18"/>
          <w:color w:val="auto"/>
        </w:rPr>
        <w:t>For 2012, net cash used in investing activities was $32.2 million, including $26.3 million for the acquisition of Edifice and $6.0 million for capital expenditures.</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Cash Flows from Financing Activities</w:t>
      </w:r>
    </w:p>
    <w:p>
      <w:pPr>
        <w:spacing w:after="0" w:line="94"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Net cash provided by financing activities was $3.5 million for 2014, all related to the exercise of stock options and proceeds from our employee stock purchase plan.</w:t>
      </w:r>
    </w:p>
    <w:p>
      <w:pPr>
        <w:spacing w:after="0" w:line="120"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Net cash provided by financing activities was $52.7 million for 2013, and primarily represented $47.6 million of net proceeds from our common stock offering in November 2013 and $5.1 million related to the exercise of stock options and proceeds from our employee stock purchase plan.</w:t>
      </w:r>
    </w:p>
    <w:p>
      <w:pPr>
        <w:spacing w:after="0" w:line="120"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Net cash provided by financing activities was $59.5 million for 2012, and primarily represented $57.8 million of net proceeds from our common stock offering in September 2012 and $2.0 million of cash received from the exercise of employee stock options and net proceeds from our employee stock purchase plan.</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94"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We have a revolving credit agreement with JPMorgan Chase Bank, N.A. which provides for a $20 million revolving credit facility that we may draw upon from time to time, subject to certain terms and conditions, and will mature on September 30, 2016. Proceeds from the credit facility are anticipated to be used for acquisitions and our capital needs.</w:t>
      </w:r>
    </w:p>
    <w:p>
      <w:pPr>
        <w:spacing w:after="0" w:line="13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Interest on amounts borrowed under the credit facility is based on (i) an Adjusted LIBO Rate (as defined in the revolving credit agreement) plus an applicable margin of 175 to 225 basis points based on our net working capital, or (ii) JPMorgan’s prime rate (provided it is not less than the Adjusted One Month LIBO Rate (as defined in the revolving credit agreement)) plus an applicable margin of -25 to 25 basis points based on our net working capital. Interest is payable monthly in arrears. Availability under the credit facility is subject to a borrowing base equal to the sum of 250% of our eligible monthly recurring revenue (as defined in the revolving credit agreement) and all borrowings are due in full no later than the maturity date of the agreement.</w:t>
      </w:r>
    </w:p>
    <w:p>
      <w:pPr>
        <w:spacing w:after="0" w:line="139"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The revolving credit agreement contains customary representations, warranties, covenants and events of default, including, but not limited to financial covenants requiring us to maintain a fixed charge coverage ratio of</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not less than 1.20 to 1.00, cash and cash equivalents of not less than $10 million and a minimum number of recurring revenue customers. If an event of default occurs, among other things, the applicable interest rate is subject to an increase of 200 basis points and all outstanding obligations may become immediately due and payable.</w:t>
      </w:r>
    </w:p>
    <w:p>
      <w:pPr>
        <w:spacing w:after="0" w:line="13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There were no borrowings under the revolving credit agreement in 2014 or 2013. In connection with the acquisition of Edifice in 2012, we borrowed $11.0 million under our line of credit to fund a portion of the cash paid for the acquisition. On September 11, 2012, this debt was repaid in full with a portion of the proceeds received from our public offering of common stock on that date.</w:t>
      </w:r>
    </w:p>
    <w:p>
      <w:pPr>
        <w:spacing w:after="0" w:line="132"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As of December 31, 2014 and 2013, there were no borrowings outstanding, approximately $20.0 million was available for borrowings, and we were in compliance with all covenants under the revolving credit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Adequacy of Capital Resources</w:t>
      </w:r>
    </w:p>
    <w:p>
      <w:pPr>
        <w:spacing w:after="0" w:line="9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Our future capital requirements may vary materially from those now planned and will depend on many factors, including the costs to develop and implement new solutions and applications, the sales and marketing resources needed to further penetrate our market and gain acceptance of new solutions and applications we develop, the expansion of our operations in the United States of America and internationally and the response of competitors to our solutions and applications. Historically, we have experienced increases in our expenditures consistent with the growth in our operations and personnel, and we anticipate that our expenditures will continue to increase as we grow our business.</w:t>
      </w:r>
    </w:p>
    <w:p>
      <w:pPr>
        <w:spacing w:after="0" w:line="139"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We believe our cash and cash equivalents and cash flows from our operations will be sufficient to meet our working capital and capital expenditure requirements for at least the next twelve months.</w:t>
      </w:r>
    </w:p>
    <w:p>
      <w:pPr>
        <w:spacing w:after="0" w:line="120"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During the last three years, inflation and changing prices have not had a material effect on our business and we do not expect that inflation or changing prices will materially affect our business in the foreseeable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and Commercial Commitment Summary</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contractual obligations and commercial commitments as of December 31, 2014 are summarized below:</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14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Payments Due By Period</w:t>
            </w:r>
          </w:p>
        </w:tc>
        <w:tc>
          <w:tcPr>
            <w:tcW w:w="8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880" w:type="dxa"/>
            <w:vAlign w:val="bottom"/>
          </w:tcPr>
          <w:p>
            <w:pPr>
              <w:spacing w:after="0"/>
              <w:rPr>
                <w:sz w:val="10"/>
                <w:szCs w:val="10"/>
                <w:color w:val="auto"/>
              </w:rPr>
            </w:pPr>
          </w:p>
        </w:tc>
        <w:tc>
          <w:tcPr>
            <w:tcW w:w="940" w:type="dxa"/>
            <w:vAlign w:val="bottom"/>
          </w:tcPr>
          <w:p>
            <w:pPr>
              <w:jc w:val="center"/>
              <w:ind w:left="146"/>
              <w:spacing w:after="0" w:line="125" w:lineRule="exact"/>
              <w:rPr>
                <w:sz w:val="20"/>
                <w:szCs w:val="20"/>
                <w:color w:val="auto"/>
              </w:rPr>
            </w:pPr>
            <w:r>
              <w:rPr>
                <w:rFonts w:ascii="Times New Roman" w:cs="Times New Roman" w:eastAsia="Times New Roman" w:hAnsi="Times New Roman"/>
                <w:sz w:val="14"/>
                <w:szCs w:val="14"/>
                <w:b w:val="1"/>
                <w:bCs w:val="1"/>
                <w:color w:val="auto"/>
                <w:w w:val="96"/>
              </w:rPr>
              <w:t>Less Than</w:t>
            </w:r>
          </w:p>
        </w:tc>
        <w:tc>
          <w:tcPr>
            <w:tcW w:w="1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jc w:val="center"/>
              <w:ind w:left="206"/>
              <w:spacing w:after="0" w:line="125" w:lineRule="exact"/>
              <w:rPr>
                <w:sz w:val="20"/>
                <w:szCs w:val="20"/>
                <w:color w:val="auto"/>
              </w:rPr>
            </w:pPr>
            <w:r>
              <w:rPr>
                <w:rFonts w:ascii="Times New Roman" w:cs="Times New Roman" w:eastAsia="Times New Roman" w:hAnsi="Times New Roman"/>
                <w:sz w:val="14"/>
                <w:szCs w:val="14"/>
                <w:b w:val="1"/>
                <w:bCs w:val="1"/>
                <w:color w:val="auto"/>
                <w:w w:val="96"/>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200" w:type="dxa"/>
            <w:vAlign w:val="bottom"/>
            <w:gridSpan w:val="2"/>
            <w:vMerge w:val="continue"/>
          </w:tcPr>
          <w:p>
            <w:pPr>
              <w:spacing w:after="0"/>
              <w:rPr>
                <w:sz w:val="13"/>
                <w:szCs w:val="13"/>
                <w:color w:val="auto"/>
              </w:rPr>
            </w:pPr>
          </w:p>
        </w:tc>
        <w:tc>
          <w:tcPr>
            <w:tcW w:w="880" w:type="dxa"/>
            <w:vAlign w:val="bottom"/>
          </w:tcPr>
          <w:p>
            <w:pPr>
              <w:jc w:val="center"/>
              <w:ind w:right="222"/>
              <w:spacing w:after="0" w:line="15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940" w:type="dxa"/>
            <w:vAlign w:val="bottom"/>
          </w:tcPr>
          <w:p>
            <w:pPr>
              <w:jc w:val="center"/>
              <w:ind w:left="146"/>
              <w:spacing w:after="0" w:line="152" w:lineRule="exact"/>
              <w:rPr>
                <w:sz w:val="20"/>
                <w:szCs w:val="20"/>
                <w:color w:val="auto"/>
              </w:rPr>
            </w:pPr>
            <w:r>
              <w:rPr>
                <w:rFonts w:ascii="Times New Roman" w:cs="Times New Roman" w:eastAsia="Times New Roman" w:hAnsi="Times New Roman"/>
                <w:sz w:val="14"/>
                <w:szCs w:val="14"/>
                <w:b w:val="1"/>
                <w:bCs w:val="1"/>
                <w:color w:val="auto"/>
                <w:w w:val="89"/>
              </w:rPr>
              <w:t>1 Year</w:t>
            </w:r>
          </w:p>
        </w:tc>
        <w:tc>
          <w:tcPr>
            <w:tcW w:w="156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0"/>
              </w:rPr>
              <w:t>1-3 Years</w:t>
            </w:r>
          </w:p>
        </w:tc>
        <w:tc>
          <w:tcPr>
            <w:tcW w:w="880" w:type="dxa"/>
            <w:vAlign w:val="bottom"/>
          </w:tcPr>
          <w:p>
            <w:pPr>
              <w:ind w:left="60"/>
              <w:spacing w:after="0" w:line="152" w:lineRule="exact"/>
              <w:rPr>
                <w:sz w:val="20"/>
                <w:szCs w:val="20"/>
                <w:color w:val="auto"/>
              </w:rPr>
            </w:pPr>
            <w:r>
              <w:rPr>
                <w:rFonts w:ascii="Times New Roman" w:cs="Times New Roman" w:eastAsia="Times New Roman" w:hAnsi="Times New Roman"/>
                <w:sz w:val="14"/>
                <w:szCs w:val="14"/>
                <w:b w:val="1"/>
                <w:bCs w:val="1"/>
                <w:color w:val="auto"/>
              </w:rPr>
              <w:t>3-5 Years</w:t>
            </w:r>
          </w:p>
        </w:tc>
        <w:tc>
          <w:tcPr>
            <w:tcW w:w="1040" w:type="dxa"/>
            <w:vAlign w:val="bottom"/>
            <w:gridSpan w:val="2"/>
          </w:tcPr>
          <w:p>
            <w:pPr>
              <w:jc w:val="center"/>
              <w:ind w:left="106"/>
              <w:spacing w:after="0" w:line="152" w:lineRule="exact"/>
              <w:rPr>
                <w:sz w:val="20"/>
                <w:szCs w:val="20"/>
                <w:color w:val="auto"/>
              </w:rPr>
            </w:pPr>
            <w:r>
              <w:rPr>
                <w:rFonts w:ascii="Times New Roman" w:cs="Times New Roman" w:eastAsia="Times New Roman" w:hAnsi="Times New Roman"/>
                <w:sz w:val="14"/>
                <w:szCs w:val="14"/>
                <w:b w:val="1"/>
                <w:bCs w:val="1"/>
                <w:color w:val="auto"/>
                <w:w w:val="92"/>
              </w:rPr>
              <w:t>5 Years</w:t>
            </w:r>
          </w:p>
        </w:tc>
        <w:tc>
          <w:tcPr>
            <w:tcW w:w="0" w:type="dxa"/>
            <w:vAlign w:val="bottom"/>
          </w:tcPr>
          <w:p>
            <w:pPr>
              <w:spacing w:after="0"/>
              <w:rPr>
                <w:sz w:val="1"/>
                <w:szCs w:val="1"/>
                <w:color w:val="auto"/>
              </w:rPr>
            </w:pPr>
          </w:p>
        </w:tc>
      </w:tr>
      <w:tr>
        <w:trPr>
          <w:trHeight w:val="149"/>
        </w:trPr>
        <w:tc>
          <w:tcPr>
            <w:tcW w:w="1480" w:type="dxa"/>
            <w:vAlign w:val="bottom"/>
            <w:tcBorders>
              <w:top w:val="single" w:sz="8" w:color="auto"/>
            </w:tcBorders>
          </w:tcPr>
          <w:p>
            <w:pPr>
              <w:spacing w:after="0"/>
              <w:rPr>
                <w:sz w:val="12"/>
                <w:szCs w:val="12"/>
                <w:color w:val="auto"/>
              </w:rPr>
            </w:pPr>
          </w:p>
        </w:tc>
        <w:tc>
          <w:tcPr>
            <w:tcW w:w="37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8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88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w w:val="95"/>
              </w:rPr>
              <w:t>$16,608</w:t>
            </w:r>
          </w:p>
        </w:tc>
        <w:tc>
          <w:tcPr>
            <w:tcW w:w="940" w:type="dxa"/>
            <w:vAlign w:val="bottom"/>
            <w:shd w:val="clear" w:color="auto" w:fill="CCEEFF"/>
          </w:tcPr>
          <w:p>
            <w:pPr>
              <w:jc w:val="center"/>
              <w:ind w:left="146"/>
              <w:spacing w:after="0"/>
              <w:rPr>
                <w:sz w:val="20"/>
                <w:szCs w:val="20"/>
                <w:color w:val="auto"/>
              </w:rPr>
            </w:pPr>
            <w:r>
              <w:rPr>
                <w:rFonts w:ascii="Times New Roman" w:cs="Times New Roman" w:eastAsia="Times New Roman" w:hAnsi="Times New Roman"/>
                <w:sz w:val="18"/>
                <w:szCs w:val="18"/>
                <w:color w:val="auto"/>
              </w:rPr>
              <w:t>$  3,667</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$ 5,983</w:t>
            </w:r>
          </w:p>
        </w:tc>
        <w:tc>
          <w:tcPr>
            <w:tcW w:w="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$ 5,410</w:t>
            </w:r>
          </w:p>
        </w:tc>
        <w:tc>
          <w:tcPr>
            <w:tcW w:w="940" w:type="dxa"/>
            <w:vAlign w:val="bottom"/>
            <w:shd w:val="clear" w:color="auto" w:fill="CCEEFF"/>
          </w:tcPr>
          <w:p>
            <w:pPr>
              <w:jc w:val="center"/>
              <w:ind w:left="206"/>
              <w:spacing w:after="0"/>
              <w:rPr>
                <w:sz w:val="20"/>
                <w:szCs w:val="20"/>
                <w:color w:val="auto"/>
              </w:rPr>
            </w:pPr>
            <w:r>
              <w:rPr>
                <w:rFonts w:ascii="Times New Roman" w:cs="Times New Roman" w:eastAsia="Times New Roman" w:hAnsi="Times New Roman"/>
                <w:sz w:val="18"/>
                <w:szCs w:val="18"/>
                <w:color w:val="auto"/>
              </w:rPr>
              <w:t>$  1,548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92"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The size and breadth of our customer base mitigates the seasonality of any particular retailer. As a result, our results of operations are not materially affected by seasonality.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May 2014, the Financial Accounting Standards Board issued new accounting requirements for the recognition of revenue from contracts with customers. These new requirements are effective for annual reporting periods beginning after December 15, 2016, and interim periods within those annual periods. We are currently evaluating the impact of this guidance on our results of operations and financial position.</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i w:val="1"/>
          <w:iCs w:val="1"/>
          <w:color w:val="auto"/>
        </w:rPr>
        <w:t>Quantitative and Qualitative Disclosures About Market Risk</w:t>
      </w:r>
    </w:p>
    <w:p>
      <w:pPr>
        <w:spacing w:after="0" w:line="92"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Interest Rate Sensitivity Risk. </w:t>
      </w:r>
      <w:r>
        <w:rPr>
          <w:rFonts w:ascii="Times New Roman" w:cs="Times New Roman" w:eastAsia="Times New Roman" w:hAnsi="Times New Roman"/>
          <w:sz w:val="18"/>
          <w:szCs w:val="18"/>
          <w:color w:val="auto"/>
        </w:rPr>
        <w:t>The principal objectives of our investment activities are to preserve principal, provide liquidity and maximize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consistent with minimizing risk of material loss. The recorded carrying amounts of cash and cash equivalents approximate fair value due to their short maturities. We did not have any outstanding debt as of December 31, 2014 and 2013. We therefore do not have any material risk to interest rate fluctuations unless we borrow under our credit facility.</w:t>
      </w:r>
    </w:p>
    <w:p>
      <w:pPr>
        <w:spacing w:after="0" w:line="133"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Risk. </w:t>
      </w:r>
      <w:r>
        <w:rPr>
          <w:rFonts w:ascii="Times New Roman" w:cs="Times New Roman" w:eastAsia="Times New Roman" w:hAnsi="Times New Roman"/>
          <w:sz w:val="18"/>
          <w:szCs w:val="18"/>
          <w:color w:val="auto"/>
        </w:rPr>
        <w:t>We have revenue, expenses, assets and liabilities that are denominated in currencies other than the U.S. dollar,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the Australian dollar. As we expand internationally, our results of operations and cash flows may be impacted by changes in foreign currency exchange rates, and would be adversely impacted when the U.S. dollar depreciates relative to other foreign currencies. We have not used any forward contracts or currency borrowings to hedge our exposure to foreign currency exchange risk, although we may do so in the future.</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40"/>
          </w:cols>
          <w:pgMar w:left="240" w:top="455" w:right="31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and Supplementary Data</w:t>
            </w:r>
          </w:p>
        </w:tc>
        <w:tc>
          <w:tcPr>
            <w:tcW w:w="6360" w:type="dxa"/>
            <w:vAlign w:val="bottom"/>
          </w:tcPr>
          <w:p>
            <w:pPr>
              <w:spacing w:after="0"/>
              <w:rPr>
                <w:sz w:val="20"/>
                <w:szCs w:val="20"/>
                <w:color w:val="auto"/>
              </w:rPr>
            </w:pPr>
          </w:p>
        </w:tc>
      </w:tr>
      <w:tr>
        <w:trPr>
          <w:trHeight w:val="406"/>
        </w:trPr>
        <w:tc>
          <w:tcPr>
            <w:tcW w:w="49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SPS Commerce, Inc. Consolidated Financial Statements</w:t>
            </w:r>
          </w:p>
        </w:tc>
        <w:tc>
          <w:tcPr>
            <w:tcW w:w="6360" w:type="dxa"/>
            <w:vAlign w:val="bottom"/>
          </w:tcPr>
          <w:p>
            <w:pPr>
              <w:spacing w:after="0"/>
              <w:rPr>
                <w:sz w:val="24"/>
                <w:szCs w:val="24"/>
                <w:color w:val="auto"/>
              </w:rPr>
            </w:pPr>
          </w:p>
        </w:tc>
      </w:tr>
      <w:tr>
        <w:trPr>
          <w:trHeight w:val="190"/>
        </w:trPr>
        <w:tc>
          <w:tcPr>
            <w:tcW w:w="4960" w:type="dxa"/>
            <w:vAlign w:val="bottom"/>
            <w:gridSpan w:val="8"/>
          </w:tcPr>
          <w:p>
            <w:pPr>
              <w:spacing w:after="0" w:line="190"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Reports of Independent Registered Public Accounting Firms</w:t>
              </w:r>
            </w:hyperlink>
          </w:p>
        </w:tc>
        <w:tc>
          <w:tcPr>
            <w:tcW w:w="63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426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Consolidated Balance Sheets</w:t>
              </w:r>
            </w:hyperlink>
          </w:p>
        </w:tc>
        <w:tc>
          <w:tcPr>
            <w:tcW w:w="700" w:type="dxa"/>
            <w:vAlign w:val="bottom"/>
          </w:tcPr>
          <w:p>
            <w:pPr>
              <w:spacing w:after="0"/>
              <w:rPr>
                <w:sz w:val="17"/>
                <w:szCs w:val="17"/>
                <w:color w:val="auto"/>
              </w:rPr>
            </w:pPr>
          </w:p>
        </w:tc>
        <w:tc>
          <w:tcPr>
            <w:tcW w:w="6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20"/>
        </w:trPr>
        <w:tc>
          <w:tcPr>
            <w:tcW w:w="204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196"/>
        </w:trPr>
        <w:tc>
          <w:tcPr>
            <w:tcW w:w="36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49">
              <w:r>
                <w:rPr>
                  <w:rFonts w:ascii="Times New Roman" w:cs="Times New Roman" w:eastAsia="Times New Roman" w:hAnsi="Times New Roman"/>
                  <w:sz w:val="18"/>
                  <w:szCs w:val="18"/>
                  <w:color w:val="0000EE"/>
                  <w:w w:val="97"/>
                </w:rPr>
                <w:t>Consolidated Statements of Comprehensive Income</w:t>
              </w:r>
            </w:hyperlink>
          </w:p>
        </w:tc>
        <w:tc>
          <w:tcPr>
            <w:tcW w:w="1300" w:type="dxa"/>
            <w:vAlign w:val="bottom"/>
            <w:gridSpan w:val="2"/>
          </w:tcPr>
          <w:p>
            <w:pPr>
              <w:spacing w:after="0"/>
              <w:rPr>
                <w:sz w:val="17"/>
                <w:szCs w:val="17"/>
                <w:color w:val="auto"/>
              </w:rPr>
            </w:pPr>
          </w:p>
        </w:tc>
        <w:tc>
          <w:tcPr>
            <w:tcW w:w="6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34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Consolidated Statements of Stockholders’ Equity</w:t>
              </w:r>
            </w:hyperlink>
          </w:p>
        </w:tc>
        <w:tc>
          <w:tcPr>
            <w:tcW w:w="1480" w:type="dxa"/>
            <w:vAlign w:val="bottom"/>
            <w:gridSpan w:val="3"/>
          </w:tcPr>
          <w:p>
            <w:pPr>
              <w:spacing w:after="0"/>
              <w:rPr>
                <w:sz w:val="17"/>
                <w:szCs w:val="17"/>
                <w:color w:val="auto"/>
              </w:rPr>
            </w:pPr>
          </w:p>
        </w:tc>
        <w:tc>
          <w:tcPr>
            <w:tcW w:w="6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4960" w:type="dxa"/>
            <w:vAlign w:val="bottom"/>
            <w:gridSpan w:val="8"/>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Consolidated Statements of Cash Flows</w:t>
              </w:r>
            </w:hyperlink>
          </w:p>
        </w:tc>
        <w:tc>
          <w:tcPr>
            <w:tcW w:w="6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196"/>
        </w:trPr>
        <w:tc>
          <w:tcPr>
            <w:tcW w:w="4960" w:type="dxa"/>
            <w:vAlign w:val="bottom"/>
            <w:gridSpan w:val="8"/>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Notes to Consolidated Financial Statements</w:t>
              </w:r>
            </w:hyperlink>
          </w:p>
        </w:tc>
        <w:tc>
          <w:tcPr>
            <w:tcW w:w="6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383"/>
        </w:trPr>
        <w:tc>
          <w:tcPr>
            <w:tcW w:w="720" w:type="dxa"/>
            <w:vAlign w:val="bottom"/>
            <w:tcBorders>
              <w:top w:val="single" w:sz="8" w:color="0000EE"/>
            </w:tcBorders>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360" w:type="dxa"/>
            <w:vAlign w:val="bottom"/>
          </w:tcPr>
          <w:p>
            <w:pPr>
              <w:jc w:val="right"/>
              <w:ind w:right="5432"/>
              <w:spacing w:after="0"/>
              <w:rPr>
                <w:sz w:val="20"/>
                <w:szCs w:val="20"/>
                <w:color w:val="auto"/>
              </w:rPr>
            </w:pPr>
            <w:r>
              <w:rPr>
                <w:rFonts w:ascii="Times New Roman" w:cs="Times New Roman" w:eastAsia="Times New Roman" w:hAnsi="Times New Roman"/>
                <w:sz w:val="18"/>
                <w:szCs w:val="18"/>
                <w:color w:val="auto"/>
              </w:rPr>
              <w:t>45</w:t>
            </w:r>
          </w:p>
        </w:tc>
      </w:tr>
    </w:tbl>
    <w:p>
      <w:pPr>
        <w:sectPr>
          <w:pgSz w:w="11900" w:h="16838" w:orient="portrait"/>
          <w:cols w:equalWidth="0" w:num="1">
            <w:col w:w="11320"/>
          </w:cols>
          <w:pgMar w:left="240" w:top="455" w:right="3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SPS Commerce, Inc.:</w:t>
      </w:r>
    </w:p>
    <w:p>
      <w:pPr>
        <w:spacing w:after="0" w:line="51" w:lineRule="exact"/>
        <w:rPr>
          <w:sz w:val="20"/>
          <w:szCs w:val="20"/>
          <w:color w:val="auto"/>
        </w:rPr>
      </w:pPr>
    </w:p>
    <w:p>
      <w:pPr>
        <w:ind w:right="100" w:firstLine="456"/>
        <w:spacing w:after="0" w:line="291" w:lineRule="auto"/>
        <w:rPr>
          <w:sz w:val="20"/>
          <w:szCs w:val="20"/>
          <w:color w:val="auto"/>
        </w:rPr>
      </w:pPr>
      <w:r>
        <w:rPr>
          <w:rFonts w:ascii="Times New Roman" w:cs="Times New Roman" w:eastAsia="Times New Roman" w:hAnsi="Times New Roman"/>
          <w:sz w:val="16"/>
          <w:szCs w:val="16"/>
          <w:color w:val="auto"/>
        </w:rPr>
        <w:t xml:space="preserve">We have audited the accompanying consolidated balance sheets of SPS Commerce, Inc. and subsidiaries as of December 31, 2014 and 2013, and the related consolidated statements of comprehensive income, stockholders’ equity, and cash flows for the years then ended. We also have audited SPS Commerce, Inc.’s internal control over financial reporting as of December 31, 2014, based on criteria established in </w:t>
      </w:r>
      <w:r>
        <w:rPr>
          <w:rFonts w:ascii="Times New Roman" w:cs="Times New Roman" w:eastAsia="Times New Roman" w:hAnsi="Times New Roman"/>
          <w:sz w:val="16"/>
          <w:szCs w:val="16"/>
          <w:i w:val="1"/>
          <w:iCs w:val="1"/>
          <w:color w:val="auto"/>
        </w:rPr>
        <w:t>Internal Control — Integrated Framework (1992)</w:t>
      </w:r>
      <w:r>
        <w:rPr>
          <w:rFonts w:ascii="Times New Roman" w:cs="Times New Roman" w:eastAsia="Times New Roman" w:hAnsi="Times New Roman"/>
          <w:sz w:val="16"/>
          <w:szCs w:val="16"/>
          <w:color w:val="auto"/>
        </w:rPr>
        <w:t xml:space="preserve"> issued by the Committee of Sponsoring Organizations of the Treadway Commission. SPS Commerce, Inc.’s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consolidated financial statements and an opinion on the Company’s internal control over financial reporting based on our audits.</w:t>
      </w:r>
    </w:p>
    <w:p>
      <w:pPr>
        <w:spacing w:after="0" w:line="5"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0" w:lineRule="exact"/>
        <w:rPr>
          <w:sz w:val="20"/>
          <w:szCs w:val="20"/>
          <w:color w:val="auto"/>
        </w:rPr>
      </w:pPr>
    </w:p>
    <w:p>
      <w:pPr>
        <w:ind w:right="100" w:firstLine="456"/>
        <w:spacing w:after="0" w:line="291"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In our opinion, the consolidated financial statements referred to above present fairly, in all material respects, the financial position of SPS Commerce, Inc. and subsidiaries as of December 31, 2014 and 2013, and the results of their operations and their cash flows for the years then ended, in conformity with U.S. generally accepted accounting principles. Also in our opinion, SPS Commerce, Inc. and subsidiaries maintained, in all material respects, effective internal control over financial reporting as of December 31, 2014,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(1992) </w:t>
      </w:r>
      <w:r>
        <w:rPr>
          <w:rFonts w:ascii="Times New Roman" w:cs="Times New Roman" w:eastAsia="Times New Roman" w:hAnsi="Times New Roman"/>
          <w:sz w:val="18"/>
          <w:szCs w:val="18"/>
          <w:color w:val="auto"/>
        </w:rPr>
        <w:t>issued by the Committee of Sponsoring Organizations of the Treadway Commission.</w:t>
      </w:r>
    </w:p>
    <w:p>
      <w:pPr>
        <w:spacing w:after="0" w:line="33"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SPS Commerce, Inc. acquired the net assets of Leadtec Systems Australia Pty Ltd and its affiliates (collectively “Leadtec”) during the fourth quarter of 2014, and management excluded from its assessment of the effectiveness of internal control over financial reporting as of December 31, 2014, Leadtec’s internal control over financial reporting associated with approximately two percent of total assets and one percent of revenues in the consolidated financial statements of SPS Commerce, Inc. as of and for the year ended December 31, 2014. Our audit of internal control over financial reporting of SPS Commerce, Inc. also excluded an evaluation of the internal control over financial reporting of Leadtec.</w:t>
      </w:r>
    </w:p>
    <w:p>
      <w:pPr>
        <w:spacing w:after="0" w:line="31" w:lineRule="exact"/>
        <w:rPr>
          <w:sz w:val="20"/>
          <w:szCs w:val="20"/>
          <w:color w:val="auto"/>
        </w:rPr>
      </w:pPr>
    </w:p>
    <w:p>
      <w:pPr>
        <w:ind w:left="6060"/>
        <w:spacing w:after="0"/>
        <w:tabs>
          <w:tab w:leader="none" w:pos="63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KPMG LLP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2015</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SPS Commerce, Inc.</w:t>
      </w:r>
    </w:p>
    <w:p>
      <w:pPr>
        <w:spacing w:after="0" w:line="159"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comprehensive income, stockholders’ equity, and cash flows of SPS Commerce, Inc. (a Delaware corporation) and subsidiaries (the “Company”) for the year ended December 31, 2012. These financial statements are the responsibility of the Company’s management. Our responsibility is to express an opinion on these financial statements based on our audit.</w:t>
      </w:r>
    </w:p>
    <w:p>
      <w:pPr>
        <w:spacing w:after="0" w:line="13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3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results of operations and cash flows of SPS Commerce, Inc. and subsidiaries for the year ended December 31, 2012 in conformity with accounting principles generally accepted in the United States of America.</w:t>
      </w:r>
    </w:p>
    <w:p>
      <w:pPr>
        <w:spacing w:after="0" w:line="132" w:lineRule="exact"/>
        <w:rPr>
          <w:sz w:val="20"/>
          <w:szCs w:val="20"/>
          <w:color w:val="auto"/>
        </w:rPr>
      </w:pPr>
    </w:p>
    <w:p>
      <w:pPr>
        <w:ind w:left="6060"/>
        <w:spacing w:after="0"/>
        <w:tabs>
          <w:tab w:leader="none" w:pos="63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Grant Thornton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2013</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SPS COMMERCE, INC.</w:t>
      </w:r>
    </w:p>
    <w:p>
      <w:pPr>
        <w:spacing w:after="0" w:line="9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540" w:type="dxa"/>
            <w:vAlign w:val="bottom"/>
            <w:shd w:val="clear" w:color="auto" w:fill="CCEEFF"/>
          </w:tcPr>
          <w:p>
            <w:pPr>
              <w:ind w:left="434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130,795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131,294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costs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162,194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156,075</w:t>
            </w: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34,854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18,851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costs, non-current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243,775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223,330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40" w:type="dxa"/>
            <w:vAlign w:val="bottom"/>
            <w:shd w:val="clear" w:color="auto" w:fill="CCEEFF"/>
          </w:tcPr>
          <w:p>
            <w:pPr>
              <w:ind w:left="27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3,961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rent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18,915</w:t>
            </w: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rent, non-current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0 shares issued and outstanding</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2"/>
        </w:trPr>
        <w:tc>
          <w:tcPr>
            <w:tcW w:w="20" w:type="dxa"/>
            <w:vAlign w:val="bottom"/>
          </w:tcPr>
          <w:p>
            <w:pPr>
              <w:spacing w:after="0"/>
              <w:rPr>
                <w:sz w:val="17"/>
                <w:szCs w:val="17"/>
                <w:color w:val="auto"/>
              </w:rPr>
            </w:pPr>
          </w:p>
        </w:tc>
        <w:tc>
          <w:tcPr>
            <w:tcW w:w="954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Common stock, $0.001 par value; 55,000,000 shares authorized; 16,348,747 and 16,092,121 shares issued and outstanding,</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250,633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239,549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(44,088)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(46,792)</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20"/>
                <w:szCs w:val="20"/>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205,091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192,773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243,775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223,330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SPS COMMERCE, INC.</w:t>
      </w:r>
    </w:p>
    <w:p>
      <w:pPr>
        <w:spacing w:after="0" w:line="9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127,947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104,391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77,106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22,040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72,610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55,066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39,621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30,037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13,524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70,838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53,494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used to compute net income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13,056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13,910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SPS COMMERCE, INC.</w:t>
      </w:r>
    </w:p>
    <w:p>
      <w:pPr>
        <w:spacing w:after="0" w:line="9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8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4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480" w:type="dxa"/>
            <w:vAlign w:val="bottom"/>
            <w:tcBorders>
              <w:bottom w:val="single" w:sz="8" w:color="auto"/>
            </w:tcBorders>
            <w:gridSpan w:val="3"/>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b w:val="1"/>
                <w:bCs w:val="1"/>
                <w:color w:val="auto"/>
              </w:rPr>
              <w:t>Paid-in</w:t>
            </w:r>
          </w:p>
        </w:tc>
        <w:tc>
          <w:tcPr>
            <w:tcW w:w="420" w:type="dxa"/>
            <w:vAlign w:val="bottom"/>
          </w:tcPr>
          <w:p>
            <w:pPr>
              <w:spacing w:after="0"/>
              <w:rPr>
                <w:sz w:val="10"/>
                <w:szCs w:val="10"/>
                <w:color w:val="auto"/>
              </w:rPr>
            </w:pPr>
          </w:p>
        </w:tc>
        <w:tc>
          <w:tcPr>
            <w:tcW w:w="1020" w:type="dxa"/>
            <w:vAlign w:val="bottom"/>
            <w:gridSpan w:val="3"/>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80" w:type="dxa"/>
            <w:vAlign w:val="bottom"/>
          </w:tcPr>
          <w:p>
            <w:pPr>
              <w:spacing w:after="0"/>
              <w:rPr>
                <w:sz w:val="10"/>
                <w:szCs w:val="10"/>
                <w:color w:val="auto"/>
              </w:rPr>
            </w:pPr>
          </w:p>
        </w:tc>
        <w:tc>
          <w:tcPr>
            <w:tcW w:w="1340" w:type="dxa"/>
            <w:vAlign w:val="bottom"/>
            <w:gridSpan w:val="3"/>
          </w:tcPr>
          <w:p>
            <w:pPr>
              <w:jc w:val="center"/>
              <w:ind w:right="440"/>
              <w:spacing w:after="0" w:line="11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900" w:type="dxa"/>
            <w:vAlign w:val="bottom"/>
            <w:gridSpan w:val="3"/>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2012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12,138,858</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$108,606</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(49,065)</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468,717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Excess tax benefit of stock options exercised</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17,332</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for acquisition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347,852</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11,395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offering, net of costs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1,840,000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1,222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2012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14,812,759</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182,645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(47,843)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 and issuance of restricted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497,248</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Excess tax benefit of stock options exercised</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32,114</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Stock offering, net of costs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47,568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1,051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22"/>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Balances, December 31, 2013</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16,092,121</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239,549</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(46,792)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and issuance of restricted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186,678</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benefit of stock options exercised</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26,353</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issued for acquisition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2,704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(1,470)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Balances, December 31, 2014</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16,348,747</w:t>
            </w: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250,633</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(44,088</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SPS COMMERCE, INC.</w:t>
      </w:r>
    </w:p>
    <w:p>
      <w:pPr>
        <w:spacing w:after="0" w:line="9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2,704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Accounts receivable</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Deferred costs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 current assets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Accounts payable</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Accrued compensation</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Accrued expenses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Deferred revenue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Deferred rent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16,788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6,829</w:t>
            </w:r>
          </w:p>
        </w:tc>
        <w:tc>
          <w:tcPr>
            <w:tcW w:w="0" w:type="dxa"/>
            <w:vAlign w:val="bottom"/>
          </w:tcPr>
          <w:p>
            <w:pPr>
              <w:spacing w:after="0"/>
              <w:rPr>
                <w:sz w:val="1"/>
                <w:szCs w:val="1"/>
                <w:color w:val="auto"/>
              </w:rPr>
            </w:pPr>
          </w:p>
        </w:tc>
      </w:tr>
      <w:tr>
        <w:trPr>
          <w:trHeight w:val="222"/>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(26,262)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(32,245)</w:t>
            </w:r>
          </w:p>
        </w:tc>
        <w:tc>
          <w:tcPr>
            <w:tcW w:w="0" w:type="dxa"/>
            <w:vAlign w:val="bottom"/>
          </w:tcPr>
          <w:p>
            <w:pPr>
              <w:spacing w:after="0"/>
              <w:rPr>
                <w:sz w:val="1"/>
                <w:szCs w:val="1"/>
                <w:color w:val="auto"/>
              </w:rPr>
            </w:pPr>
          </w:p>
        </w:tc>
      </w:tr>
      <w:tr>
        <w:trPr>
          <w:trHeight w:val="222"/>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of capital lease obligations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proceeds from stock offerings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47,738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offering costs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proceeds from exercise of options to purchase common stock</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Excess tax benefit from exercise of options to purchase common stock</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proceeds from employee stock purchase plan</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52,702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59,481</w:t>
            </w:r>
          </w:p>
        </w:tc>
        <w:tc>
          <w:tcPr>
            <w:tcW w:w="0" w:type="dxa"/>
            <w:vAlign w:val="bottom"/>
          </w:tcPr>
          <w:p>
            <w:pPr>
              <w:spacing w:after="0"/>
              <w:rPr>
                <w:sz w:val="1"/>
                <w:szCs w:val="1"/>
                <w:color w:val="auto"/>
              </w:rPr>
            </w:pPr>
          </w:p>
        </w:tc>
      </w:tr>
      <w:tr>
        <w:trPr>
          <w:trHeight w:val="230"/>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1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65,244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131,294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66,050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130,795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131,294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66,050</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 issued for business acquisitions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11,396</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General</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Business Description</w:t>
      </w:r>
    </w:p>
    <w:p>
      <w:pPr>
        <w:spacing w:after="0" w:line="94" w:lineRule="exact"/>
        <w:rPr>
          <w:sz w:val="20"/>
          <w:szCs w:val="20"/>
          <w:color w:val="auto"/>
        </w:rPr>
      </w:pPr>
    </w:p>
    <w:p>
      <w:pPr>
        <w:ind w:right="340" w:firstLine="456"/>
        <w:spacing w:after="0" w:line="258" w:lineRule="auto"/>
        <w:rPr>
          <w:sz w:val="20"/>
          <w:szCs w:val="20"/>
          <w:color w:val="auto"/>
        </w:rPr>
      </w:pPr>
      <w:r>
        <w:rPr>
          <w:rFonts w:ascii="Times New Roman" w:cs="Times New Roman" w:eastAsia="Times New Roman" w:hAnsi="Times New Roman"/>
          <w:sz w:val="18"/>
          <w:szCs w:val="18"/>
          <w:color w:val="auto"/>
        </w:rPr>
        <w:t>We are a leading provider of cloud-based supply chain management solutions, providing network-proven integrations and comprehensive retail performance analytics to thousands of customers worldwide. We provide our solutions through the SPS Commerce platform, a cloud-based product suite that improves the way suppliers, retailers, distributors and other customers manage and fulfill orders. We derive the majority of our revenues from thousands of monthly recurring subscriptions from businesses that utilize our solutions.</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(“GAAP”) and include the accounts of SPS Commerce, Inc. and its subsidiaries. All intercompany accounts and transactions have been eliminated in the consolidated financial statements.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94" w:lineRule="exact"/>
        <w:rPr>
          <w:sz w:val="20"/>
          <w:szCs w:val="20"/>
          <w:color w:val="auto"/>
        </w:rPr>
      </w:pPr>
    </w:p>
    <w:p>
      <w:pPr>
        <w:ind w:right="40" w:firstLine="456"/>
        <w:spacing w:after="0" w:line="310" w:lineRule="auto"/>
        <w:rPr>
          <w:sz w:val="20"/>
          <w:szCs w:val="20"/>
          <w:color w:val="auto"/>
        </w:rPr>
      </w:pPr>
      <w:r>
        <w:rPr>
          <w:rFonts w:ascii="Times New Roman" w:cs="Times New Roman" w:eastAsia="Times New Roman" w:hAnsi="Times New Roman"/>
          <w:sz w:val="16"/>
          <w:szCs w:val="16"/>
          <w:color w:val="auto"/>
        </w:rPr>
        <w:t>Assets and liabilities denominated in currencies other than the U.S. dollar are translated into U.S. dollars at the exchange rates in effect at the balance sheet date, with the resulting translation adjustments recorded as a separate component of accumulated other comprehensive income (loss). Income and expense accounts are translated at the average exchange rates during the year. Foreign currency transaction gains and losses, if any, are included in net income.</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94"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recognize separately from goodwill the fair value of the assets acquired and the liabilities assumed at the acquisition date. Goodwill as of the acquisition date is measured as the excess of consideration transferred and the net of the acquisition date amounts of the assets acquired and the liabilities assumed. Assets acquired include tangible and intangible assets. We use estimates and assumptions that we believe are reasonable as a part of determining the value and useful lives of purchased intangible assets and the purchase price allocation process. While we believe these estimates and assumptions are reasonable, they are inherently uncertain and subject to refinement. As a result, during the measurement period, which may be up to one year from the acquisition date, we may record adjustments to the fair value of the assets acquired and the liabilities assumed. Any such adjustments would be recorded as an offset to goodwill. Upon the conclusion of the measurement period or final determination of the fair values, whichever comes first, any subsequent adjustments would be recorded in our consolidated statements of comprehensive income.</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operate in and report on one segment, which is supply chain management solutions.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455" w:right="2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Risk and Uncertainties</w:t>
      </w:r>
    </w:p>
    <w:p>
      <w:pPr>
        <w:spacing w:after="0" w:line="94"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We rely on hardware and software licensed from third parties to offer our on-demand solutions. Our management believes alternate sources are available; however, disruption or termination of these relationships could adversely affect our operating results in the near term.</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94"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The carrying amounts of our financial instruments, which include cash and cash equivalents, accounts receivable, accounts payable and other accrued expenses, approximates fair value due to their short maturities.</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94"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principally of temporary cash and cash equivalents in financial institutions in excess of federally insured limits and trade accounts receivable. Temporary cash investments are held with financial institutions that we believe are subject to minimal risk.</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and cash equivalents consist of cash and highly liquid investments with original maturities of less than 90 days.</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9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Accounts receivable are initially recorded upon the sale of solutions to customers. Credit is granted in the normal course of business without collateral. Accounts receivable are stated net of allowances for doubtful accounts, which represent estimated losses resulting from the inability of certain customers to make the required payments. When determining the allowances for doubtful accounts, we take several factors into consideration including the overall composition of the accounts receivable aging, our prior history of accounts receivable write-offs, the type of customers and our experience with specific customers. We write off accounts receivable when they are determined to be uncollectible. Changes in the allowances for doubtful accounts are recorded as bad debt expense and are included in general and administrative expense in our consolidated statements of comprehensive income.</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including assets acquired under capital lease obligations, are stated at cost, net of accumulated depreciation and amortization.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are computed using the straight-line method over the estimated useful lives when placed in service, which are:</w:t>
      </w:r>
    </w:p>
    <w:p>
      <w:pPr>
        <w:spacing w:after="0" w:line="7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Computer equipment and purchased software: 2 to 3 years</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Office equipment and furniture: 5 to 7 years</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Leasehold improvements: the shorter of the useful life of the asset or the remaining term of the lease</w:t>
      </w:r>
    </w:p>
    <w:p>
      <w:pPr>
        <w:spacing w:after="0" w:line="9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Significant additions or improvements extending asset lives beyond one year are capitalized, while repairs and maintenance are charged to expense as incurred. The assets and related accumulated depreciation and amortization are adjusted for asset retirements and disposals with the resulting gain or loss included in our consolidated statements of comprehensive income.</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94"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Research and development costs primarily include maintenance and data conversion activities related to our cloud-based supply chain management solutions and are expensed as incurred.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9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net assets acquired in business combinations. We test goodwill for impairment annually at December 31, or more frequently if events or changes in circumstances indicate that the asset might be impaired. The impairment test is conducted by comparing the fair value of the net assets with the carrying value of the reporting unit. Fair value is determined using the direct market observation of market price and outstanding equity of the reporting unit at December 31. If the carrying value of the goodwill exceeds the fair value of the reporting unit, goodwill may be impaired. If this occurs, the fair value is then allocated to its assets and liabilities in a manner similar to a purchase price allocation in order to determine the implied fair value of goodwill. This implied fair value is then compared to the carrying amount of goodwill and, if it is less, we would recognize an impairment loss.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94"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Assets acquired in business combinations may include identifiable intangible assets such as subscriber relationships and non-competition agreements. We recognize separately from goodwill the fair value of the identifiable intangible assets acquired. We have determined the fair value and useful lives of our purchased intangible assets using certain estimates and assumptions that we believe are reasonable.</w:t>
      </w:r>
    </w:p>
    <w:p>
      <w:pPr>
        <w:spacing w:after="0" w:line="132"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purchased intangible assets are being amortized on a straight-line basis over their estimated useful lives, which are three to nine years for subscriber relationships, two to five years for non-competition agreements and two and one-half years for technology and other.</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9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review our long-lived assets for impairment whenever events or changes in circumstances indicate that the carrying amount may not be recoverable. The carrying amount of a long-lived asset is not recoverable if the carrying amount of an asset group exceeds the sum of the undiscounted cash flows expected to result from the use and eventual disposition of the assets at the date it is tested for recoverability, whether in use or under development. An impairment loss is measured as the amount by which the carrying amount of a long-lived asset exceeds its fair value.</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4"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We generate revenues by providing a number of solutions to our customers. These solutions include Trading Partner Fulfillment, Trading Partner Enablement and Trading Partner Analytics. Our cloud-based solutions allow customers to meet their supply chain management requirements. Sales taxes are presented on a net basis within revenue.</w:t>
      </w:r>
    </w:p>
    <w:p>
      <w:pPr>
        <w:spacing w:after="0" w:line="13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Revenues are recognized when all of the following criteria are met: (1) persuasive evidence of an arrangement exists, (2) delivery has occurred, (3) the fee is fixed or determinable, and (4) collectability is probable. If collection is not considered probable, revenues are recognized when the fees are collected.</w:t>
      </w:r>
    </w:p>
    <w:p>
      <w:pPr>
        <w:spacing w:after="0" w:line="120"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Fees related to our Trading Partner Fulfillment, Trading Partner Enablement and Trading Partner Analytics solutions consist of two revenue sources: set-up fees and recurring monthly fees. Set-up fees are specific for each connection a customer has with a trading partner and most of our customers have connections with numerous trading partners. Set-up fees are nonrefundable upfront fees that do not have standalone value to our customer and are not separable from the recurring monthly fees. All set-up fees and related costs are deferred and recognized ratably over the average life of the connection between the customer and the trading partner, which is approximately two years. We begin recognizing set-up fee revenue once the connection is established. Set-up fees for which connections have not yet been established are classified as long-term. We continue to evaluate the length of the amortization period as more experience is gained with cancellations and technology changes requested by our customers. It is possible that, in the future, the period over which such subscription set-up fees</w:t>
      </w:r>
    </w:p>
    <w:p>
      <w:pPr>
        <w:spacing w:after="0" w:line="1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80"/>
          </w:cols>
          <w:pgMar w:left="240" w:top="455" w:right="2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and costs are amortized may be adjusted. Any change in our estimate of the average connection life will affect our future results of operations. The recurring monthly fees are comprised of both fixed and transaction-based fees that are recognized as earned.</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94"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We recognize the cost of all share-based payments to employees, including grants of employee stock options, in the financial statements based on the grant date fair value of those awards. This cost is recognized over the period for which an employee is required to provide service in exchange for the award. Benefits associated with tax deductions in excess of recognized compensation expense are reported as a cash flow from financing activities.</w:t>
      </w:r>
    </w:p>
    <w:p>
      <w:pPr>
        <w:spacing w:after="0" w:line="132"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We estimate the fair value of options granted using the Black-Scholes option pricing model. The estimation of stock awards that will ultimately vest requires judgment, and to the extent actual results differ from our estimates, such amounts will be recorded as an adjustment in the period estimates are revised. In valuing share-based awards, judgment is required in determining the expected volatility of common stock and the expected term individuals will hold their share-based awards prior to exercising. Expected volatility is partially based on the historical volatilities of the publicly traded shares of a selected peer group, and partially based on the historical volatility of our common stock. This is because we do not have sufficient historical volatility data to rely solely on the historical volatility of our common stock. Beginning in 2015, we anticipate that we will be able to rely solely on the historical volatility of our common stock. The expected term of the options is based on the simplified method which does not consider historical or expected employee exercise behavior.</w:t>
      </w:r>
    </w:p>
    <w:p>
      <w:pPr>
        <w:spacing w:after="0" w:line="1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94" w:lineRule="exact"/>
        <w:rPr>
          <w:sz w:val="20"/>
          <w:szCs w:val="20"/>
          <w:color w:val="auto"/>
        </w:rPr>
      </w:pPr>
    </w:p>
    <w:p>
      <w:pPr>
        <w:ind w:right="840" w:firstLine="456"/>
        <w:spacing w:after="0" w:line="262" w:lineRule="auto"/>
        <w:rPr>
          <w:sz w:val="20"/>
          <w:szCs w:val="20"/>
          <w:color w:val="auto"/>
        </w:rPr>
      </w:pPr>
      <w:r>
        <w:rPr>
          <w:rFonts w:ascii="Times New Roman" w:cs="Times New Roman" w:eastAsia="Times New Roman" w:hAnsi="Times New Roman"/>
          <w:sz w:val="18"/>
          <w:szCs w:val="18"/>
          <w:color w:val="auto"/>
        </w:rPr>
        <w:t>Advertising costs are charged to expense as incurred. Advertising costs were approximately $23,000, $61,000 and $150,000 for the years ended December 31, 2014, 2013 and 2012, respectively. Advertising costs are included in sales and marketing expenses in our consolidated statements of comprehensive income.</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right="60" w:firstLine="456"/>
        <w:spacing w:after="0" w:line="301" w:lineRule="auto"/>
        <w:rPr>
          <w:sz w:val="20"/>
          <w:szCs w:val="20"/>
          <w:color w:val="auto"/>
        </w:rPr>
      </w:pPr>
      <w:r>
        <w:rPr>
          <w:rFonts w:ascii="Times New Roman" w:cs="Times New Roman" w:eastAsia="Times New Roman" w:hAnsi="Times New Roman"/>
          <w:sz w:val="16"/>
          <w:szCs w:val="16"/>
          <w:color w:val="auto"/>
        </w:rPr>
        <w:t>We account for income taxes using the liability method, which requires recognition of deferred tax assets and liabilities for the expected future tax consequences of events that have been included in the consolidated financial statements. Under this method, deferred tax assets and liabilities are determined based on the difference between the financial statement and tax basis of assets and liabilities using enacted tax rates in effect for the year in which the differences are expected to reverse. Deferred tax assets are reduced by a valuation allowance when it is not “more likely than not” that the deferred tax asset will be utilized.</w:t>
      </w:r>
    </w:p>
    <w:p>
      <w:pPr>
        <w:spacing w:after="0" w:line="103" w:lineRule="exact"/>
        <w:rPr>
          <w:sz w:val="20"/>
          <w:szCs w:val="20"/>
          <w:color w:val="auto"/>
        </w:rPr>
      </w:pPr>
    </w:p>
    <w:p>
      <w:pPr>
        <w:ind w:right="80" w:firstLine="456"/>
        <w:spacing w:after="0" w:line="301" w:lineRule="auto"/>
        <w:rPr>
          <w:sz w:val="20"/>
          <w:szCs w:val="20"/>
          <w:color w:val="auto"/>
        </w:rPr>
      </w:pPr>
      <w:r>
        <w:rPr>
          <w:rFonts w:ascii="Times New Roman" w:cs="Times New Roman" w:eastAsia="Times New Roman" w:hAnsi="Times New Roman"/>
          <w:sz w:val="16"/>
          <w:szCs w:val="16"/>
          <w:color w:val="auto"/>
        </w:rPr>
        <w:t>We assess our ability to realize our deferred tax assets at the end of each reporting period. Realization of our deferred tax assets is contingent upon future taxable earnings. Accordingly, this assessment requires significant estimates and judgment. If the estimates of future taxable income vary from actual results, our assessment regarding the realization of these deferred tax assets could change. Future changes in the estimated amount of deferred taxes expected to be realized will be reflected in our consolidated financial statements in the period the estimate is changed, with a corresponding adjustment to our operating results.</w:t>
      </w:r>
    </w:p>
    <w:p>
      <w:pPr>
        <w:spacing w:after="0" w:line="103"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We recognize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likelihood of being realized upon ultimate settlement with the relevant tax authority.</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w:t>
      </w:r>
    </w:p>
    <w:p>
      <w:pPr>
        <w:spacing w:after="0" w:line="94"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Basic net income per share has been computed using the weighted average number of shares of common stock outstanding during each period. Diluted net income per share also includes the impact of our outstanding</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455" w:right="2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potential common shares, including options, restricted stock units and restricted stock awards. Potential common shares that are anti-dilutive are excluded from the calculation of diluted net income per share.</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May 2014, the Financial Accounting Standards Board issued new accounting requirements for the recognition of revenue from contracts with customers. These new requirements are effective for annual reporting periods beginning after December 15, 2016, and interim periods within those annual periods. We are currently evaluating the impact of this guidance on our results of operations and financial position.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Business Acquisitions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Leadtec</w:t>
      </w:r>
    </w:p>
    <w:p>
      <w:pPr>
        <w:spacing w:after="0" w:line="92"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On October 12, 2014, we entered into and completed an asset purchase agreement with Leadtec Systems Australia Pty Ltd (“Leadtec”), and its affiliates, Advanced Barcode Solutions Pty Ltd, Scott Needham and Leading Technology Group Pty Ltd. Leadtec is in the business of cloud-based integration solutions. Pursuant to the asset purchase agreement, we purchased and acquired from Leadtec substantially all of the assets used in Leadtec’s business and assumed certain liabilities of Leadtec, all of which were recorded in Australian dollars. We paid $12.6 million in cash and issued 43,595 shares of our common stock for this acquisition, which expanded our base of recurring revenue customers and added suppliers to our network.</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Purchase Price Allocation</w:t>
      </w:r>
    </w:p>
    <w:p>
      <w:pPr>
        <w:spacing w:after="0" w:line="9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accounted for the acquisition as a business combination. We allocated the purchase price to the tangible and identifiable intangible assets acquired and liabilities assumed based on their estimated fair values as of the acquisition date. The excess of the purchase price over the fair value of net tangible and identifiable intangible assets acquired was recorded as goodwill. Goodwill is attributed to buyer-specific value resulting from expected synergies, including long-term cost savings, as well as a trained workforce which are not included in the fair values of assets. Goodwill will not be amortized; however the value is deductible for tax purposes.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purchase price consisted of the following (in thousands):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SPS Commerce, Inc. common stock</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14,798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number of shares of our common stock issued for the acquisition was 43,595 shares as calculated according to the terms of the purchase agreement.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shares issued was approximately $2.2 million and was determined using the closing price of our common stock on October 10, 2014.</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estimated fair values of the assets acquired and liabilities assumed at the acquisition date (in thousands):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and other assets</w:t>
            </w:r>
          </w:p>
        </w:tc>
        <w:tc>
          <w:tcPr>
            <w:tcW w:w="6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6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6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9,954</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6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4,891</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22"/>
        </w:trPr>
        <w:tc>
          <w:tcPr>
            <w:tcW w:w="344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6380" w:type="dxa"/>
            <w:vAlign w:val="bottom"/>
            <w:vMerge w:val="restart"/>
          </w:tcPr>
          <w:p>
            <w:pPr>
              <w:jc w:val="right"/>
              <w:ind w:right="4392"/>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40" w:type="dxa"/>
            <w:vAlign w:val="bottom"/>
          </w:tcPr>
          <w:p>
            <w:pPr>
              <w:spacing w:after="0"/>
              <w:rPr>
                <w:sz w:val="24"/>
                <w:szCs w:val="24"/>
                <w:color w:val="auto"/>
              </w:rPr>
            </w:pPr>
          </w:p>
        </w:tc>
        <w:tc>
          <w:tcPr>
            <w:tcW w:w="63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Purchased Intangible Assets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estimated fair value of the purchased intangible assets and their estimated useful lives: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5"/>
              </w:rPr>
              <w:t>Estimated</w:t>
            </w:r>
          </w:p>
        </w:tc>
        <w:tc>
          <w:tcPr>
            <w:tcW w:w="960" w:type="dxa"/>
            <w:vAlign w:val="bottom"/>
          </w:tcPr>
          <w:p>
            <w:pPr>
              <w:spacing w:after="0"/>
              <w:rPr>
                <w:sz w:val="13"/>
                <w:szCs w:val="13"/>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Estimated</w:t>
            </w:r>
          </w:p>
        </w:tc>
        <w:tc>
          <w:tcPr>
            <w:tcW w:w="0" w:type="dxa"/>
            <w:vAlign w:val="bottom"/>
          </w:tcPr>
          <w:p>
            <w:pPr>
              <w:spacing w:after="0"/>
              <w:rPr>
                <w:sz w:val="1"/>
                <w:szCs w:val="1"/>
                <w:color w:val="auto"/>
              </w:rPr>
            </w:pPr>
          </w:p>
        </w:tc>
      </w:tr>
      <w:tr>
        <w:trPr>
          <w:trHeight w:val="149"/>
        </w:trPr>
        <w:tc>
          <w:tcPr>
            <w:tcW w:w="1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Purchased Intangible Assets</w:t>
            </w:r>
          </w:p>
        </w:tc>
        <w:tc>
          <w:tcPr>
            <w:tcW w:w="63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9"/>
              <w:spacing w:after="0" w:line="149" w:lineRule="exact"/>
              <w:rPr>
                <w:sz w:val="20"/>
                <w:szCs w:val="20"/>
                <w:color w:val="auto"/>
              </w:rPr>
            </w:pPr>
            <w:r>
              <w:rPr>
                <w:rFonts w:ascii="Times New Roman" w:cs="Times New Roman" w:eastAsia="Times New Roman" w:hAnsi="Times New Roman"/>
                <w:sz w:val="14"/>
                <w:szCs w:val="14"/>
                <w:b w:val="1"/>
                <w:bCs w:val="1"/>
                <w:color w:val="auto"/>
                <w:w w:val="93"/>
              </w:rPr>
              <w:t>Fair Value</w:t>
            </w:r>
          </w:p>
        </w:tc>
        <w:tc>
          <w:tcPr>
            <w:tcW w:w="96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1"/>
              </w:rPr>
              <w:t>Life</w:t>
            </w:r>
          </w:p>
        </w:tc>
        <w:tc>
          <w:tcPr>
            <w:tcW w:w="0" w:type="dxa"/>
            <w:vAlign w:val="bottom"/>
          </w:tcPr>
          <w:p>
            <w:pPr>
              <w:spacing w:after="0"/>
              <w:rPr>
                <w:sz w:val="1"/>
                <w:szCs w:val="1"/>
                <w:color w:val="auto"/>
              </w:rPr>
            </w:pPr>
          </w:p>
        </w:tc>
      </w:tr>
      <w:tr>
        <w:trPr>
          <w:trHeight w:val="172"/>
        </w:trPr>
        <w:tc>
          <w:tcPr>
            <w:tcW w:w="1740" w:type="dxa"/>
            <w:vAlign w:val="bottom"/>
            <w:tcBorders>
              <w:bottom w:val="single" w:sz="8" w:color="auto"/>
            </w:tcBorders>
            <w:vMerge w:val="continue"/>
          </w:tcPr>
          <w:p>
            <w:pPr>
              <w:spacing w:after="0"/>
              <w:rPr>
                <w:sz w:val="14"/>
                <w:szCs w:val="14"/>
                <w:color w:val="auto"/>
              </w:rPr>
            </w:pPr>
          </w:p>
        </w:tc>
        <w:tc>
          <w:tcPr>
            <w:tcW w:w="63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color w:val="auto"/>
                <w:w w:val="91"/>
              </w:rPr>
              <w:t>(in thousands)</w:t>
            </w:r>
          </w:p>
        </w:tc>
        <w:tc>
          <w:tcPr>
            <w:tcW w:w="960" w:type="dxa"/>
            <w:vAlign w:val="bottom"/>
          </w:tcPr>
          <w:p>
            <w:pPr>
              <w:spacing w:after="0"/>
              <w:rPr>
                <w:sz w:val="14"/>
                <w:szCs w:val="14"/>
                <w:color w:val="auto"/>
              </w:rPr>
            </w:pPr>
          </w:p>
        </w:tc>
        <w:tc>
          <w:tcPr>
            <w:tcW w:w="680" w:type="dxa"/>
            <w:vAlign w:val="bottom"/>
            <w:gridSpan w:val="2"/>
          </w:tcPr>
          <w:p>
            <w:pPr>
              <w:jc w:val="center"/>
              <w:ind w:right="100"/>
              <w:spacing w:after="0" w:line="152" w:lineRule="exact"/>
              <w:rPr>
                <w:sz w:val="20"/>
                <w:szCs w:val="20"/>
                <w:color w:val="auto"/>
              </w:rPr>
            </w:pPr>
            <w:r>
              <w:rPr>
                <w:rFonts w:ascii="Times New Roman" w:cs="Times New Roman" w:eastAsia="Times New Roman" w:hAnsi="Times New Roman"/>
                <w:sz w:val="14"/>
                <w:szCs w:val="14"/>
                <w:b w:val="1"/>
                <w:bCs w:val="1"/>
                <w:color w:val="auto"/>
                <w:w w:val="95"/>
              </w:rPr>
              <w:t>(in years)</w:t>
            </w:r>
          </w:p>
        </w:tc>
        <w:tc>
          <w:tcPr>
            <w:tcW w:w="0" w:type="dxa"/>
            <w:vAlign w:val="bottom"/>
          </w:tcPr>
          <w:p>
            <w:pPr>
              <w:spacing w:after="0"/>
              <w:rPr>
                <w:sz w:val="1"/>
                <w:szCs w:val="1"/>
                <w:color w:val="auto"/>
              </w:rPr>
            </w:pPr>
          </w:p>
        </w:tc>
      </w:tr>
      <w:tr>
        <w:trPr>
          <w:trHeight w:val="203"/>
        </w:trPr>
        <w:tc>
          <w:tcPr>
            <w:tcW w:w="80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Subscriber relationships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3,778</w:t>
            </w:r>
          </w:p>
        </w:tc>
        <w:tc>
          <w:tcPr>
            <w:tcW w:w="9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t>The purchased intangible assets are being amortized on a straight-line basis over their estimated useful lives. Amortization expense related to these intangible assets was $168,000 for the year ended December 31, 2014.</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Costs and Post-Acquisition Operating Results</w:t>
      </w:r>
    </w:p>
    <w:p>
      <w:pPr>
        <w:spacing w:after="0" w:line="94" w:lineRule="exact"/>
        <w:rPr>
          <w:sz w:val="20"/>
          <w:szCs w:val="20"/>
          <w:color w:val="auto"/>
        </w:rPr>
      </w:pPr>
    </w:p>
    <w:p>
      <w:pPr>
        <w:jc w:val="both"/>
        <w:ind w:right="60" w:firstLine="456"/>
        <w:spacing w:after="0" w:line="258" w:lineRule="auto"/>
        <w:rPr>
          <w:sz w:val="20"/>
          <w:szCs w:val="20"/>
          <w:color w:val="auto"/>
        </w:rPr>
      </w:pPr>
      <w:r>
        <w:rPr>
          <w:rFonts w:ascii="Times New Roman" w:cs="Times New Roman" w:eastAsia="Times New Roman" w:hAnsi="Times New Roman"/>
          <w:sz w:val="18"/>
          <w:szCs w:val="18"/>
          <w:color w:val="auto"/>
        </w:rPr>
        <w:t>Acquisition-related costs were $690,000, including $338,000 for a one-time Australian stamp duty tax, and are included in our consolidated statements of comprehensive income for the year ended December 31, 2014. The operating results of Leadtec have been included in our consolidated financial statements from October 12, 2014, the closing date of the acquisition. For the period from October 12, 2014 through December 31, 2014, revenues of approximately $1.2 million and an operating loss of approximately $280,000 were attributable to Leadtec.</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94" w:lineRule="exact"/>
        <w:rPr>
          <w:sz w:val="20"/>
          <w:szCs w:val="20"/>
          <w:color w:val="auto"/>
        </w:rPr>
      </w:pPr>
    </w:p>
    <w:p>
      <w:pPr>
        <w:ind w:right="500" w:firstLine="456"/>
        <w:spacing w:after="0" w:line="258" w:lineRule="auto"/>
        <w:rPr>
          <w:sz w:val="20"/>
          <w:szCs w:val="20"/>
          <w:color w:val="auto"/>
        </w:rPr>
      </w:pPr>
      <w:r>
        <w:rPr>
          <w:rFonts w:ascii="Times New Roman" w:cs="Times New Roman" w:eastAsia="Times New Roman" w:hAnsi="Times New Roman"/>
          <w:sz w:val="18"/>
          <w:szCs w:val="18"/>
          <w:color w:val="auto"/>
        </w:rPr>
        <w:t>The unaudited pro forma financial information in the table below presents the combined operating results of SPS Commerce and Leadtec as if the acquisition had occurred on January 1, 2013. The unaudited pro forma information includes the historical operating results of each company and pro forma adjustments for annual amortization expense related to purchased intangible assets and the expected tax impact considering our current tax elections and representations.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0" w:type="dxa"/>
            <w:vAlign w:val="bottom"/>
          </w:tcPr>
          <w:p>
            <w:pPr>
              <w:spacing w:after="0"/>
              <w:rPr>
                <w:sz w:val="1"/>
                <w:szCs w:val="1"/>
                <w:color w:val="auto"/>
              </w:rPr>
            </w:pPr>
          </w:p>
        </w:tc>
      </w:tr>
      <w:tr>
        <w:trPr>
          <w:trHeight w:val="165"/>
        </w:trPr>
        <w:tc>
          <w:tcPr>
            <w:tcW w:w="5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120" w:type="dxa"/>
            <w:vAlign w:val="bottom"/>
          </w:tcPr>
          <w:p>
            <w:pPr>
              <w:spacing w:after="0"/>
              <w:rPr>
                <w:sz w:val="14"/>
                <w:szCs w:val="14"/>
                <w:color w:val="auto"/>
              </w:rPr>
            </w:pPr>
          </w:p>
        </w:tc>
        <w:tc>
          <w:tcPr>
            <w:tcW w:w="20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42"/>
        </w:trPr>
        <w:tc>
          <w:tcPr>
            <w:tcW w:w="5340" w:type="dxa"/>
            <w:vAlign w:val="bottom"/>
            <w:vMerge w:val="continue"/>
          </w:tcPr>
          <w:p>
            <w:pPr>
              <w:spacing w:after="0"/>
              <w:rPr>
                <w:sz w:val="12"/>
                <w:szCs w:val="12"/>
                <w:color w:val="auto"/>
              </w:rPr>
            </w:pPr>
          </w:p>
        </w:tc>
        <w:tc>
          <w:tcPr>
            <w:tcW w:w="3120" w:type="dxa"/>
            <w:vAlign w:val="bottom"/>
          </w:tcPr>
          <w:p>
            <w:pPr>
              <w:spacing w:after="0"/>
              <w:rPr>
                <w:sz w:val="12"/>
                <w:szCs w:val="12"/>
                <w:color w:val="auto"/>
              </w:rPr>
            </w:pPr>
          </w:p>
        </w:tc>
        <w:tc>
          <w:tcPr>
            <w:tcW w:w="680" w:type="dxa"/>
            <w:vAlign w:val="bottom"/>
            <w:tcBorders>
              <w:top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total revenue</w:t>
            </w:r>
          </w:p>
        </w:tc>
        <w:tc>
          <w:tcPr>
            <w:tcW w:w="3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$132,818</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$110,759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income</w:t>
            </w:r>
          </w:p>
        </w:tc>
        <w:tc>
          <w:tcPr>
            <w:tcW w:w="4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2,973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income per share</w:t>
            </w:r>
          </w:p>
        </w:tc>
        <w:tc>
          <w:tcPr>
            <w:tcW w:w="3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4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0.18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41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0.18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unaudited pro forma financial information is presented for informational purposes only and is not necessarily indicative of the results of operations that would have actually been reported had the acquisition occurred on January 1, 2013, nor is it necessarily indicative of our results of operations for any future periods.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Edifice</w:t>
      </w:r>
    </w:p>
    <w:p>
      <w:pPr>
        <w:spacing w:after="0" w:line="9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On August 6, 2012, we entered into an asset purchase agreement with Edifice Information Management Systems, Inc. (“Edifice”), a privately-held information services company specializing in the collection, analysis and distribution of point-of-sale data used by retailers and suppliers to improve their supply chain efficiencies. We completed the asset purchase on August 7, 2012. Under the asset purchase agreement, we purchased and acquired substantially all of the assets of Edifice for $26.3 million in cash and 347,852 shares of our common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45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stock. We also assumed certain liabilities of Edifice. This acquisition increased our point-of-sale analytic offerings, expanded our base of recurring revenue customers and added suppliers to our network.</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Purchase Price Allocation</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accounted for the acquisition as a business combination. We allocated the purchase price to the tangible and identifiable intangible assets acquired and liabilities assumed based on their estimated fair values as of the acquisition date. The excess of the purchase price over the fair value of net tangible and identifiable intangible assets acquired was recorded as goodwill. Goodwill is attributed to a trained workforce and other buyer-specific value resulting from expected synergies, including long-term cost savings, which are not included in the fair values of assets. Goodwill will not be amortized; however it is deductible for tax purposes.</w:t>
      </w:r>
    </w:p>
    <w:p>
      <w:pPr>
        <w:spacing w:after="0" w:line="139"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During the fourth quarter of 2012, we completed our evaluation of the purchase price allocation and there were no adjustments to the purchase price or net assets acquired.</w:t>
      </w:r>
    </w:p>
    <w:p>
      <w:pPr>
        <w:spacing w:after="0" w:line="12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purchase price consisted of the following (in thousands):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$26,275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SPS Commerce, Inc. common stock</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37,671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We borrowed $11.0 million under our existing line of credit to fund a portion of the cash paid for the acquisition. The number of shares of our common stock issued for the acquisition was 347,852 shares as calculated according to the terms of the purchase agreement. The fair value of the shares issued was determined using the closing price of our common stock on August 6, 2012.</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estimated fair values of the assets acquired and liabilities assumed at the acquisition date (in thousands):</w:t>
      </w:r>
    </w:p>
    <w:p>
      <w:pPr>
        <w:spacing w:after="0" w:line="226"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Purchased Intangible Assets</w:t>
            </w: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260" w:type="dxa"/>
            <w:vAlign w:val="bottom"/>
            <w:gridSpan w:val="2"/>
            <w:vMerge w:val="continue"/>
          </w:tcPr>
          <w:p>
            <w:pPr>
              <w:spacing w:after="0"/>
              <w:rPr>
                <w:sz w:val="24"/>
                <w:szCs w:val="24"/>
                <w:color w:val="auto"/>
              </w:rPr>
            </w:pP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w w:val="99"/>
              </w:rPr>
              <w:t>The following table summarizes the estimated fair value of the purchased intangible assets and their estimated useful lives:</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Estimated</w:t>
            </w:r>
          </w:p>
        </w:tc>
        <w:tc>
          <w:tcPr>
            <w:tcW w:w="96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Fair Value</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165"/>
        </w:trPr>
        <w:tc>
          <w:tcPr>
            <w:tcW w:w="5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Purchased Intangible Assets</w:t>
            </w:r>
          </w:p>
        </w:tc>
        <w:tc>
          <w:tcPr>
            <w:tcW w:w="30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(in thousands)</w:t>
            </w:r>
          </w:p>
        </w:tc>
        <w:tc>
          <w:tcPr>
            <w:tcW w:w="96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Subscriber relationships</w:t>
            </w:r>
          </w:p>
        </w:tc>
        <w:tc>
          <w:tcPr>
            <w:tcW w:w="3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9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3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100" w:type="dxa"/>
            <w:vAlign w:val="bottom"/>
            <w:gridSpan w:val="2"/>
            <w:shd w:val="clear" w:color="auto" w:fill="CCEEFF"/>
          </w:tcPr>
          <w:p>
            <w:pPr>
              <w:ind w:left="30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560" w:firstLine="456"/>
        <w:spacing w:after="0" w:line="262" w:lineRule="auto"/>
        <w:rPr>
          <w:sz w:val="20"/>
          <w:szCs w:val="20"/>
          <w:color w:val="auto"/>
        </w:rPr>
      </w:pPr>
      <w:r>
        <w:rPr>
          <w:rFonts w:ascii="Times New Roman" w:cs="Times New Roman" w:eastAsia="Times New Roman" w:hAnsi="Times New Roman"/>
          <w:sz w:val="18"/>
          <w:szCs w:val="18"/>
          <w:color w:val="auto"/>
        </w:rPr>
        <w:t>The purchased intangible assets are being amortized on a straight-line basis over their estimated useful lives. Amortization expense related to these intangible assets was $1.8 million for each of the years ended December 31, 2014 and 2013 and $727,000 for the period from August 7, 2012 through December 31, 2012.</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40"/>
          </w:cols>
          <w:pgMar w:left="240" w:top="455" w:right="31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Costs and Post-Acquisition Operating Results</w:t>
      </w:r>
    </w:p>
    <w:p>
      <w:pPr>
        <w:spacing w:after="0" w:line="9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Acquisition-related costs were $212,000 and are included in our consolidated statements of comprehensive income for the year ended December 31, 2012. The operating results of Edifice have been included in our consolidated financial statements from August 7, 2012, the closing date of the acquisition. For the period from August 7, 2012 through December 31, 2012, approximately $5.0 million of our revenues were derived from Edifice customers. The amount of operating income or loss from Edifice was not separately identifiable due to our integration.</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94" w:lineRule="exact"/>
        <w:rPr>
          <w:sz w:val="20"/>
          <w:szCs w:val="20"/>
          <w:color w:val="auto"/>
        </w:rPr>
      </w:pPr>
    </w:p>
    <w:p>
      <w:pPr>
        <w:ind w:right="120" w:firstLine="456"/>
        <w:spacing w:after="0" w:line="301" w:lineRule="auto"/>
        <w:rPr>
          <w:sz w:val="20"/>
          <w:szCs w:val="20"/>
          <w:color w:val="auto"/>
        </w:rPr>
      </w:pPr>
      <w:r>
        <w:rPr>
          <w:rFonts w:ascii="Times New Roman" w:cs="Times New Roman" w:eastAsia="Times New Roman" w:hAnsi="Times New Roman"/>
          <w:sz w:val="16"/>
          <w:szCs w:val="16"/>
          <w:color w:val="auto"/>
        </w:rPr>
        <w:t>The unaudited pro forma financial information in the table below presents the combined operating results of SPS Commerce and Edifice as if the acquisition had occurred on January 1, 2011. The unaudited pro forma information includes the historical operating results of each company and pro forma adjustments for the approximate $1.8 million of annual amortization expense related to purchased intangible assets and the additional impact on the provision or benefit for income taxes, resulting from the combined income and intangible amortization expense, using our statutory blended income tax rate of 36.5%.</w:t>
      </w:r>
    </w:p>
    <w:p>
      <w:pPr>
        <w:spacing w:after="0" w:line="12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r>
      <w:tr>
        <w:trPr>
          <w:trHeight w:val="149"/>
        </w:trPr>
        <w:tc>
          <w:tcPr>
            <w:tcW w:w="59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65"/>
        </w:trPr>
        <w:tc>
          <w:tcPr>
            <w:tcW w:w="5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480" w:type="dxa"/>
            <w:vAlign w:val="bottom"/>
            <w:gridSpan w:val="2"/>
          </w:tcPr>
          <w:p>
            <w:pPr>
              <w:jc w:val="center"/>
              <w:ind w:left="3617"/>
              <w:spacing w:after="0"/>
              <w:rPr>
                <w:sz w:val="20"/>
                <w:szCs w:val="20"/>
                <w:color w:val="auto"/>
              </w:rPr>
            </w:pPr>
            <w:r>
              <w:rPr>
                <w:rFonts w:ascii="Times New Roman" w:cs="Times New Roman" w:eastAsia="Times New Roman" w:hAnsi="Times New Roman"/>
                <w:sz w:val="14"/>
                <w:szCs w:val="14"/>
                <w:b w:val="1"/>
                <w:bCs w:val="1"/>
                <w:color w:val="auto"/>
                <w:w w:val="92"/>
              </w:rPr>
              <w:t>2012</w:t>
            </w:r>
          </w:p>
        </w:tc>
        <w:tc>
          <w:tcPr>
            <w:tcW w:w="100" w:type="dxa"/>
            <w:vAlign w:val="bottom"/>
          </w:tcPr>
          <w:p>
            <w:pPr>
              <w:spacing w:after="0"/>
              <w:rPr>
                <w:sz w:val="14"/>
                <w:szCs w:val="14"/>
                <w:color w:val="auto"/>
              </w:rPr>
            </w:pP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total revenue</w:t>
            </w:r>
          </w:p>
        </w:tc>
        <w:tc>
          <w:tcPr>
            <w:tcW w:w="36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83,478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income</w:t>
            </w:r>
          </w:p>
        </w:tc>
        <w:tc>
          <w:tcPr>
            <w:tcW w:w="4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income per share</w:t>
            </w:r>
          </w:p>
        </w:tc>
        <w:tc>
          <w:tcPr>
            <w:tcW w:w="3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4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4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unaudited pro forma financial information is presented for informational purposes only and is not necessarily indicative of the results of operations that would have actually been reported had the acquisition occurred on January 1, 2011, nor is it necessarily indicative of our results of operations for any future periods.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Allowance for Doubtful Accounts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allowance for doubtful accounts activity, included in accounts receivable, net, was as follows (in thousands):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w:t>
            </w:r>
          </w:p>
        </w:tc>
        <w:tc>
          <w:tcPr>
            <w:tcW w:w="4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$ 237</w:t>
            </w:r>
          </w:p>
        </w:tc>
        <w:tc>
          <w:tcPr>
            <w:tcW w:w="6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$ 227</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51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717</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3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Write-offs</w:t>
            </w:r>
          </w:p>
        </w:tc>
        <w:tc>
          <w:tcPr>
            <w:tcW w:w="51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(750)</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(504)</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414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75</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w:t>
            </w:r>
          </w:p>
        </w:tc>
        <w:tc>
          <w:tcPr>
            <w:tcW w:w="4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8"/>
              </w:rPr>
              <w:t>$ 279</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$ 237</w:t>
            </w: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140" w:type="dxa"/>
            <w:vAlign w:val="bottom"/>
            <w:vMerge w:val="restart"/>
          </w:tcPr>
          <w:p>
            <w:pPr>
              <w:jc w:val="right"/>
              <w:ind w:right="2517"/>
              <w:spacing w:after="0"/>
              <w:rPr>
                <w:sz w:val="20"/>
                <w:szCs w:val="20"/>
                <w:color w:val="auto"/>
              </w:rPr>
            </w:pPr>
            <w:r>
              <w:rPr>
                <w:rFonts w:ascii="Times New Roman" w:cs="Times New Roman" w:eastAsia="Times New Roman" w:hAnsi="Times New Roman"/>
                <w:sz w:val="18"/>
                <w:szCs w:val="18"/>
                <w:color w:val="auto"/>
              </w:rPr>
              <w:t>59</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Property and Equipment, net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net included the following (in thousands):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8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purchased software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18,368</w:t>
            </w: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3,828</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2,682</w:t>
            </w:r>
          </w:p>
        </w:tc>
      </w:tr>
      <w:tr>
        <w:trPr>
          <w:trHeight w:val="222"/>
        </w:trPr>
        <w:tc>
          <w:tcPr>
            <w:tcW w:w="8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24,878</w:t>
            </w:r>
          </w:p>
        </w:tc>
        <w:tc>
          <w:tcPr>
            <w:tcW w:w="100" w:type="dxa"/>
            <w:vAlign w:val="bottom"/>
          </w:tcPr>
          <w:p>
            <w:pPr>
              <w:spacing w:after="0"/>
              <w:rPr>
                <w:sz w:val="19"/>
                <w:szCs w:val="19"/>
                <w:color w:val="auto"/>
              </w:rPr>
            </w:pPr>
          </w:p>
        </w:tc>
      </w:tr>
      <w:tr>
        <w:trPr>
          <w:trHeight w:val="217"/>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4"/>
              </w:rPr>
              <w:t>(20,459)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(14,956)</w:t>
            </w:r>
          </w:p>
        </w:tc>
      </w:tr>
      <w:tr>
        <w:trPr>
          <w:trHeight w:val="223"/>
        </w:trPr>
        <w:tc>
          <w:tcPr>
            <w:tcW w:w="8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10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At December 31, 2014 and 2013, property and equipment, net included approximately $680,000 and $71,000, respectively, of assets held at subsidiary and office locations outside of the United States of America.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Goodwill and Intangible Assets, net</w:t>
      </w:r>
    </w:p>
    <w:p>
      <w:pPr>
        <w:spacing w:after="0" w:line="92"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The change in goodwill for the year ended December 31, 2014 was due to the $10.0 million of goodwill from the acquisition of Leadtec (see Note B), partially offset by the effect of foreign currency translation.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assets, net included the following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526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440" w:type="dxa"/>
            <w:vAlign w:val="bottom"/>
          </w:tcPr>
          <w:p>
            <w:pPr>
              <w:spacing w:after="0"/>
              <w:rPr>
                <w:sz w:val="10"/>
                <w:szCs w:val="10"/>
                <w:color w:val="auto"/>
              </w:rPr>
            </w:pPr>
          </w:p>
        </w:tc>
        <w:tc>
          <w:tcPr>
            <w:tcW w:w="120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gridSpan w:val="2"/>
          </w:tcPr>
          <w:p>
            <w:pPr>
              <w:jc w:val="right"/>
              <w:ind w:right="460"/>
              <w:spacing w:after="0" w:line="12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04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5"/>
        </w:trPr>
        <w:tc>
          <w:tcPr>
            <w:tcW w:w="5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Net</w:t>
            </w:r>
          </w:p>
        </w:tc>
        <w:tc>
          <w:tcPr>
            <w:tcW w:w="42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Subscriber relationships</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$26,724</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$17,732</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$23,160</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$16,784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(1,581)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4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1,710</w:t>
            </w:r>
          </w:p>
        </w:tc>
        <w:tc>
          <w:tcPr>
            <w:tcW w:w="18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(1,412)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other</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(71)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29,495</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(10,644</w:t>
            </w: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18,851</w:t>
            </w:r>
          </w:p>
        </w:tc>
        <w:tc>
          <w:tcPr>
            <w:tcW w:w="4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24,870</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17,082</w:t>
            </w:r>
          </w:p>
        </w:tc>
        <w:tc>
          <w:tcPr>
            <w:tcW w:w="10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expense for the year ended December 31, 2013 included $290,000 for the impairment of a certain non-competition agreement.</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2014, future amortization expense for intangible assets was as follows (in thousands):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18,851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Line of Credit</w:t>
      </w:r>
    </w:p>
    <w:p>
      <w:pPr>
        <w:spacing w:after="0" w:line="92"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We have a revolving credit agreement with JPMorgan Chase Bank, N.A. which provides for a $20 million revolving credit facility that we may draw upon from time to time, subject to certain terms and conditions, and will mature on September 30, 2016.</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Interest on amounts borrowed under the credit facility is based on (i) an Adjusted LIBO Rate (as defined in the revolving credit agreement) plus an applicable margin of 175 to 225 basis points based on our net working capital, or (ii) JPMorgan’s prime rate (provided it is not less than the Adjusted One Month LIBO Rate (as defined in the revolving credit agreement)) plus an applicable margin of -25 to 25 basis points based on our net working capital. Interest is payable monthly in arrears. Availability under the credit facility is subject to a borrowing base equal to the sum of 250% of our eligible monthly recurring revenue (as defined in the revolving credit agreement) and all borrowings are due in full no later than the maturity date of the agreement.</w:t>
      </w:r>
    </w:p>
    <w:p>
      <w:pPr>
        <w:spacing w:after="0" w:line="139"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The revolving credit agreement contains customary representations, warranties, covenants and events of default, including, but not limited to financial covenants requiring us to maintain a fixed charge coverage ratio of not less than 1.20 to 1.00, cash and cash equivalents of not less than $10 million and a minimum number of recurring revenue customers. If an event of default occurs, among other things, the applicable interest rate is subject to an increase of 200 basis points and all outstanding obligations may become immediately due and payable.</w:t>
      </w:r>
    </w:p>
    <w:p>
      <w:pPr>
        <w:spacing w:after="0" w:line="136"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There were no borrowings under the revolving credit agreement in 2014 or 2013. In connection with the acquisition of Edifice in 2012 (see Note B), we borrowed $11.0 million under our line of credit to fund a portion of the cash paid for the acquisition. On September 11, 2012, this debt was repaid in full with a portion of the proceeds received from our public offering of common stock on that date (see Note I).</w:t>
      </w:r>
    </w:p>
    <w:p>
      <w:pPr>
        <w:spacing w:after="0" w:line="132"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As of December 31, 2014 and 2013, there were no borrowings outstanding, approximately $20.0 million was available for borrowings, and we were in compliance with all covenants under the revolving credit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Accrued Expenses</w:t>
      </w:r>
    </w:p>
    <w:p>
      <w:pPr>
        <w:spacing w:after="0" w:line="9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In the second quarter of 2013, we entered into an agreement to purchase software licenses. At December 31, 2013, our future payments under this agreement, which are included in accrued expenses in our consolidated balance sheets, were approximately $1.4 million. These obligations were fully repaid in the second quarter of 2014.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 – Commitments and Contingencies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Capital Leases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In connection with the acquisition of Edifice (see Note B), we assumed certain capital lease obligations for computer equipment and purchased software.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2012, these leases were fully repaid.</w:t>
      </w:r>
    </w:p>
    <w:p>
      <w:pPr>
        <w:spacing w:after="0" w:line="2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94"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We are obligated under non-cancellable operating leases primarily for office space. Rent expense charged to operations was $3.7 million, $2.8 million and $1.6 million for the years ended December 31, 2014, 2013 and 2012, respectively.</w:t>
      </w:r>
    </w:p>
    <w:p>
      <w:pPr>
        <w:spacing w:after="0" w:line="120" w:lineRule="exact"/>
        <w:rPr>
          <w:sz w:val="20"/>
          <w:szCs w:val="20"/>
          <w:color w:val="auto"/>
        </w:rPr>
      </w:pPr>
    </w:p>
    <w:p>
      <w:pPr>
        <w:ind w:right="160" w:firstLine="456"/>
        <w:spacing w:after="0" w:line="301" w:lineRule="auto"/>
        <w:rPr>
          <w:sz w:val="20"/>
          <w:szCs w:val="20"/>
          <w:color w:val="auto"/>
        </w:rPr>
      </w:pPr>
      <w:r>
        <w:rPr>
          <w:rFonts w:ascii="Times New Roman" w:cs="Times New Roman" w:eastAsia="Times New Roman" w:hAnsi="Times New Roman"/>
          <w:sz w:val="16"/>
          <w:szCs w:val="16"/>
          <w:color w:val="auto"/>
        </w:rPr>
        <w:t>On February 14, 2012, we executed a new lease agreement for our current headquarters location which commenced on November 1, 2012 and expires on April 30, 2020. The lease includes additional square footage upon commencement, an automatic expansion of space on or about September 1, 2013, a right of first offer to lease certain additional space, which we exercised, and two options to extend the term of the lease for three years at a market rate determined in accordance with the lease. There was also a rent holiday from November 2012 to October 2013 which has been incorporated into our deferred rent calculation.</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80"/>
          </w:cols>
          <w:pgMar w:left="240" w:top="455" w:right="27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2014, our future minimum payments under operating leases were as follows (in thousands):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94"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We may be involved in various claims and legal actions in the normal course of business. Our management believes that the outcome of any such claims and legal actions will not have a significant adverse effect on our financial position, results of operations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 Stockholders’ Equity</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Common Stock Issued</w:t>
      </w:r>
    </w:p>
    <w:p>
      <w:pPr>
        <w:spacing w:after="0" w:line="94"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On October 12, 2014, in connection with the acquisition of Leadtec (see Note B), we issued 43,595 shares of our common stock. The fair value of the shares we issued, approximately $2.2 million, was determined using the closing price of our common stock on October 10, 2014.</w:t>
      </w:r>
    </w:p>
    <w:p>
      <w:pPr>
        <w:spacing w:after="0" w:line="120"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On November 25, 2013, we completed a public stock offering where we issued and sold 750,000 shares of our common stock at a price to the public of $67.00 per share. We received net proceeds of approximately $47.6 million from this offering after payment of approximately $2.7 million of underwriting discounts and commissions and legal, accounting and other fees incurred in connection with the offering.</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September 11, 2012, we completed a public stock offering where we issued and sold 1,840,000 shares of our common stock, including 240,000 shares sold pursuant to the exercise in full of the underwriters’ over-allotment option, at a price to the public of $33.50 per share. We received net proceeds of approximately $57.8 million from this offering after payment of approximately $3.8 million of underwriting discounts and commissions and legal, accounting and other fees incurred in connection with the offering.</w:t>
      </w:r>
    </w:p>
    <w:p>
      <w:pPr>
        <w:spacing w:after="0" w:line="136"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On August 7, 2012, in connection with the acquisition of Edifice (see Note B), we issued 347,852 shares of our common stock. The fair value of the shares issued was determined using the closing price of our common stock on August 6, 2012.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J – Stock-Based Compensation</w:t>
      </w:r>
    </w:p>
    <w:p>
      <w:pPr>
        <w:spacing w:after="0" w:line="9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Our equity compensation plans provide for the grant of incentive and nonqualified stock options, as well as other stock-based awards including restricted stock and restricted stock units, to employees, non-employee directors and other consultants who provide services to us. Restricted stock awards result in the issuance of new shares when granted. For other stock-based awards, new shares are issued when the award is exercised, vested or released according to the terms of the agreement. In January 2014, 965,527 additional shares were reserved for future issuance under our 2010 Equity Incentive Plan. At December 31, 2014, there were approximately 2.6 million shares available for grant under approved equity compensation plans.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We recorded stock-based compensation expense of $5.4 million, $4.2 million and $2.8 million for the years ended December 31, 2014, 2013 and 2012, respectively. This expense was allocated as follows (in thousands):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7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8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2014</w:t>
            </w: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1,933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8"/>
              </w:rPr>
              <w:t>1,481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2,405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8"/>
              </w:rPr>
              <w:t>1,981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1,338</w:t>
            </w:r>
          </w:p>
        </w:tc>
        <w:tc>
          <w:tcPr>
            <w:tcW w:w="100" w:type="dxa"/>
            <w:vAlign w:val="bottom"/>
            <w:shd w:val="clear" w:color="auto" w:fill="CCEEFF"/>
          </w:tcPr>
          <w:p>
            <w:pPr>
              <w:spacing w:after="0"/>
              <w:rPr>
                <w:sz w:val="18"/>
                <w:szCs w:val="18"/>
                <w:color w:val="auto"/>
              </w:rPr>
            </w:pPr>
          </w:p>
        </w:tc>
      </w:tr>
      <w:tr>
        <w:trPr>
          <w:trHeight w:val="223"/>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5,396</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4,203</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2,755</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As of December 31, 2014, there was approximately $8.8 million of unrecognized stock-based compensation expense under our equity compensation plans, which is expected to be recognized on a straight line basis over a weighted average period of 2.5 years.</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94"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Stock options generally vest over four years and have a contractual term of seven to ten years from the date of grant. Our stock option activity was as follows:</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Weighted Average</w:t>
            </w: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24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Exercise Price</w:t>
            </w:r>
          </w:p>
        </w:tc>
      </w:tr>
      <w:tr>
        <w:trPr>
          <w:trHeight w:val="165"/>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7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($/share)</w:t>
            </w: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2012</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1,669,409</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240,831</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(468,717)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(71,382)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2012</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1,370,141</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225,439</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(469,225)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(29,132)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2013</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1,097,223</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153,770</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(153,196)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(12,334)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1,085,463</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Of the total outstanding options at December 31, 2014, 758,578 were exercisable with a weighted average exercise price of $18.30 per share. The total outstanding options had a weighted average remaining contractual life of 5.2 years.</w:t>
      </w:r>
    </w:p>
    <w:p>
      <w:pPr>
        <w:spacing w:after="0" w:line="120" w:lineRule="exact"/>
        <w:rPr>
          <w:sz w:val="20"/>
          <w:szCs w:val="20"/>
          <w:color w:val="auto"/>
        </w:rPr>
      </w:pPr>
    </w:p>
    <w:p>
      <w:pPr>
        <w:ind w:right="760" w:firstLine="456"/>
        <w:spacing w:after="0" w:line="275" w:lineRule="auto"/>
        <w:rPr>
          <w:sz w:val="20"/>
          <w:szCs w:val="20"/>
          <w:color w:val="auto"/>
        </w:rPr>
      </w:pPr>
      <w:r>
        <w:rPr>
          <w:rFonts w:ascii="Times New Roman" w:cs="Times New Roman" w:eastAsia="Times New Roman" w:hAnsi="Times New Roman"/>
          <w:sz w:val="18"/>
          <w:szCs w:val="18"/>
          <w:color w:val="auto"/>
        </w:rPr>
        <w:t>The fair value of options that vested during the years ended December 31, 2014, 2013 and 2012 was $2.9 million, $2.6 million and $2.3 million, respectively.</w:t>
      </w:r>
    </w:p>
    <w:p>
      <w:pPr>
        <w:spacing w:after="0" w:line="120" w:lineRule="exact"/>
        <w:rPr>
          <w:sz w:val="20"/>
          <w:szCs w:val="20"/>
          <w:color w:val="auto"/>
        </w:rPr>
      </w:pPr>
    </w:p>
    <w:p>
      <w:pPr>
        <w:ind w:right="180" w:firstLine="456"/>
        <w:spacing w:after="0" w:line="339" w:lineRule="auto"/>
        <w:rPr>
          <w:sz w:val="20"/>
          <w:szCs w:val="20"/>
          <w:color w:val="auto"/>
        </w:rPr>
      </w:pPr>
      <w:r>
        <w:rPr>
          <w:rFonts w:ascii="Times New Roman" w:cs="Times New Roman" w:eastAsia="Times New Roman" w:hAnsi="Times New Roman"/>
          <w:sz w:val="16"/>
          <w:szCs w:val="16"/>
          <w:color w:val="auto"/>
        </w:rPr>
        <w:t>The intrinsic value of options exercised during the years ended December 31, 2014, 2013 and 2012 was $7.4 million, $20.7 million and $12.1 million, respectively. The intrinsic value of outstanding options at December 31, 2014, 2013 and 2012 was $33.8 million, $50.1 million and $34.1 million, respectively.</w:t>
      </w:r>
    </w:p>
    <w:p>
      <w:pPr>
        <w:spacing w:after="0" w:line="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60"/>
          </w:cols>
          <w:pgMar w:left="240" w:top="455" w:right="29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339" w:lineRule="auto"/>
        <w:rPr>
          <w:sz w:val="20"/>
          <w:szCs w:val="20"/>
          <w:color w:val="auto"/>
        </w:rPr>
      </w:pPr>
      <w:r>
        <w:rPr>
          <w:rFonts w:ascii="Times New Roman" w:cs="Times New Roman" w:eastAsia="Times New Roman" w:hAnsi="Times New Roman"/>
          <w:sz w:val="16"/>
          <w:szCs w:val="16"/>
          <w:color w:val="auto"/>
        </w:rPr>
        <w:t>The weighted-average fair values per share of options granted during 2014, 2013 and 2012 were $24.36, $14.60 and $10.43, respectively. The fair values of the options granted were estimated on the date of grant using the Black-Scholes option pricing model with the following weighted-average assumptions:</w:t>
      </w:r>
    </w:p>
    <w:p>
      <w:pPr>
        <w:spacing w:after="0" w:line="113"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77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7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80" w:type="dxa"/>
            <w:vAlign w:val="bottom"/>
            <w:gridSpan w:val="2"/>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42%</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41%</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80" w:type="dxa"/>
            <w:vAlign w:val="bottom"/>
            <w:gridSpan w:val="2"/>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 years)</w:t>
            </w:r>
          </w:p>
        </w:tc>
        <w:tc>
          <w:tcPr>
            <w:tcW w:w="1080" w:type="dxa"/>
            <w:vAlign w:val="bottom"/>
            <w:gridSpan w:val="2"/>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4.17</w:t>
            </w:r>
          </w:p>
        </w:tc>
        <w:tc>
          <w:tcPr>
            <w:tcW w:w="10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4.75</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0" w:type="dxa"/>
            <w:vAlign w:val="bottom"/>
            <w:shd w:val="clear" w:color="auto" w:fill="CCEEFF"/>
          </w:tcPr>
          <w:p>
            <w:pPr>
              <w:spacing w:after="0"/>
              <w:rPr>
                <w:sz w:val="18"/>
                <w:szCs w:val="18"/>
                <w:color w:val="auto"/>
              </w:rPr>
            </w:pPr>
          </w:p>
        </w:tc>
      </w:tr>
      <w:tr>
        <w:trPr>
          <w:trHeight w:val="228"/>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8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1.44%</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0.86%</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0.79%</w:t>
            </w:r>
          </w:p>
        </w:tc>
      </w:tr>
    </w:tbl>
    <w:p>
      <w:pPr>
        <w:spacing w:after="0" w:line="135"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Prior to becoming a public entity in 2010, historical volatility was not available for our common stock. As a result, we do not have sufficient data to rely solely on the historical volatility of our common stock. Therefore, we have estimated volatility based partially on the historical volatilities of the publicly traded shares of a selected peer group, and partially on the historical volatility of our common stock, which collectively provided a reasonable basis for estimating volatility. Beginning in 2015, we anticipate that we will be able to rely solely on the historical volatility of our common stock.</w:t>
      </w:r>
    </w:p>
    <w:p>
      <w:pPr>
        <w:spacing w:after="0" w:line="136"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We have not issued dividends on our common stock and do not expect to do so in the foreseeable future. The expected term of the options is based on the simplified method which does not consider historical or expected employee exercise behavior. The risk-free interest rate is based on the U.S. Treasury rates at the date of grant with maturity dates approximately equal to the expected life at the grant date.</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and Awards</w:t>
      </w:r>
    </w:p>
    <w:p>
      <w:pPr>
        <w:spacing w:after="0" w:line="94"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Restricted stock units vest over four years and, upon vesting, the holder is entitled to receive shares of our common stock. With restricted stock awards, shares of our common stock are issued when the award is granted and the restrictions lapse over one year.</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restricted stock units activity was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Weighted Average</w:t>
            </w: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080" w:type="dxa"/>
            <w:vAlign w:val="bottom"/>
            <w:gridSpan w:val="2"/>
          </w:tcPr>
          <w:p>
            <w:pPr>
              <w:jc w:val="right"/>
              <w:ind w:right="1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Restricted Stock</w:t>
            </w:r>
          </w:p>
        </w:tc>
        <w:tc>
          <w:tcPr>
            <w:tcW w:w="11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Grant Date Fair</w:t>
            </w:r>
          </w:p>
        </w:tc>
      </w:tr>
      <w:tr>
        <w:trPr>
          <w:trHeight w:val="165"/>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80" w:type="dxa"/>
            <w:vAlign w:val="bottom"/>
            <w:gridSpan w:val="2"/>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Units (#)</w:t>
            </w:r>
          </w:p>
        </w:tc>
        <w:tc>
          <w:tcPr>
            <w:tcW w:w="8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Value ($/share)</w:t>
            </w:r>
          </w:p>
        </w:tc>
      </w:tr>
      <w:tr>
        <w:trPr>
          <w:trHeight w:val="210"/>
        </w:trPr>
        <w:tc>
          <w:tcPr>
            <w:tcW w:w="20" w:type="dxa"/>
            <w:vAlign w:val="bottom"/>
          </w:tcPr>
          <w:p>
            <w:pPr>
              <w:spacing w:after="0"/>
              <w:rPr>
                <w:sz w:val="18"/>
                <w:szCs w:val="18"/>
                <w:color w:val="auto"/>
              </w:rPr>
            </w:pPr>
          </w:p>
        </w:tc>
        <w:tc>
          <w:tcPr>
            <w:tcW w:w="7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2012</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75,873</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Vested and common stock issued</w:t>
            </w:r>
          </w:p>
        </w:tc>
        <w:tc>
          <w:tcPr>
            <w:tcW w:w="208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208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(7,632)</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2012</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68,241</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59,695</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Vested and common stock issued</w:t>
            </w:r>
          </w:p>
        </w:tc>
        <w:tc>
          <w:tcPr>
            <w:tcW w:w="208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(17,060)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208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(8,232)</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2013</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102,644</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42,001</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Vested and common stock issued</w:t>
            </w:r>
          </w:p>
        </w:tc>
        <w:tc>
          <w:tcPr>
            <w:tcW w:w="208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(28,367)</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208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(1,145)</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115,133</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number of restricted stock units outstanding at December 31, 2014 included 23,193 units that have vested but for which shares of common stock have not yet been issued pursuant to the terms of the agreement.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455" w:right="2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restricted stock awards activity was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Weighted Average</w:t>
            </w:r>
          </w:p>
        </w:tc>
      </w:tr>
      <w:tr>
        <w:trPr>
          <w:trHeight w:val="149"/>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920" w:type="dxa"/>
            <w:vAlign w:val="bottom"/>
            <w:gridSpan w:val="2"/>
          </w:tcPr>
          <w:p>
            <w:pPr>
              <w:jc w:val="center"/>
              <w:ind w:right="1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Restricted</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Grant Date</w:t>
            </w:r>
          </w:p>
        </w:tc>
      </w:tr>
      <w:tr>
        <w:trPr>
          <w:trHeight w:val="149"/>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920" w:type="dxa"/>
            <w:vAlign w:val="bottom"/>
            <w:gridSpan w:val="2"/>
          </w:tcPr>
          <w:p>
            <w:pPr>
              <w:jc w:val="center"/>
              <w:ind w:right="11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Stock Awards</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Fair Value</w:t>
            </w:r>
          </w:p>
        </w:tc>
      </w:tr>
      <w:tr>
        <w:trPr>
          <w:trHeight w:val="165"/>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($/share)</w:t>
            </w: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2012</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common stock issued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Restrictions lapsed</w:t>
            </w:r>
          </w:p>
        </w:tc>
        <w:tc>
          <w:tcPr>
            <w:tcW w:w="192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92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(1,055)</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2012</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common stock issued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Restrictions lapsed</w:t>
            </w:r>
          </w:p>
        </w:tc>
        <w:tc>
          <w:tcPr>
            <w:tcW w:w="192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(9,541)</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92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2013</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common stock issued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Restrictions lapsed</w:t>
            </w:r>
          </w:p>
        </w:tc>
        <w:tc>
          <w:tcPr>
            <w:tcW w:w="192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(5,199)</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92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94"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Effective July 1, 2012, we adopted an employee stock purchase plan which allows participating employees to purchase shares of our common stock at a discount through payroll deductions. The plan is available to all employees subject to certain eligibility requirements. Participating employees may purchase common stock, on a voluntary after tax basis, at a price that is the lower of 85% of the fair market value of one share of common stock at the beginning or end of each stock purchase period. The plan consists of two six-month offering periods, beginning on January 1 and July 1 of each calendar year. A total of 1.2 million shares of common stock are reserved for issuance under the plan.</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For the offering periods in 2014, we withheld approximately $1.3 million from employees participating in the plan and we purchased 26,353 shares on their behalf. For the offering periods in 2013, we withheld approximately $1.2 million from employees participating in the plan and we purchased 32,114 shares on their behalf. For the offering period in 2012, we withheld approximately $448,000 from employees participating in the plan and we purchased 17,332 shares on their behalf.</w:t>
      </w:r>
    </w:p>
    <w:p>
      <w:pPr>
        <w:spacing w:after="0" w:line="136"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For the years ended December 31, 2014, 2013 and 2012, we recorded approximately $473,000, $402,000 and $148,000 of stock-based compensation expense associated with the employee stock purchase plan. The fair value was estimated based on the market price of our common stock at the beginning of each offering period and using the Black-Scholes option pricing model with the following weighted-average assumptions: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3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340" w:type="dxa"/>
            <w:vAlign w:val="bottom"/>
            <w:tcBorders>
              <w:bottom w:val="single" w:sz="8" w:color="CCEEFF"/>
            </w:tcBorders>
          </w:tcPr>
          <w:p>
            <w:pPr>
              <w:spacing w:after="0"/>
              <w:rPr>
                <w:sz w:val="12"/>
                <w:szCs w:val="12"/>
                <w:color w:val="auto"/>
              </w:rPr>
            </w:pPr>
          </w:p>
        </w:tc>
        <w:tc>
          <w:tcPr>
            <w:tcW w:w="44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4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45%</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46%</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400" w:type="dxa"/>
            <w:vAlign w:val="bottom"/>
          </w:tcPr>
          <w:p>
            <w:pPr>
              <w:spacing w:after="0"/>
              <w:rPr>
                <w:sz w:val="18"/>
                <w:szCs w:val="18"/>
                <w:color w:val="auto"/>
              </w:rPr>
            </w:pPr>
          </w:p>
        </w:tc>
        <w:tc>
          <w:tcPr>
            <w:tcW w:w="1080" w:type="dxa"/>
            <w:vAlign w:val="bottom"/>
            <w:gridSpan w:val="2"/>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 years)</w:t>
            </w:r>
          </w:p>
        </w:tc>
        <w:tc>
          <w:tcPr>
            <w:tcW w:w="5480" w:type="dxa"/>
            <w:vAlign w:val="bottom"/>
            <w:gridSpan w:val="3"/>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0.50</w:t>
            </w:r>
          </w:p>
        </w:tc>
        <w:tc>
          <w:tcPr>
            <w:tcW w:w="10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0.50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00" w:type="dxa"/>
            <w:vAlign w:val="bottom"/>
            <w:shd w:val="clear" w:color="auto" w:fill="CCEEFF"/>
          </w:tcPr>
          <w:p>
            <w:pPr>
              <w:spacing w:after="0"/>
              <w:rPr>
                <w:sz w:val="18"/>
                <w:szCs w:val="18"/>
                <w:color w:val="auto"/>
              </w:rPr>
            </w:pP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480" w:type="dxa"/>
            <w:vAlign w:val="bottom"/>
            <w:gridSpan w:val="3"/>
          </w:tcPr>
          <w:p>
            <w:pPr>
              <w:jc w:val="right"/>
              <w:ind w:right="472"/>
              <w:spacing w:after="0"/>
              <w:rPr>
                <w:sz w:val="20"/>
                <w:szCs w:val="20"/>
                <w:color w:val="auto"/>
              </w:rPr>
            </w:pPr>
            <w:r>
              <w:rPr>
                <w:rFonts w:ascii="Times New Roman" w:cs="Times New Roman" w:eastAsia="Times New Roman" w:hAnsi="Times New Roman"/>
                <w:sz w:val="18"/>
                <w:szCs w:val="18"/>
                <w:color w:val="auto"/>
              </w:rPr>
              <w:t>0.08%</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0.10%</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0.15%</w:t>
            </w:r>
          </w:p>
        </w:tc>
      </w:tr>
      <w:tr>
        <w:trPr>
          <w:trHeight w:val="350"/>
        </w:trPr>
        <w:tc>
          <w:tcPr>
            <w:tcW w:w="3340" w:type="dxa"/>
            <w:vAlign w:val="bottom"/>
          </w:tcPr>
          <w:p>
            <w:pPr>
              <w:spacing w:after="0"/>
              <w:rPr>
                <w:sz w:val="24"/>
                <w:szCs w:val="24"/>
                <w:color w:val="auto"/>
              </w:rPr>
            </w:pPr>
          </w:p>
        </w:tc>
        <w:tc>
          <w:tcPr>
            <w:tcW w:w="4400" w:type="dxa"/>
            <w:vAlign w:val="bottom"/>
          </w:tcPr>
          <w:p>
            <w:pPr>
              <w:jc w:val="right"/>
              <w:ind w:right="2312"/>
              <w:spacing w:after="0"/>
              <w:rPr>
                <w:sz w:val="20"/>
                <w:szCs w:val="20"/>
                <w:color w:val="auto"/>
              </w:rPr>
            </w:pPr>
            <w:r>
              <w:rPr>
                <w:rFonts w:ascii="Times New Roman" w:cs="Times New Roman" w:eastAsia="Times New Roman" w:hAnsi="Times New Roman"/>
                <w:sz w:val="18"/>
                <w:szCs w:val="18"/>
                <w:color w:val="auto"/>
              </w:rPr>
              <w:t>65</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K – Income Taxes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provision for income taxes was as follows (in thousands):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8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2014</w:t>
            </w:r>
          </w:p>
        </w:tc>
        <w:tc>
          <w:tcPr>
            <w:tcW w:w="280" w:type="dxa"/>
            <w:vAlign w:val="bottom"/>
          </w:tcPr>
          <w:p>
            <w:pPr>
              <w:spacing w:after="0"/>
              <w:rPr>
                <w:sz w:val="12"/>
                <w:szCs w:val="12"/>
                <w:color w:val="auto"/>
              </w:rPr>
            </w:pPr>
          </w:p>
        </w:tc>
        <w:tc>
          <w:tcPr>
            <w:tcW w:w="6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Pr>
          <w:p>
            <w:pPr>
              <w:spacing w:after="0"/>
              <w:rPr>
                <w:sz w:val="12"/>
                <w:szCs w:val="12"/>
                <w:color w:val="auto"/>
              </w:rPr>
            </w:pPr>
          </w:p>
        </w:tc>
        <w:tc>
          <w:tcPr>
            <w:tcW w:w="6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196"/>
        </w:trPr>
        <w:tc>
          <w:tcPr>
            <w:tcW w:w="8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192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1,183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450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(204)</w:t>
            </w:r>
          </w:p>
        </w:tc>
      </w:tr>
      <w:tr>
        <w:trPr>
          <w:trHeight w:val="223"/>
        </w:trPr>
        <w:tc>
          <w:tcPr>
            <w:tcW w:w="80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1,408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686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reconciliation of the expected federal income tax at the statutory rate to the provision for income taxes was as follows (in thousands):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1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9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500" w:type="dxa"/>
            <w:vAlign w:val="bottom"/>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federal income tax at statutory rate</w:t>
            </w:r>
          </w:p>
        </w:tc>
        <w:tc>
          <w:tcPr>
            <w:tcW w:w="38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$1,398</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$ 593</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effect</w:t>
            </w:r>
          </w:p>
        </w:tc>
        <w:tc>
          <w:tcPr>
            <w:tcW w:w="4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50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impact of foreign activity</w:t>
            </w:r>
          </w:p>
        </w:tc>
        <w:tc>
          <w:tcPr>
            <w:tcW w:w="4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Permanent book/tax differences</w:t>
            </w:r>
          </w:p>
        </w:tc>
        <w:tc>
          <w:tcPr>
            <w:tcW w:w="4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50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6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Change in state deferred rate</w:t>
            </w:r>
          </w:p>
        </w:tc>
        <w:tc>
          <w:tcPr>
            <w:tcW w:w="4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0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 true up</w:t>
            </w:r>
          </w:p>
        </w:tc>
        <w:tc>
          <w:tcPr>
            <w:tcW w:w="46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4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(178)</w:t>
            </w:r>
          </w:p>
        </w:tc>
        <w:tc>
          <w:tcPr>
            <w:tcW w:w="11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6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2"/>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38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1,408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$ 686</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860" w:type="dxa"/>
            <w:vAlign w:val="bottom"/>
            <w:vMerge w:val="restart"/>
          </w:tcPr>
          <w:p>
            <w:pPr>
              <w:jc w:val="right"/>
              <w:ind w:right="2592"/>
              <w:spacing w:after="0"/>
              <w:rPr>
                <w:sz w:val="20"/>
                <w:szCs w:val="20"/>
                <w:color w:val="auto"/>
              </w:rPr>
            </w:pPr>
            <w:r>
              <w:rPr>
                <w:rFonts w:ascii="Times New Roman" w:cs="Times New Roman" w:eastAsia="Times New Roman" w:hAnsi="Times New Roman"/>
                <w:sz w:val="18"/>
                <w:szCs w:val="18"/>
                <w:color w:val="auto"/>
              </w:rPr>
              <w:t>66</w:t>
            </w: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6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5" w:right="69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significant components of our deferred tax assets (liabilities)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9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6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2013</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net operating loss and credit carryforwards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allowance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deferred tax asset</w:t>
            </w:r>
          </w:p>
        </w:tc>
        <w:tc>
          <w:tcPr>
            <w:tcW w:w="2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3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2,434</w:t>
            </w: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operations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operations</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5"/>
              </w:rPr>
              <w:t>(1,662)</w:t>
            </w:r>
          </w:p>
        </w:tc>
        <w:tc>
          <w:tcPr>
            <w:tcW w:w="100" w:type="dxa"/>
            <w:vAlign w:val="bottom"/>
          </w:tcPr>
          <w:p>
            <w:pPr>
              <w:spacing w:after="0"/>
              <w:rPr>
                <w:sz w:val="19"/>
                <w:szCs w:val="19"/>
                <w:color w:val="auto"/>
              </w:rPr>
            </w:pPr>
          </w:p>
        </w:tc>
        <w:tc>
          <w:tcPr>
            <w:tcW w:w="1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(985)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deferred tax liability</w:t>
            </w:r>
          </w:p>
        </w:tc>
        <w:tc>
          <w:tcPr>
            <w:tcW w:w="2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(1,662)</w:t>
            </w: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216"/>
        </w:trPr>
        <w:tc>
          <w:tcPr>
            <w:tcW w:w="5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Valuation allowance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current deferred tax asset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Non-current</w:t>
            </w: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6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operating loss and credit carryforwards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4,662</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operations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3,485</w:t>
            </w:r>
          </w:p>
        </w:tc>
        <w:tc>
          <w:tcPr>
            <w:tcW w:w="10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non-current deferred tax asset</w:t>
            </w:r>
          </w:p>
        </w:tc>
        <w:tc>
          <w:tcPr>
            <w:tcW w:w="2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12,069</w:t>
            </w:r>
          </w:p>
        </w:tc>
        <w:tc>
          <w:tcPr>
            <w:tcW w:w="3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11,928</w:t>
            </w: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operations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non-current deferred tax liability</w:t>
            </w:r>
          </w:p>
        </w:tc>
        <w:tc>
          <w:tcPr>
            <w:tcW w:w="2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Valuation allowance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2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non-current deferred tax asset</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11,035</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As of December 31, 2014, we had net operating loss carryforwards of $69.8 million for U.S. federal tax purposes. We also had $28.3 million of various state net operating loss carryforwards. The loss carryforwards for federal tax purposes will expire between 2019 and 2034 if not utilized. The loss carryforwards for state tax purposes will expire between 2015 and 2034 if not utilized.</w:t>
      </w:r>
    </w:p>
    <w:p>
      <w:pPr>
        <w:spacing w:after="0" w:line="13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Section 382 of the U.S. Internal Revenue Code generally imposes an annual limitation on the amount of net operating loss carryforwards that might be used to offset taxable income when a corporation has undergone significant changes in stock ownership. We have performed a Section 382 analysis for the time period from our inception through December 8, 2010. During this time period it was determined that we had six separate ownership changes under Section 382. We have not updated the Section 382 analysis subsequent to December 8, 2010; however, we believe there have not been any events subsequent to that date that would materially impact the analysis. We believe that approximately $17.6 million of federal losses will expire unused due to Section 382 limitations. The maximum annual limitation of federal net operating losses under Section 382 is approximately $990,000. This limitation could be further restricted if any ownership changes occur in future years.</w:t>
      </w:r>
    </w:p>
    <w:p>
      <w:pPr>
        <w:spacing w:after="0" w:line="141" w:lineRule="exact"/>
        <w:rPr>
          <w:sz w:val="20"/>
          <w:szCs w:val="20"/>
          <w:color w:val="auto"/>
        </w:rPr>
      </w:pPr>
    </w:p>
    <w:p>
      <w:pPr>
        <w:ind w:right="40" w:firstLine="456"/>
        <w:spacing w:after="0" w:line="301" w:lineRule="auto"/>
        <w:rPr>
          <w:sz w:val="20"/>
          <w:szCs w:val="20"/>
          <w:color w:val="auto"/>
        </w:rPr>
      </w:pPr>
      <w:r>
        <w:rPr>
          <w:rFonts w:ascii="Times New Roman" w:cs="Times New Roman" w:eastAsia="Times New Roman" w:hAnsi="Times New Roman"/>
          <w:sz w:val="16"/>
          <w:szCs w:val="16"/>
          <w:color w:val="auto"/>
        </w:rPr>
        <w:t>Our federal and state net operating losses at December 31, 2014 included $43.3 million and $9.0 million, respectively, of income tax deductions in excess of previously recorded tax benefits. Although these additional tax deductions are included in the net operating losses referenced above, the related tax benefit will not be recognized until the deductions reduce our income taxes payable. The tax benefit of these excess deductions will be reflected as a credit to additional paid in capital when recognized. Accordingly, our deferred tax assets are reported net of the excess tax deductions for stock compensation and Section 382 limitations.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339" w:lineRule="auto"/>
        <w:rPr>
          <w:sz w:val="20"/>
          <w:szCs w:val="20"/>
          <w:color w:val="auto"/>
        </w:rPr>
      </w:pPr>
      <w:r>
        <w:rPr>
          <w:rFonts w:ascii="Times New Roman" w:cs="Times New Roman" w:eastAsia="Times New Roman" w:hAnsi="Times New Roman"/>
          <w:sz w:val="16"/>
          <w:szCs w:val="16"/>
          <w:color w:val="auto"/>
        </w:rPr>
        <w:t>As of December 31, 2014 we had federal research and development credit carryforwards, net of Section 383 limitations, of $532,000, which, if not utilized, will begin to expire in 2030. We had state research and development credit carryforwards of $171,000, which, if not utilized, will begin to expire in 2025.</w:t>
      </w:r>
    </w:p>
    <w:p>
      <w:pPr>
        <w:spacing w:after="0" w:line="74"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As of December 31, 2014, we had a valuation allowance against our deferred tax assets of $1.1 million. The valuation allowance is established for various state net operating loss and credit carryforwards that we do not expect to utilize based on our current expectations of future state taxable income.</w:t>
      </w:r>
    </w:p>
    <w:p>
      <w:pPr>
        <w:spacing w:after="0" w:line="120"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As of December 31, 2014 and 2013, we had income tax receivables of $31,000 and $26,000, respectively, which were included in other current assets on the consolidated balance sheets.</w:t>
      </w:r>
    </w:p>
    <w:p>
      <w:pPr>
        <w:spacing w:after="0" w:line="120"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We are subject to income taxes in the U.S. federal and various state and international jurisdictions. We are generally subject to U.S. federal and state tax examinations for all prior tax years due to our net operating loss carryforwards and the utilization of the carryforwards in years still open under statute. As of December 31, 2014, we are not under any income tax audits by tax authorities.</w:t>
      </w:r>
    </w:p>
    <w:p>
      <w:pPr>
        <w:spacing w:after="0" w:line="132" w:lineRule="exact"/>
        <w:rPr>
          <w:sz w:val="20"/>
          <w:szCs w:val="20"/>
          <w:color w:val="auto"/>
        </w:rPr>
      </w:pPr>
    </w:p>
    <w:p>
      <w:pPr>
        <w:ind w:right="60" w:firstLine="456"/>
        <w:spacing w:after="0" w:line="339" w:lineRule="auto"/>
        <w:rPr>
          <w:sz w:val="20"/>
          <w:szCs w:val="20"/>
          <w:color w:val="auto"/>
        </w:rPr>
      </w:pPr>
      <w:r>
        <w:rPr>
          <w:rFonts w:ascii="Times New Roman" w:cs="Times New Roman" w:eastAsia="Times New Roman" w:hAnsi="Times New Roman"/>
          <w:sz w:val="16"/>
          <w:szCs w:val="16"/>
          <w:color w:val="auto"/>
        </w:rPr>
        <w:t>As of December 31, 2014, we do not have any unrecognized tax benefits. It is our practice to recognize interest and penalties accrued on any unrecognized tax benefits as a component of income tax expense. We do not expect any material changes in our unrecognized tax positions over the next 12 months.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L – Net Income Per Share</w:t>
      </w:r>
    </w:p>
    <w:p>
      <w:pPr>
        <w:spacing w:after="0" w:line="92"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components of the computation of basic and diluted net income per share for the periods indicated (in thousands, except per share amounts):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5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5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16,236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15,201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13,056</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Restricted stock units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r>
      <w:tr>
        <w:trPr>
          <w:trHeight w:val="223"/>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17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16,814</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15,931</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13,910</w:t>
            </w:r>
          </w:p>
        </w:tc>
        <w:tc>
          <w:tcPr>
            <w:tcW w:w="10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0.16</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For the years ended December 31, 2014 and 2013, the effect of approximately 126,000 and 1,000 outstanding potential common shares, respectively, were excluded from the calculation of diluted net income per share because they were anti-dilutive. For the year ended December 31, 2012, the effect of all outstanding potential common shares was included in the calculation of diluted net income per share.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M – Retirement Savings Plan</w:t>
      </w:r>
    </w:p>
    <w:p>
      <w:pPr>
        <w:spacing w:after="0" w:line="92" w:lineRule="exact"/>
        <w:rPr>
          <w:sz w:val="20"/>
          <w:szCs w:val="20"/>
          <w:color w:val="auto"/>
        </w:rPr>
      </w:pPr>
    </w:p>
    <w:p>
      <w:pPr>
        <w:ind w:right="160" w:firstLine="456"/>
        <w:spacing w:after="0" w:line="310" w:lineRule="auto"/>
        <w:rPr>
          <w:sz w:val="20"/>
          <w:szCs w:val="20"/>
          <w:color w:val="auto"/>
        </w:rPr>
      </w:pPr>
      <w:r>
        <w:rPr>
          <w:rFonts w:ascii="Times New Roman" w:cs="Times New Roman" w:eastAsia="Times New Roman" w:hAnsi="Times New Roman"/>
          <w:sz w:val="16"/>
          <w:szCs w:val="16"/>
          <w:color w:val="auto"/>
        </w:rPr>
        <w:t>We sponsor a 401(k) retirement savings plan for our employees. Employees can contribute up to 100% of their compensation, subject to the limits established by law. The company will match 25% of the employee’s contribution up to the first 6% of pre-tax annual compensation. Our matching contributions to the plan, which vest immediately, were $733,000, $522,000 and $372,000 for the years ended December 31, 2014, 2013 and 2012, respectively.</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00"/>
          </w:cols>
          <w:pgMar w:left="240" w:top="455" w:right="2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N – Selected Quarterly Financial Data (Unaudited)</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presents our selected unaudited quarterly statements of comprehensive income data (in thousands, except per share amounts):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32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Borders>
              <w:bottom w:val="single" w:sz="8" w:color="auto"/>
            </w:tcBorders>
            <w:vMerge w:val="continue"/>
          </w:tcPr>
          <w:p>
            <w:pPr>
              <w:spacing w:after="0"/>
              <w:rPr>
                <w:sz w:val="12"/>
                <w:szCs w:val="12"/>
                <w:color w:val="auto"/>
              </w:rPr>
            </w:pPr>
          </w:p>
        </w:tc>
        <w:tc>
          <w:tcPr>
            <w:tcW w:w="32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80" w:type="dxa"/>
            <w:vAlign w:val="bottom"/>
          </w:tcPr>
          <w:p>
            <w:pPr>
              <w:jc w:val="right"/>
              <w:ind w:right="2"/>
              <w:spacing w:after="0" w:line="129" w:lineRule="exact"/>
              <w:rPr>
                <w:sz w:val="20"/>
                <w:szCs w:val="20"/>
                <w:color w:val="auto"/>
              </w:rPr>
            </w:pPr>
            <w:r>
              <w:rPr>
                <w:rFonts w:ascii="Times New Roman" w:cs="Times New Roman" w:eastAsia="Times New Roman" w:hAnsi="Times New Roman"/>
                <w:sz w:val="14"/>
                <w:szCs w:val="14"/>
                <w:b w:val="1"/>
                <w:bCs w:val="1"/>
                <w:color w:val="auto"/>
              </w:rPr>
              <w:t>Mar 31</w:t>
            </w:r>
          </w:p>
        </w:tc>
        <w:tc>
          <w:tcPr>
            <w:tcW w:w="520" w:type="dxa"/>
            <w:vAlign w:val="bottom"/>
          </w:tcPr>
          <w:p>
            <w:pPr>
              <w:spacing w:after="0"/>
              <w:rPr>
                <w:sz w:val="12"/>
                <w:szCs w:val="12"/>
                <w:color w:val="auto"/>
              </w:rPr>
            </w:pPr>
          </w:p>
        </w:tc>
        <w:tc>
          <w:tcPr>
            <w:tcW w:w="110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Jun 30</w:t>
            </w:r>
          </w:p>
        </w:tc>
        <w:tc>
          <w:tcPr>
            <w:tcW w:w="108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Sep 30</w:t>
            </w:r>
          </w:p>
        </w:tc>
        <w:tc>
          <w:tcPr>
            <w:tcW w:w="580" w:type="dxa"/>
            <w:vAlign w:val="bottom"/>
          </w:tcPr>
          <w:p>
            <w:pPr>
              <w:jc w:val="right"/>
              <w:ind w:right="16"/>
              <w:spacing w:after="0" w:line="129" w:lineRule="exact"/>
              <w:rPr>
                <w:sz w:val="20"/>
                <w:szCs w:val="20"/>
                <w:color w:val="auto"/>
              </w:rPr>
            </w:pPr>
            <w:r>
              <w:rPr>
                <w:rFonts w:ascii="Times New Roman" w:cs="Times New Roman" w:eastAsia="Times New Roman" w:hAnsi="Times New Roman"/>
                <w:sz w:val="14"/>
                <w:szCs w:val="14"/>
                <w:b w:val="1"/>
                <w:bCs w:val="1"/>
                <w:color w:val="auto"/>
              </w:rPr>
              <w:t>Dec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Revenues</w:t>
            </w:r>
          </w:p>
        </w:tc>
        <w:tc>
          <w:tcPr>
            <w:tcW w:w="30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$28,939</w:t>
            </w: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$31,100</w:t>
            </w: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$32,506</w:t>
            </w:r>
          </w:p>
        </w:tc>
        <w:tc>
          <w:tcPr>
            <w:tcW w:w="5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$35,402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19,684</w:t>
            </w:r>
          </w:p>
        </w:tc>
        <w:tc>
          <w:tcPr>
            <w:tcW w:w="16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21,473</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22,536</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6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1,014</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1,354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6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639</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838</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6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0.04</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0.05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32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0" w:type="dxa"/>
            <w:vAlign w:val="bottom"/>
            <w:tcBorders>
              <w:bottom w:val="single" w:sz="8" w:color="auto"/>
            </w:tcBorders>
            <w:vMerge w:val="continue"/>
          </w:tcPr>
          <w:p>
            <w:pPr>
              <w:spacing w:after="0"/>
              <w:rPr>
                <w:sz w:val="12"/>
                <w:szCs w:val="12"/>
                <w:color w:val="auto"/>
              </w:rPr>
            </w:pPr>
          </w:p>
        </w:tc>
        <w:tc>
          <w:tcPr>
            <w:tcW w:w="32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80" w:type="dxa"/>
            <w:vAlign w:val="bottom"/>
          </w:tcPr>
          <w:p>
            <w:pPr>
              <w:jc w:val="right"/>
              <w:ind w:right="2"/>
              <w:spacing w:after="0" w:line="129" w:lineRule="exact"/>
              <w:rPr>
                <w:sz w:val="20"/>
                <w:szCs w:val="20"/>
                <w:color w:val="auto"/>
              </w:rPr>
            </w:pPr>
            <w:r>
              <w:rPr>
                <w:rFonts w:ascii="Times New Roman" w:cs="Times New Roman" w:eastAsia="Times New Roman" w:hAnsi="Times New Roman"/>
                <w:sz w:val="14"/>
                <w:szCs w:val="14"/>
                <w:b w:val="1"/>
                <w:bCs w:val="1"/>
                <w:color w:val="auto"/>
              </w:rPr>
              <w:t>Mar 31</w:t>
            </w:r>
          </w:p>
        </w:tc>
        <w:tc>
          <w:tcPr>
            <w:tcW w:w="520" w:type="dxa"/>
            <w:vAlign w:val="bottom"/>
          </w:tcPr>
          <w:p>
            <w:pPr>
              <w:spacing w:after="0"/>
              <w:rPr>
                <w:sz w:val="12"/>
                <w:szCs w:val="12"/>
                <w:color w:val="auto"/>
              </w:rPr>
            </w:pPr>
          </w:p>
        </w:tc>
        <w:tc>
          <w:tcPr>
            <w:tcW w:w="110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Jun 30</w:t>
            </w:r>
          </w:p>
        </w:tc>
        <w:tc>
          <w:tcPr>
            <w:tcW w:w="108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Sep 30</w:t>
            </w:r>
          </w:p>
        </w:tc>
        <w:tc>
          <w:tcPr>
            <w:tcW w:w="580" w:type="dxa"/>
            <w:vAlign w:val="bottom"/>
          </w:tcPr>
          <w:p>
            <w:pPr>
              <w:jc w:val="right"/>
              <w:ind w:right="16"/>
              <w:spacing w:after="0" w:line="129" w:lineRule="exact"/>
              <w:rPr>
                <w:sz w:val="20"/>
                <w:szCs w:val="20"/>
                <w:color w:val="auto"/>
              </w:rPr>
            </w:pPr>
            <w:r>
              <w:rPr>
                <w:rFonts w:ascii="Times New Roman" w:cs="Times New Roman" w:eastAsia="Times New Roman" w:hAnsi="Times New Roman"/>
                <w:sz w:val="14"/>
                <w:szCs w:val="14"/>
                <w:b w:val="1"/>
                <w:bCs w:val="1"/>
                <w:color w:val="auto"/>
              </w:rPr>
              <w:t>Dec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Revenues</w:t>
            </w:r>
          </w:p>
        </w:tc>
        <w:tc>
          <w:tcPr>
            <w:tcW w:w="30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$23,752</w:t>
            </w: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$25,658</w:t>
            </w: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$27,008</w:t>
            </w:r>
          </w:p>
        </w:tc>
        <w:tc>
          <w:tcPr>
            <w:tcW w:w="5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$27,973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16,686</w:t>
            </w:r>
          </w:p>
        </w:tc>
        <w:tc>
          <w:tcPr>
            <w:tcW w:w="16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17,715</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18,759</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483</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371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288</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270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0.02</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0.02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02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rPr>
              <w:t>69</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5" w:right="69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8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i w:val="1"/>
          <w:iCs w:val="1"/>
          <w:color w:val="auto"/>
        </w:rPr>
        <w:t>Controls and Procedures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92"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We evaluated the effectiveness of the design and operation of our disclosure controls and procedures as of December 31, 2014, the end of the period covered by this Annual Report on Form 10-K. This evaluation was done under the supervision and with the participation of management, including our Chief Executive Officer (“CEO”) and Chief Financial Officer (“CFO”). Disclosure controls and procedures means controls and other procedures that are designed to provide reasonable assurance that information required to be disclosed in the reports that we file or submit under the Securities and Exchange Act of 1934, as amended (the “Exchange Act”), such as this Annual Report on Form 10-K, is recorded, processed, summarized and reported within the time periods specified in the rules and forms of the Securities and Exchange Commission (“SEC”). Disclosure controls and procedures include, without limitation, controls and procedures designed such that information is accumulated and communicated to our management, including our CEO and CFO, as appropriate to allow timely decisions regarding required disclosure. Based on this evaluation, our CEO and CFO have concluded that as of December 31, 2014, our disclosure controls and procedures were effective.</w:t>
      </w:r>
    </w:p>
    <w:p>
      <w:pPr>
        <w:spacing w:after="0" w:line="143"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In the fourth quarter of 2014, we acquired the net assets of Leadtec Systems Australia Pty Ltd (“Leadtec”), and its affiliates, Advanced Barcode Solutions Pty Ltd, Scott Needham and Leading Technology Group Pty Ltd. Leadtec represented approximately 2% of our total consolidated assets and 1% of our consolidated revenues as of and for the year ended December 31, 2014. As the acquisition occurred in the fourth quarter of 2014, the scope of our assessment of the effectiveness of internal control over financial reporting does not include Leadtec. This exclusion is in accordance with the SEC’s general guidance that an assessment of a recently acquired business may be omitted from our scope in the year of acquisition.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our principal executive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58" w:lineRule="exact"/>
        <w:rPr>
          <w:sz w:val="20"/>
          <w:szCs w:val="20"/>
          <w:color w:val="auto"/>
        </w:rPr>
      </w:pPr>
    </w:p>
    <w:p>
      <w:pPr>
        <w:ind w:left="660" w:hanging="20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90" w:lineRule="exact"/>
        <w:rPr>
          <w:rFonts w:ascii="Times New Roman" w:cs="Times New Roman" w:eastAsia="Times New Roman" w:hAnsi="Times New Roman"/>
          <w:sz w:val="18"/>
          <w:szCs w:val="18"/>
          <w:color w:val="auto"/>
        </w:rPr>
      </w:pPr>
    </w:p>
    <w:p>
      <w:pPr>
        <w:ind w:left="660" w:right="240" w:hanging="206"/>
        <w:spacing w:after="0" w:line="26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51" w:lineRule="exact"/>
        <w:rPr>
          <w:rFonts w:ascii="Times New Roman" w:cs="Times New Roman" w:eastAsia="Times New Roman" w:hAnsi="Times New Roman"/>
          <w:sz w:val="18"/>
          <w:szCs w:val="18"/>
          <w:color w:val="auto"/>
        </w:rPr>
      </w:pPr>
    </w:p>
    <w:p>
      <w:pPr>
        <w:ind w:left="660" w:right="360" w:hanging="206"/>
        <w:spacing w:after="0" w:line="275"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20"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firstLine="456"/>
        <w:spacing w:after="0" w:line="301" w:lineRule="auto"/>
        <w:rPr>
          <w:sz w:val="20"/>
          <w:szCs w:val="20"/>
          <w:color w:val="auto"/>
        </w:rPr>
      </w:pPr>
      <w:r>
        <w:rPr>
          <w:rFonts w:ascii="Times New Roman" w:cs="Times New Roman" w:eastAsia="Times New Roman" w:hAnsi="Times New Roman"/>
          <w:sz w:val="16"/>
          <w:szCs w:val="16"/>
          <w:color w:val="auto"/>
        </w:rPr>
        <w:t xml:space="preserve">Under the supervision and with the participation of management, including our principal executive and financial officers, we assessed our internal control over financial reporting as of December 31, 2014, based on criteria for effective internal control over financial reporting established in </w:t>
      </w:r>
      <w:r>
        <w:rPr>
          <w:rFonts w:ascii="Times New Roman" w:cs="Times New Roman" w:eastAsia="Times New Roman" w:hAnsi="Times New Roman"/>
          <w:sz w:val="16"/>
          <w:szCs w:val="16"/>
          <w:i w:val="1"/>
          <w:iCs w:val="1"/>
          <w:color w:val="auto"/>
        </w:rPr>
        <w:t>Internal Control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Integrated Framework (1992) </w:t>
      </w:r>
      <w:r>
        <w:rPr>
          <w:rFonts w:ascii="Times New Roman" w:cs="Times New Roman" w:eastAsia="Times New Roman" w:hAnsi="Times New Roman"/>
          <w:sz w:val="16"/>
          <w:szCs w:val="16"/>
          <w:color w:val="auto"/>
        </w:rPr>
        <w:t>issued by the Committee of Sponsoring Organizations of the Treadway Commission (COSO). Based on this assessment,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management concluded that we maintained effective internal control over financial reporting as of December 31, 2014 based on the specified criteria.</w:t>
      </w:r>
    </w:p>
    <w:p>
      <w:pPr>
        <w:spacing w:after="0" w:line="103"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2014 has been audited by KPMG LLP, our independent registered public accounting firm, as stated in their report, which is included under Item 8 of this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2"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most recent fiscal quarter ended December 31, 2014 that have materially affected, or are reasonably likely to materially affect, our internal control over financial reporting.</w:t>
      </w:r>
    </w:p>
    <w:p>
      <w:pPr>
        <w:spacing w:after="0" w:line="23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i w:val="1"/>
          <w:iCs w:val="1"/>
          <w:color w:val="auto"/>
        </w:rPr>
        <w:t>Other Information</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8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i w:val="1"/>
          <w:iCs w:val="1"/>
          <w:color w:val="auto"/>
        </w:rPr>
        <w:t>Directors, Executive Officers and Corporate Governance</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with respect to executive officers is contained in Item 1 of this Annual Report on Form 10-K under the heading “Executive Officers” and with respect to other information relating to our directors and executive officers will be set forth in our 2015 Proxy Statement under the caption “Item 1 — Election of Directors,” which will be filed no later than 120 days after the end of the fiscal year covered by this Annual Report on Form 10-K, and is incorporated herein by reference.</w:t>
      </w:r>
    </w:p>
    <w:p>
      <w:pPr>
        <w:spacing w:after="0" w:line="136"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under Item 405 of Regulation S-K is incorporated herein by reference to the section titled “Section 16(a) Beneficial Ownership Reporting Compliance” of our 2015 Proxy Statement, which will be filed no later than 120 days after the end of the fiscal year covered by this Annual Report on Form 10-K.</w:t>
      </w:r>
    </w:p>
    <w:p>
      <w:pPr>
        <w:spacing w:after="0" w:line="132"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under Item 407(d)(4) and (d)(5) of Regulation S-K is incorporated herein by reference to the section titled “Information Regarding the Board of Directors and Corporate Governance — Board Committees — Audit Committee” of our 2015 Proxy Statement, which will be filed no later than 120 days after the end of the fiscal year covered by this Annual Report on Form 10-K.</w:t>
      </w:r>
    </w:p>
    <w:p>
      <w:pPr>
        <w:spacing w:after="0" w:line="13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applicable to our directors, officers (including our principal executive officer and principal financial officer) and employees. The Code of Business Conduct is available on our website at </w:t>
      </w:r>
      <w:r>
        <w:rPr>
          <w:rFonts w:ascii="Times New Roman" w:cs="Times New Roman" w:eastAsia="Times New Roman" w:hAnsi="Times New Roman"/>
          <w:sz w:val="18"/>
          <w:szCs w:val="18"/>
          <w:i w:val="1"/>
          <w:iCs w:val="1"/>
          <w:color w:val="auto"/>
        </w:rPr>
        <w:t>www.spscommerce.com</w:t>
      </w:r>
      <w:r>
        <w:rPr>
          <w:rFonts w:ascii="Times New Roman" w:cs="Times New Roman" w:eastAsia="Times New Roman" w:hAnsi="Times New Roman"/>
          <w:sz w:val="18"/>
          <w:szCs w:val="18"/>
          <w:color w:val="auto"/>
        </w:rPr>
        <w:t xml:space="preserve"> under the Investor Relations section. We plan to post on our website at the address described above any future amendments or waivers of our Code of Conduct.</w:t>
      </w:r>
    </w:p>
    <w:p>
      <w:pPr>
        <w:spacing w:after="0" w:line="25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i w:val="1"/>
          <w:iCs w:val="1"/>
          <w:color w:val="auto"/>
        </w:rPr>
        <w:t>Executive Compensation</w:t>
      </w:r>
    </w:p>
    <w:p>
      <w:pPr>
        <w:spacing w:after="0" w:line="94"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titled “Executive Compensation,” and “Certain Relationships and Related Transactions — Compensation Committee Interlocks and Insider Participation” of our 2015 Proxy Statement, which will be filed no later than 120 days after the end of the fiscal year covered by this Annual Report on Form 10-K.</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455" w:right="2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The information related to security ownership required by this item is incorporated herein by reference to the section titled “Security Ownership” of our 2015 Proxy Statement, which will be filed no later than 120 days after the end of the fiscal year covered by this Annual Report on Form 10-K.</w:t>
      </w:r>
    </w:p>
    <w:p>
      <w:pPr>
        <w:spacing w:after="0" w:line="120"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information related to our equity compensation plans required by this item is incorporated herein by reference to the section titled “Executive Compensation — Outstanding Equity Awards” of our 2015 Proxy Statement, which will be filed no later than 120 days after the end of the fiscal year covered by this Annual Report on Form 10-K.</w:t>
      </w:r>
    </w:p>
    <w:p>
      <w:pPr>
        <w:spacing w:after="0" w:line="25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i w:val="1"/>
          <w:iCs w:val="1"/>
          <w:color w:val="auto"/>
        </w:rPr>
        <w:t>Certain Relationships and Related Transactions, and Director Independence</w:t>
      </w:r>
    </w:p>
    <w:p>
      <w:pPr>
        <w:spacing w:after="0" w:line="94"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titled “Certain Relationships and Related Transactions,” and “Information Regarding the Board of Directors and Corporate Governance — Director Independence” of our 2015 Proxy Statement, which will be filed no later than 120 days after the end of the fiscal year covered by this Annual Report on Form 10-K.</w:t>
      </w:r>
    </w:p>
    <w:p>
      <w:pPr>
        <w:spacing w:after="0" w:line="25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i w:val="1"/>
          <w:iCs w:val="1"/>
          <w:color w:val="auto"/>
        </w:rPr>
        <w:t>Principal Accounting Fees and Services</w:t>
      </w:r>
    </w:p>
    <w:p>
      <w:pPr>
        <w:spacing w:after="0" w:line="94"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titled “Audit Committee Report and Payment of Fees to Our Independent Auditor” of our 2015 Proxy Statement, which will be filed no later than 120 days after the end of the fiscal year covered by this Annual Report on Form 10-K.</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8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i w:val="1"/>
          <w:iCs w:val="1"/>
          <w:color w:val="auto"/>
        </w:rPr>
        <w:t>Exhibits, Financial Statement Schedules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documents are filed as a part of this Annual Report on Form 10-K:</w:t>
      </w:r>
    </w:p>
    <w:p>
      <w:pPr>
        <w:spacing w:after="0" w:line="90" w:lineRule="exact"/>
        <w:rPr>
          <w:sz w:val="20"/>
          <w:szCs w:val="20"/>
          <w:color w:val="auto"/>
        </w:rPr>
      </w:pPr>
    </w:p>
    <w:p>
      <w:pPr>
        <w:ind w:left="1140" w:hanging="237"/>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financial statements filed as a part of this report are listed in Part II, Item 8.</w:t>
      </w:r>
    </w:p>
    <w:p>
      <w:pPr>
        <w:spacing w:after="0" w:line="90" w:lineRule="exact"/>
        <w:rPr>
          <w:rFonts w:ascii="Times New Roman" w:cs="Times New Roman" w:eastAsia="Times New Roman" w:hAnsi="Times New Roman"/>
          <w:sz w:val="18"/>
          <w:szCs w:val="18"/>
          <w:color w:val="auto"/>
        </w:rPr>
      </w:pPr>
    </w:p>
    <w:p>
      <w:pPr>
        <w:ind w:left="460" w:right="400" w:firstLine="443"/>
        <w:spacing w:after="0" w:line="275" w:lineRule="auto"/>
        <w:tabs>
          <w:tab w:leader="none" w:pos="114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The schedules are either not applicable or the required information is presented in the consolidated financial statements or notes thereto.</w:t>
      </w:r>
    </w:p>
    <w:p>
      <w:pPr>
        <w:spacing w:after="0" w:line="38" w:lineRule="exact"/>
        <w:rPr>
          <w:rFonts w:ascii="Times New Roman" w:cs="Times New Roman" w:eastAsia="Times New Roman" w:hAnsi="Times New Roman"/>
          <w:sz w:val="18"/>
          <w:szCs w:val="18"/>
          <w:color w:val="auto"/>
        </w:rPr>
      </w:pPr>
    </w:p>
    <w:p>
      <w:pPr>
        <w:ind w:left="460" w:firstLine="443"/>
        <w:spacing w:after="0" w:line="275" w:lineRule="auto"/>
        <w:tabs>
          <w:tab w:leader="none" w:pos="113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incorporated by reference or filed as a part of this Annual Report on Form 10-K are listed in the Exhibit Index immediately following the signatures to this report.</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455" w:right="2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20, 2015</w:t>
      </w:r>
    </w:p>
    <w:p>
      <w:pPr>
        <w:spacing w:after="0" w:line="2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SPS COMMERCE, INC.</w:t>
      </w:r>
    </w:p>
    <w:p>
      <w:pPr>
        <w:spacing w:after="0" w:line="227" w:lineRule="exact"/>
        <w:rPr>
          <w:sz w:val="20"/>
          <w:szCs w:val="20"/>
          <w:color w:val="auto"/>
        </w:rPr>
      </w:pPr>
    </w:p>
    <w:p>
      <w:pPr>
        <w:ind w:left="6860"/>
        <w:spacing w:after="0"/>
        <w:tabs>
          <w:tab w:leader="none" w:pos="754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6"/>
          <w:szCs w:val="16"/>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Archie C. Black</w:t>
      </w:r>
    </w:p>
    <w:p>
      <w:pPr>
        <w:spacing w:after="0" w:line="2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5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Each of the undersigned hereby appoints Archie C. Black and Kimberly K. Nelson, and each of them (with full power to act alone), as attorneys and agents for the undersigned, with full power of substitution, for and in the name, place and stead of the undersigned, to sign and file with the Securities and Exchange Commission under the Securities Act of 1934, any and all amendments and exhibits to this annual report on Form 10-K and any and all applications, instruments, and other documents to be filed with the Securities and Exchange Commission pertaining to this annual report on Form 10-K or any amendments thereto, with full power and authority to do and perform any and all acts and things whatsoever requisite and necessary or desirable. Pursuant to the requirements of the Securities Exchange Act of 1934, this report has been signed below by the following persons on behalf of the registrant and in the capacities indicated on February 20, 2015.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Name and Signature</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580" w:type="dxa"/>
            <w:vAlign w:val="bottom"/>
            <w:gridSpan w:val="3"/>
          </w:tcPr>
          <w:p>
            <w:pPr>
              <w:jc w:val="center"/>
              <w:ind w:left="174"/>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20"/>
        </w:trPr>
        <w:tc>
          <w:tcPr>
            <w:tcW w:w="2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424"/>
        </w:trPr>
        <w:tc>
          <w:tcPr>
            <w:tcW w:w="2060" w:type="dxa"/>
            <w:vAlign w:val="bottom"/>
            <w:tcBorders>
              <w:bottom w:val="single" w:sz="8" w:color="auto"/>
            </w:tcBorders>
            <w:gridSpan w:val="2"/>
          </w:tcPr>
          <w:p>
            <w:pPr>
              <w:ind w:left="1820"/>
              <w:spacing w:after="0"/>
              <w:rPr>
                <w:sz w:val="20"/>
                <w:szCs w:val="20"/>
                <w:color w:val="auto"/>
              </w:rPr>
            </w:pPr>
            <w:r>
              <w:rPr>
                <w:rFonts w:ascii="Times New Roman" w:cs="Times New Roman" w:eastAsia="Times New Roman" w:hAnsi="Times New Roman"/>
                <w:sz w:val="18"/>
                <w:szCs w:val="18"/>
                <w:color w:val="auto"/>
              </w:rPr>
              <w:t>/s/</w:t>
            </w:r>
          </w:p>
        </w:tc>
        <w:tc>
          <w:tcPr>
            <w:tcW w:w="2680" w:type="dxa"/>
            <w:vAlign w:val="bottom"/>
            <w:tcBorders>
              <w:bottom w:val="single" w:sz="8" w:color="auto"/>
            </w:tcBorders>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7"/>
              </w:rPr>
              <w:t>ARCHIE C. BLACK</w:t>
            </w:r>
          </w:p>
        </w:tc>
        <w:tc>
          <w:tcPr>
            <w:tcW w:w="1080" w:type="dxa"/>
            <w:vAlign w:val="bottom"/>
            <w:tcBorders>
              <w:bottom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4"/>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4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color w:val="auto"/>
                <w:w w:val="96"/>
              </w:rPr>
              <w:t>Archie C. Black</w:t>
            </w:r>
          </w:p>
        </w:tc>
        <w:tc>
          <w:tcPr>
            <w:tcW w:w="1080" w:type="dxa"/>
            <w:vAlign w:val="bottom"/>
          </w:tcPr>
          <w:p>
            <w:pPr>
              <w:spacing w:after="0"/>
              <w:rPr>
                <w:sz w:val="19"/>
                <w:szCs w:val="19"/>
                <w:color w:val="auto"/>
              </w:rPr>
            </w:pPr>
          </w:p>
        </w:tc>
        <w:tc>
          <w:tcPr>
            <w:tcW w:w="5580" w:type="dxa"/>
            <w:vAlign w:val="bottom"/>
            <w:gridSpan w:val="3"/>
          </w:tcPr>
          <w:p>
            <w:pPr>
              <w:jc w:val="center"/>
              <w:ind w:left="174"/>
              <w:spacing w:after="0"/>
              <w:rPr>
                <w:sz w:val="20"/>
                <w:szCs w:val="20"/>
                <w:color w:val="auto"/>
              </w:rPr>
            </w:pPr>
            <w:r>
              <w:rPr>
                <w:rFonts w:ascii="Times New Roman" w:cs="Times New Roman" w:eastAsia="Times New Roman" w:hAnsi="Times New Roman"/>
                <w:sz w:val="18"/>
                <w:szCs w:val="18"/>
                <w:i w:val="1"/>
                <w:iCs w:val="1"/>
                <w:color w:val="auto"/>
                <w:w w:val="96"/>
              </w:rPr>
              <w:t>Chief Executive Officer, President and Director (principal executive officer)</w:t>
            </w:r>
          </w:p>
        </w:tc>
      </w:tr>
      <w:tr>
        <w:trPr>
          <w:trHeight w:val="433"/>
        </w:trPr>
        <w:tc>
          <w:tcPr>
            <w:tcW w:w="194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/s/</w:t>
            </w:r>
          </w:p>
        </w:tc>
        <w:tc>
          <w:tcPr>
            <w:tcW w:w="2800" w:type="dxa"/>
            <w:vAlign w:val="bottom"/>
            <w:tcBorders>
              <w:bottom w:val="single" w:sz="8" w:color="auto"/>
            </w:tcBorders>
            <w:gridSpan w:val="4"/>
          </w:tcPr>
          <w:p>
            <w:pPr>
              <w:jc w:val="center"/>
              <w:ind w:right="860"/>
              <w:spacing w:after="0"/>
              <w:rPr>
                <w:sz w:val="20"/>
                <w:szCs w:val="20"/>
                <w:color w:val="auto"/>
              </w:rPr>
            </w:pPr>
            <w:r>
              <w:rPr>
                <w:rFonts w:ascii="Times New Roman" w:cs="Times New Roman" w:eastAsia="Times New Roman" w:hAnsi="Times New Roman"/>
                <w:sz w:val="18"/>
                <w:szCs w:val="18"/>
                <w:color w:val="auto"/>
                <w:w w:val="97"/>
              </w:rPr>
              <w:t>KIMBERLY K. NELSON</w:t>
            </w:r>
          </w:p>
        </w:tc>
        <w:tc>
          <w:tcPr>
            <w:tcW w:w="108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Times New Roman" w:cs="Times New Roman" w:eastAsia="Times New Roman" w:hAnsi="Times New Roman"/>
                <w:sz w:val="18"/>
                <w:szCs w:val="18"/>
                <w:i w:val="1"/>
                <w:iCs w:val="1"/>
                <w:color w:val="auto"/>
                <w:w w:val="97"/>
              </w:rPr>
              <w:t>Executive Vice President and Chief Financial Officer (principal financial</w:t>
            </w:r>
          </w:p>
        </w:tc>
      </w:tr>
      <w:tr>
        <w:trPr>
          <w:trHeight w:val="222"/>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8"/>
              </w:rPr>
              <w:t>Kimberly K. Nelson</w:t>
            </w:r>
          </w:p>
        </w:tc>
        <w:tc>
          <w:tcPr>
            <w:tcW w:w="1080" w:type="dxa"/>
            <w:vAlign w:val="bottom"/>
          </w:tcPr>
          <w:p>
            <w:pPr>
              <w:spacing w:after="0"/>
              <w:rPr>
                <w:sz w:val="19"/>
                <w:szCs w:val="19"/>
                <w:color w:val="auto"/>
              </w:rPr>
            </w:pPr>
          </w:p>
        </w:tc>
        <w:tc>
          <w:tcPr>
            <w:tcW w:w="5580" w:type="dxa"/>
            <w:vAlign w:val="bottom"/>
            <w:gridSpan w:val="3"/>
          </w:tcPr>
          <w:p>
            <w:pPr>
              <w:jc w:val="center"/>
              <w:ind w:left="174"/>
              <w:spacing w:after="0"/>
              <w:rPr>
                <w:sz w:val="20"/>
                <w:szCs w:val="20"/>
                <w:color w:val="auto"/>
              </w:rPr>
            </w:pPr>
            <w:r>
              <w:rPr>
                <w:rFonts w:ascii="Times New Roman" w:cs="Times New Roman" w:eastAsia="Times New Roman" w:hAnsi="Times New Roman"/>
                <w:sz w:val="18"/>
                <w:szCs w:val="18"/>
                <w:i w:val="1"/>
                <w:iCs w:val="1"/>
                <w:color w:val="auto"/>
                <w:w w:val="97"/>
              </w:rPr>
              <w:t>and accounting officer)</w:t>
            </w:r>
          </w:p>
        </w:tc>
      </w:tr>
      <w:tr>
        <w:trPr>
          <w:trHeight w:val="432"/>
        </w:trPr>
        <w:tc>
          <w:tcPr>
            <w:tcW w:w="194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/s/</w:t>
            </w:r>
          </w:p>
        </w:tc>
        <w:tc>
          <w:tcPr>
            <w:tcW w:w="2800" w:type="dxa"/>
            <w:vAlign w:val="bottom"/>
            <w:tcBorders>
              <w:bottom w:val="single" w:sz="8" w:color="auto"/>
            </w:tcBorders>
            <w:gridSpan w:val="4"/>
          </w:tcPr>
          <w:p>
            <w:pPr>
              <w:jc w:val="center"/>
              <w:ind w:right="860"/>
              <w:spacing w:after="0"/>
              <w:rPr>
                <w:sz w:val="20"/>
                <w:szCs w:val="20"/>
                <w:color w:val="auto"/>
              </w:rPr>
            </w:pPr>
            <w:r>
              <w:rPr>
                <w:rFonts w:ascii="Times New Roman" w:cs="Times New Roman" w:eastAsia="Times New Roman" w:hAnsi="Times New Roman"/>
                <w:sz w:val="18"/>
                <w:szCs w:val="18"/>
                <w:color w:val="auto"/>
                <w:w w:val="97"/>
              </w:rPr>
              <w:t>MICHAEL B. GORMAN</w:t>
            </w:r>
          </w:p>
        </w:tc>
        <w:tc>
          <w:tcPr>
            <w:tcW w:w="108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3"/>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7"/>
              </w:rPr>
              <w:t>Michael B. Gorman</w:t>
            </w:r>
          </w:p>
        </w:tc>
        <w:tc>
          <w:tcPr>
            <w:tcW w:w="10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32"/>
        </w:trPr>
        <w:tc>
          <w:tcPr>
            <w:tcW w:w="194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/s/</w:t>
            </w: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6"/>
              </w:rPr>
              <w:t>MARTIN J. LEESTMA</w:t>
            </w:r>
          </w:p>
        </w:tc>
        <w:tc>
          <w:tcPr>
            <w:tcW w:w="108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3"/>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8"/>
              </w:rPr>
              <w:t>Martin J. Leestma</w:t>
            </w:r>
          </w:p>
        </w:tc>
        <w:tc>
          <w:tcPr>
            <w:tcW w:w="10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32"/>
        </w:trPr>
        <w:tc>
          <w:tcPr>
            <w:tcW w:w="1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3"/>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4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color w:val="auto"/>
                <w:w w:val="97"/>
              </w:rPr>
              <w:t>James B. Ramsey</w:t>
            </w:r>
          </w:p>
        </w:tc>
        <w:tc>
          <w:tcPr>
            <w:tcW w:w="10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32"/>
        </w:trPr>
        <w:tc>
          <w:tcPr>
            <w:tcW w:w="194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/s/</w:t>
            </w:r>
          </w:p>
        </w:tc>
        <w:tc>
          <w:tcPr>
            <w:tcW w:w="2800" w:type="dxa"/>
            <w:vAlign w:val="bottom"/>
            <w:tcBorders>
              <w:bottom w:val="single" w:sz="8" w:color="auto"/>
            </w:tcBorders>
            <w:gridSpan w:val="4"/>
          </w:tcPr>
          <w:p>
            <w:pPr>
              <w:jc w:val="center"/>
              <w:ind w:right="860"/>
              <w:spacing w:after="0"/>
              <w:rPr>
                <w:sz w:val="20"/>
                <w:szCs w:val="20"/>
                <w:color w:val="auto"/>
              </w:rPr>
            </w:pPr>
            <w:r>
              <w:rPr>
                <w:rFonts w:ascii="Times New Roman" w:cs="Times New Roman" w:eastAsia="Times New Roman" w:hAnsi="Times New Roman"/>
                <w:sz w:val="18"/>
                <w:szCs w:val="18"/>
                <w:color w:val="auto"/>
                <w:w w:val="97"/>
              </w:rPr>
              <w:t>MICHAEL A. SMERKLO</w:t>
            </w:r>
          </w:p>
        </w:tc>
        <w:tc>
          <w:tcPr>
            <w:tcW w:w="108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3"/>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8"/>
              </w:rPr>
              <w:t>Michael A. Smerklo</w:t>
            </w:r>
          </w:p>
        </w:tc>
        <w:tc>
          <w:tcPr>
            <w:tcW w:w="10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32"/>
        </w:trPr>
        <w:tc>
          <w:tcPr>
            <w:tcW w:w="2060" w:type="dxa"/>
            <w:vAlign w:val="bottom"/>
            <w:tcBorders>
              <w:bottom w:val="single" w:sz="8" w:color="auto"/>
            </w:tcBorders>
            <w:gridSpan w:val="2"/>
          </w:tcPr>
          <w:p>
            <w:pPr>
              <w:ind w:left="1880"/>
              <w:spacing w:after="0"/>
              <w:rPr>
                <w:sz w:val="20"/>
                <w:szCs w:val="20"/>
                <w:color w:val="auto"/>
              </w:rPr>
            </w:pPr>
            <w:r>
              <w:rPr>
                <w:rFonts w:ascii="Times New Roman" w:cs="Times New Roman" w:eastAsia="Times New Roman" w:hAnsi="Times New Roman"/>
                <w:sz w:val="18"/>
                <w:szCs w:val="18"/>
                <w:color w:val="auto"/>
                <w:w w:val="93"/>
              </w:rPr>
              <w:t>/s/</w:t>
            </w:r>
          </w:p>
        </w:tc>
        <w:tc>
          <w:tcPr>
            <w:tcW w:w="2680" w:type="dxa"/>
            <w:vAlign w:val="bottom"/>
            <w:tcBorders>
              <w:bottom w:val="single" w:sz="8" w:color="auto"/>
            </w:tcBorders>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7"/>
              </w:rPr>
              <w:t>PHILIP E. SORAN</w:t>
            </w:r>
          </w:p>
        </w:tc>
        <w:tc>
          <w:tcPr>
            <w:tcW w:w="108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3"/>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4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color w:val="auto"/>
                <w:w w:val="98"/>
              </w:rPr>
              <w:t>Philip E. Soran</w:t>
            </w:r>
          </w:p>
        </w:tc>
        <w:tc>
          <w:tcPr>
            <w:tcW w:w="10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32"/>
        </w:trPr>
        <w:tc>
          <w:tcPr>
            <w:tcW w:w="194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/s/</w:t>
            </w: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6"/>
              </w:rPr>
              <w:t>SVEN A. WEHRWEIN</w:t>
            </w:r>
          </w:p>
        </w:tc>
        <w:tc>
          <w:tcPr>
            <w:tcW w:w="108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3"/>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5"/>
              </w:rPr>
              <w:t>Sven A. Wehrwein</w:t>
            </w:r>
          </w:p>
        </w:tc>
        <w:tc>
          <w:tcPr>
            <w:tcW w:w="10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364"/>
        </w:trPr>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25"/>
        </w:trPr>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gridSpan w:val="2"/>
          </w:tcPr>
          <w:p>
            <w:pPr>
              <w:jc w:val="center"/>
              <w:ind w:right="440"/>
              <w:spacing w:after="0" w:line="125" w:lineRule="exact"/>
              <w:rPr>
                <w:sz w:val="20"/>
                <w:szCs w:val="20"/>
                <w:color w:val="auto"/>
              </w:rPr>
            </w:pPr>
            <w:r>
              <w:rPr>
                <w:rFonts w:ascii="Times New Roman" w:cs="Times New Roman" w:eastAsia="Times New Roman" w:hAnsi="Times New Roman"/>
                <w:sz w:val="14"/>
                <w:szCs w:val="14"/>
                <w:b w:val="1"/>
                <w:bCs w:val="1"/>
                <w:color w:val="auto"/>
                <w:w w:val="97"/>
              </w:rPr>
              <w:t>Date of</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2"/>
        </w:trPr>
        <w:tc>
          <w:tcPr>
            <w:tcW w:w="40" w:type="dxa"/>
            <w:vAlign w:val="bottom"/>
          </w:tcPr>
          <w:p>
            <w:pPr>
              <w:spacing w:after="0"/>
              <w:rPr>
                <w:sz w:val="13"/>
                <w:szCs w:val="13"/>
                <w:color w:val="auto"/>
              </w:rPr>
            </w:pPr>
          </w:p>
        </w:tc>
        <w:tc>
          <w:tcPr>
            <w:tcW w:w="5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2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gridSpan w:val="2"/>
          </w:tcPr>
          <w:p>
            <w:pPr>
              <w:jc w:val="center"/>
              <w:ind w:right="480"/>
              <w:spacing w:after="0" w:line="152" w:lineRule="exact"/>
              <w:rPr>
                <w:sz w:val="20"/>
                <w:szCs w:val="20"/>
                <w:color w:val="auto"/>
              </w:rPr>
            </w:pPr>
            <w:r>
              <w:rPr>
                <w:rFonts w:ascii="Times New Roman" w:cs="Times New Roman" w:eastAsia="Times New Roman" w:hAnsi="Times New Roman"/>
                <w:sz w:val="14"/>
                <w:szCs w:val="14"/>
                <w:b w:val="1"/>
                <w:bCs w:val="1"/>
                <w:color w:val="auto"/>
                <w:w w:val="97"/>
              </w:rPr>
              <w:t>File</w:t>
            </w:r>
          </w:p>
        </w:tc>
        <w:tc>
          <w:tcPr>
            <w:tcW w:w="360" w:type="dxa"/>
            <w:vAlign w:val="bottom"/>
          </w:tcPr>
          <w:p>
            <w:pPr>
              <w:spacing w:after="0"/>
              <w:rPr>
                <w:sz w:val="13"/>
                <w:szCs w:val="13"/>
                <w:color w:val="auto"/>
              </w:rPr>
            </w:pPr>
          </w:p>
        </w:tc>
        <w:tc>
          <w:tcPr>
            <w:tcW w:w="860" w:type="dxa"/>
            <w:vAlign w:val="bottom"/>
            <w:gridSpan w:val="2"/>
          </w:tcPr>
          <w:p>
            <w:pPr>
              <w:jc w:val="center"/>
              <w:ind w:right="440"/>
              <w:spacing w:after="0" w:line="152" w:lineRule="exact"/>
              <w:rPr>
                <w:sz w:val="20"/>
                <w:szCs w:val="20"/>
                <w:color w:val="auto"/>
              </w:rPr>
            </w:pPr>
            <w:r>
              <w:rPr>
                <w:rFonts w:ascii="Times New Roman" w:cs="Times New Roman" w:eastAsia="Times New Roman" w:hAnsi="Times New Roman"/>
                <w:sz w:val="14"/>
                <w:szCs w:val="14"/>
                <w:b w:val="1"/>
                <w:bCs w:val="1"/>
                <w:color w:val="auto"/>
                <w:w w:val="90"/>
              </w:rPr>
              <w:t>First</w:t>
            </w:r>
          </w:p>
        </w:tc>
        <w:tc>
          <w:tcPr>
            <w:tcW w:w="200" w:type="dxa"/>
            <w:vAlign w:val="bottom"/>
          </w:tcPr>
          <w:p>
            <w:pPr>
              <w:spacing w:after="0"/>
              <w:rPr>
                <w:sz w:val="13"/>
                <w:szCs w:val="13"/>
                <w:color w:val="auto"/>
              </w:rPr>
            </w:pPr>
          </w:p>
        </w:tc>
        <w:tc>
          <w:tcPr>
            <w:tcW w:w="5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gridSpan w:val="2"/>
          </w:tcPr>
          <w:p>
            <w:pPr>
              <w:jc w:val="center"/>
              <w:ind w:right="60"/>
              <w:spacing w:after="0" w:line="152" w:lineRule="exact"/>
              <w:rPr>
                <w:sz w:val="20"/>
                <w:szCs w:val="20"/>
                <w:color w:val="auto"/>
              </w:rPr>
            </w:pPr>
            <w:r>
              <w:rPr>
                <w:rFonts w:ascii="Times New Roman" w:cs="Times New Roman" w:eastAsia="Times New Roman" w:hAnsi="Times New Roman"/>
                <w:sz w:val="14"/>
                <w:szCs w:val="14"/>
                <w:b w:val="1"/>
                <w:bCs w:val="1"/>
                <w:color w:val="auto"/>
                <w:w w:val="98"/>
              </w:rPr>
              <w:t>Filed</w:t>
            </w:r>
          </w:p>
        </w:tc>
      </w:tr>
      <w:tr>
        <w:trPr>
          <w:trHeight w:val="169"/>
        </w:trPr>
        <w:tc>
          <w:tcPr>
            <w:tcW w:w="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520" w:type="dxa"/>
            <w:vAlign w:val="bottom"/>
          </w:tcPr>
          <w:p>
            <w:pPr>
              <w:spacing w:after="0"/>
              <w:rPr>
                <w:sz w:val="14"/>
                <w:szCs w:val="14"/>
                <w:color w:val="auto"/>
              </w:rPr>
            </w:pPr>
          </w:p>
        </w:tc>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Exhibit Description</w:t>
            </w:r>
          </w:p>
        </w:tc>
        <w:tc>
          <w:tcPr>
            <w:tcW w:w="2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89"/>
              </w:rPr>
              <w:t>Form</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Filing</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Herewith</w:t>
            </w:r>
          </w:p>
        </w:tc>
        <w:tc>
          <w:tcPr>
            <w:tcW w:w="40" w:type="dxa"/>
            <w:vAlign w:val="bottom"/>
          </w:tcPr>
          <w:p>
            <w:pPr>
              <w:spacing w:after="0"/>
              <w:rPr>
                <w:sz w:val="14"/>
                <w:szCs w:val="14"/>
                <w:color w:val="auto"/>
              </w:rPr>
            </w:pPr>
          </w:p>
        </w:tc>
      </w:tr>
      <w:tr>
        <w:trPr>
          <w:trHeight w:val="31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Asset Purchase Agreement, dated as of May 17, 2011, by and between</w:t>
            </w: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8-K</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001-34702</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05/23/2011</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Direct EDI LLC and the registrant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Asset Purchase Agreement, dated as of August 6, 2012, by and between</w:t>
            </w: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8-K</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001-34702</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08/07/2012</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Edifice Information Management Systems, Inc. and the registrant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Asset Purchase Agreement, dated as of October 12, 2014, by and between</w:t>
            </w: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8-K</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001-34702</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10/14/2014</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Leadtec Systems Australia Pty Ltd, Advanced Barcode Solutions Pty Ltd,</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Scott Needham, Leading Technology Group Pty Ltd, SPS Commerce</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Australia Pty Ltd and SPS Commerce, Inc.</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Amended and Restated Certificate of Incorporation</w:t>
            </w: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S-3</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333-182097</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06/13/2012</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Amended and Restated Bylaws</w:t>
            </w: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333-163476</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03/05/2010</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1999 Equity Incentive Plan**</w:t>
            </w: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333-163476</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01/11/2010</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Option Agreement under 1999 Equity Incentive Plan**</w:t>
            </w: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333-163476</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01/11/2010</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2001 Stock Option Plan**</w:t>
            </w: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333-163476</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01/11/2010</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Incentive Stock Option Agreement under 2001 Stock Option</w:t>
            </w: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333-163476</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01/11/2010</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Plan**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Non-Statutory Stock Option Agreement (Director) under 2001</w:t>
            </w: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333-163476</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01/11/2010</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Stock Option Plan**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2010 Equity Incentive Plan, as amended effective October 29, 2014**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76"/>
              </w:rPr>
              <w:t>X</w:t>
            </w: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Incentive Stock Option Agreement under 2010 Equity Incentive</w:t>
            </w: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8-K</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001-34702</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02/17/2012</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Plan**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Non-Statutory Stock Option Agreement (Employee) under 2010</w:t>
            </w: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8-K</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001-34702</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02/17/2012</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Equity Incentive Plan**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Non-Statutory Stock Option Agreement (Director) under 2010</w:t>
            </w: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8-K</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001-34702</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02/17/2012</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Equity Incentive Plan**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Restricted Stock Unit Award Agreement under 2010 Equity</w:t>
            </w: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8-K</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001-34702</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02/17/2012</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Incentive Plan**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2002 Management Incentive Agreement between the Company and</w:t>
            </w: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333-163476</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01/11/2010</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10.14</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Archie C. Black**</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65"/>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60" w:type="dxa"/>
            <w:vAlign w:val="bottom"/>
            <w:gridSpan w:val="3"/>
          </w:tcPr>
          <w:p>
            <w:pPr>
              <w:ind w:left="5080"/>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00"/>
          </w:cols>
          <w:pgMar w:left="240" w:top="455" w:right="3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172"/>
        </w:trPr>
        <w:tc>
          <w:tcPr>
            <w:tcW w:w="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520" w:type="dxa"/>
            <w:vAlign w:val="bottom"/>
          </w:tcPr>
          <w:p>
            <w:pPr>
              <w:spacing w:after="0"/>
              <w:rPr>
                <w:sz w:val="14"/>
                <w:szCs w:val="14"/>
                <w:color w:val="auto"/>
              </w:rPr>
            </w:pPr>
          </w:p>
        </w:tc>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Exhibit Description</w:t>
            </w:r>
          </w:p>
        </w:tc>
        <w:tc>
          <w:tcPr>
            <w:tcW w:w="2020" w:type="dxa"/>
            <w:vAlign w:val="bottom"/>
          </w:tcPr>
          <w:p>
            <w:pPr>
              <w:spacing w:after="0"/>
              <w:rPr>
                <w:sz w:val="14"/>
                <w:szCs w:val="14"/>
                <w:color w:val="auto"/>
              </w:rPr>
            </w:pPr>
          </w:p>
        </w:tc>
      </w:tr>
      <w:tr>
        <w:trPr>
          <w:trHeight w:val="31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57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7"/>
              </w:rPr>
              <w:t>2002 Management Incentive Agreement between the Company and James</w:t>
            </w: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7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J. Frome**</w:t>
            </w: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57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Non-Employee Director Compensation Policy**</w:t>
            </w: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57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Indemnification Agreement for Steve A. Cobb, Michael B.</w:t>
            </w: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7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Gorman, and George H. Spencer, III</w:t>
            </w: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57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Indemnification Agreement for Independent Directors</w:t>
            </w: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p>
        </w:tc>
        <w:tc>
          <w:tcPr>
            <w:tcW w:w="57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Indemnification Agreement for Archie C. Black**</w:t>
            </w: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57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Employment Agreement between the Company and Archie C. Black**</w:t>
            </w: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10.18</w:t>
            </w:r>
          </w:p>
        </w:tc>
        <w:tc>
          <w:tcPr>
            <w:tcW w:w="57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7"/>
              </w:rPr>
              <w:t>Form of At-will Confidentiality Agreement Regarding Certain Terms and</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Conditions of Employment for Kimberly K. Nelson, James J. Frome,</w:t>
            </w: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7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Michael J. Gray and David J. Novak, Jr.**</w:t>
            </w: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w:t>
            </w:r>
          </w:p>
        </w:tc>
        <w:tc>
          <w:tcPr>
            <w:tcW w:w="57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Revolving Credit Agreement, dated as of September 30, 2011, by and</w:t>
            </w: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7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between the registrant and JPMorgan Chase Bank, N.A.</w:t>
            </w: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w:t>
            </w:r>
          </w:p>
        </w:tc>
        <w:tc>
          <w:tcPr>
            <w:tcW w:w="57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Standard Form Office Lease, dated as of February 14, 2012, by and</w:t>
            </w: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7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between the registrant and CSDV-MN Limited Partnership</w:t>
            </w: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w:t>
            </w:r>
          </w:p>
        </w:tc>
        <w:tc>
          <w:tcPr>
            <w:tcW w:w="57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Form of Restricted Stock Award Agreement under 2010 Equity Incentive</w:t>
            </w: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7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Plan**</w:t>
            </w: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10.22</w:t>
            </w:r>
          </w:p>
        </w:tc>
        <w:tc>
          <w:tcPr>
            <w:tcW w:w="57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7"/>
              </w:rPr>
              <w:t>Separation Agreement between SPS Commerce, Inc. and Michael J. Gray</w:t>
            </w: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7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dated November 19, 2012**</w:t>
            </w: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57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57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Consent of KPMG LLP</w:t>
            </w: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57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Consent of Grant Thornton LLP</w:t>
            </w: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57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57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w:t>
            </w: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7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tc>
      </w:tr>
      <w:tr>
        <w:trPr>
          <w:trHeight w:val="365"/>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20" w:type="dxa"/>
            <w:vAlign w:val="bottom"/>
            <w:gridSpan w:val="3"/>
          </w:tcPr>
          <w:p>
            <w:pPr>
              <w:ind w:left="5080"/>
              <w:spacing w:after="0"/>
              <w:rPr>
                <w:sz w:val="20"/>
                <w:szCs w:val="20"/>
                <w:color w:val="auto"/>
              </w:rPr>
            </w:pPr>
            <w:r>
              <w:rPr>
                <w:rFonts w:ascii="Times New Roman" w:cs="Times New Roman" w:eastAsia="Times New Roman" w:hAnsi="Times New Roman"/>
                <w:sz w:val="18"/>
                <w:szCs w:val="18"/>
                <w:color w:val="auto"/>
              </w:rPr>
              <w:t>75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25"/>
        </w:trPr>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gridSpan w:val="2"/>
          </w:tcPr>
          <w:p>
            <w:pPr>
              <w:jc w:val="center"/>
              <w:ind w:right="440"/>
              <w:spacing w:after="0" w:line="125" w:lineRule="exact"/>
              <w:rPr>
                <w:sz w:val="20"/>
                <w:szCs w:val="20"/>
                <w:color w:val="auto"/>
              </w:rPr>
            </w:pPr>
            <w:r>
              <w:rPr>
                <w:rFonts w:ascii="Times New Roman" w:cs="Times New Roman" w:eastAsia="Times New Roman" w:hAnsi="Times New Roman"/>
                <w:sz w:val="14"/>
                <w:szCs w:val="14"/>
                <w:b w:val="1"/>
                <w:bCs w:val="1"/>
                <w:color w:val="auto"/>
                <w:w w:val="97"/>
              </w:rPr>
              <w:t>Date of</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52"/>
        </w:trPr>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gridSpan w:val="2"/>
          </w:tcPr>
          <w:p>
            <w:pPr>
              <w:jc w:val="center"/>
              <w:ind w:right="480"/>
              <w:spacing w:after="0" w:line="152" w:lineRule="exact"/>
              <w:rPr>
                <w:sz w:val="20"/>
                <w:szCs w:val="20"/>
                <w:color w:val="auto"/>
              </w:rPr>
            </w:pPr>
            <w:r>
              <w:rPr>
                <w:rFonts w:ascii="Times New Roman" w:cs="Times New Roman" w:eastAsia="Times New Roman" w:hAnsi="Times New Roman"/>
                <w:sz w:val="14"/>
                <w:szCs w:val="14"/>
                <w:b w:val="1"/>
                <w:bCs w:val="1"/>
                <w:color w:val="auto"/>
                <w:w w:val="97"/>
              </w:rPr>
              <w:t>File</w:t>
            </w:r>
          </w:p>
        </w:tc>
        <w:tc>
          <w:tcPr>
            <w:tcW w:w="360" w:type="dxa"/>
            <w:vAlign w:val="bottom"/>
          </w:tcPr>
          <w:p>
            <w:pPr>
              <w:spacing w:after="0"/>
              <w:rPr>
                <w:sz w:val="13"/>
                <w:szCs w:val="13"/>
                <w:color w:val="auto"/>
              </w:rPr>
            </w:pPr>
          </w:p>
        </w:tc>
        <w:tc>
          <w:tcPr>
            <w:tcW w:w="860" w:type="dxa"/>
            <w:vAlign w:val="bottom"/>
            <w:gridSpan w:val="2"/>
          </w:tcPr>
          <w:p>
            <w:pPr>
              <w:jc w:val="center"/>
              <w:ind w:right="440"/>
              <w:spacing w:after="0" w:line="152" w:lineRule="exact"/>
              <w:rPr>
                <w:sz w:val="20"/>
                <w:szCs w:val="20"/>
                <w:color w:val="auto"/>
              </w:rPr>
            </w:pPr>
            <w:r>
              <w:rPr>
                <w:rFonts w:ascii="Times New Roman" w:cs="Times New Roman" w:eastAsia="Times New Roman" w:hAnsi="Times New Roman"/>
                <w:sz w:val="14"/>
                <w:szCs w:val="14"/>
                <w:b w:val="1"/>
                <w:bCs w:val="1"/>
                <w:color w:val="auto"/>
                <w:w w:val="90"/>
              </w:rPr>
              <w:t>First</w:t>
            </w:r>
          </w:p>
        </w:tc>
        <w:tc>
          <w:tcPr>
            <w:tcW w:w="200" w:type="dxa"/>
            <w:vAlign w:val="bottom"/>
          </w:tcPr>
          <w:p>
            <w:pPr>
              <w:spacing w:after="0"/>
              <w:rPr>
                <w:sz w:val="13"/>
                <w:szCs w:val="13"/>
                <w:color w:val="auto"/>
              </w:rPr>
            </w:pPr>
          </w:p>
        </w:tc>
        <w:tc>
          <w:tcPr>
            <w:tcW w:w="5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8"/>
              </w:rPr>
              <w:t>Filed</w:t>
            </w:r>
          </w:p>
        </w:tc>
      </w:tr>
      <w:tr>
        <w:trPr>
          <w:trHeight w:val="169"/>
        </w:trPr>
        <w:tc>
          <w:tcPr>
            <w:tcW w:w="6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89"/>
              </w:rPr>
              <w:t>Form</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Filing</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Herewith</w:t>
            </w:r>
          </w:p>
        </w:tc>
      </w:tr>
      <w:tr>
        <w:trPr>
          <w:trHeight w:val="322"/>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333-163476</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01/11/2010</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10.15</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40"/>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001-34702</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02/20/2014</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10.13</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4"/>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333-163476</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01/11/2010</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10.17</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40"/>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333-163476</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01/11/2010</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10.18</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4"/>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333-163476</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01/11/2010</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10.19</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4"/>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333-163476</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03/05/2010</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10.20</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4"/>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333-163476</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03/05/2010</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10.21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56"/>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8-K</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001-34702</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10/03/2011</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40"/>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8-K</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001-34702</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02/17/2012</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40"/>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001-34702</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05/08/2012</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40"/>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8-K</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001-34702</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11/23/2012</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6260" w:space="240"/>
            <w:col w:w="4800"/>
          </w:cols>
          <w:pgMar w:left="240" w:top="455" w:right="3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72"/>
        </w:trPr>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400" w:type="dxa"/>
            <w:vAlign w:val="bottom"/>
          </w:tcPr>
          <w:p>
            <w:pPr>
              <w:spacing w:after="0"/>
              <w:rPr>
                <w:sz w:val="14"/>
                <w:szCs w:val="14"/>
                <w:color w:val="auto"/>
              </w:rPr>
            </w:pPr>
          </w:p>
        </w:tc>
        <w:tc>
          <w:tcPr>
            <w:tcW w:w="1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Exhibit Description</w:t>
            </w:r>
          </w:p>
        </w:tc>
        <w:tc>
          <w:tcPr>
            <w:tcW w:w="1500" w:type="dxa"/>
            <w:vAlign w:val="bottom"/>
          </w:tcPr>
          <w:p>
            <w:pPr>
              <w:spacing w:after="0"/>
              <w:rPr>
                <w:sz w:val="14"/>
                <w:szCs w:val="14"/>
                <w:color w:val="auto"/>
              </w:rPr>
            </w:pPr>
          </w:p>
        </w:tc>
      </w:tr>
      <w:tr>
        <w:trPr>
          <w:trHeight w:val="3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1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w w:val="97"/>
              </w:rPr>
              <w:t>Certification of Principal Financial Officer pursuant to Rules</w:t>
            </w:r>
          </w:p>
        </w:tc>
      </w:tr>
      <w:tr>
        <w:trPr>
          <w:trHeight w:val="216"/>
        </w:trPr>
        <w:tc>
          <w:tcPr>
            <w:tcW w:w="520" w:type="dxa"/>
            <w:vAlign w:val="bottom"/>
          </w:tcPr>
          <w:p>
            <w:pPr>
              <w:spacing w:after="0"/>
              <w:rPr>
                <w:sz w:val="18"/>
                <w:szCs w:val="18"/>
                <w:color w:val="auto"/>
              </w:rPr>
            </w:pPr>
          </w:p>
        </w:tc>
        <w:tc>
          <w:tcPr>
            <w:tcW w:w="51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13a-14(a) under the Securities Exchange Act of 1934, as</w:t>
            </w:r>
          </w:p>
        </w:tc>
      </w:tr>
      <w:tr>
        <w:trPr>
          <w:trHeight w:val="228"/>
        </w:trPr>
        <w:tc>
          <w:tcPr>
            <w:tcW w:w="520" w:type="dxa"/>
            <w:vAlign w:val="bottom"/>
          </w:tcPr>
          <w:p>
            <w:pPr>
              <w:spacing w:after="0"/>
              <w:rPr>
                <w:sz w:val="19"/>
                <w:szCs w:val="19"/>
                <w:color w:val="auto"/>
              </w:rPr>
            </w:pPr>
          </w:p>
        </w:tc>
        <w:tc>
          <w:tcPr>
            <w:tcW w:w="51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amended</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1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w w:val="98"/>
              </w:rPr>
              <w:t>Certification of Chief Executive Officer and Chief Financial</w:t>
            </w:r>
          </w:p>
        </w:tc>
      </w:tr>
      <w:tr>
        <w:trPr>
          <w:trHeight w:val="216"/>
        </w:trPr>
        <w:tc>
          <w:tcPr>
            <w:tcW w:w="520" w:type="dxa"/>
            <w:vAlign w:val="bottom"/>
          </w:tcPr>
          <w:p>
            <w:pPr>
              <w:spacing w:after="0"/>
              <w:rPr>
                <w:sz w:val="18"/>
                <w:szCs w:val="18"/>
                <w:color w:val="auto"/>
              </w:rPr>
            </w:pPr>
          </w:p>
        </w:tc>
        <w:tc>
          <w:tcPr>
            <w:tcW w:w="51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w w:val="96"/>
              </w:rPr>
              <w:t>Officer pursuant to 18 U.S.C. Sec. 1350, as adopted pursuant</w:t>
            </w:r>
          </w:p>
        </w:tc>
      </w:tr>
      <w:tr>
        <w:trPr>
          <w:trHeight w:val="228"/>
        </w:trPr>
        <w:tc>
          <w:tcPr>
            <w:tcW w:w="520" w:type="dxa"/>
            <w:vAlign w:val="bottom"/>
          </w:tcPr>
          <w:p>
            <w:pPr>
              <w:spacing w:after="0"/>
              <w:rPr>
                <w:sz w:val="19"/>
                <w:szCs w:val="19"/>
                <w:color w:val="auto"/>
              </w:rPr>
            </w:pPr>
          </w:p>
        </w:tc>
        <w:tc>
          <w:tcPr>
            <w:tcW w:w="51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tc>
      </w:tr>
    </w:tbl>
    <w:p>
      <w:pPr>
        <w:spacing w:after="0" w:line="96" w:lineRule="exact"/>
        <w:rPr>
          <w:sz w:val="20"/>
          <w:szCs w:val="20"/>
          <w:color w:val="auto"/>
        </w:rPr>
      </w:pPr>
    </w:p>
    <w:p>
      <w:pPr>
        <w:ind w:right="120" w:firstLine="8"/>
        <w:spacing w:after="0" w:line="422" w:lineRule="auto"/>
        <w:tabs>
          <w:tab w:leader="none" w:pos="13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Pursuant to Rule 405 of Regulation S-T ** 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5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25"/>
        </w:trPr>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gridSpan w:val="2"/>
          </w:tcPr>
          <w:p>
            <w:pPr>
              <w:jc w:val="center"/>
              <w:ind w:right="660"/>
              <w:spacing w:after="0" w:line="125" w:lineRule="exact"/>
              <w:rPr>
                <w:sz w:val="20"/>
                <w:szCs w:val="20"/>
                <w:color w:val="auto"/>
              </w:rPr>
            </w:pPr>
            <w:r>
              <w:rPr>
                <w:rFonts w:ascii="Times New Roman" w:cs="Times New Roman" w:eastAsia="Times New Roman" w:hAnsi="Times New Roman"/>
                <w:sz w:val="14"/>
                <w:szCs w:val="14"/>
                <w:b w:val="1"/>
                <w:bCs w:val="1"/>
                <w:color w:val="auto"/>
                <w:w w:val="97"/>
              </w:rPr>
              <w:t>Date of</w:t>
            </w: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52"/>
        </w:trPr>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7"/>
              </w:rPr>
              <w:t>File</w:t>
            </w:r>
          </w:p>
        </w:tc>
        <w:tc>
          <w:tcPr>
            <w:tcW w:w="660" w:type="dxa"/>
            <w:vAlign w:val="bottom"/>
          </w:tcPr>
          <w:p>
            <w:pPr>
              <w:spacing w:after="0"/>
              <w:rPr>
                <w:sz w:val="13"/>
                <w:szCs w:val="13"/>
                <w:color w:val="auto"/>
              </w:rPr>
            </w:pPr>
          </w:p>
        </w:tc>
        <w:tc>
          <w:tcPr>
            <w:tcW w:w="1080" w:type="dxa"/>
            <w:vAlign w:val="bottom"/>
            <w:gridSpan w:val="2"/>
          </w:tcPr>
          <w:p>
            <w:pPr>
              <w:jc w:val="center"/>
              <w:ind w:right="640"/>
              <w:spacing w:after="0" w:line="152" w:lineRule="exact"/>
              <w:rPr>
                <w:sz w:val="20"/>
                <w:szCs w:val="20"/>
                <w:color w:val="auto"/>
              </w:rPr>
            </w:pPr>
            <w:r>
              <w:rPr>
                <w:rFonts w:ascii="Times New Roman" w:cs="Times New Roman" w:eastAsia="Times New Roman" w:hAnsi="Times New Roman"/>
                <w:sz w:val="14"/>
                <w:szCs w:val="14"/>
                <w:b w:val="1"/>
                <w:bCs w:val="1"/>
                <w:color w:val="auto"/>
                <w:w w:val="97"/>
              </w:rPr>
              <w:t>First</w:t>
            </w:r>
          </w:p>
        </w:tc>
        <w:tc>
          <w:tcPr>
            <w:tcW w:w="5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4"/>
              </w:rPr>
              <w:t>Exhibit</w:t>
            </w:r>
          </w:p>
        </w:tc>
        <w:tc>
          <w:tcPr>
            <w:tcW w:w="660" w:type="dxa"/>
            <w:vAlign w:val="bottom"/>
          </w:tcPr>
          <w:p>
            <w:pPr>
              <w:spacing w:after="0"/>
              <w:rPr>
                <w:sz w:val="13"/>
                <w:szCs w:val="13"/>
                <w:color w:val="auto"/>
              </w:rPr>
            </w:pPr>
          </w:p>
        </w:tc>
        <w:tc>
          <w:tcPr>
            <w:tcW w:w="56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2"/>
              </w:rPr>
              <w:t>Filed</w:t>
            </w:r>
          </w:p>
        </w:tc>
      </w:tr>
      <w:tr>
        <w:trPr>
          <w:trHeight w:val="169"/>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6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66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Filing</w:t>
            </w:r>
          </w:p>
        </w:tc>
        <w:tc>
          <w:tcPr>
            <w:tcW w:w="6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6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Herewith</w:t>
            </w:r>
          </w:p>
        </w:tc>
      </w:tr>
    </w:tbl>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5800" w:space="560"/>
            <w:col w:w="4960"/>
          </w:cols>
          <w:pgMar w:left="240" w:top="455"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SPS COMMERCE,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2010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effective October 29, 2014)</w:t>
      </w:r>
    </w:p>
    <w:p>
      <w:pPr>
        <w:spacing w:after="0" w:line="203" w:lineRule="exact"/>
        <w:rPr>
          <w:sz w:val="20"/>
          <w:szCs w:val="20"/>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5"/>
          <w:szCs w:val="15"/>
          <w:b w:val="1"/>
          <w:bCs w:val="1"/>
          <w:color w:val="auto"/>
        </w:rPr>
        <w:t>URPOSE</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The purpose of the SPS Commerce, Inc. 2010 Equity Incentive Plan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is to attract and retain the best available personnel for positions of responsibility with the Company, to provide additional incentives to them and align their interests with those of the Company’s stockholders, and to thereby promote the Company’s long-term business success.</w:t>
      </w:r>
    </w:p>
    <w:p>
      <w:pPr>
        <w:spacing w:after="0" w:line="280"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5"/>
          <w:szCs w:val="15"/>
          <w:b w:val="1"/>
          <w:bCs w:val="1"/>
          <w:color w:val="auto"/>
        </w:rPr>
        <w:t>EFINITIONS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Plan, the following definitions will apply.</w:t>
      </w:r>
    </w:p>
    <w:p>
      <w:pPr>
        <w:spacing w:after="0" w:line="223" w:lineRule="exact"/>
        <w:rPr>
          <w:sz w:val="20"/>
          <w:szCs w:val="20"/>
          <w:color w:val="auto"/>
        </w:rPr>
      </w:pPr>
    </w:p>
    <w:p>
      <w:pPr>
        <w:ind w:left="700" w:hanging="236"/>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any corporation that is a Subsidiary or Parent of the Company.</w:t>
      </w:r>
    </w:p>
    <w:p>
      <w:pPr>
        <w:spacing w:after="0" w:line="225" w:lineRule="exact"/>
        <w:rPr>
          <w:rFonts w:ascii="Times New Roman" w:cs="Times New Roman" w:eastAsia="Times New Roman" w:hAnsi="Times New Roman"/>
          <w:sz w:val="18"/>
          <w:szCs w:val="18"/>
          <w:color w:val="auto"/>
        </w:rPr>
      </w:pPr>
    </w:p>
    <w:p>
      <w:pPr>
        <w:ind w:right="240" w:firstLine="464"/>
        <w:spacing w:after="0" w:line="284" w:lineRule="auto"/>
        <w:tabs>
          <w:tab w:leader="none" w:pos="71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means the written or electronic agreement containing the terms and conditions applicable to each Award granted under the Plan. An Agreement is subject to the terms and conditions of the Plan.</w:t>
      </w:r>
    </w:p>
    <w:p>
      <w:pPr>
        <w:spacing w:after="0" w:line="158"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w:t>
      </w:r>
      <w:r>
        <w:rPr>
          <w:rFonts w:ascii="Times New Roman" w:cs="Times New Roman" w:eastAsia="Times New Roman" w:hAnsi="Times New Roman"/>
          <w:sz w:val="18"/>
          <w:szCs w:val="18"/>
          <w:color w:val="auto"/>
        </w:rPr>
        <w:t>” means a grant made under the Plan in the form of Options, Stock Appreciation Rights, Restricted Stock, Stock Units, or Other Stock-Based</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w:t>
      </w:r>
    </w:p>
    <w:p>
      <w:pPr>
        <w:spacing w:after="0" w:line="204"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right="40" w:firstLine="464"/>
        <w:spacing w:after="0" w:line="255" w:lineRule="auto"/>
        <w:tabs>
          <w:tab w:leader="none" w:pos="70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means what the term is expressly defined to mean in a then-effective written agreement (including an Agreement) between a Participant and the Company or any Affiliate, or in the absence of any such then-effective agreement or definition, a Participant’s (i) incompetence or failure or refusal to perform satisfactorily the duties reasonably required of the Participant by the Company (other than by reason of Disability); (ii) material violation of any law, rule, regulation, court order or regulatory directive (other than traffic violations, misdemeanors or other minor offenses); (iii) material breach of any fiduciary duty or nondisclosure, non-solicitation, non-competition or similar obligation owed to the Company or any Affiliate; (iv) engaging in any act or practice that involves personal dishonesty on the part of the Participant or demonstrates a willful and continuing disregard for the best interests of the Company and its Affiliates; or (v) engaging in dishonorable or disruptive behavior, practices or acts which would be reasonably expected to harm or bring disrepute to the Company or any of its Affiliates, their business or any of their customers, employees or vendors.</w:t>
      </w:r>
    </w:p>
    <w:p>
      <w:pPr>
        <w:spacing w:after="0" w:line="185"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means, unless otherwise provided in an Agreement, one of the following:</w:t>
      </w:r>
    </w:p>
    <w:p>
      <w:pPr>
        <w:spacing w:after="0" w:line="117" w:lineRule="exact"/>
        <w:rPr>
          <w:rFonts w:ascii="Times New Roman" w:cs="Times New Roman" w:eastAsia="Times New Roman" w:hAnsi="Times New Roman"/>
          <w:sz w:val="18"/>
          <w:szCs w:val="18"/>
          <w:color w:val="auto"/>
        </w:rPr>
      </w:pPr>
    </w:p>
    <w:p>
      <w:pPr>
        <w:ind w:firstLine="921"/>
        <w:spacing w:after="0" w:line="253" w:lineRule="auto"/>
        <w:tabs>
          <w:tab w:leader="none" w:pos="116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entity or Group (a “</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other than (i) one or more Subsidiaries, or (ii) any employee benefit plan (or related trust) sponsored or maintained by the Company or any Affiliate, becomes the beneficial owner (within the meaning of Rule 13d-3 under the Securities Exchange Act of 1934) of equity securities of the Company representing more than 50% of the combined voting power of the Company’s then outstanding securities entitled to vote generally in the election of directors (“</w:t>
      </w:r>
      <w:r>
        <w:rPr>
          <w:rFonts w:ascii="Times New Roman" w:cs="Times New Roman" w:eastAsia="Times New Roman" w:hAnsi="Times New Roman"/>
          <w:sz w:val="18"/>
          <w:szCs w:val="18"/>
          <w:i w:val="1"/>
          <w:iCs w:val="1"/>
          <w:color w:val="auto"/>
        </w:rPr>
        <w:t>voting securities</w:t>
      </w:r>
      <w:r>
        <w:rPr>
          <w:rFonts w:ascii="Times New Roman" w:cs="Times New Roman" w:eastAsia="Times New Roman" w:hAnsi="Times New Roman"/>
          <w:sz w:val="18"/>
          <w:szCs w:val="18"/>
          <w:color w:val="auto"/>
        </w:rPr>
        <w:t>”), except that (A) any acquisition of Company equity securities by a Person directly from the Company for the purpose of providing financing to the Company, any formation of a Group consisting solely of beneficial owners of the Company’s voting securities as of the effective date of this Plan, or any repurchase or other acquisition by the Company of its equity securities that causes any Person to become the beneficial owner of more than 50% of the Company’s voting securities, will not be considered a Change in Control unless and until, in either case, such Person acquires beneficial ownership of additional Company voting securities after the Person initially became the beneficial owner of more than 50% of the Company’s voting securities by one of the means described in this clause (A); and (B) a Change in Control will occur if a Person becomes the beneficial owner of more than 50% of the Company’s voting securities as the result of a Corporate Transaction only if the Corporate Transaction is itself a Change in Control pursuant to subsection 2(f)(3);</w:t>
      </w:r>
    </w:p>
    <w:p>
      <w:pPr>
        <w:sectPr>
          <w:pgSz w:w="11900" w:h="16838" w:orient="portrait"/>
          <w:cols w:equalWidth="0" w:num="1">
            <w:col w:w="11420"/>
          </w:cols>
          <w:pgMar w:left="240" w:top="117" w:right="239" w:bottom="1440" w:gutter="0" w:footer="0" w:header="0"/>
        </w:sectPr>
      </w:pPr>
    </w:p>
    <w:bookmarkStart w:id="77" w:name="page78"/>
    <w:bookmarkEnd w:id="77"/>
    <w:p>
      <w:pPr>
        <w:ind w:left="1180" w:hanging="259"/>
        <w:spacing w:after="0"/>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Individuals who are Continuing Directors cease for any reason to constitute a majority of the members of the Board; or</w:t>
      </w:r>
    </w:p>
    <w:p>
      <w:pPr>
        <w:spacing w:after="0" w:line="225" w:lineRule="exact"/>
        <w:rPr>
          <w:rFonts w:ascii="Times New Roman" w:cs="Times New Roman" w:eastAsia="Times New Roman" w:hAnsi="Times New Roman"/>
          <w:sz w:val="18"/>
          <w:szCs w:val="18"/>
          <w:color w:val="auto"/>
        </w:rPr>
      </w:pPr>
    </w:p>
    <w:p>
      <w:pPr>
        <w:ind w:right="520" w:firstLine="921"/>
        <w:spacing w:after="0" w:line="258" w:lineRule="auto"/>
        <w:tabs>
          <w:tab w:leader="none" w:pos="11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Corporate Transaction unless, immediately following such Corporate Transaction, all or substantially all of the Persons who were the beneficial owners of Company voting securities immediately prior to such Corporate Transaction beneficially own, directly or indirectly, more than 50% of the combined voting power of the then outstanding voting securities (or comparable equity interests) of the surviving or acquiring entity (or its Parent) resulting from such Corporate Transaction in substantially the same proportions as their ownership of Company voting securities immediately prior to such Corporate Transaction.</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Notwithstanding the foregoing, to the extent that any Award constitutes a deferral of compensation subject to Code Section 409A, and if that Award provides for a change in the time or form of payment upon a Change in Control, then no Change in Control shall be deemed to have occurred upon an event described in Section 2(f) unless the event would also constitute a change in ownership or effective control of, or a change in the ownership of a substantial portion of the assets of, the Company under Code Section 409A.</w:t>
      </w:r>
    </w:p>
    <w:p>
      <w:pPr>
        <w:spacing w:after="0" w:line="178" w:lineRule="exact"/>
        <w:rPr>
          <w:sz w:val="20"/>
          <w:szCs w:val="20"/>
          <w:color w:val="auto"/>
        </w:rPr>
      </w:pPr>
    </w:p>
    <w:p>
      <w:pPr>
        <w:ind w:left="720" w:hanging="256"/>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as amended and in effect from time to time, and the regulations promulgated thereunder.</w:t>
      </w:r>
    </w:p>
    <w:p>
      <w:pPr>
        <w:spacing w:after="0" w:line="225" w:lineRule="exact"/>
        <w:rPr>
          <w:rFonts w:ascii="Times New Roman" w:cs="Times New Roman" w:eastAsia="Times New Roman" w:hAnsi="Times New Roman"/>
          <w:sz w:val="18"/>
          <w:szCs w:val="18"/>
          <w:color w:val="auto"/>
        </w:rPr>
      </w:pPr>
    </w:p>
    <w:p>
      <w:pPr>
        <w:ind w:right="160" w:firstLine="464"/>
        <w:spacing w:after="0" w:line="267" w:lineRule="auto"/>
        <w:tabs>
          <w:tab w:leader="none" w:pos="7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means two or more Non-Employee Directors designated by the Board to administer the Plan under Section 3, each member of which shall be (i) an independent director within the meaning of the rules and regulations of the Nasdaq Stock Market, (ii) a non-employee director within the meaning of Exchange Act Rule 16b-3, and (iii) an outside director for purposes of Code Section 162(m).</w:t>
      </w:r>
    </w:p>
    <w:p>
      <w:pPr>
        <w:spacing w:after="0" w:line="173"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SPS Commerce, Inc., a Delaware corporation, or any successor thereto.</w:t>
      </w:r>
    </w:p>
    <w:p>
      <w:pPr>
        <w:spacing w:after="0" w:line="225" w:lineRule="exact"/>
        <w:rPr>
          <w:rFonts w:ascii="Times New Roman" w:cs="Times New Roman" w:eastAsia="Times New Roman" w:hAnsi="Times New Roman"/>
          <w:sz w:val="18"/>
          <w:szCs w:val="18"/>
          <w:color w:val="auto"/>
        </w:rPr>
      </w:pPr>
    </w:p>
    <w:p>
      <w:pPr>
        <w:jc w:val="both"/>
        <w:ind w:right="580" w:firstLine="464"/>
        <w:spacing w:after="0" w:line="261" w:lineRule="auto"/>
        <w:tabs>
          <w:tab w:leader="none" w:pos="67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Continuing Director</w:t>
      </w:r>
      <w:r>
        <w:rPr>
          <w:rFonts w:ascii="Times New Roman" w:cs="Times New Roman" w:eastAsia="Times New Roman" w:hAnsi="Times New Roman"/>
          <w:sz w:val="18"/>
          <w:szCs w:val="18"/>
          <w:color w:val="auto"/>
        </w:rPr>
        <w:t>” means an individual (A) who is, as of the effective date of the Plan, a director of the Company, (B) who is elected as a director of the Company subsequent to the effective date hereof pursuant to a nomination or board representation right of preferred stockholders of the Company, or (C) who becomes a director of the Company after the effective date hereof and whose initial election, or nomination for election by the Company’s stockholders, was approved by at least a majority of the then Continuing Directors.</w:t>
      </w:r>
    </w:p>
    <w:p>
      <w:pPr>
        <w:spacing w:after="0" w:line="180" w:lineRule="exact"/>
        <w:rPr>
          <w:rFonts w:ascii="Times New Roman" w:cs="Times New Roman" w:eastAsia="Times New Roman" w:hAnsi="Times New Roman"/>
          <w:sz w:val="18"/>
          <w:szCs w:val="18"/>
          <w:color w:val="auto"/>
        </w:rPr>
      </w:pPr>
    </w:p>
    <w:p>
      <w:pPr>
        <w:ind w:right="80" w:firstLine="464"/>
        <w:spacing w:after="0" w:line="284" w:lineRule="auto"/>
        <w:tabs>
          <w:tab w:leader="none" w:pos="7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Transaction</w:t>
      </w:r>
      <w:r>
        <w:rPr>
          <w:rFonts w:ascii="Times New Roman" w:cs="Times New Roman" w:eastAsia="Times New Roman" w:hAnsi="Times New Roman"/>
          <w:sz w:val="18"/>
          <w:szCs w:val="18"/>
          <w:color w:val="auto"/>
        </w:rPr>
        <w:t>” means (i) a sale or other disposition of all or substantially all of the assets of the Company, or (ii) a merger, consolidation, share exchange or similar transaction involving the Company, regardless of whether the Company is the surviving corporation.</w:t>
      </w:r>
    </w:p>
    <w:p>
      <w:pPr>
        <w:spacing w:after="0" w:line="158" w:lineRule="exact"/>
        <w:rPr>
          <w:rFonts w:ascii="Times New Roman" w:cs="Times New Roman" w:eastAsia="Times New Roman" w:hAnsi="Times New Roman"/>
          <w:sz w:val="18"/>
          <w:szCs w:val="18"/>
          <w:color w:val="auto"/>
        </w:rPr>
      </w:pPr>
    </w:p>
    <w:p>
      <w:pPr>
        <w:ind w:right="140" w:firstLine="464"/>
        <w:spacing w:after="0" w:line="315" w:lineRule="auto"/>
        <w:tabs>
          <w:tab w:leader="none" w:pos="671"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Disability</w:t>
      </w:r>
      <w:r>
        <w:rPr>
          <w:rFonts w:ascii="Times New Roman" w:cs="Times New Roman" w:eastAsia="Times New Roman" w:hAnsi="Times New Roman"/>
          <w:sz w:val="17"/>
          <w:szCs w:val="17"/>
          <w:color w:val="auto"/>
        </w:rPr>
        <w:t>” means (A) any permanent and total disability under any long-term disability plan or policy of the Company or its Affiliates that covers the Participant, or (B) if there is no such long-term disability plan or policy, “total and permanent disability” within the meaning Code Section 22(e)(3).</w:t>
      </w:r>
    </w:p>
    <w:p>
      <w:pPr>
        <w:spacing w:after="0" w:line="135" w:lineRule="exact"/>
        <w:rPr>
          <w:rFonts w:ascii="Times New Roman" w:cs="Times New Roman" w:eastAsia="Times New Roman" w:hAnsi="Times New Roman"/>
          <w:sz w:val="17"/>
          <w:szCs w:val="17"/>
          <w:color w:val="auto"/>
        </w:rPr>
      </w:pPr>
    </w:p>
    <w:p>
      <w:pPr>
        <w:ind w:left="760" w:hanging="296"/>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Employee</w:t>
      </w:r>
      <w:r>
        <w:rPr>
          <w:rFonts w:ascii="Times New Roman" w:cs="Times New Roman" w:eastAsia="Times New Roman" w:hAnsi="Times New Roman"/>
          <w:sz w:val="18"/>
          <w:szCs w:val="18"/>
          <w:color w:val="auto"/>
        </w:rPr>
        <w:t>” means an employee of the Company or an Affiliate.</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and in effect from time to time.</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means the fair market value of a Share determined as follows:</w:t>
      </w:r>
    </w:p>
    <w:p>
      <w:pPr>
        <w:spacing w:after="0" w:line="119" w:lineRule="exact"/>
        <w:rPr>
          <w:rFonts w:ascii="Times New Roman" w:cs="Times New Roman" w:eastAsia="Times New Roman" w:hAnsi="Times New Roman"/>
          <w:sz w:val="18"/>
          <w:szCs w:val="18"/>
          <w:color w:val="auto"/>
        </w:rPr>
      </w:pPr>
    </w:p>
    <w:p>
      <w:pPr>
        <w:jc w:val="both"/>
        <w:ind w:right="160" w:firstLine="921"/>
        <w:spacing w:after="0" w:line="261" w:lineRule="auto"/>
        <w:tabs>
          <w:tab w:leader="none" w:pos="11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Shares are readily tradable on an established securities market (as determined under Code Section 409A), then Fair Market Value will be the closing sales price for a Share on the principal securities market on which it trades on the date for which it is being determined, or if no sale of Shares occurred on that date, on the next preceding date on which a sale of Shares occurred,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Committee deems reliable; or</w:t>
      </w:r>
    </w:p>
    <w:p>
      <w:pPr>
        <w:spacing w:after="0" w:line="180" w:lineRule="exact"/>
        <w:rPr>
          <w:rFonts w:ascii="Times New Roman" w:cs="Times New Roman" w:eastAsia="Times New Roman" w:hAnsi="Times New Roman"/>
          <w:sz w:val="18"/>
          <w:szCs w:val="18"/>
          <w:color w:val="auto"/>
        </w:rPr>
      </w:pPr>
    </w:p>
    <w:p>
      <w:pPr>
        <w:ind w:right="140" w:firstLine="921"/>
        <w:spacing w:after="0" w:line="266" w:lineRule="auto"/>
        <w:tabs>
          <w:tab w:leader="none" w:pos="11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not then readily tradable on an established securities market (as determined under Code Section 409A), then Fair Market Value will be determined by the Committee as the result of a reasonable application of a reasonable valuation method that satisfies the requirements of Code Section 409A.</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0" w:right="239" w:bottom="1440" w:gutter="0" w:footer="0" w:header="0"/>
        </w:sectPr>
      </w:pPr>
    </w:p>
    <w:bookmarkStart w:id="78" w:name="page79"/>
    <w:bookmarkEnd w:id="78"/>
    <w:p>
      <w:pPr>
        <w:ind w:left="660" w:hanging="256"/>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Full Value Award</w:t>
      </w:r>
      <w:r>
        <w:rPr>
          <w:rFonts w:ascii="Times New Roman" w:cs="Times New Roman" w:eastAsia="Times New Roman" w:hAnsi="Times New Roman"/>
          <w:sz w:val="18"/>
          <w:szCs w:val="18"/>
          <w:color w:val="auto"/>
        </w:rPr>
        <w:t>” means an Award other than an Option or Stock Appreciation Right.</w:t>
      </w:r>
    </w:p>
    <w:p>
      <w:pPr>
        <w:spacing w:after="0" w:line="225" w:lineRule="exact"/>
        <w:rPr>
          <w:rFonts w:ascii="Times New Roman" w:cs="Times New Roman" w:eastAsia="Times New Roman" w:hAnsi="Times New Roman"/>
          <w:sz w:val="18"/>
          <w:szCs w:val="18"/>
          <w:color w:val="auto"/>
        </w:rPr>
      </w:pPr>
    </w:p>
    <w:p>
      <w:pPr>
        <w:ind w:left="-60" w:right="60" w:firstLine="464"/>
        <w:spacing w:after="0" w:line="284" w:lineRule="auto"/>
        <w:tabs>
          <w:tab w:leader="none" w:pos="65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Grant Date</w:t>
      </w:r>
      <w:r>
        <w:rPr>
          <w:rFonts w:ascii="Times New Roman" w:cs="Times New Roman" w:eastAsia="Times New Roman" w:hAnsi="Times New Roman"/>
          <w:sz w:val="18"/>
          <w:szCs w:val="18"/>
          <w:color w:val="auto"/>
        </w:rPr>
        <w:t>” means the date on which the Committee approves the grant of an Award under the Plan, or such later date as may be specified by the Committee on the date the Committee approves the Award.</w:t>
      </w:r>
    </w:p>
    <w:p>
      <w:pPr>
        <w:spacing w:after="0" w:line="158" w:lineRule="exact"/>
        <w:rPr>
          <w:rFonts w:ascii="Times New Roman" w:cs="Times New Roman" w:eastAsia="Times New Roman" w:hAnsi="Times New Roman"/>
          <w:sz w:val="18"/>
          <w:szCs w:val="18"/>
          <w:color w:val="auto"/>
        </w:rPr>
      </w:pPr>
    </w:p>
    <w:p>
      <w:pPr>
        <w:ind w:left="-60" w:right="180" w:firstLine="464"/>
        <w:spacing w:after="0" w:line="284" w:lineRule="auto"/>
        <w:tabs>
          <w:tab w:leader="none" w:pos="62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Group</w:t>
      </w:r>
      <w:r>
        <w:rPr>
          <w:rFonts w:ascii="Times New Roman" w:cs="Times New Roman" w:eastAsia="Times New Roman" w:hAnsi="Times New Roman"/>
          <w:sz w:val="18"/>
          <w:szCs w:val="18"/>
          <w:color w:val="auto"/>
        </w:rPr>
        <w:t>” means two or more persons acting as a partnership, limited partnership, syndicate or other group for the purpose of acquiring, holding or disposing of securities of the Company.</w:t>
      </w:r>
    </w:p>
    <w:p>
      <w:pPr>
        <w:spacing w:after="0" w:line="158" w:lineRule="exact"/>
        <w:rPr>
          <w:rFonts w:ascii="Times New Roman" w:cs="Times New Roman" w:eastAsia="Times New Roman" w:hAnsi="Times New Roman"/>
          <w:sz w:val="18"/>
          <w:szCs w:val="18"/>
          <w:color w:val="auto"/>
        </w:rPr>
      </w:pPr>
    </w:p>
    <w:p>
      <w:pPr>
        <w:ind w:left="640" w:hanging="23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Non-Employee Director</w:t>
      </w:r>
      <w:r>
        <w:rPr>
          <w:rFonts w:ascii="Times New Roman" w:cs="Times New Roman" w:eastAsia="Times New Roman" w:hAnsi="Times New Roman"/>
          <w:sz w:val="18"/>
          <w:szCs w:val="18"/>
          <w:color w:val="auto"/>
        </w:rPr>
        <w:t>” means a member of the Board who is not an Employee.</w:t>
      </w:r>
    </w:p>
    <w:p>
      <w:pPr>
        <w:spacing w:after="0" w:line="225" w:lineRule="exact"/>
        <w:rPr>
          <w:rFonts w:ascii="Times New Roman" w:cs="Times New Roman" w:eastAsia="Times New Roman" w:hAnsi="Times New Roman"/>
          <w:sz w:val="18"/>
          <w:szCs w:val="18"/>
          <w:color w:val="auto"/>
        </w:rPr>
      </w:pPr>
    </w:p>
    <w:p>
      <w:pPr>
        <w:ind w:left="-60" w:right="100" w:firstLine="464"/>
        <w:spacing w:after="0" w:line="267" w:lineRule="auto"/>
        <w:tabs>
          <w:tab w:leader="none" w:pos="61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w:t>
      </w:r>
      <w:r>
        <w:rPr>
          <w:rFonts w:ascii="Times New Roman" w:cs="Times New Roman" w:eastAsia="Times New Roman" w:hAnsi="Times New Roman"/>
          <w:sz w:val="18"/>
          <w:szCs w:val="18"/>
          <w:color w:val="auto"/>
        </w:rPr>
        <w:t>” means a right granted under the Plan to purchase a specified number of Shares at a specified price. An “</w:t>
      </w:r>
      <w:r>
        <w:rPr>
          <w:rFonts w:ascii="Times New Roman" w:cs="Times New Roman" w:eastAsia="Times New Roman" w:hAnsi="Times New Roman"/>
          <w:sz w:val="18"/>
          <w:szCs w:val="18"/>
          <w:i w:val="1"/>
          <w:iCs w:val="1"/>
          <w:color w:val="auto"/>
        </w:rPr>
        <w:t>Incentive Stock Option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ISO</w:t>
      </w:r>
      <w:r>
        <w:rPr>
          <w:rFonts w:ascii="Times New Roman" w:cs="Times New Roman" w:eastAsia="Times New Roman" w:hAnsi="Times New Roman"/>
          <w:sz w:val="18"/>
          <w:szCs w:val="18"/>
          <w:color w:val="auto"/>
        </w:rPr>
        <w:t>” means any Option designated as such and granted in accordance with the requirements of Code Section 422. A “</w:t>
      </w:r>
      <w:r>
        <w:rPr>
          <w:rFonts w:ascii="Times New Roman" w:cs="Times New Roman" w:eastAsia="Times New Roman" w:hAnsi="Times New Roman"/>
          <w:sz w:val="18"/>
          <w:szCs w:val="18"/>
          <w:i w:val="1"/>
          <w:iCs w:val="1"/>
          <w:color w:val="auto"/>
        </w:rPr>
        <w:t>Non-Statutory Stock Option</w:t>
      </w:r>
      <w:r>
        <w:rPr>
          <w:rFonts w:ascii="Times New Roman" w:cs="Times New Roman" w:eastAsia="Times New Roman" w:hAnsi="Times New Roman"/>
          <w:sz w:val="18"/>
          <w:szCs w:val="18"/>
          <w:color w:val="auto"/>
        </w:rPr>
        <w:t>” means an Option other than an Incentive Stock Option.</w:t>
      </w:r>
    </w:p>
    <w:p>
      <w:pPr>
        <w:spacing w:after="0" w:line="173" w:lineRule="exact"/>
        <w:rPr>
          <w:rFonts w:ascii="Times New Roman" w:cs="Times New Roman" w:eastAsia="Times New Roman" w:hAnsi="Times New Roman"/>
          <w:sz w:val="18"/>
          <w:szCs w:val="18"/>
          <w:color w:val="auto"/>
        </w:rPr>
      </w:pPr>
    </w:p>
    <w:p>
      <w:pPr>
        <w:ind w:left="660" w:hanging="256"/>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Stock-Based Award</w:t>
      </w:r>
      <w:r>
        <w:rPr>
          <w:rFonts w:ascii="Times New Roman" w:cs="Times New Roman" w:eastAsia="Times New Roman" w:hAnsi="Times New Roman"/>
          <w:sz w:val="18"/>
          <w:szCs w:val="18"/>
          <w:color w:val="auto"/>
        </w:rPr>
        <w:t>” means an Award described in Section 11 of this Plan.</w:t>
      </w:r>
    </w:p>
    <w:p>
      <w:pPr>
        <w:spacing w:after="0" w:line="225" w:lineRule="exact"/>
        <w:rPr>
          <w:rFonts w:ascii="Times New Roman" w:cs="Times New Roman" w:eastAsia="Times New Roman" w:hAnsi="Times New Roman"/>
          <w:sz w:val="18"/>
          <w:szCs w:val="18"/>
          <w:color w:val="auto"/>
        </w:rPr>
      </w:pPr>
    </w:p>
    <w:p>
      <w:pPr>
        <w:ind w:left="660" w:hanging="256"/>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means a “parent corporation,” as defined in Code Section 424(e).</w:t>
      </w:r>
    </w:p>
    <w:p>
      <w:pPr>
        <w:spacing w:after="0" w:line="225" w:lineRule="exact"/>
        <w:rPr>
          <w:rFonts w:ascii="Times New Roman" w:cs="Times New Roman" w:eastAsia="Times New Roman" w:hAnsi="Times New Roman"/>
          <w:sz w:val="18"/>
          <w:szCs w:val="18"/>
          <w:color w:val="auto"/>
        </w:rPr>
      </w:pPr>
    </w:p>
    <w:p>
      <w:pPr>
        <w:ind w:left="700" w:hanging="296"/>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means a person to whom an Award is or has been made in accordance with the Plan.</w:t>
      </w:r>
    </w:p>
    <w:p>
      <w:pPr>
        <w:spacing w:after="0" w:line="225" w:lineRule="exact"/>
        <w:rPr>
          <w:rFonts w:ascii="Times New Roman" w:cs="Times New Roman" w:eastAsia="Times New Roman" w:hAnsi="Times New Roman"/>
          <w:sz w:val="18"/>
          <w:szCs w:val="18"/>
          <w:color w:val="auto"/>
        </w:rPr>
      </w:pPr>
    </w:p>
    <w:p>
      <w:pPr>
        <w:ind w:left="-60" w:right="600" w:firstLine="464"/>
        <w:spacing w:after="0" w:line="267" w:lineRule="auto"/>
        <w:tabs>
          <w:tab w:leader="none" w:pos="65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Performance-Based Compensation</w:t>
      </w:r>
      <w:r>
        <w:rPr>
          <w:rFonts w:ascii="Times New Roman" w:cs="Times New Roman" w:eastAsia="Times New Roman" w:hAnsi="Times New Roman"/>
          <w:sz w:val="18"/>
          <w:szCs w:val="18"/>
          <w:color w:val="auto"/>
        </w:rPr>
        <w:t>” means an Award to a person who is, or is determined by the Committee to likely become, a “covered employee” (as defined in Section 162(m)(3) of the Code) and that is intended to constitute “performance-based compensation” within the meaning of Section 162(m)(4)(C) of the Code.</w:t>
      </w:r>
    </w:p>
    <w:p>
      <w:pPr>
        <w:spacing w:after="0" w:line="173" w:lineRule="exact"/>
        <w:rPr>
          <w:rFonts w:ascii="Times New Roman" w:cs="Times New Roman" w:eastAsia="Times New Roman" w:hAnsi="Times New Roman"/>
          <w:sz w:val="18"/>
          <w:szCs w:val="18"/>
          <w:color w:val="auto"/>
        </w:rPr>
      </w:pPr>
    </w:p>
    <w:p>
      <w:pPr>
        <w:ind w:left="660" w:hanging="256"/>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means this SPS Commerce, Inc. 2010 Equity Incentive Plan, as amended and in effect from time to time.</w:t>
      </w:r>
    </w:p>
    <w:p>
      <w:pPr>
        <w:spacing w:after="0" w:line="225" w:lineRule="exact"/>
        <w:rPr>
          <w:rFonts w:ascii="Times New Roman" w:cs="Times New Roman" w:eastAsia="Times New Roman" w:hAnsi="Times New Roman"/>
          <w:sz w:val="18"/>
          <w:szCs w:val="18"/>
          <w:color w:val="auto"/>
        </w:rPr>
      </w:pPr>
    </w:p>
    <w:p>
      <w:pPr>
        <w:ind w:left="640" w:hanging="23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Prior Plans</w:t>
      </w:r>
      <w:r>
        <w:rPr>
          <w:rFonts w:ascii="Times New Roman" w:cs="Times New Roman" w:eastAsia="Times New Roman" w:hAnsi="Times New Roman"/>
          <w:sz w:val="18"/>
          <w:szCs w:val="18"/>
          <w:color w:val="auto"/>
        </w:rPr>
        <w:t>” means the Company’s 1999 Equity Incentive Plan and 2001 Stock Option Plan.</w:t>
      </w:r>
    </w:p>
    <w:p>
      <w:pPr>
        <w:spacing w:after="0" w:line="225" w:lineRule="exact"/>
        <w:rPr>
          <w:sz w:val="20"/>
          <w:szCs w:val="20"/>
          <w:color w:val="auto"/>
        </w:rPr>
      </w:pPr>
    </w:p>
    <w:p>
      <w:pPr>
        <w:ind w:left="-60" w:right="100" w:firstLine="464"/>
        <w:spacing w:after="0" w:line="284" w:lineRule="auto"/>
        <w:tabs>
          <w:tab w:leader="none" w:pos="72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means Shares issued to a Participant that are subject to such restrictions on transfer, forfeiture conditions and other restrictions or limitations as may be set forth in this Plan and the applicable Agreement.</w:t>
      </w:r>
    </w:p>
    <w:p>
      <w:pPr>
        <w:spacing w:after="0" w:line="158" w:lineRule="exact"/>
        <w:rPr>
          <w:rFonts w:ascii="Times New Roman" w:cs="Times New Roman" w:eastAsia="Times New Roman" w:hAnsi="Times New Roman"/>
          <w:sz w:val="18"/>
          <w:szCs w:val="18"/>
          <w:color w:val="auto"/>
        </w:rPr>
      </w:pPr>
    </w:p>
    <w:p>
      <w:pPr>
        <w:ind w:left="-60" w:right="60" w:firstLine="464"/>
        <w:spacing w:after="0" w:line="259" w:lineRule="auto"/>
        <w:tabs>
          <w:tab w:leader="none" w:pos="74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Service</w:t>
      </w:r>
      <w:r>
        <w:rPr>
          <w:rFonts w:ascii="Times New Roman" w:cs="Times New Roman" w:eastAsia="Times New Roman" w:hAnsi="Times New Roman"/>
          <w:sz w:val="18"/>
          <w:szCs w:val="18"/>
          <w:color w:val="auto"/>
        </w:rPr>
        <w:t>” means the provision of services by a Participant to the Company or any Affiliate in any Service Provider capacity. A Service Provider’s Service shall be deemed to have terminated either upon an actual cessation of providing services or upon the entity for which the Service Provider provides services ceasing to be an Affiliate. Except as otherwise provided in this Plan or any Agreement, Service shall not be deemed terminated in the case of (i) any approved leave of absence; (ii) transfers among the Company and any Affiliates in any Service Provider capacity; or (iii) any change in status so long as the individual remains in the service of the Company or any Affiliate in any Service Provider capacity.</w:t>
      </w:r>
    </w:p>
    <w:p>
      <w:pPr>
        <w:spacing w:after="0" w:line="179" w:lineRule="exact"/>
        <w:rPr>
          <w:rFonts w:ascii="Times New Roman" w:cs="Times New Roman" w:eastAsia="Times New Roman" w:hAnsi="Times New Roman"/>
          <w:sz w:val="18"/>
          <w:szCs w:val="18"/>
          <w:color w:val="auto"/>
        </w:rPr>
      </w:pPr>
    </w:p>
    <w:p>
      <w:pPr>
        <w:ind w:left="-60" w:firstLine="464"/>
        <w:spacing w:after="0" w:line="267" w:lineRule="auto"/>
        <w:tabs>
          <w:tab w:leader="none" w:pos="72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Service Provider</w:t>
      </w:r>
      <w:r>
        <w:rPr>
          <w:rFonts w:ascii="Times New Roman" w:cs="Times New Roman" w:eastAsia="Times New Roman" w:hAnsi="Times New Roman"/>
          <w:sz w:val="18"/>
          <w:szCs w:val="18"/>
          <w:color w:val="auto"/>
        </w:rPr>
        <w:t>” means an Employee, a Non-Employee Director, or any consultant or advisor who is a natural person and who provides services (other than in connection with (i) a capital-raising transaction or (ii) promoting or maintaining a market in Company securities) to the Company or any Affiliate.</w:t>
      </w:r>
    </w:p>
    <w:p>
      <w:pPr>
        <w:spacing w:after="0" w:line="173" w:lineRule="exact"/>
        <w:rPr>
          <w:rFonts w:ascii="Times New Roman" w:cs="Times New Roman" w:eastAsia="Times New Roman" w:hAnsi="Times New Roman"/>
          <w:sz w:val="18"/>
          <w:szCs w:val="18"/>
          <w:color w:val="auto"/>
        </w:rPr>
      </w:pPr>
    </w:p>
    <w:p>
      <w:pPr>
        <w:ind w:left="740" w:hanging="336"/>
        <w:spacing w:after="0"/>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w:t>
      </w:r>
      <w:r>
        <w:rPr>
          <w:rFonts w:ascii="Times New Roman" w:cs="Times New Roman" w:eastAsia="Times New Roman" w:hAnsi="Times New Roman"/>
          <w:sz w:val="18"/>
          <w:szCs w:val="18"/>
          <w:color w:val="auto"/>
        </w:rPr>
        <w:t>” means a share of Stock.</w:t>
      </w:r>
    </w:p>
    <w:p>
      <w:pPr>
        <w:spacing w:after="0" w:line="225" w:lineRule="exact"/>
        <w:rPr>
          <w:rFonts w:ascii="Times New Roman" w:cs="Times New Roman" w:eastAsia="Times New Roman" w:hAnsi="Times New Roman"/>
          <w:sz w:val="18"/>
          <w:szCs w:val="18"/>
          <w:color w:val="auto"/>
        </w:rPr>
      </w:pPr>
    </w:p>
    <w:p>
      <w:pPr>
        <w:ind w:left="720" w:hanging="316"/>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means the common stock, $0.001 par value, of the Company.</w:t>
      </w:r>
    </w:p>
    <w:p>
      <w:pPr>
        <w:spacing w:after="0" w:line="225" w:lineRule="exact"/>
        <w:rPr>
          <w:rFonts w:ascii="Times New Roman" w:cs="Times New Roman" w:eastAsia="Times New Roman" w:hAnsi="Times New Roman"/>
          <w:sz w:val="18"/>
          <w:szCs w:val="18"/>
          <w:color w:val="auto"/>
        </w:rPr>
      </w:pPr>
    </w:p>
    <w:p>
      <w:pPr>
        <w:ind w:left="-60" w:right="300" w:firstLine="464"/>
        <w:spacing w:after="0" w:line="284" w:lineRule="auto"/>
        <w:tabs>
          <w:tab w:leader="none" w:pos="6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SAR</w:t>
      </w:r>
      <w:r>
        <w:rPr>
          <w:rFonts w:ascii="Times New Roman" w:cs="Times New Roman" w:eastAsia="Times New Roman" w:hAnsi="Times New Roman"/>
          <w:sz w:val="18"/>
          <w:szCs w:val="18"/>
          <w:color w:val="auto"/>
        </w:rPr>
        <w:t>” means the right to receive, in cash and/or Shares as determined by the Committee, an amount equal to the appreciation in value of a specified number of Shares between the Grant Date of the SAR and its exercise date.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00"/>
          </w:cols>
          <w:pgMar w:left="300" w:top="268" w:right="299" w:bottom="1440" w:gutter="0" w:footer="0" w:header="0"/>
        </w:sectPr>
      </w:pPr>
    </w:p>
    <w:bookmarkStart w:id="79" w:name="page80"/>
    <w:bookmarkEnd w:id="79"/>
    <w:p>
      <w:pPr>
        <w:ind w:right="320" w:firstLine="464"/>
        <w:spacing w:after="0" w:line="284" w:lineRule="auto"/>
        <w:tabs>
          <w:tab w:leader="none" w:pos="72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Stock Unit</w:t>
      </w:r>
      <w:r>
        <w:rPr>
          <w:rFonts w:ascii="Times New Roman" w:cs="Times New Roman" w:eastAsia="Times New Roman" w:hAnsi="Times New Roman"/>
          <w:sz w:val="18"/>
          <w:szCs w:val="18"/>
          <w:color w:val="auto"/>
        </w:rPr>
        <w:t>” means a right to receive, in cash and/or Shares as determined by the Committee, the Fair Market Value of a Share, subject to such restrictions on transfer, forfeiture conditions and other restrictions or limitations as may be set forth in this Plan and the applicable Agreement.</w:t>
      </w:r>
    </w:p>
    <w:p>
      <w:pPr>
        <w:spacing w:after="0" w:line="158" w:lineRule="exact"/>
        <w:rPr>
          <w:sz w:val="20"/>
          <w:szCs w:val="20"/>
          <w:color w:val="auto"/>
        </w:rPr>
      </w:pPr>
    </w:p>
    <w:p>
      <w:pPr>
        <w:ind w:left="800" w:hanging="336"/>
        <w:spacing w:after="0"/>
        <w:tabs>
          <w:tab w:leader="none" w:pos="8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 “subsidiary corporation,” as defined in Code Section 424(f), of the Company.</w:t>
      </w:r>
    </w:p>
    <w:p>
      <w:pPr>
        <w:spacing w:after="0" w:line="225" w:lineRule="exact"/>
        <w:rPr>
          <w:rFonts w:ascii="Times New Roman" w:cs="Times New Roman" w:eastAsia="Times New Roman" w:hAnsi="Times New Roman"/>
          <w:sz w:val="18"/>
          <w:szCs w:val="18"/>
          <w:color w:val="auto"/>
        </w:rPr>
      </w:pPr>
    </w:p>
    <w:p>
      <w:pPr>
        <w:ind w:firstLine="464"/>
        <w:spacing w:after="0" w:line="284" w:lineRule="auto"/>
        <w:tabs>
          <w:tab w:leader="none" w:pos="80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Substitute Award</w:t>
      </w:r>
      <w:r>
        <w:rPr>
          <w:rFonts w:ascii="Times New Roman" w:cs="Times New Roman" w:eastAsia="Times New Roman" w:hAnsi="Times New Roman"/>
          <w:sz w:val="18"/>
          <w:szCs w:val="18"/>
          <w:color w:val="auto"/>
        </w:rPr>
        <w:t>” means an Award granted upon the assumption of, or in substitution or exchange for, outstanding awards granted by a company or other entity acquired by the Company or any Affiliate or with which the Company or any Affiliate combines.</w:t>
      </w:r>
    </w:p>
    <w:p>
      <w:pPr>
        <w:spacing w:after="0" w:line="26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5"/>
          <w:szCs w:val="15"/>
          <w:b w:val="1"/>
          <w:bCs w:val="1"/>
          <w:color w:val="auto"/>
        </w:rPr>
        <w:t>DMINISTRATION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right="120" w:firstLine="464"/>
        <w:spacing w:after="0" w:line="282" w:lineRule="auto"/>
        <w:tabs>
          <w:tab w:leader="none" w:pos="70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authority to control and manage the operations and administration of the Plan shall be vested in the Committee in accordance with this Section 3.</w:t>
      </w:r>
    </w:p>
    <w:p>
      <w:pPr>
        <w:spacing w:after="0" w:line="161" w:lineRule="exact"/>
        <w:rPr>
          <w:rFonts w:ascii="Times New Roman" w:cs="Times New Roman" w:eastAsia="Times New Roman" w:hAnsi="Times New Roman"/>
          <w:sz w:val="18"/>
          <w:szCs w:val="18"/>
          <w:color w:val="auto"/>
        </w:rPr>
      </w:pPr>
    </w:p>
    <w:p>
      <w:pPr>
        <w:ind w:right="460" w:firstLine="464"/>
        <w:spacing w:after="0" w:line="282" w:lineRule="auto"/>
        <w:tabs>
          <w:tab w:leader="none" w:pos="71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Scope of Authority</w:t>
      </w:r>
      <w:r>
        <w:rPr>
          <w:rFonts w:ascii="Times New Roman" w:cs="Times New Roman" w:eastAsia="Times New Roman" w:hAnsi="Times New Roman"/>
          <w:sz w:val="18"/>
          <w:szCs w:val="18"/>
          <w:color w:val="auto"/>
        </w:rPr>
        <w:t>. Subject to the terms of the Plan, the Committee shall have the authority, in its discretion, to take such actions as it deems necessary or advisable to administer the Plan, including:</w:t>
      </w:r>
    </w:p>
    <w:p>
      <w:pPr>
        <w:spacing w:after="0" w:line="53" w:lineRule="exact"/>
        <w:rPr>
          <w:rFonts w:ascii="Times New Roman" w:cs="Times New Roman" w:eastAsia="Times New Roman" w:hAnsi="Times New Roman"/>
          <w:sz w:val="18"/>
          <w:szCs w:val="18"/>
          <w:color w:val="auto"/>
        </w:rPr>
      </w:pPr>
    </w:p>
    <w:p>
      <w:pPr>
        <w:ind w:right="60" w:firstLine="921"/>
        <w:spacing w:after="0" w:line="266" w:lineRule="auto"/>
        <w:tabs>
          <w:tab w:leader="none" w:pos="1168"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Service Providers to whom Awards will be granted, the timing of each such Award, the types of Awards and the number of Shares covered by each Award, the terms, conditions, performance criteria, restrictions and other provisions of Awards, and the manner in which Awards are paid or settled;</w:t>
      </w:r>
    </w:p>
    <w:p>
      <w:pPr>
        <w:spacing w:after="0" w:line="176" w:lineRule="exact"/>
        <w:rPr>
          <w:rFonts w:ascii="Times New Roman" w:cs="Times New Roman" w:eastAsia="Times New Roman" w:hAnsi="Times New Roman"/>
          <w:sz w:val="18"/>
          <w:szCs w:val="18"/>
          <w:color w:val="auto"/>
        </w:rPr>
      </w:pPr>
    </w:p>
    <w:p>
      <w:pPr>
        <w:ind w:right="120" w:firstLine="921"/>
        <w:spacing w:after="0" w:line="282" w:lineRule="auto"/>
        <w:tabs>
          <w:tab w:leader="none" w:pos="1168"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or suspending an Award, accelerating the vesting or extending the exercise period of an Award, or otherwise amending the terms and conditions of any outstanding Award, subject to the requirements of Sections 15(d) and 15(e); and</w:t>
      </w:r>
    </w:p>
    <w:p>
      <w:pPr>
        <w:spacing w:after="0" w:line="161" w:lineRule="exact"/>
        <w:rPr>
          <w:rFonts w:ascii="Times New Roman" w:cs="Times New Roman" w:eastAsia="Times New Roman" w:hAnsi="Times New Roman"/>
          <w:sz w:val="18"/>
          <w:szCs w:val="18"/>
          <w:color w:val="auto"/>
        </w:rPr>
      </w:pPr>
    </w:p>
    <w:p>
      <w:pPr>
        <w:ind w:right="200" w:firstLine="921"/>
        <w:spacing w:after="0" w:line="282" w:lineRule="auto"/>
        <w:tabs>
          <w:tab w:leader="none" w:pos="1168"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amending or rescinding rules to administer the Plan, interpreting the Plan and any Award or Agreement made under the Plan, and making all other determinations necessary or desirable for the administration of the Plan.</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Notwithstanding the foregoing provisions of this Section 3(b), the Board shall perform the duties and have the responsibilities of the Committee with respect to Awards made to Non-Employee Directors.</w:t>
      </w:r>
    </w:p>
    <w:p>
      <w:pPr>
        <w:spacing w:after="0" w:line="162" w:lineRule="exact"/>
        <w:rPr>
          <w:sz w:val="20"/>
          <w:szCs w:val="20"/>
          <w:color w:val="auto"/>
        </w:rPr>
      </w:pPr>
    </w:p>
    <w:p>
      <w:pPr>
        <w:ind w:right="60" w:firstLine="464"/>
        <w:spacing w:after="0" w:line="258" w:lineRule="auto"/>
        <w:tabs>
          <w:tab w:leader="none" w:pos="70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Acts of the Committee; Delegation</w:t>
      </w:r>
      <w:r>
        <w:rPr>
          <w:rFonts w:ascii="Times New Roman" w:cs="Times New Roman" w:eastAsia="Times New Roman" w:hAnsi="Times New Roman"/>
          <w:sz w:val="18"/>
          <w:szCs w:val="18"/>
          <w:color w:val="auto"/>
        </w:rPr>
        <w:t>. A majority of the members of the Committee shall constitute a quorum for any meeting of the Committee, and any act of a majority of the members present at any meeting at which a quorum is present or any act unanimously approved in writing by all members of the Committee shall be the act of the Committee. To the extent not inconsistent with applicable law or stock exchange rules, the Committee may delegate all or any portion of its authority under the Plan to determine and administer Awards that are made to Participants who are neither Non-Employee Directors nor executive officers of the Company to one or more persons who are either Non-Employee Directors or executive officers of the Company.</w:t>
      </w:r>
    </w:p>
    <w:p>
      <w:pPr>
        <w:spacing w:after="0" w:line="183" w:lineRule="exact"/>
        <w:rPr>
          <w:rFonts w:ascii="Times New Roman" w:cs="Times New Roman" w:eastAsia="Times New Roman" w:hAnsi="Times New Roman"/>
          <w:sz w:val="18"/>
          <w:szCs w:val="18"/>
          <w:color w:val="auto"/>
        </w:rPr>
      </w:pPr>
    </w:p>
    <w:p>
      <w:pPr>
        <w:ind w:right="80" w:firstLine="464"/>
        <w:spacing w:after="0" w:line="282" w:lineRule="auto"/>
        <w:tabs>
          <w:tab w:leader="none" w:pos="71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Finality of Decisions</w:t>
      </w:r>
      <w:r>
        <w:rPr>
          <w:rFonts w:ascii="Times New Roman" w:cs="Times New Roman" w:eastAsia="Times New Roman" w:hAnsi="Times New Roman"/>
          <w:sz w:val="18"/>
          <w:szCs w:val="18"/>
          <w:color w:val="auto"/>
        </w:rPr>
        <w:t>. The Committee’s interpretation of the Plan and of any Award or Agreement made under the Plan and all related decisions or resolutions of the Board or Committee shall be final and binding on all parties with an interest therein.</w:t>
      </w:r>
    </w:p>
    <w:p>
      <w:pPr>
        <w:spacing w:after="0" w:line="161" w:lineRule="exact"/>
        <w:rPr>
          <w:rFonts w:ascii="Times New Roman" w:cs="Times New Roman" w:eastAsia="Times New Roman" w:hAnsi="Times New Roman"/>
          <w:sz w:val="18"/>
          <w:szCs w:val="18"/>
          <w:color w:val="auto"/>
        </w:rPr>
      </w:pPr>
    </w:p>
    <w:p>
      <w:pPr>
        <w:ind w:right="120" w:firstLine="464"/>
        <w:spacing w:after="0" w:line="255" w:lineRule="auto"/>
        <w:tabs>
          <w:tab w:leader="none" w:pos="70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Each person who is or has been a member of the Committee or of the Board, and any other person to whom the Committee delegates authority under the Plan, shall be indemnified by the Company, to the maximum extent permitted by law, against liabilities and expenses imposed upon or reasonably incurred by such person in connection with or resulting from any claims against such person by reason of the performance of the individual’s duties under the Plan. This right to indemnification is conditioned upon such person providing the Company an opportunity, at the Company’s expense, to handle and defend the claims before such person undertakes to handle and defend them on such person’s own behalf. The Company will not be required to indemnify any person for any amount paid in settlement of a claim unless the Company has first consented in writing to the settlement. The foregoing right of indemnification shall not be exclusive of any other rights of indemnification to which such person or persons may be entitled under the Company’s Certificate of Incorporation or Bylaws, as a matter of law, or otherwise.</w:t>
      </w:r>
    </w:p>
    <w:p>
      <w:pPr>
        <w:spacing w:after="0" w:line="1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40"/>
          </w:cols>
          <w:pgMar w:left="240" w:top="268" w:right="319" w:bottom="1440" w:gutter="0" w:footer="0" w:header="0"/>
        </w:sectPr>
      </w:pPr>
    </w:p>
    <w:bookmarkStart w:id="80" w:name="page81"/>
    <w:bookmarkEnd w:id="80"/>
    <w:p>
      <w:pPr>
        <w:ind w:left="180" w:hanging="172"/>
        <w:spacing w:after="0"/>
        <w:tabs>
          <w:tab w:leader="none" w:pos="1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Times New Roman" w:cs="Times New Roman" w:eastAsia="Times New Roman" w:hAnsi="Times New Roman"/>
          <w:sz w:val="15"/>
          <w:szCs w:val="15"/>
          <w:b w:val="1"/>
          <w:bCs w:val="1"/>
          <w:color w:val="auto"/>
        </w:rPr>
        <w:t>HARES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VAILABLE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5"/>
          <w:szCs w:val="15"/>
          <w:b w:val="1"/>
          <w:bCs w:val="1"/>
          <w:color w:val="auto"/>
        </w:rPr>
        <w:t>NDER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jc w:val="both"/>
        <w:ind w:right="200" w:firstLine="464"/>
        <w:spacing w:after="0" w:line="261" w:lineRule="auto"/>
        <w:tabs>
          <w:tab w:leader="none" w:pos="70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Available</w:t>
      </w:r>
      <w:r>
        <w:rPr>
          <w:rFonts w:ascii="Times New Roman" w:cs="Times New Roman" w:eastAsia="Times New Roman" w:hAnsi="Times New Roman"/>
          <w:sz w:val="18"/>
          <w:szCs w:val="18"/>
          <w:color w:val="auto"/>
        </w:rPr>
        <w:t>. Subject to Sections 4(b) and (c) and to adjustment as provided in Section 12(a), the number of Shares that may be the subject of Awards and issued under the Plan will be 2,600,000, plus any Shares remaining available for future grants under the Prior Plans on the effective date of this Plan. Shares issued under the Plan may come from authorized and unissued shares or treasury shares. In determining the number of Shares to be counted against this share reserve in connection with any Award, the following rules shall apply:</w:t>
      </w:r>
    </w:p>
    <w:p>
      <w:pPr>
        <w:spacing w:after="0" w:line="71" w:lineRule="exact"/>
        <w:rPr>
          <w:rFonts w:ascii="Times New Roman" w:cs="Times New Roman" w:eastAsia="Times New Roman" w:hAnsi="Times New Roman"/>
          <w:sz w:val="18"/>
          <w:szCs w:val="18"/>
          <w:color w:val="auto"/>
        </w:rPr>
      </w:pPr>
    </w:p>
    <w:p>
      <w:pPr>
        <w:ind w:right="140" w:firstLine="921"/>
        <w:spacing w:after="0" w:line="282" w:lineRule="auto"/>
        <w:tabs>
          <w:tab w:leader="none" w:pos="1168"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number of Shares subject to an Award is variable on the Grant Date, the number of Shares to be counted against the share reserve prior to the settlement of the Award shall be the maximum number of Shares that could be received under that particular Award.</w:t>
      </w:r>
    </w:p>
    <w:p>
      <w:pPr>
        <w:spacing w:after="0" w:line="161" w:lineRule="exact"/>
        <w:rPr>
          <w:rFonts w:ascii="Times New Roman" w:cs="Times New Roman" w:eastAsia="Times New Roman" w:hAnsi="Times New Roman"/>
          <w:sz w:val="18"/>
          <w:szCs w:val="18"/>
          <w:color w:val="auto"/>
        </w:rPr>
      </w:pPr>
    </w:p>
    <w:p>
      <w:pPr>
        <w:ind w:firstLine="921"/>
        <w:spacing w:after="0" w:line="266" w:lineRule="auto"/>
        <w:tabs>
          <w:tab w:leader="none" w:pos="1168"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two or more types of Awards are granted to a Participant in tandem with each other, such that the exercise of one type of Award with respect to a number of Shares cancels at least an equal number of Shares of the other, the number of Shares to be counted against the share reserve shall be the largest number of Shares that would be counted against the share reserve under either of the Awards.</w:t>
      </w:r>
    </w:p>
    <w:p>
      <w:pPr>
        <w:spacing w:after="0" w:line="176"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 Awards shall not be counted against the share reserve, nor shall they reduce the Shares authorized for grant to a Participant in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year.</w:t>
      </w:r>
    </w:p>
    <w:p>
      <w:pPr>
        <w:spacing w:after="0" w:line="206" w:lineRule="exact"/>
        <w:rPr>
          <w:rFonts w:ascii="Times New Roman" w:cs="Times New Roman" w:eastAsia="Times New Roman" w:hAnsi="Times New Roman"/>
          <w:sz w:val="18"/>
          <w:szCs w:val="18"/>
          <w:color w:val="auto"/>
        </w:rPr>
      </w:pPr>
    </w:p>
    <w:p>
      <w:pPr>
        <w:ind w:right="40" w:firstLine="464"/>
        <w:spacing w:after="0" w:line="266" w:lineRule="auto"/>
        <w:tabs>
          <w:tab w:leader="none" w:pos="71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Share Reserve Increase</w:t>
      </w:r>
      <w:r>
        <w:rPr>
          <w:rFonts w:ascii="Times New Roman" w:cs="Times New Roman" w:eastAsia="Times New Roman" w:hAnsi="Times New Roman"/>
          <w:sz w:val="18"/>
          <w:szCs w:val="18"/>
          <w:color w:val="auto"/>
        </w:rPr>
        <w:t>. The share reserve specified in Section 4(a) will be increased on January 1 of each year commencing in 2011 and ending on (and including) January 1, 2020 in an amount equal to the lesser of: (i) 6% of the total number of Shares outstanding as of December 31 of the immediately preceding calendar year or (ii) such number of Shares determined by the Board.</w:t>
      </w:r>
    </w:p>
    <w:p>
      <w:pPr>
        <w:spacing w:after="0" w:line="176" w:lineRule="exact"/>
        <w:rPr>
          <w:rFonts w:ascii="Times New Roman" w:cs="Times New Roman" w:eastAsia="Times New Roman" w:hAnsi="Times New Roman"/>
          <w:sz w:val="18"/>
          <w:szCs w:val="18"/>
          <w:color w:val="auto"/>
        </w:rPr>
      </w:pPr>
    </w:p>
    <w:p>
      <w:pPr>
        <w:ind w:right="20" w:firstLine="464"/>
        <w:spacing w:after="0" w:line="271" w:lineRule="auto"/>
        <w:tabs>
          <w:tab w:leader="none" w:pos="701"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Forfeitures and Other Actions</w:t>
      </w:r>
      <w:r>
        <w:rPr>
          <w:rFonts w:ascii="Times New Roman" w:cs="Times New Roman" w:eastAsia="Times New Roman" w:hAnsi="Times New Roman"/>
          <w:sz w:val="17"/>
          <w:szCs w:val="17"/>
          <w:color w:val="auto"/>
        </w:rPr>
        <w:t>. Any Shares subject to an Award, or to an award granted under one of the Prior Plans that is outstanding on the effective date of this Plan (a “Prior Plan Award”), that is cancelled, forfeited or expires or is settled for cash shall, to the extent of such cancellation, forfeiture, expiration or cash settlement, again become available for Awards under this Plan and correspondingly increase the total number of Shares available for grant and issuance under Section 4(a). The following Shares shall not, however, again become available for Awards or increase the share reserve under Section 4(a): (i) Shares tendered (either actually or by attestation) by a Participant or withheld by the Company in payment of the purchase price of a stock option issued under this Plan or a Prior Plan, (ii) Shares tendered (either actually or by attestation) by a Participant or withheld by the Company to satisfy any tax withholding obligation with respect to the exercise of a stock option or stock appreciation right award under this Plan or a Prior Plan, (iii) Shares repurchased by the Company with proceeds received from the exercise of a stock option issued under this Plan or a Prior Plan, and (iv) Shares subject to a stock appreciation right award issued under this Plan or a Prior Plan that are not issued in connection with the stock settlement of that award upon its exercise.</w:t>
      </w:r>
    </w:p>
    <w:p>
      <w:pPr>
        <w:spacing w:after="0" w:line="174" w:lineRule="exact"/>
        <w:rPr>
          <w:rFonts w:ascii="Times New Roman" w:cs="Times New Roman" w:eastAsia="Times New Roman" w:hAnsi="Times New Roman"/>
          <w:sz w:val="17"/>
          <w:szCs w:val="17"/>
          <w:color w:val="auto"/>
        </w:rPr>
      </w:pPr>
    </w:p>
    <w:p>
      <w:pPr>
        <w:ind w:right="20" w:firstLine="464"/>
        <w:spacing w:after="0" w:line="255" w:lineRule="auto"/>
        <w:tabs>
          <w:tab w:leader="none" w:pos="71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Plans Operated by Acquired Companies</w:t>
      </w:r>
      <w:r>
        <w:rPr>
          <w:rFonts w:ascii="Times New Roman" w:cs="Times New Roman" w:eastAsia="Times New Roman" w:hAnsi="Times New Roman"/>
          <w:sz w:val="18"/>
          <w:szCs w:val="18"/>
          <w:color w:val="auto"/>
        </w:rPr>
        <w:t>. If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Awards using such available shares shall not be made after the date awards or grants could have been made under the terms of the pre-existing plan, absent the acquisition or combination, and shall only be made to individuals who were not Employees or Non-Employee Directors prior to such acquisition or combination.</w:t>
      </w:r>
    </w:p>
    <w:p>
      <w:pPr>
        <w:spacing w:after="0" w:line="185" w:lineRule="exact"/>
        <w:rPr>
          <w:rFonts w:ascii="Times New Roman" w:cs="Times New Roman" w:eastAsia="Times New Roman" w:hAnsi="Times New Roman"/>
          <w:sz w:val="18"/>
          <w:szCs w:val="18"/>
          <w:color w:val="auto"/>
        </w:rPr>
      </w:pPr>
    </w:p>
    <w:p>
      <w:pPr>
        <w:ind w:right="200" w:firstLine="464"/>
        <w:spacing w:after="0" w:line="266" w:lineRule="auto"/>
        <w:tabs>
          <w:tab w:leader="none" w:pos="70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Unless otherwise determined by the Committee, the number of Shares subject to an Award shall always be a whole number. No fractional Shares may be issued under the Plan, but the Committee may, in its discretion, pay cash in lieu of any fractional Share in settlement of an Award.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66" w:right="239" w:bottom="1440" w:gutter="0" w:footer="0" w:header="0"/>
        </w:sectPr>
      </w:pPr>
    </w:p>
    <w:bookmarkStart w:id="81" w:name="page82"/>
    <w:bookmarkEnd w:id="81"/>
    <w:p>
      <w:pPr>
        <w:ind w:right="320" w:firstLine="464"/>
        <w:spacing w:after="0" w:line="282" w:lineRule="auto"/>
        <w:tabs>
          <w:tab w:leader="none" w:pos="68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Individual Option and SAR Limit</w:t>
      </w:r>
      <w:r>
        <w:rPr>
          <w:rFonts w:ascii="Times New Roman" w:cs="Times New Roman" w:eastAsia="Times New Roman" w:hAnsi="Times New Roman"/>
          <w:sz w:val="18"/>
          <w:szCs w:val="18"/>
          <w:color w:val="auto"/>
        </w:rPr>
        <w:t>. Subject to adjustment as provided in Section 12(a), the aggregate number of Shares subject to Options and/or Stock Appreciation Rights granted during any calendar year to any one Participant shall not exceed 1,500,000 Shares.</w:t>
      </w:r>
    </w:p>
    <w:p>
      <w:pPr>
        <w:spacing w:after="0" w:line="26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5"/>
          <w:szCs w:val="15"/>
          <w:b w:val="1"/>
          <w:bCs w:val="1"/>
          <w:color w:val="auto"/>
        </w:rPr>
        <w:t>LIGIBILITY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Participation in the Plan is limited to Service Providers. Incentive Stock Options may only be granted to Employees.</w:t>
      </w:r>
    </w:p>
    <w:p>
      <w:pPr>
        <w:spacing w:after="0" w:line="221" w:lineRule="exact"/>
        <w:rPr>
          <w:sz w:val="20"/>
          <w:szCs w:val="20"/>
          <w:color w:val="auto"/>
        </w:rPr>
      </w:pPr>
    </w:p>
    <w:p>
      <w:pPr>
        <w:ind w:left="180" w:hanging="172"/>
        <w:spacing w:after="0"/>
        <w:tabs>
          <w:tab w:leader="none" w:pos="1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5"/>
          <w:szCs w:val="15"/>
          <w:b w:val="1"/>
          <w:bCs w:val="1"/>
          <w:color w:val="auto"/>
        </w:rPr>
        <w:t>ENERAL</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5"/>
          <w:szCs w:val="15"/>
          <w:b w:val="1"/>
          <w:bCs w:val="1"/>
          <w:color w:val="auto"/>
        </w:rPr>
        <w:t>ERMS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WARDS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right="200" w:firstLine="464"/>
        <w:spacing w:after="0" w:line="261" w:lineRule="auto"/>
        <w:tabs>
          <w:tab w:leader="none" w:pos="70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Each Award shall be evidenced by an Agreement setting forth the number of Shares subject to the Award together with such other terms and conditions applicable to the Award (and not inconsistent with the Plan) as determined by the Committee. An Award to a Participant may be made singly or in combination with any form of Award. Two types of Awards may be made in tandem with each other such that the exercise of one type of Award with respect to a number of Shares reduces the number of Shares subject to the related Award by at least an equal amount.</w:t>
      </w:r>
    </w:p>
    <w:p>
      <w:pPr>
        <w:spacing w:after="0" w:line="180" w:lineRule="exact"/>
        <w:rPr>
          <w:rFonts w:ascii="Times New Roman" w:cs="Times New Roman" w:eastAsia="Times New Roman" w:hAnsi="Times New Roman"/>
          <w:sz w:val="18"/>
          <w:szCs w:val="18"/>
          <w:color w:val="auto"/>
        </w:rPr>
      </w:pPr>
    </w:p>
    <w:p>
      <w:pPr>
        <w:ind w:right="320" w:firstLine="464"/>
        <w:spacing w:after="0" w:line="282" w:lineRule="auto"/>
        <w:tabs>
          <w:tab w:leader="none" w:pos="71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Term</w:t>
      </w:r>
      <w:r>
        <w:rPr>
          <w:rFonts w:ascii="Times New Roman" w:cs="Times New Roman" w:eastAsia="Times New Roman" w:hAnsi="Times New Roman"/>
          <w:sz w:val="18"/>
          <w:szCs w:val="18"/>
          <w:color w:val="auto"/>
        </w:rPr>
        <w:t>. Each Agreement shall set forth the period until the applicable Award is scheduled to expire (which shall not be more than ten years from the Grant Date), and any applicable performance period.</w:t>
      </w:r>
    </w:p>
    <w:p>
      <w:pPr>
        <w:spacing w:after="0" w:line="161" w:lineRule="exact"/>
        <w:rPr>
          <w:rFonts w:ascii="Times New Roman" w:cs="Times New Roman" w:eastAsia="Times New Roman" w:hAnsi="Times New Roman"/>
          <w:sz w:val="18"/>
          <w:szCs w:val="18"/>
          <w:color w:val="auto"/>
        </w:rPr>
      </w:pPr>
    </w:p>
    <w:p>
      <w:pPr>
        <w:ind w:firstLine="464"/>
        <w:spacing w:after="0" w:line="254" w:lineRule="auto"/>
        <w:tabs>
          <w:tab w:leader="none" w:pos="70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this Section 6(c), (i) during the lifetime of a Participant, only the Participant or the Participant’s guardian or legal representative may exercise an Option or SAR, or receive payment with respect to any other Award; and (ii) no Award may be sold, assigned, transferred, exchanged or encumbered other than by will or the laws of descent and distribution. Any attempted transfer in violation of this Section 6(c) shall be of no effect. The Committee may, however, provide in an Agreement or otherwise that an Award (other than an Incentive Stock Option) may be transferred pursuant to a qualified domestic relations order or may be transferable by gift to any “family member” (as defined in General Instruction A(5) to Form S-8 under the Securities Act of 1933) of the Participant. Any Award held by a transferee shall continue to be subject to the same terms and conditions that were applicable to that Award immediately before the transfer thereof. For purposes of any provision of the Plan relating to notice to a Participant or to acceleration or termination of an Award upon the death or termination of employment of a Participant, the references to “</w:t>
      </w: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shall mean the original grantee of an Award and not any transferee.</w:t>
      </w:r>
    </w:p>
    <w:p>
      <w:pPr>
        <w:spacing w:after="0" w:line="189" w:lineRule="exact"/>
        <w:rPr>
          <w:rFonts w:ascii="Times New Roman" w:cs="Times New Roman" w:eastAsia="Times New Roman" w:hAnsi="Times New Roman"/>
          <w:sz w:val="18"/>
          <w:szCs w:val="18"/>
          <w:color w:val="auto"/>
        </w:rPr>
      </w:pPr>
    </w:p>
    <w:p>
      <w:pPr>
        <w:ind w:right="100" w:firstLine="464"/>
        <w:spacing w:after="0" w:line="266" w:lineRule="auto"/>
        <w:tabs>
          <w:tab w:leader="none" w:pos="71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Each Participant may designate a beneficiary or beneficiaries to exercise any Award or receive a payment under any Award payable on or after the Participant’s death. Any such designation shall be on a form approved by the Committee and shall be effective upon its receipt by the Company.</w:t>
      </w:r>
    </w:p>
    <w:p>
      <w:pPr>
        <w:spacing w:after="0" w:line="176" w:lineRule="exact"/>
        <w:rPr>
          <w:rFonts w:ascii="Times New Roman" w:cs="Times New Roman" w:eastAsia="Times New Roman" w:hAnsi="Times New Roman"/>
          <w:sz w:val="18"/>
          <w:szCs w:val="18"/>
          <w:color w:val="auto"/>
        </w:rPr>
      </w:pPr>
    </w:p>
    <w:p>
      <w:pPr>
        <w:jc w:val="both"/>
        <w:ind w:right="520" w:firstLine="464"/>
        <w:spacing w:after="0" w:line="266" w:lineRule="auto"/>
        <w:tabs>
          <w:tab w:leader="none" w:pos="70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Unless otherwise provided in an Agreement, and subject to Section 12 of this Plan, if a Participant’s Service with the Company and all of its Affiliates terminates, the following provisions shall apply (in all cases subject to the scheduled expiration of an Option or Stock Appreciation Right, as applicable):</w:t>
      </w:r>
    </w:p>
    <w:p>
      <w:pPr>
        <w:spacing w:after="0" w:line="68" w:lineRule="exact"/>
        <w:rPr>
          <w:rFonts w:ascii="Times New Roman" w:cs="Times New Roman" w:eastAsia="Times New Roman" w:hAnsi="Times New Roman"/>
          <w:sz w:val="18"/>
          <w:szCs w:val="18"/>
          <w:color w:val="auto"/>
        </w:rPr>
      </w:pPr>
    </w:p>
    <w:p>
      <w:pPr>
        <w:ind w:right="40" w:firstLine="921"/>
        <w:spacing w:after="0" w:line="282" w:lineRule="auto"/>
        <w:tabs>
          <w:tab w:leader="none" w:pos="1168"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Service for Cause, all unexercised Options and SARs and all unvested portions of any other outstanding Awards shall be immediately forfeited without consideration.</w:t>
      </w:r>
    </w:p>
    <w:p>
      <w:pPr>
        <w:spacing w:after="0" w:line="161" w:lineRule="exact"/>
        <w:rPr>
          <w:rFonts w:ascii="Times New Roman" w:cs="Times New Roman" w:eastAsia="Times New Roman" w:hAnsi="Times New Roman"/>
          <w:sz w:val="18"/>
          <w:szCs w:val="18"/>
          <w:color w:val="auto"/>
        </w:rPr>
      </w:pPr>
    </w:p>
    <w:p>
      <w:pPr>
        <w:ind w:right="240" w:firstLine="921"/>
        <w:spacing w:after="0" w:line="282" w:lineRule="auto"/>
        <w:tabs>
          <w:tab w:leader="none" w:pos="1168"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Service for any other reason, all unvested and unexercisable portions of any outstanding Awards shall be immediately forfeited without consideration.</w:t>
      </w:r>
    </w:p>
    <w:p>
      <w:pPr>
        <w:spacing w:after="0" w:line="161" w:lineRule="exact"/>
        <w:rPr>
          <w:rFonts w:ascii="Times New Roman" w:cs="Times New Roman" w:eastAsia="Times New Roman" w:hAnsi="Times New Roman"/>
          <w:sz w:val="18"/>
          <w:szCs w:val="18"/>
          <w:color w:val="auto"/>
        </w:rPr>
      </w:pPr>
    </w:p>
    <w:p>
      <w:pPr>
        <w:ind w:firstLine="921"/>
        <w:spacing w:after="0" w:line="266" w:lineRule="auto"/>
        <w:tabs>
          <w:tab w:leader="none" w:pos="1168"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Service for any reason other than Cause, death or Disability, the currently vested and exercisable portions of Options and SARs may be exercised for a period of three months after the date of such termination. However, if a Participant thereafter dies during such three-month period, the vested and exercisable portions of the Options and SARs may be exercised for a period of one year after the date of such termination.</w:t>
      </w:r>
    </w:p>
    <w:p>
      <w:pPr>
        <w:spacing w:after="0" w:line="176" w:lineRule="exact"/>
        <w:rPr>
          <w:rFonts w:ascii="Times New Roman" w:cs="Times New Roman" w:eastAsia="Times New Roman" w:hAnsi="Times New Roman"/>
          <w:sz w:val="18"/>
          <w:szCs w:val="18"/>
          <w:color w:val="auto"/>
        </w:rPr>
      </w:pPr>
    </w:p>
    <w:p>
      <w:pPr>
        <w:ind w:right="120" w:firstLine="921"/>
        <w:spacing w:after="0" w:line="282" w:lineRule="auto"/>
        <w:tabs>
          <w:tab w:leader="none" w:pos="1168"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Service due to death or Disability, the currently vested and exercisable portions of Options and SARs may be exercised for a period of one year after the date of such termination.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70" w:right="259" w:bottom="1440" w:gutter="0" w:footer="0" w:header="0"/>
        </w:sectPr>
      </w:pPr>
    </w:p>
    <w:bookmarkStart w:id="82" w:name="page83"/>
    <w:bookmarkEnd w:id="82"/>
    <w:p>
      <w:pPr>
        <w:ind w:right="120" w:firstLine="464"/>
        <w:spacing w:after="0" w:line="282" w:lineRule="auto"/>
        <w:tabs>
          <w:tab w:leader="none" w:pos="68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as Stockholder</w:t>
      </w:r>
      <w:r>
        <w:rPr>
          <w:rFonts w:ascii="Times New Roman" w:cs="Times New Roman" w:eastAsia="Times New Roman" w:hAnsi="Times New Roman"/>
          <w:sz w:val="18"/>
          <w:szCs w:val="18"/>
          <w:color w:val="auto"/>
        </w:rPr>
        <w:t>. No Participant shall have any rights as a stockholder with respect to any securities covered by an Award unless and until the date the Participant becomes the holder of record of the Shares, if any, to which the Award relates.</w:t>
      </w:r>
    </w:p>
    <w:p>
      <w:pPr>
        <w:spacing w:after="0" w:line="161" w:lineRule="exact"/>
        <w:rPr>
          <w:rFonts w:ascii="Times New Roman" w:cs="Times New Roman" w:eastAsia="Times New Roman" w:hAnsi="Times New Roman"/>
          <w:sz w:val="18"/>
          <w:szCs w:val="18"/>
          <w:color w:val="auto"/>
        </w:rPr>
      </w:pPr>
    </w:p>
    <w:p>
      <w:pPr>
        <w:ind w:firstLine="464"/>
        <w:spacing w:after="0" w:line="254" w:lineRule="auto"/>
        <w:tabs>
          <w:tab w:leader="none" w:pos="71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Performance-Based Awards</w:t>
      </w:r>
      <w:r>
        <w:rPr>
          <w:rFonts w:ascii="Times New Roman" w:cs="Times New Roman" w:eastAsia="Times New Roman" w:hAnsi="Times New Roman"/>
          <w:sz w:val="18"/>
          <w:szCs w:val="18"/>
          <w:color w:val="auto"/>
        </w:rPr>
        <w:t>. Any Award may be granted as a performance-based Award if the Committee establishes one or more measures of corporate, business unit or individual performance which must be attained, and the performance period over which the specified performance is to be attained, as a condition to the vesting, exercisability, lapse of restrictions and/or settlement in cash or Shares of such Award. In connection with any such Award, the Committee shall determine the extent to which performance measures have been attained and other applicable terms and conditions have been satisfied, and the degree to which vesting, exercisability, lapse of restrictions and/or settlement in cash or Shares of such Award has been earned. Any performance-based Award that is intended by the Committee to qualify as Performance-Based Compensation shall additionally be subject to the requirements of Section 17 of this Plan. Except as provided in Section 17 with respect to Performance-Based Compensation, the Committee shall also have the authority to provide, in an Agreement or otherwise, for the modification of a performance period and/or an adjustment or waiver of the achievement of performance measures upon the occurrence of certain events, which may include a Change of Control, a Corporate Transaction, a recapitalization, a change in the accounting practices of the Company, or the Participant’s death or Disability.</w:t>
      </w:r>
    </w:p>
    <w:p>
      <w:pPr>
        <w:spacing w:after="0" w:line="290"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5"/>
          <w:szCs w:val="15"/>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5"/>
          <w:szCs w:val="15"/>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WARDS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right="100" w:firstLine="464"/>
        <w:spacing w:after="0" w:line="266" w:lineRule="auto"/>
        <w:tabs>
          <w:tab w:leader="none" w:pos="70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Type and Exercise Price</w:t>
      </w:r>
      <w:r>
        <w:rPr>
          <w:rFonts w:ascii="Times New Roman" w:cs="Times New Roman" w:eastAsia="Times New Roman" w:hAnsi="Times New Roman"/>
          <w:sz w:val="18"/>
          <w:szCs w:val="18"/>
          <w:color w:val="auto"/>
        </w:rPr>
        <w:t>. The Agreement pursuant to which an Option is granted shall specify whether the Option is an Incentive Stock Option or a Non-Statutory Stock Option. The exercise price at which each Share subject to an Option may be purchased shall be determined by the Committee and set forth in the Agreement, and shall not be less than the Fair Market Value of a Share on the Grant Date, except in the case of Substitute Awards.</w:t>
      </w:r>
    </w:p>
    <w:p>
      <w:pPr>
        <w:spacing w:after="0" w:line="176" w:lineRule="exact"/>
        <w:rPr>
          <w:rFonts w:ascii="Times New Roman" w:cs="Times New Roman" w:eastAsia="Times New Roman" w:hAnsi="Times New Roman"/>
          <w:sz w:val="18"/>
          <w:szCs w:val="18"/>
          <w:color w:val="auto"/>
        </w:rPr>
      </w:pPr>
    </w:p>
    <w:p>
      <w:pPr>
        <w:ind w:right="400" w:firstLine="464"/>
        <w:spacing w:after="0" w:line="256" w:lineRule="auto"/>
        <w:tabs>
          <w:tab w:leader="none" w:pos="71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The purchase price of the Shares with respect to which an Option is exercised shall be payable in full at the time of exercise, which may include, to the extent permitted by the Committee, payment under a broker-assisted sale and remittance program acceptable to the Committee. The purchase price may be paid in cash or in such other manner as the Committee may permit, including by withholding Shares otherwise issuable to the Participant upon exercise of the Option or by delivery to the Company of Shares (by actual delivery or attestation) already owned by the Participant (in each case, such Shares having a Fair Market Value as of the date the Option is exercised equal to the purchase price of the Shares being purchased).</w:t>
      </w:r>
    </w:p>
    <w:p>
      <w:pPr>
        <w:spacing w:after="0" w:line="187" w:lineRule="exact"/>
        <w:rPr>
          <w:rFonts w:ascii="Times New Roman" w:cs="Times New Roman" w:eastAsia="Times New Roman" w:hAnsi="Times New Roman"/>
          <w:sz w:val="18"/>
          <w:szCs w:val="18"/>
          <w:color w:val="auto"/>
        </w:rPr>
      </w:pPr>
    </w:p>
    <w:p>
      <w:pPr>
        <w:ind w:right="380" w:firstLine="464"/>
        <w:spacing w:after="0" w:line="282" w:lineRule="auto"/>
        <w:tabs>
          <w:tab w:leader="none" w:pos="70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and Expiration</w:t>
      </w:r>
      <w:r>
        <w:rPr>
          <w:rFonts w:ascii="Times New Roman" w:cs="Times New Roman" w:eastAsia="Times New Roman" w:hAnsi="Times New Roman"/>
          <w:sz w:val="18"/>
          <w:szCs w:val="18"/>
          <w:color w:val="auto"/>
        </w:rPr>
        <w:t>. Each Option shall be exercisable in whole or in part on the terms provided in the Agreement. No Option shall be exercisable at any time after its scheduled expiration. When an Option is no longer exercisable, it shall be deemed to have terminated.</w:t>
      </w:r>
    </w:p>
    <w:p>
      <w:pPr>
        <w:spacing w:after="0" w:line="16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will constitute an Incentive Stock Option only if the Participant receiving the Option is an Employee, and only to the extent that</w:t>
      </w:r>
    </w:p>
    <w:p>
      <w:pPr>
        <w:spacing w:after="0" w:line="27" w:lineRule="exact"/>
        <w:rPr>
          <w:rFonts w:ascii="Times New Roman" w:cs="Times New Roman" w:eastAsia="Times New Roman" w:hAnsi="Times New Roman"/>
          <w:sz w:val="18"/>
          <w:szCs w:val="18"/>
          <w:color w:val="auto"/>
        </w:rPr>
      </w:pPr>
    </w:p>
    <w:p>
      <w:pPr>
        <w:ind w:right="3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it is so designated in the applicable Agreement and (ii) the aggregate Fair Market Value (determined as of the Option’s Grant Date) of the Shares with respect to which Incentive Stock Options held by the Participant first become exercisable in any calendar year (under the Plan and all other plans of the Company and its Affiliates) does not exceed $100,000. To the extent an Option granted to a Participant exceeds this limit, the Option shall be treated as a Non-Statutory Stock Option. The maximum number of Shares that may be issued upon the exercise of Incentive Stock Options shall equal 4,500,000. No Incentive Stock Option may be granted after the tenth anniversary of the effective date of the Plan.</w:t>
      </w:r>
    </w:p>
    <w:p>
      <w:pPr>
        <w:spacing w:after="0" w:line="187" w:lineRule="exact"/>
        <w:rPr>
          <w:sz w:val="20"/>
          <w:szCs w:val="20"/>
          <w:color w:val="auto"/>
        </w:rPr>
      </w:pPr>
    </w:p>
    <w:p>
      <w:pPr>
        <w:ind w:firstLine="921"/>
        <w:spacing w:after="0" w:line="261" w:lineRule="auto"/>
        <w:tabs>
          <w:tab w:leader="none" w:pos="116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may receive an Incentive Stock Option under the Plan if, immediately after the grant of such Award, the Participant would own (after application of the rules contained in Code Section 424(d)) Shares possessing more than 10% of the total combined voting power of all classes of stock of the Company or an Affiliate, unless (i) the option price for that Incentive Stock Option is at least 110% of the Fair Market Value of the Shares subject to that Incentive Stock Option on the Grant Date and (ii) that Option will expire no later than five years after its Grant Date.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270" w:right="259" w:bottom="1440" w:gutter="0" w:footer="0" w:header="0"/>
        </w:sectPr>
      </w:pPr>
    </w:p>
    <w:bookmarkStart w:id="83" w:name="page84"/>
    <w:bookmarkEnd w:id="83"/>
    <w:p>
      <w:pPr>
        <w:ind w:left="-8" w:firstLine="921"/>
        <w:spacing w:after="0" w:line="261" w:lineRule="auto"/>
        <w:tabs>
          <w:tab w:leader="none" w:pos="116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continued Service by a Participant who has been granted an Incentive Stock Option, no approved leave of absence may exceed three months unless reemployment upon expiration of such leave is provided by statute or contract. If reemployment is not so provided, then on the date six months following the first day of such leave, any Incentive Stock Option held by the Participant shall cease to be treated as an Incentive Stock Option and shall be treated for tax purposes as a Non-Statutory Stock Option.</w:t>
      </w:r>
    </w:p>
    <w:p>
      <w:pPr>
        <w:spacing w:after="0" w:line="180" w:lineRule="exact"/>
        <w:rPr>
          <w:rFonts w:ascii="Times New Roman" w:cs="Times New Roman" w:eastAsia="Times New Roman" w:hAnsi="Times New Roman"/>
          <w:sz w:val="18"/>
          <w:szCs w:val="18"/>
          <w:color w:val="auto"/>
        </w:rPr>
      </w:pPr>
    </w:p>
    <w:p>
      <w:pPr>
        <w:ind w:left="-8" w:right="20" w:firstLine="921"/>
        <w:spacing w:after="0" w:line="282" w:lineRule="auto"/>
        <w:tabs>
          <w:tab w:leader="none" w:pos="116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Incentive Stock Option is exercised after the expiration of the exercise periods that apply for purposes of Code Section 422, such Option shall thereafter be treated as a Non-Statutory Stock Option.</w:t>
      </w:r>
    </w:p>
    <w:p>
      <w:pPr>
        <w:spacing w:after="0" w:line="161" w:lineRule="exact"/>
        <w:rPr>
          <w:rFonts w:ascii="Times New Roman" w:cs="Times New Roman" w:eastAsia="Times New Roman" w:hAnsi="Times New Roman"/>
          <w:sz w:val="18"/>
          <w:szCs w:val="18"/>
          <w:color w:val="auto"/>
        </w:rPr>
      </w:pPr>
    </w:p>
    <w:p>
      <w:pPr>
        <w:ind w:left="-8" w:right="20" w:firstLine="921"/>
        <w:spacing w:after="0" w:line="282" w:lineRule="auto"/>
        <w:tabs>
          <w:tab w:leader="none" w:pos="116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covering an Incentive Stock Option shall contain such other terms and provisions that the Committee determines necessary to qualify the Option as an Incentive Stock Option.</w:t>
      </w:r>
    </w:p>
    <w:p>
      <w:pPr>
        <w:spacing w:after="0" w:line="265"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5"/>
          <w:szCs w:val="15"/>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IGHTS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8" w:right="240" w:firstLine="464"/>
        <w:spacing w:after="0" w:line="261" w:lineRule="auto"/>
        <w:tabs>
          <w:tab w:leader="none" w:pos="69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Award</w:t>
      </w:r>
      <w:r>
        <w:rPr>
          <w:rFonts w:ascii="Times New Roman" w:cs="Times New Roman" w:eastAsia="Times New Roman" w:hAnsi="Times New Roman"/>
          <w:sz w:val="18"/>
          <w:szCs w:val="18"/>
          <w:color w:val="auto"/>
        </w:rPr>
        <w:t>. An Award of Stock Appreciation Rights shall be subject to such terms and conditions determined by the Committee, to receive upon exercise of the Stock Appreciation Right all or a portion of the excess of (i) the Fair Market Value of a specified number of Shares as of the date of exercise of the Stock Appreciation Right over (ii) a specified exercise price that shall not be less than 100% of the Fair Market Value of such Shares on the Grant Date of the Stock Appreciation Right, except in the case of Substitute Awards.</w:t>
      </w:r>
    </w:p>
    <w:p>
      <w:pPr>
        <w:spacing w:after="0" w:line="180" w:lineRule="exact"/>
        <w:rPr>
          <w:rFonts w:ascii="Times New Roman" w:cs="Times New Roman" w:eastAsia="Times New Roman" w:hAnsi="Times New Roman"/>
          <w:sz w:val="18"/>
          <w:szCs w:val="18"/>
          <w:color w:val="auto"/>
        </w:rPr>
      </w:pPr>
    </w:p>
    <w:p>
      <w:pPr>
        <w:ind w:left="-8" w:firstLine="464"/>
        <w:spacing w:after="0" w:line="256" w:lineRule="auto"/>
        <w:tabs>
          <w:tab w:leader="none" w:pos="70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SAR</w:t>
      </w:r>
      <w:r>
        <w:rPr>
          <w:rFonts w:ascii="Times New Roman" w:cs="Times New Roman" w:eastAsia="Times New Roman" w:hAnsi="Times New Roman"/>
          <w:sz w:val="18"/>
          <w:szCs w:val="18"/>
          <w:color w:val="auto"/>
        </w:rPr>
        <w:t>. Each Stock Appreciation Right may be exercisable in whole or in part at the times, on the terms and in the manner provided in the Agreement. No Stock Appreciation Right shall be exercisable at any time after its scheduled expiration. When a Stock Appreciation Right is no longer exercisable, it shall be deemed to have terminated. Upon exercise of a Stock Appreciation Right, payment to the Participant shall be made at such time or times as shall be provided in the Agreement in the form of cash, Shares or a combination of cash and Shares as determined by the Committee. The Agreement may provide for a limitation upon the amount or percentage of the total appreciation on which payment (whether in cash and/or Shares) may be made in the event of the exercise of a Stock Appreciation Right.</w:t>
      </w:r>
    </w:p>
    <w:p>
      <w:pPr>
        <w:spacing w:after="0" w:line="291"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5"/>
          <w:szCs w:val="15"/>
          <w:b w:val="1"/>
          <w:bCs w:val="1"/>
          <w:color w:val="auto"/>
        </w:rPr>
        <w:t>ESTRICTED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5"/>
          <w:szCs w:val="15"/>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WARDS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jc w:val="both"/>
        <w:ind w:left="-8" w:right="60" w:firstLine="464"/>
        <w:spacing w:after="0" w:line="261" w:lineRule="auto"/>
        <w:tabs>
          <w:tab w:leader="none" w:pos="69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Consideration</w:t>
      </w:r>
      <w:r>
        <w:rPr>
          <w:rFonts w:ascii="Times New Roman" w:cs="Times New Roman" w:eastAsia="Times New Roman" w:hAnsi="Times New Roman"/>
          <w:sz w:val="18"/>
          <w:szCs w:val="18"/>
          <w:color w:val="auto"/>
        </w:rPr>
        <w:t>. Shares subject to a Restricted Stock Award shall be subject to vesting conditions, and the corresponding lapse or waiver of forfeiture conditions and other restrictions, based on such factors and occurring over such period of time as the Committee may determine in its discretion. The Committee may provide whether any consideration other than Services must be received by the Company or any Affiliate as a condition precedent to the grant of a Restricted Stock Award.</w:t>
      </w:r>
    </w:p>
    <w:p>
      <w:pPr>
        <w:spacing w:after="0" w:line="180" w:lineRule="exact"/>
        <w:rPr>
          <w:rFonts w:ascii="Times New Roman" w:cs="Times New Roman" w:eastAsia="Times New Roman" w:hAnsi="Times New Roman"/>
          <w:sz w:val="18"/>
          <w:szCs w:val="18"/>
          <w:color w:val="auto"/>
        </w:rPr>
      </w:pPr>
    </w:p>
    <w:p>
      <w:pPr>
        <w:ind w:left="-8" w:right="60" w:firstLine="464"/>
        <w:spacing w:after="0" w:line="255" w:lineRule="auto"/>
        <w:tabs>
          <w:tab w:leader="none" w:pos="70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Subject to Restricted Stock Awards</w:t>
      </w:r>
      <w:r>
        <w:rPr>
          <w:rFonts w:ascii="Times New Roman" w:cs="Times New Roman" w:eastAsia="Times New Roman" w:hAnsi="Times New Roman"/>
          <w:sz w:val="18"/>
          <w:szCs w:val="18"/>
          <w:color w:val="auto"/>
        </w:rPr>
        <w:t>. Unvested Shares subject to a Restricted Stock Award shall be evidenced by a book-entry in the name of the Participant with the Company’s transfer agent or by one or more Stock certificates issued in the name of the Participant. Any such Stock certificate shall be deposited with the Company or its designee, together with an assignment separate from the certificate, in blank, signed by the Participant, and bear an appropriate legend referring to the restricted nature of the Restricted Stock evidenced thereby. Any book-entry shall be subject to transfer restrictions and accompanied by a similar legend. Upon the vesting of Shares of Restricted Stock and the corresponding lapse of the restrictions and forfeiture conditions, the corresponding transfer restrictions and restrictive legend will be removed from the book-entry evidencing such Shares or the certificate evidencing such Shares, and such certificate shall be delivered to the Participant. Such vested Shares may, however, remain subject to additional restrictions as provided in Section 18(c).</w:t>
      </w:r>
    </w:p>
    <w:p>
      <w:pPr>
        <w:spacing w:after="0" w:line="185" w:lineRule="exact"/>
        <w:rPr>
          <w:rFonts w:ascii="Times New Roman" w:cs="Times New Roman" w:eastAsia="Times New Roman" w:hAnsi="Times New Roman"/>
          <w:sz w:val="18"/>
          <w:szCs w:val="18"/>
          <w:color w:val="auto"/>
        </w:rPr>
      </w:pPr>
    </w:p>
    <w:p>
      <w:pPr>
        <w:ind w:left="-8" w:right="80" w:firstLine="464"/>
        <w:spacing w:after="0" w:line="261" w:lineRule="auto"/>
        <w:tabs>
          <w:tab w:leader="none" w:pos="69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 Except as otherwise provided in this Plan and the applicable Agreement, a Participant with a Restricted Stock Award shall have all the other rights of a stockholder, including the right to receive dividends and the right to vote the Shares of Restricted Stock. Except as otherwise provided in the applicable Agreement, any Shares or property other than regular cash dividends distributed with respect to unvested Shares subject to a Restricted Stock Award shall be subject to the same conditions and restrictions as the underlying Shares.</w:t>
      </w:r>
    </w:p>
    <w:p>
      <w:pPr>
        <w:spacing w:after="0" w:line="284"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5"/>
          <w:szCs w:val="15"/>
          <w:b w:val="1"/>
          <w:bCs w:val="1"/>
          <w:color w:val="auto"/>
        </w:rPr>
        <w:t>TOCK</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5"/>
          <w:szCs w:val="15"/>
          <w:b w:val="1"/>
          <w:bCs w:val="1"/>
          <w:color w:val="auto"/>
        </w:rPr>
        <w:t>NIT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WARDS</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92"/>
          </w:cols>
          <w:pgMar w:left="248" w:top="270" w:right="259" w:bottom="1440" w:gutter="0" w:footer="0" w:header="0"/>
        </w:sectPr>
      </w:pPr>
    </w:p>
    <w:bookmarkStart w:id="84" w:name="page85"/>
    <w:bookmarkEnd w:id="84"/>
    <w:p>
      <w:pPr>
        <w:ind w:firstLine="464"/>
        <w:spacing w:after="0" w:line="261" w:lineRule="auto"/>
        <w:tabs>
          <w:tab w:leader="none" w:pos="70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Vesting and Consideration</w:t>
      </w:r>
      <w:r>
        <w:rPr>
          <w:rFonts w:ascii="Times New Roman" w:cs="Times New Roman" w:eastAsia="Times New Roman" w:hAnsi="Times New Roman"/>
          <w:sz w:val="18"/>
          <w:szCs w:val="18"/>
          <w:color w:val="auto"/>
        </w:rPr>
        <w:t>. A Stock Unit Award shall be subject to vesting conditions, and the corresponding lapse or waiver of forfeiture conditions and other restrictions, based on such factors and occurring over such period of time as the Committee may determine in its discretion. The Committee may provide whether any consideration other than Services must be received by the Company or any Affiliate as a condition precedent to the settlement of a Stock Unit Award.</w:t>
      </w:r>
    </w:p>
    <w:p>
      <w:pPr>
        <w:spacing w:after="0" w:line="180" w:lineRule="exact"/>
        <w:rPr>
          <w:rFonts w:ascii="Times New Roman" w:cs="Times New Roman" w:eastAsia="Times New Roman" w:hAnsi="Times New Roman"/>
          <w:sz w:val="18"/>
          <w:szCs w:val="18"/>
          <w:color w:val="auto"/>
        </w:rPr>
      </w:pPr>
    </w:p>
    <w:p>
      <w:pPr>
        <w:ind w:right="20" w:firstLine="464"/>
        <w:spacing w:after="0" w:line="258" w:lineRule="auto"/>
        <w:tabs>
          <w:tab w:leader="none" w:pos="71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Award</w:t>
      </w:r>
      <w:r>
        <w:rPr>
          <w:rFonts w:ascii="Times New Roman" w:cs="Times New Roman" w:eastAsia="Times New Roman" w:hAnsi="Times New Roman"/>
          <w:sz w:val="18"/>
          <w:szCs w:val="18"/>
          <w:color w:val="auto"/>
        </w:rPr>
        <w:t>. Following the vesting of a Stock Unit Award, settlement of the Award and payment to the Participant shall be made at such time or times in the form of cash, Shares (which may themselves be considered Restricted Stock under the Plan subject to restrictions on transfer and forfeiture conditions) or a combination of cash and Shares as determined by the Committee. If the Stock Unit Award is not by its terms exempt from the requirements of Code Section 409A, then the applicable Agreement shall contain terms and conditions necessary to avoid adverse tax consequences specified in Code Section 409A.</w:t>
      </w:r>
    </w:p>
    <w:p>
      <w:pPr>
        <w:spacing w:after="0" w:line="183" w:lineRule="exact"/>
        <w:rPr>
          <w:rFonts w:ascii="Times New Roman" w:cs="Times New Roman" w:eastAsia="Times New Roman" w:hAnsi="Times New Roman"/>
          <w:sz w:val="18"/>
          <w:szCs w:val="18"/>
          <w:color w:val="auto"/>
        </w:rPr>
      </w:pPr>
    </w:p>
    <w:p>
      <w:pPr>
        <w:ind w:right="40" w:firstLine="464"/>
        <w:spacing w:after="0" w:line="261" w:lineRule="auto"/>
        <w:tabs>
          <w:tab w:leader="none" w:pos="70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A Stock Unit Award may, if so determined by the Committee, provide the Participant with the right to receive dividend equivalent payments with respect to Shares subject to the Award (both before and after the Shares are earned or vested), which payments may be either made currently, credited to an account for the Participant, or deemed to have been reinvested in additional Shares which shall thereafter be deemed to be part of and subject to the underlying Award, including the same vesting, performance and settlement conditions.</w:t>
      </w:r>
    </w:p>
    <w:p>
      <w:pPr>
        <w:spacing w:after="0" w:line="284" w:lineRule="exact"/>
        <w:rPr>
          <w:sz w:val="20"/>
          <w:szCs w:val="20"/>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5"/>
          <w:szCs w:val="15"/>
          <w:b w:val="1"/>
          <w:bCs w:val="1"/>
          <w:color w:val="auto"/>
        </w:rPr>
        <w:t>THER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5"/>
          <w:szCs w:val="15"/>
          <w:b w:val="1"/>
          <w:bCs w:val="1"/>
          <w:color w:val="auto"/>
        </w:rPr>
        <w:t>TOCK</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5"/>
          <w:szCs w:val="15"/>
          <w:b w:val="1"/>
          <w:bCs w:val="1"/>
          <w:color w:val="auto"/>
        </w:rPr>
        <w:t>ASED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WARDS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Committee may from time to time grant Stock and other Awards that are valued by reference to and/or payable in whole or in part in Shares under the Plan. The Committee, in its sole discretion, shall determine the terms and conditions of such Awards, which shall be consistent with the terms and purposes of the Plan. The Committee may, in its sole discretion, direct the Company to issue Shares subject to restrictive legends and/or stop transfer instructions that are consistent with the terms and conditions of the Award to which the Shares relate.</w:t>
      </w:r>
    </w:p>
    <w:p>
      <w:pPr>
        <w:spacing w:after="0" w:line="284" w:lineRule="exact"/>
        <w:rPr>
          <w:sz w:val="20"/>
          <w:szCs w:val="20"/>
          <w:color w:val="auto"/>
        </w:rPr>
      </w:pPr>
    </w:p>
    <w:p>
      <w:pPr>
        <w:ind w:left="280" w:hanging="272"/>
        <w:spacing w:after="0"/>
        <w:tabs>
          <w:tab w:leader="none" w:pos="2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5"/>
          <w:szCs w:val="15"/>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APITALIZATION</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5"/>
          <w:szCs w:val="15"/>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5"/>
          <w:szCs w:val="15"/>
          <w:b w:val="1"/>
          <w:bCs w:val="1"/>
          <w:color w:val="auto"/>
        </w:rPr>
        <w:t>RANSACTIONS</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5"/>
          <w:szCs w:val="15"/>
          <w:b w:val="1"/>
          <w:bCs w:val="1"/>
          <w:color w:val="auto"/>
        </w:rPr>
        <w:t>HANGE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ONTROL</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firstLine="464"/>
        <w:spacing w:after="0" w:line="253" w:lineRule="auto"/>
        <w:tabs>
          <w:tab w:leader="none" w:pos="70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Changes in Capitalization</w:t>
      </w:r>
      <w:r>
        <w:rPr>
          <w:rFonts w:ascii="Times New Roman" w:cs="Times New Roman" w:eastAsia="Times New Roman" w:hAnsi="Times New Roman"/>
          <w:sz w:val="18"/>
          <w:szCs w:val="18"/>
          <w:color w:val="auto"/>
        </w:rPr>
        <w:t>. In the event of any equity restructuring (within the meaning of FASB ASC Topic 718 — Stock Compensation) that causes the per share value of Shares to change, such as a stock dividend, stock split, spinoff, rights offering or recapitalization through an extraordinary dividend, the Committee shall make such adjustments as it deems equitable and appropriate to (i) the aggregate number and kind of Shares or other securities issued or reserved for issuance under the Plan, (ii) the number and kind of Shares or other securities subject to outstanding Awards, (iii) the exercise price of outstanding Options and SARs, and (iv) any maximum limitations prescribed by the Plan with respect to certain types of Awards or the grants to individuals of certain types of Awards.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any such adjustment shall be conclusive and binding for all purposes of the Plan. No adjustment shall be made pursuant to this Section 12(a) in connection with the conversion of any convertible securities of the Company, or in a manner that would cause Incentive Stock Options to violate Section 422(b) of the Code or cause an Award to be subject to adverse tax consequences under Section 409A of the Code.</w:t>
      </w:r>
    </w:p>
    <w:p>
      <w:pPr>
        <w:spacing w:after="0" w:line="192" w:lineRule="exact"/>
        <w:rPr>
          <w:rFonts w:ascii="Times New Roman" w:cs="Times New Roman" w:eastAsia="Times New Roman" w:hAnsi="Times New Roman"/>
          <w:sz w:val="18"/>
          <w:szCs w:val="18"/>
          <w:color w:val="auto"/>
        </w:rPr>
      </w:pPr>
    </w:p>
    <w:p>
      <w:pPr>
        <w:ind w:right="200" w:firstLine="464"/>
        <w:spacing w:after="0" w:line="282" w:lineRule="auto"/>
        <w:tabs>
          <w:tab w:leader="none" w:pos="71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Unless otherwise provided in an applicable Agreement, the following provisions shall apply to outstanding Awards in the event of a Change in Control that involves a Corporate Transaction.</w:t>
      </w:r>
    </w:p>
    <w:p>
      <w:pPr>
        <w:spacing w:after="0" w:line="159" w:lineRule="exact"/>
        <w:rPr>
          <w:rFonts w:ascii="Times New Roman" w:cs="Times New Roman" w:eastAsia="Times New Roman" w:hAnsi="Times New Roman"/>
          <w:sz w:val="18"/>
          <w:szCs w:val="18"/>
          <w:color w:val="auto"/>
        </w:rPr>
      </w:pPr>
    </w:p>
    <w:p>
      <w:pPr>
        <w:ind w:right="180" w:firstLine="921"/>
        <w:spacing w:after="0" w:line="259" w:lineRule="auto"/>
        <w:tabs>
          <w:tab w:leader="none" w:pos="1168"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Continuation, Assumption or Replacement of Awards</w:t>
      </w:r>
      <w:r>
        <w:rPr>
          <w:rFonts w:ascii="Times New Roman" w:cs="Times New Roman" w:eastAsia="Times New Roman" w:hAnsi="Times New Roman"/>
          <w:sz w:val="18"/>
          <w:szCs w:val="18"/>
          <w:color w:val="auto"/>
        </w:rPr>
        <w:t>. In the event of a Corporate Transaction, then the surviving or successor entity (or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Parent) may continue, assume or replace Awards outstanding as of the date of the Corporate Transaction (with such adjustments as may be required or permitted by Section 12(a)), and such Awards or replacements therefor shall remain outstanding and be governed by their respective terms. A surviving or successor entity may elect to continue, assume or replace only some Awards or portions of Awards. For purposes of this Section 12(b)(1), an Award shall be considered assumed or replaced if, in connection with the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70" w:right="239" w:bottom="1440" w:gutter="0" w:footer="0" w:header="0"/>
        </w:sectPr>
      </w:pPr>
    </w:p>
    <w:bookmarkStart w:id="85" w:name="page86"/>
    <w:bookmarkEnd w:id="85"/>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Corporate Transaction and in a manner consistent with Code Sections 409A and 424, either (i) the contractual obligations represented by the Award are expressly assumed by the surviving or successor entity (or its Parent) with appropriate adjustments to the number and type of securities subject to the Award and the exercise price thereof that preserves the intrinsic value of the Award existing at the time of the Corporate Transaction, or (ii) the Participant has received a comparable equity-based award that preserves the intrinsic value of the Award existing at the time of the Corporate Transaction and provides for a vesting or exercisability schedule that is the same as or more favorable to the Participant.</w:t>
      </w:r>
    </w:p>
    <w:p>
      <w:pPr>
        <w:spacing w:after="0" w:line="182" w:lineRule="exact"/>
        <w:rPr>
          <w:sz w:val="20"/>
          <w:szCs w:val="20"/>
          <w:color w:val="auto"/>
        </w:rPr>
      </w:pPr>
    </w:p>
    <w:p>
      <w:pPr>
        <w:ind w:right="100" w:firstLine="921"/>
        <w:spacing w:after="0" w:line="255" w:lineRule="auto"/>
        <w:tabs>
          <w:tab w:leader="none" w:pos="1168"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Acceleration</w:t>
      </w:r>
      <w:r>
        <w:rPr>
          <w:rFonts w:ascii="Times New Roman" w:cs="Times New Roman" w:eastAsia="Times New Roman" w:hAnsi="Times New Roman"/>
          <w:sz w:val="18"/>
          <w:szCs w:val="18"/>
          <w:color w:val="auto"/>
        </w:rPr>
        <w:t>. If and to the extent that outstanding Awards under the Plan are not continued, assumed or replaced in connection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Transaction, then the Committee may provide that (i) some or all outstanding Options and SARs shall become fully exercisable for such period of time prior to the effective time of the Corporate Transaction as is deemed fair and equitable by the Committee, and shall terminate at the effective time of the Corporate Transaction, and (ii) some or all outstanding Full Value Awards shall fully vest immediately prior to the effective time of the Corporate Transaction. The Committee will not be required to treat all Awards similarly for purposes of this Section 12(b)(2). The Committee shall provide written notice of the period of accelerated exercisability of Options and SARs to all affected Participants. The exercise of any Option or SAR whose exercisability is accelerated as provided in this Section 12(b)(2) shall be conditioned upon the consummation of the Corporate Transaction and shall be effective only immediately before such consummation.</w:t>
      </w:r>
    </w:p>
    <w:p>
      <w:pPr>
        <w:spacing w:after="0" w:line="185" w:lineRule="exact"/>
        <w:rPr>
          <w:rFonts w:ascii="Times New Roman" w:cs="Times New Roman" w:eastAsia="Times New Roman" w:hAnsi="Times New Roman"/>
          <w:sz w:val="18"/>
          <w:szCs w:val="18"/>
          <w:color w:val="auto"/>
        </w:rPr>
      </w:pPr>
    </w:p>
    <w:p>
      <w:pPr>
        <w:ind w:firstLine="921"/>
        <w:spacing w:after="0" w:line="254" w:lineRule="auto"/>
        <w:tabs>
          <w:tab w:leader="none" w:pos="1168"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Payment for Awards</w:t>
      </w:r>
      <w:r>
        <w:rPr>
          <w:rFonts w:ascii="Times New Roman" w:cs="Times New Roman" w:eastAsia="Times New Roman" w:hAnsi="Times New Roman"/>
          <w:sz w:val="18"/>
          <w:szCs w:val="18"/>
          <w:color w:val="auto"/>
        </w:rPr>
        <w:t>. If and to the extent that outstanding Awards under the Plan are not continued, assumed or replaced in connection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Transaction, then the Committee may provide that holders of some or all of such outstanding Awards must surrender the Awards at or immediately prior to the effective time of the Corporate Transaction in exchange for payments to the holders as provided in this Section 12(b)(3). The Committee will not be required to treat all Awards similarly for purposes of this Section 12(b)(3). The payment for any Award surrendered shall be in an amount equal to the difference, if any, between (i) the fair market value (as determined in good faith by the Committee) of the consideration that would otherwise be received in the Corporate Transaction for the number of Shares subject to the Award, and (ii) the aggregate exercise price (if any) for the Shares subject to such Award. Payment shall be made in such form, on such terms and subject to such conditions as the Committee determines in its discretion, which may or may not be the same as the form, terms and conditions applicable to payments to the Company’s stockholders in connection with the Corporate Transaction, and may include subjecting such payments to vesting conditions comparable to those of the Award surrendered, or to escrow or holdback terms comparable to those imposed upon the Company’s stockholders under the Corporate Transaction.</w:t>
      </w:r>
    </w:p>
    <w:p>
      <w:pPr>
        <w:spacing w:after="0" w:line="188" w:lineRule="exact"/>
        <w:rPr>
          <w:rFonts w:ascii="Times New Roman" w:cs="Times New Roman" w:eastAsia="Times New Roman" w:hAnsi="Times New Roman"/>
          <w:sz w:val="18"/>
          <w:szCs w:val="18"/>
          <w:color w:val="auto"/>
        </w:rPr>
      </w:pPr>
    </w:p>
    <w:p>
      <w:pPr>
        <w:ind w:right="180" w:firstLine="464"/>
        <w:spacing w:after="0" w:line="256" w:lineRule="auto"/>
        <w:tabs>
          <w:tab w:leader="none" w:pos="70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In connection with a Change in Control that does not involve a Corporate Transaction, the Committee may provide (in the applicable Agreement or otherwise) for one or more of the following: (i) that any Award shall become vested and exercisable, in whole or in part, upon the occurrence of the Change in Control or upon the involuntary termination of the Participant without Cause within a specified period of time of the Change in Control, (ii) that any Option or SAR shall remain exercisable during all or some specified portion of its remaining term, or (iii) that Awards shall be surrendered in exchange for payments in a manner similar to that provided in Section 12(b)(3). The Committee will not be required to treat all Awards similarly in such circumstances.</w:t>
      </w:r>
    </w:p>
    <w:p>
      <w:pPr>
        <w:spacing w:after="0" w:line="187" w:lineRule="exact"/>
        <w:rPr>
          <w:rFonts w:ascii="Times New Roman" w:cs="Times New Roman" w:eastAsia="Times New Roman" w:hAnsi="Times New Roman"/>
          <w:sz w:val="18"/>
          <w:szCs w:val="18"/>
          <w:color w:val="auto"/>
        </w:rPr>
      </w:pPr>
    </w:p>
    <w:p>
      <w:pPr>
        <w:ind w:right="120" w:firstLine="464"/>
        <w:spacing w:after="0" w:line="266" w:lineRule="auto"/>
        <w:tabs>
          <w:tab w:leader="none" w:pos="71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Unless otherwise provided in an applicable Agreement, in the event of a proposed dissolution or liquidation of the Company, the Committee will notify each Participant as soon as practicable prior to the effective date of such proposed transaction. An Award will terminate immediately prior to the consummation of such proposed action.</w:t>
      </w:r>
    </w:p>
    <w:p>
      <w:pPr>
        <w:spacing w:after="0" w:line="280"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5"/>
          <w:szCs w:val="15"/>
          <w:b w:val="1"/>
          <w:bCs w:val="1"/>
          <w:color w:val="auto"/>
        </w:rPr>
        <w:t>LAN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ARTICIPATION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5"/>
          <w:szCs w:val="15"/>
          <w:b w:val="1"/>
          <w:bCs w:val="1"/>
          <w:color w:val="auto"/>
        </w:rPr>
        <w:t>ERVICE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ROVIDER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5"/>
          <w:szCs w:val="15"/>
          <w:b w:val="1"/>
          <w:bCs w:val="1"/>
          <w:color w:val="auto"/>
        </w:rPr>
        <w:t>TATUS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Status as a Service Provider shall not be construed as a commitment that any Award will be made under the Plan to that Service Provider or to eligible Service Providers generally. Nothing in the Plan or in any Agreement or related documents shall confer upon any Service Provider or Participant any right to continued Service with the Company or any Affiliate, nor shall it interfere with or limit in any way any right of the Company or any Affiliate to terminate the person’s Service at any time with or without Cause or change such person’s compensation, other benefits, job responsibilities or title.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0" w:right="239" w:bottom="1440" w:gutter="0" w:footer="0" w:header="0"/>
        </w:sectPr>
      </w:pPr>
    </w:p>
    <w:bookmarkStart w:id="86" w:name="page87"/>
    <w:bookmarkEnd w:id="86"/>
    <w:p>
      <w:pPr>
        <w:ind w:left="280" w:hanging="272"/>
        <w:spacing w:after="0"/>
        <w:tabs>
          <w:tab w:leader="none" w:pos="2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t>
      </w:r>
      <w:r>
        <w:rPr>
          <w:rFonts w:ascii="Times New Roman" w:cs="Times New Roman" w:eastAsia="Times New Roman" w:hAnsi="Times New Roman"/>
          <w:sz w:val="15"/>
          <w:szCs w:val="15"/>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5"/>
          <w:szCs w:val="15"/>
          <w:b w:val="1"/>
          <w:bCs w:val="1"/>
          <w:color w:val="auto"/>
        </w:rPr>
        <w:t>ITHHOLDING</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or any Affiliate, as applicable, shall have the right to (i) withhold from any cash payment under the Plan or any other compensation owed to a Participant an amount sufficient to cover any required withholding taxes related to the grant, vesting, exercise or settlement of an Award, and (ii) require a Participant or other person receiving Shares under the Plan to pay a cash amount sufficient to cover any required withholding taxes before actual receipt of those Shares. In lieu of all or any part of a cash payment from a person receiving Shares under the Plan, the Committee (in its sole discretion) may permit the individual to cover all or any part of the required withholdings (up to the Participant’s minimum required tax withholding rate) through a reduction in the number of Shares delivered or a delivery or tender to the Company of Shares held by the Participant or other person, in each case valued in the same manner as used in computing the withholding taxes under applicable laws.</w:t>
      </w:r>
    </w:p>
    <w:p>
      <w:pPr>
        <w:spacing w:after="0" w:line="293" w:lineRule="exact"/>
        <w:rPr>
          <w:sz w:val="20"/>
          <w:szCs w:val="20"/>
          <w:color w:val="auto"/>
        </w:rPr>
      </w:pPr>
    </w:p>
    <w:p>
      <w:pPr>
        <w:ind w:left="280" w:hanging="272"/>
        <w:spacing w:after="0"/>
        <w:tabs>
          <w:tab w:leader="none" w:pos="2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5"/>
          <w:szCs w:val="15"/>
          <w:b w:val="1"/>
          <w:bCs w:val="1"/>
          <w:color w:val="auto"/>
        </w:rPr>
        <w:t>FFECTIVE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5"/>
          <w:szCs w:val="15"/>
          <w:b w:val="1"/>
          <w:bCs w:val="1"/>
          <w:color w:val="auto"/>
        </w:rPr>
        <w:t>ATE</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5"/>
          <w:szCs w:val="15"/>
          <w:b w:val="1"/>
          <w:bCs w:val="1"/>
          <w:color w:val="auto"/>
        </w:rPr>
        <w:t>URATION</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5"/>
          <w:szCs w:val="15"/>
          <w:b w:val="1"/>
          <w:bCs w:val="1"/>
          <w:color w:val="auto"/>
        </w:rPr>
        <w:t>MENDMENT AND</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5"/>
          <w:szCs w:val="15"/>
          <w:b w:val="1"/>
          <w:bCs w:val="1"/>
          <w:color w:val="auto"/>
        </w:rPr>
        <w:t>ERMINATION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jc w:val="both"/>
        <w:ind w:right="140" w:firstLine="464"/>
        <w:spacing w:after="0" w:line="266" w:lineRule="auto"/>
        <w:tabs>
          <w:tab w:leader="none" w:pos="70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Plan shall become effective on the date it is approved by the requisite vote of the Board, subject to approval by the Company’s stockholders. If the stockholders fail to approve the Plan within 12 months of its adoption by the Board, any Awards already made will be null and void and no additional Awards shall be made.</w:t>
      </w:r>
    </w:p>
    <w:p>
      <w:pPr>
        <w:spacing w:after="0" w:line="176" w:lineRule="exact"/>
        <w:rPr>
          <w:rFonts w:ascii="Times New Roman" w:cs="Times New Roman" w:eastAsia="Times New Roman" w:hAnsi="Times New Roman"/>
          <w:sz w:val="18"/>
          <w:szCs w:val="18"/>
          <w:color w:val="auto"/>
        </w:rPr>
      </w:pPr>
    </w:p>
    <w:p>
      <w:pPr>
        <w:jc w:val="both"/>
        <w:ind w:right="220" w:firstLine="464"/>
        <w:spacing w:after="0" w:line="266" w:lineRule="auto"/>
        <w:tabs>
          <w:tab w:leader="none" w:pos="71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the Plan</w:t>
      </w:r>
      <w:r>
        <w:rPr>
          <w:rFonts w:ascii="Times New Roman" w:cs="Times New Roman" w:eastAsia="Times New Roman" w:hAnsi="Times New Roman"/>
          <w:sz w:val="18"/>
          <w:szCs w:val="18"/>
          <w:color w:val="auto"/>
        </w:rPr>
        <w:t>. The Plan shall remain in effect until all Shares subject to it shall be distributed, all Awards have expired or terminated or the Plan is terminated pursuant to Section 15(c), whichever occurs first (the “</w:t>
      </w:r>
      <w:r>
        <w:rPr>
          <w:rFonts w:ascii="Times New Roman" w:cs="Times New Roman" w:eastAsia="Times New Roman" w:hAnsi="Times New Roman"/>
          <w:sz w:val="18"/>
          <w:szCs w:val="18"/>
          <w:i w:val="1"/>
          <w:iCs w:val="1"/>
          <w:color w:val="auto"/>
        </w:rPr>
        <w:t>Termination Date</w:t>
      </w:r>
      <w:r>
        <w:rPr>
          <w:rFonts w:ascii="Times New Roman" w:cs="Times New Roman" w:eastAsia="Times New Roman" w:hAnsi="Times New Roman"/>
          <w:sz w:val="18"/>
          <w:szCs w:val="18"/>
          <w:color w:val="auto"/>
        </w:rPr>
        <w:t>”). Awards made before the Termination Date may be exercised, vested or otherwise effectuated beyond the Termination Date unless limited in the Agreement or otherwise.</w:t>
      </w:r>
    </w:p>
    <w:p>
      <w:pPr>
        <w:spacing w:after="0" w:line="176" w:lineRule="exact"/>
        <w:rPr>
          <w:rFonts w:ascii="Times New Roman" w:cs="Times New Roman" w:eastAsia="Times New Roman" w:hAnsi="Times New Roman"/>
          <w:sz w:val="18"/>
          <w:szCs w:val="18"/>
          <w:color w:val="auto"/>
        </w:rPr>
      </w:pPr>
    </w:p>
    <w:p>
      <w:pPr>
        <w:ind w:firstLine="464"/>
        <w:spacing w:after="0" w:line="258" w:lineRule="auto"/>
        <w:tabs>
          <w:tab w:leader="none" w:pos="70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 of the Plan</w:t>
      </w:r>
      <w:r>
        <w:rPr>
          <w:rFonts w:ascii="Times New Roman" w:cs="Times New Roman" w:eastAsia="Times New Roman" w:hAnsi="Times New Roman"/>
          <w:sz w:val="18"/>
          <w:szCs w:val="18"/>
          <w:color w:val="auto"/>
        </w:rPr>
        <w:t>. The Board may at any time terminate, suspend or amend the Plan. The Company shall submit any amendment of the Plan to its stockholders for approval only to the extent required by applicable laws or regulations or the rules of any securities exchange on which the Shares may then be listed. No termination, suspension, or amendment of the Plan may materially impair the rights of any Participant under a previously granted Award without the Participant’s consent, unless such action is necessary to comply with applicable law, stock exchange rules or accounting rules.</w:t>
      </w:r>
    </w:p>
    <w:p>
      <w:pPr>
        <w:spacing w:after="0" w:line="183" w:lineRule="exact"/>
        <w:rPr>
          <w:rFonts w:ascii="Times New Roman" w:cs="Times New Roman" w:eastAsia="Times New Roman" w:hAnsi="Times New Roman"/>
          <w:sz w:val="18"/>
          <w:szCs w:val="18"/>
          <w:color w:val="auto"/>
        </w:rPr>
      </w:pPr>
    </w:p>
    <w:p>
      <w:pPr>
        <w:ind w:right="300" w:firstLine="464"/>
        <w:spacing w:after="0" w:line="266" w:lineRule="auto"/>
        <w:tabs>
          <w:tab w:leader="none" w:pos="71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Awards</w:t>
      </w:r>
      <w:r>
        <w:rPr>
          <w:rFonts w:ascii="Times New Roman" w:cs="Times New Roman" w:eastAsia="Times New Roman" w:hAnsi="Times New Roman"/>
          <w:sz w:val="18"/>
          <w:szCs w:val="18"/>
          <w:color w:val="auto"/>
        </w:rPr>
        <w:t>. Subject to Section 15(e), the Committee may unilaterally amend the terms of any Agreement previously granted, except that no such amendment may materially impair the rights of any Participant under the applicable Award without the Participant’s consent, unless such amendment is necessary to comply with applicable law, stock exchange rules or accounting rules.</w:t>
      </w:r>
    </w:p>
    <w:p>
      <w:pPr>
        <w:spacing w:after="0" w:line="176"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Option or SAR Repricing</w:t>
      </w:r>
      <w:r>
        <w:rPr>
          <w:rFonts w:ascii="Times New Roman" w:cs="Times New Roman" w:eastAsia="Times New Roman" w:hAnsi="Times New Roman"/>
          <w:sz w:val="18"/>
          <w:szCs w:val="18"/>
          <w:color w:val="auto"/>
        </w:rPr>
        <w:t>. Except as provided in Section 12(a), no Option or Stock Appreciation Right Award granted under the Plan may be</w:t>
      </w:r>
    </w:p>
    <w:p>
      <w:pPr>
        <w:spacing w:after="0" w:line="27" w:lineRule="exact"/>
        <w:rPr>
          <w:sz w:val="20"/>
          <w:szCs w:val="20"/>
          <w:color w:val="auto"/>
        </w:rPr>
      </w:pPr>
    </w:p>
    <w:p>
      <w:pPr>
        <w:ind w:right="200" w:firstLine="8"/>
        <w:spacing w:after="0" w:line="253" w:lineRule="auto"/>
        <w:tabs>
          <w:tab w:leader="none" w:pos="2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to decrease the exercise price thereof, (ii) cancelled in conjunction with the grant of any new Option or Stock Appreciation Right Award with a lower exercise price, (iii) cancelled in exchange for cash, other property or the grant of any Full Value Award at a time when the per share exercise price of the Option or Stock Appreciation Right Award is greater than the current Fair Market Value of a Share, or (iv) otherwise subject to any action that would be treated under accounting rules as a “repricing” of such Option or Stock Appreciation Right Award, unless such action is first approved by the Company’s stockholders.</w:t>
      </w:r>
    </w:p>
    <w:p>
      <w:pPr>
        <w:spacing w:after="0" w:line="291" w:lineRule="exact"/>
        <w:rPr>
          <w:sz w:val="20"/>
          <w:szCs w:val="20"/>
          <w:color w:val="auto"/>
        </w:rPr>
      </w:pPr>
    </w:p>
    <w:p>
      <w:pPr>
        <w:ind w:left="280" w:hanging="272"/>
        <w:spacing w:after="0"/>
        <w:tabs>
          <w:tab w:leader="none" w:pos="2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5"/>
          <w:szCs w:val="15"/>
          <w:b w:val="1"/>
          <w:bCs w:val="1"/>
          <w:color w:val="auto"/>
        </w:rPr>
        <w:t>UBSTITUTE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WARDS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Committee may also grant Awards under the Plan in substitution for, or in connection with the assumption of, existing awards granted or issued by another corporation and assumed or otherwise agreed to be provided for by the Company pursuant to or by reason of a transaction involving a merger, consolidation, acquisition of property or stock, separation, reorganization or liquidation to which the Company or an Affiliate is a party. The terms and conditions of the Substitute Awards may vary from the terms and conditions set forth in the Plan to the extent that the Board at the time of the grant may deem appropriate to conform, in whole or in part, to the provisions of the awards in substitution for which they are granted.</w:t>
      </w:r>
    </w:p>
    <w:p>
      <w:pPr>
        <w:spacing w:after="0" w:line="288" w:lineRule="exact"/>
        <w:rPr>
          <w:sz w:val="20"/>
          <w:szCs w:val="20"/>
          <w:color w:val="auto"/>
        </w:rPr>
      </w:pPr>
    </w:p>
    <w:p>
      <w:pPr>
        <w:ind w:left="280" w:hanging="272"/>
        <w:spacing w:after="0"/>
        <w:tabs>
          <w:tab w:leader="none" w:pos="2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5"/>
          <w:szCs w:val="15"/>
          <w:b w:val="1"/>
          <w:bCs w:val="1"/>
          <w:color w:val="auto"/>
        </w:rPr>
        <w:t>ERFORMANCE</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5"/>
          <w:szCs w:val="15"/>
          <w:b w:val="1"/>
          <w:bCs w:val="1"/>
          <w:color w:val="auto"/>
        </w:rPr>
        <w:t>ASED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OMPENSATION</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66" w:right="239" w:bottom="1440" w:gutter="0" w:footer="0" w:header="0"/>
        </w:sectPr>
      </w:pPr>
    </w:p>
    <w:bookmarkStart w:id="87" w:name="page88"/>
    <w:bookmarkEnd w:id="87"/>
    <w:p>
      <w:pPr>
        <w:jc w:val="both"/>
        <w:ind w:left="-8" w:right="60" w:firstLine="464"/>
        <w:spacing w:after="0" w:line="261" w:lineRule="auto"/>
        <w:tabs>
          <w:tab w:leader="none" w:pos="69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Designation of Awards</w:t>
      </w:r>
      <w:r>
        <w:rPr>
          <w:rFonts w:ascii="Times New Roman" w:cs="Times New Roman" w:eastAsia="Times New Roman" w:hAnsi="Times New Roman"/>
          <w:sz w:val="18"/>
          <w:szCs w:val="18"/>
          <w:color w:val="auto"/>
        </w:rPr>
        <w:t>. If the Committee determines at the time a Full Value Award is granted to a Participant that such Participant is, or is likely to be, a “covered employee” for purposes of Code Section 162(m) as of the end of the tax year in which the Company would ordinarily claim a tax deduction in connection with such Award, then the Committee may provide that this Section 17 will be applicable to such Award, which shall be considered Performance-Based Compensation.</w:t>
      </w:r>
    </w:p>
    <w:p>
      <w:pPr>
        <w:spacing w:after="0" w:line="180" w:lineRule="exact"/>
        <w:rPr>
          <w:rFonts w:ascii="Times New Roman" w:cs="Times New Roman" w:eastAsia="Times New Roman" w:hAnsi="Times New Roman"/>
          <w:sz w:val="18"/>
          <w:szCs w:val="18"/>
          <w:color w:val="auto"/>
        </w:rPr>
      </w:pPr>
    </w:p>
    <w:p>
      <w:pPr>
        <w:ind w:left="-8" w:firstLine="464"/>
        <w:spacing w:after="0" w:line="253" w:lineRule="auto"/>
        <w:tabs>
          <w:tab w:leader="none" w:pos="70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Measures</w:t>
      </w:r>
      <w:r>
        <w:rPr>
          <w:rFonts w:ascii="Times New Roman" w:cs="Times New Roman" w:eastAsia="Times New Roman" w:hAnsi="Times New Roman"/>
          <w:sz w:val="18"/>
          <w:szCs w:val="18"/>
          <w:color w:val="auto"/>
        </w:rPr>
        <w:t>. If an Award is subject to this Section 17, then the lapsing of restrictions thereon and the distribution of cash, Shares or other property pursuant thereto, as applicable, shall be subject to the achievement of one or more of the performance measures specified in Section 17(d) over the applicable performance period. The Committee shall specify the manner of calculating the performance measures it selects to use in any performance period, which may include adjustments to such measures as otherwise defined under U.S. Generally Accepted Accounting Principles. The Committee may also adjust performance measures for a performance period to the extent permitted by Code Section 162(m) in connection with an event described in Section 12(a) to prevent the dilution or enlargement of a Participant’s rights with respect to Performance-Based Compensation. The Committee will determine the applicable performance measures for any performance period and any amount payable in connection with an Award subject to this Section 17 within the time periods prescribed by and consistent with the other requirements of Code Section 162(m). The Committee may adjust downward, but not upward, any amount determined to be otherwise payable in connection with such an Award. The Committee may also provide, in an Agreement or otherwise, that the achievement of specified performance measures in connection with an Award subject to this section 17 may be waived upon the death or Disability of the Participant or under any other circumstance with respect to which the existence of such possible waiver will not cause the Award to fail to qualify as “performance-based compensation” under Code Section 162(m).</w:t>
      </w:r>
    </w:p>
    <w:p>
      <w:pPr>
        <w:spacing w:after="0" w:line="190" w:lineRule="exact"/>
        <w:rPr>
          <w:rFonts w:ascii="Times New Roman" w:cs="Times New Roman" w:eastAsia="Times New Roman" w:hAnsi="Times New Roman"/>
          <w:sz w:val="18"/>
          <w:szCs w:val="18"/>
          <w:color w:val="auto"/>
        </w:rPr>
      </w:pPr>
    </w:p>
    <w:p>
      <w:pPr>
        <w:ind w:left="-8" w:right="280" w:firstLine="464"/>
        <w:spacing w:after="0" w:line="282" w:lineRule="auto"/>
        <w:tabs>
          <w:tab w:leader="none" w:pos="69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 Subject to adjustment as provided in Section 12(a), the maximum number of Shares that may be the subject of Full Value Awards of Performance-Based Compensation granted to any Participant during any calendar year shall not exceed 1,500,000 Shares.</w:t>
      </w:r>
    </w:p>
    <w:p>
      <w:pPr>
        <w:spacing w:after="0" w:line="161" w:lineRule="exact"/>
        <w:rPr>
          <w:rFonts w:ascii="Times New Roman" w:cs="Times New Roman" w:eastAsia="Times New Roman" w:hAnsi="Times New Roman"/>
          <w:sz w:val="18"/>
          <w:szCs w:val="18"/>
          <w:color w:val="auto"/>
        </w:rPr>
      </w:pPr>
    </w:p>
    <w:p>
      <w:pPr>
        <w:ind w:left="-8" w:right="60" w:firstLine="464"/>
        <w:spacing w:after="0" w:line="253" w:lineRule="auto"/>
        <w:tabs>
          <w:tab w:leader="none" w:pos="70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Full Value Award considered Performance-Based Compensation subject to this Section 17, the performance measures to be utilized shall be limited to one or a combination of two or more of the following performance criteria: revenues; gross profit; income from operations; net income; earnings before income taxes; earnings before interest and taxes; earnings before interest, taxes, depreciation and amortization; earnings before interest, taxes, depreciation, amortization and share-based compensation expense; net income per share (basic or diluted); profitability as measured by return ratios (including, but not limited to, return on assets, return on equity, return on investment and return on revenues or gross profit) or by the degree to which any of the foregoing earnings measures exceed a percentage of revenues or gross profit; cash flow; market share; margins (including, but not limited to, one or more of gross, operating and net earnings margins); stock price; total stockholder return; asset quality; non-performing assets; revenue growth; cash flow per share; operating assets; balance of cash, cash equivalents and marketable securities; improvement in or attainment of expense levels or cost savings; economic value added; improvement in or attainment of working capital levels; employee retention; customer satisfaction; and implementation or completion of critical projects. Any performance measure utilized may be expressed in absolute amounts, on a per share basis, as a growth rate or change from preceding periods, or as a comparison to the performance of specified companies or other external measures, and may relate to one or any combination of corporate, group, unit, division, Affiliate or individual performance.</w:t>
      </w:r>
    </w:p>
    <w:p>
      <w:pPr>
        <w:spacing w:after="0" w:line="294"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5"/>
          <w:szCs w:val="15"/>
          <w:b w:val="1"/>
          <w:bCs w:val="1"/>
          <w:color w:val="auto"/>
        </w:rPr>
        <w:t>THER</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ROVISIONS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8" w:right="60" w:firstLine="464"/>
        <w:spacing w:after="0" w:line="258" w:lineRule="auto"/>
        <w:tabs>
          <w:tab w:leader="none" w:pos="69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Plan</w:t>
      </w:r>
      <w:r>
        <w:rPr>
          <w:rFonts w:ascii="Times New Roman" w:cs="Times New Roman" w:eastAsia="Times New Roman" w:hAnsi="Times New Roman"/>
          <w:sz w:val="18"/>
          <w:szCs w:val="18"/>
          <w:color w:val="auto"/>
        </w:rPr>
        <w:t>. The Plan shall be unfunded and the Company shall not be required to segregate any assets that may at any time be represented by Awards under the Plan. Neither the Company, its Affiliates, the Committee, nor the Board shall be deemed to be a trustee of any amounts to be paid under the Plan nor shall anything contained in the Plan or any action taken pursuant to its provisions create or be construed to create a fiduciary relationship between the Company and/or its Affiliates, and a Participant. To the extent any person has or acquires a right to receive a payment in connection with an Award under the Plan, this right shall be no greater than the right of an unsecured general creditor of the Company.</w:t>
      </w:r>
    </w:p>
    <w:p>
      <w:pPr>
        <w:spacing w:after="0" w:line="11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12"/>
          </w:cols>
          <w:pgMar w:left="248" w:top="270" w:right="239" w:bottom="1440" w:gutter="0" w:footer="0" w:header="0"/>
        </w:sectPr>
      </w:pPr>
    </w:p>
    <w:bookmarkStart w:id="88" w:name="page89"/>
    <w:bookmarkEnd w:id="88"/>
    <w:p>
      <w:pPr>
        <w:jc w:val="both"/>
        <w:ind w:right="20" w:firstLine="464"/>
        <w:spacing w:after="0" w:line="261" w:lineRule="auto"/>
        <w:tabs>
          <w:tab w:leader="none" w:pos="71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Limits of Liability</w:t>
      </w:r>
      <w:r>
        <w:rPr>
          <w:rFonts w:ascii="Times New Roman" w:cs="Times New Roman" w:eastAsia="Times New Roman" w:hAnsi="Times New Roman"/>
          <w:sz w:val="18"/>
          <w:szCs w:val="18"/>
          <w:color w:val="auto"/>
        </w:rPr>
        <w:t>. Except as may be required by law, neither the Company nor any member of the Board or of the Committee, nor any other person participating (including participation pursuant to a delegation of authority under Section 3(c) of the Plan) in any determination of any question under the Plan, or in the interpretation, administration or application of the Plan, shall have any liability to any party for any action taken, or not taken, in good faith under the Plan.</w:t>
      </w:r>
    </w:p>
    <w:p>
      <w:pPr>
        <w:spacing w:after="0" w:line="180" w:lineRule="exact"/>
        <w:rPr>
          <w:rFonts w:ascii="Times New Roman" w:cs="Times New Roman" w:eastAsia="Times New Roman" w:hAnsi="Times New Roman"/>
          <w:sz w:val="18"/>
          <w:szCs w:val="18"/>
          <w:color w:val="auto"/>
        </w:rPr>
      </w:pPr>
    </w:p>
    <w:p>
      <w:pPr>
        <w:ind w:right="80" w:firstLine="464"/>
        <w:spacing w:after="0" w:line="255" w:lineRule="auto"/>
        <w:tabs>
          <w:tab w:leader="none" w:pos="70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Legal Requirements</w:t>
      </w:r>
      <w:r>
        <w:rPr>
          <w:rFonts w:ascii="Times New Roman" w:cs="Times New Roman" w:eastAsia="Times New Roman" w:hAnsi="Times New Roman"/>
          <w:sz w:val="18"/>
          <w:szCs w:val="18"/>
          <w:color w:val="auto"/>
        </w:rPr>
        <w:t>. No Shares distributable pursuant to the Plan shall be issued and delivered unless the issuance of the Shares complies with all applicable legal requirements, including compliance with the provisions of applicable state and federal securities laws, and the requirements of any securities exchanges on which the Company’s Shares may, at the time, be listed. During any period in which the offering and issuance of Shares under the Plan is not registered under federal or state securities laws, Participants shall acknowledge that they are acquiring Shares under the Plan for investment purposes and not for resale, and that Shares may not be transferred except pursuant to an effective registration statement under, or an exemption from the registration requirements of, such securities laws. Stock certificates evidencing Shares issued under the Plan that are subject to such securities law restrictions shall bear an appropriate restrictive legend.</w:t>
      </w:r>
    </w:p>
    <w:p>
      <w:pPr>
        <w:spacing w:after="0" w:line="189" w:lineRule="exact"/>
        <w:rPr>
          <w:rFonts w:ascii="Times New Roman" w:cs="Times New Roman" w:eastAsia="Times New Roman" w:hAnsi="Times New Roman"/>
          <w:sz w:val="18"/>
          <w:szCs w:val="18"/>
          <w:color w:val="auto"/>
        </w:rPr>
      </w:pPr>
    </w:p>
    <w:p>
      <w:pPr>
        <w:ind w:right="20" w:firstLine="464"/>
        <w:spacing w:after="0" w:line="256" w:lineRule="auto"/>
        <w:tabs>
          <w:tab w:leader="none" w:pos="71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 and Compensation Programs</w:t>
      </w:r>
      <w:r>
        <w:rPr>
          <w:rFonts w:ascii="Times New Roman" w:cs="Times New Roman" w:eastAsia="Times New Roman" w:hAnsi="Times New Roman"/>
          <w:sz w:val="18"/>
          <w:szCs w:val="18"/>
          <w:color w:val="auto"/>
        </w:rPr>
        <w:t>. Payments and other benefits received by a Participant under an Award made pursuant to the Plan shall not be deemed a part of a Participant’s regular, recurring compensation for purposes of the termination, indemnity or severance pay laws of any country and shall not be included in, nor have any effect on, the determination of benefits under any other employee benefit plan, contract or similar arrangement provided by the Company or an Affiliate unless expressly so provided by such other plan, contract or arrangement, or unless the Committee expressly determines that an Award or portion of an Award should be included to accurately reflect competitive compensation practices or to recognize that an Award has been made in lieu of a portion of competitive cash compensation.</w:t>
      </w:r>
    </w:p>
    <w:p>
      <w:pPr>
        <w:spacing w:after="0" w:line="187"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0" w:firstLine="464"/>
        <w:spacing w:after="0" w:line="282" w:lineRule="auto"/>
        <w:tabs>
          <w:tab w:leader="none" w:pos="71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federal laws do not otherwise control, the Plan and all determinations made and actions taken pursuant to the Plan shall be governed by the laws of the State of Delaware without regard to its conflicts-of-law principles and shall be construed accordingly.</w:t>
      </w:r>
    </w:p>
    <w:p>
      <w:pPr>
        <w:spacing w:after="0" w:line="161" w:lineRule="exact"/>
        <w:rPr>
          <w:rFonts w:ascii="Times New Roman" w:cs="Times New Roman" w:eastAsia="Times New Roman" w:hAnsi="Times New Roman"/>
          <w:sz w:val="18"/>
          <w:szCs w:val="18"/>
          <w:color w:val="auto"/>
        </w:rPr>
      </w:pPr>
    </w:p>
    <w:p>
      <w:pPr>
        <w:ind w:right="120" w:firstLine="464"/>
        <w:spacing w:after="0" w:line="282" w:lineRule="auto"/>
        <w:tabs>
          <w:tab w:leader="none" w:pos="71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61" w:lineRule="exact"/>
        <w:rPr>
          <w:rFonts w:ascii="Times New Roman" w:cs="Times New Roman" w:eastAsia="Times New Roman" w:hAnsi="Times New Roman"/>
          <w:sz w:val="18"/>
          <w:szCs w:val="18"/>
          <w:color w:val="auto"/>
        </w:rPr>
      </w:pPr>
    </w:p>
    <w:p>
      <w:pPr>
        <w:ind w:firstLine="464"/>
        <w:spacing w:after="0" w:line="256" w:lineRule="auto"/>
        <w:tabs>
          <w:tab w:leader="none" w:pos="71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(i) all Awards of Options, SARs and Restricted Stock under the Plan will not provide for the deferral of compensation within the meaning of Code Section 409A and thereby be exempt from Code Section 409A, and (ii) all other Awards under the Plan will either not provide for the deferral of compensation within the meaning of Code Section 409A, or will comply with the requirements of Code Section 409A, and Awards shall be structured and the Plan administered in accordance with this intent. The Plan and any Agreement may be unilaterally amended by the Company in any manner deemed necessary or advisable by the Committee or Board in order to maintain such exemption from or compliance with Code Section 409A, and any such amendment shall conclusively be presumed to be necessary to comply with applicable law.</w:t>
      </w:r>
    </w:p>
    <w:p>
      <w:pPr>
        <w:spacing w:after="0" w:line="187" w:lineRule="exact"/>
        <w:rPr>
          <w:rFonts w:ascii="Times New Roman" w:cs="Times New Roman" w:eastAsia="Times New Roman" w:hAnsi="Times New Roman"/>
          <w:sz w:val="18"/>
          <w:szCs w:val="18"/>
          <w:color w:val="auto"/>
        </w:rPr>
      </w:pPr>
    </w:p>
    <w:p>
      <w:pPr>
        <w:ind w:right="40" w:firstLine="464"/>
        <w:spacing w:after="0" w:line="258" w:lineRule="auto"/>
        <w:tabs>
          <w:tab w:leader="none" w:pos="71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the Plan and all Awards granted pursuant to it shall be administered by the Committee so as to permit the Plan and Awards to comply with Exchange Act Rule 16b-3. If any provision of the Plan or of any Award would otherwise frustrate or conflict with the intent expressed in this Section 18(e)(4), that provision to the extent possible shall be interpreted and deemed amended in the manner determined by the Committee so as to avoid the conflict. To the extent of any remaining irreconcilable conflict with this intent, the provision shall be deemed void as applied to Participants subject to Section 16 of the Exchange Act to the extent permitted by law and in the manner deemed advisable by the Committee.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0" w:right="2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448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List of SPS Commerce, Inc. Subsidiaries</w:t>
            </w:r>
          </w:p>
        </w:tc>
      </w:tr>
      <w:tr>
        <w:trPr>
          <w:trHeight w:val="367"/>
        </w:trPr>
        <w:tc>
          <w:tcPr>
            <w:tcW w:w="3400" w:type="dxa"/>
            <w:vAlign w:val="bottom"/>
          </w:tcPr>
          <w:p>
            <w:pPr>
              <w:spacing w:after="0"/>
              <w:rPr>
                <w:sz w:val="24"/>
                <w:szCs w:val="24"/>
                <w:color w:val="auto"/>
              </w:rPr>
            </w:pPr>
          </w:p>
        </w:tc>
        <w:tc>
          <w:tcPr>
            <w:tcW w:w="448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r>
      <w:tr>
        <w:trPr>
          <w:trHeight w:val="168"/>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Company</w:t>
            </w:r>
          </w:p>
        </w:tc>
        <w:tc>
          <w:tcPr>
            <w:tcW w:w="448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auto"/>
              </w:rPr>
              <w:t>Incorporation/Organization</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SPS Commerce Australia Pty Ltd</w:t>
            </w:r>
          </w:p>
        </w:tc>
        <w:tc>
          <w:tcPr>
            <w:tcW w:w="44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SPS Commerce Hong Kong Limited</w:t>
            </w:r>
          </w:p>
        </w:tc>
        <w:tc>
          <w:tcPr>
            <w:tcW w:w="44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SPS International, Inc.</w:t>
            </w:r>
          </w:p>
        </w:tc>
        <w:tc>
          <w:tcPr>
            <w:tcW w:w="44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SPS Europe Limited</w:t>
            </w:r>
          </w:p>
        </w:tc>
        <w:tc>
          <w:tcPr>
            <w:tcW w:w="44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England and Wales</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Edifice Japan G.K.</w:t>
            </w:r>
          </w:p>
        </w:tc>
        <w:tc>
          <w:tcPr>
            <w:tcW w:w="44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Japan</w:t>
            </w: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SPS Ukraine LLC</w:t>
            </w:r>
          </w:p>
        </w:tc>
        <w:tc>
          <w:tcPr>
            <w:tcW w:w="44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Ukraine</w:t>
            </w:r>
          </w:p>
        </w:tc>
      </w:tr>
    </w:tbl>
    <w:p>
      <w:pPr>
        <w:sectPr>
          <w:pgSz w:w="11900" w:h="16838" w:orient="portrait"/>
          <w:cols w:equalWidth="0" w:num="1">
            <w:col w:w="11420"/>
          </w:cols>
          <w:pgMar w:left="240" w:top="117" w:right="2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SPS Commerce, Inc.:</w:t>
      </w:r>
    </w:p>
    <w:p>
      <w:pPr>
        <w:spacing w:after="0" w:line="9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S-3 (Nos. 333-192392, 333-182097and 333-174026) and on Form S-8 (Nos. 333-201673, 333-193544, 333-185972, 333-182007, 333-179236, 333-172073, 333-167315 and 333-167314) of SPS Commerce, Inc. of our report dated February 20, 2015, with respect to the consolidated balance sheets of SPS Commerce, Inc. and subsidiaries as of December 31, 2014 and 2013, and the related consolidated statements of comprehensive income, stockholders’ equity, and cash flows for the years then ended, and the effectiveness of internal control over financial reporting as of December 31, 2014, which report appears in the December 31, 2014 annual report on Form 10-K of SPS Commerce, Inc.</w:t>
      </w:r>
    </w:p>
    <w:p>
      <w:pPr>
        <w:spacing w:after="0" w:line="1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report dated February 20, 2015 on internal control over financial reporting as of December 31, 2014, contains an explanatory paragraph that states management excluded from its assessment of the effectiveness of internal control over financial reporting as of December 31, 2014, Leadtec’s internal control over financial reporting associated with approximately two percent of total assets and one percent of revenues in the consolidated financial statements of SPS Commerce, Inc. as of and for the year ended December 31, 2014. Our audit of internal control over financial reporting of SPS Commerce, Inc. also excluded an evaluation of the internal control over financial reporting of Leadtec.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2015</w:t>
      </w:r>
    </w:p>
    <w:p>
      <w:pPr>
        <w:sectPr>
          <w:pgSz w:w="11900" w:h="16838" w:orient="portrait"/>
          <w:cols w:equalWidth="0" w:num="1">
            <w:col w:w="11420"/>
          </w:cols>
          <w:pgMar w:left="240" w:top="117" w:right="2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have issued our report dated March 6, 2013, with respect to the consolidated financial statements included in the Annual Report of SPS Commerce, Inc. on Form 10-K for the year ended December 31, 2014. We hereby consent to the incorporation by reference of said report in the Registration Statements of SPS Commerce, Inc. on Forms S-3 (File No. 333-192392, File No. 333-182097and File No. 333-174026) and on Forms S-8 (File No. 333-201673, File No. 333-193544, File No. 333-185972, File No. 333-182007, File No. 333-179236, File No. 333-172073, File No. 333-167315 and File No. 333-167314).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2015</w:t>
      </w:r>
    </w:p>
    <w:p>
      <w:pPr>
        <w:sectPr>
          <w:pgSz w:w="11900" w:h="16838" w:orient="portrait"/>
          <w:cols w:equalWidth="0" w:num="1">
            <w:col w:w="11420"/>
          </w:cols>
          <w:pgMar w:left="240" w:top="117" w:right="2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Archie C. Black, certify that:</w:t>
      </w:r>
    </w:p>
    <w:p>
      <w:pPr>
        <w:spacing w:after="0" w:line="131" w:lineRule="exact"/>
        <w:rPr>
          <w:sz w:val="20"/>
          <w:szCs w:val="20"/>
          <w:color w:val="auto"/>
        </w:rPr>
      </w:pPr>
    </w:p>
    <w:p>
      <w:pPr>
        <w:ind w:left="900" w:hanging="446"/>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SPS Commerce, Inc.;</w:t>
      </w:r>
    </w:p>
    <w:p>
      <w:pPr>
        <w:spacing w:after="0" w:line="130" w:lineRule="exact"/>
        <w:rPr>
          <w:rFonts w:ascii="Times New Roman" w:cs="Times New Roman" w:eastAsia="Times New Roman" w:hAnsi="Times New Roman"/>
          <w:sz w:val="18"/>
          <w:szCs w:val="18"/>
          <w:color w:val="auto"/>
        </w:rPr>
      </w:pPr>
    </w:p>
    <w:p>
      <w:pPr>
        <w:jc w:val="both"/>
        <w:ind w:left="900" w:right="40" w:hanging="446"/>
        <w:spacing w:after="0" w:line="266"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00" w:right="40" w:hanging="446"/>
        <w:spacing w:after="0" w:line="266"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1480" w:right="60" w:hanging="567"/>
        <w:spacing w:after="0" w:line="266" w:lineRule="auto"/>
        <w:tabs>
          <w:tab w:leader="none" w:pos="14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480" w:right="40" w:hanging="567"/>
        <w:spacing w:after="0" w:line="266" w:lineRule="auto"/>
        <w:tabs>
          <w:tab w:leader="none" w:pos="14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480" w:right="180" w:hanging="567"/>
        <w:spacing w:after="0" w:line="313" w:lineRule="auto"/>
        <w:tabs>
          <w:tab w:leader="none" w:pos="148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1480" w:right="80" w:hanging="567"/>
        <w:spacing w:after="0" w:line="266" w:lineRule="auto"/>
        <w:tabs>
          <w:tab w:leader="none" w:pos="14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480" w:right="460" w:hanging="567"/>
        <w:spacing w:after="0" w:line="282" w:lineRule="auto"/>
        <w:tabs>
          <w:tab w:leader="none" w:pos="14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480" w:right="80" w:hanging="567"/>
        <w:spacing w:after="0" w:line="282" w:lineRule="auto"/>
        <w:tabs>
          <w:tab w:leader="none" w:pos="14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ARCHIE C.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Archie C. Black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2015</w:t>
      </w:r>
    </w:p>
    <w:p>
      <w:pPr>
        <w:sectPr>
          <w:pgSz w:w="11900" w:h="16838" w:orient="portrait"/>
          <w:cols w:equalWidth="0" w:num="1">
            <w:col w:w="11420"/>
          </w:cols>
          <w:pgMar w:left="240" w:top="117" w:right="2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Kimberly K. Nelson, certify that:</w:t>
      </w:r>
    </w:p>
    <w:p>
      <w:pPr>
        <w:spacing w:after="0" w:line="131" w:lineRule="exact"/>
        <w:rPr>
          <w:sz w:val="20"/>
          <w:szCs w:val="20"/>
          <w:color w:val="auto"/>
        </w:rPr>
      </w:pPr>
    </w:p>
    <w:p>
      <w:pPr>
        <w:ind w:left="900" w:hanging="446"/>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SPS Commerce, Inc.;</w:t>
      </w:r>
    </w:p>
    <w:p>
      <w:pPr>
        <w:spacing w:after="0" w:line="130" w:lineRule="exact"/>
        <w:rPr>
          <w:rFonts w:ascii="Times New Roman" w:cs="Times New Roman" w:eastAsia="Times New Roman" w:hAnsi="Times New Roman"/>
          <w:sz w:val="18"/>
          <w:szCs w:val="18"/>
          <w:color w:val="auto"/>
        </w:rPr>
      </w:pPr>
    </w:p>
    <w:p>
      <w:pPr>
        <w:jc w:val="both"/>
        <w:ind w:left="900" w:right="40" w:hanging="446"/>
        <w:spacing w:after="0" w:line="266"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00" w:right="40" w:hanging="446"/>
        <w:spacing w:after="0" w:line="266"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1480" w:right="60" w:hanging="567"/>
        <w:spacing w:after="0" w:line="266" w:lineRule="auto"/>
        <w:tabs>
          <w:tab w:leader="none" w:pos="14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480" w:right="40" w:hanging="567"/>
        <w:spacing w:after="0" w:line="266" w:lineRule="auto"/>
        <w:tabs>
          <w:tab w:leader="none" w:pos="14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480" w:right="180" w:hanging="567"/>
        <w:spacing w:after="0" w:line="313" w:lineRule="auto"/>
        <w:tabs>
          <w:tab w:leader="none" w:pos="148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1480" w:right="80" w:hanging="567"/>
        <w:spacing w:after="0" w:line="266" w:lineRule="auto"/>
        <w:tabs>
          <w:tab w:leader="none" w:pos="14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480" w:right="460" w:hanging="567"/>
        <w:spacing w:after="0" w:line="282" w:lineRule="auto"/>
        <w:tabs>
          <w:tab w:leader="none" w:pos="14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480" w:right="80" w:hanging="567"/>
        <w:spacing w:after="0" w:line="282" w:lineRule="auto"/>
        <w:tabs>
          <w:tab w:leader="none" w:pos="14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KIMBERLY K. NELSON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Kimberly K. Nelson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2015</w:t>
      </w:r>
    </w:p>
    <w:p>
      <w:pPr>
        <w:sectPr>
          <w:pgSz w:w="11900" w:h="16838" w:orient="portrait"/>
          <w:cols w:equalWidth="0" w:num="1">
            <w:col w:w="11420"/>
          </w:cols>
          <w:pgMar w:left="240" w:top="117" w:right="2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SPS Commerce, Inc. (the “Company”) for the period ended December 31, 2014,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82" w:lineRule="exact"/>
        <w:rPr>
          <w:sz w:val="20"/>
          <w:szCs w:val="20"/>
          <w:color w:val="auto"/>
        </w:rPr>
      </w:pPr>
    </w:p>
    <w:p>
      <w:pPr>
        <w:ind w:left="900" w:hanging="446"/>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ARCHIE C.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Archie C. Black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KIMBERLY K. NELSON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Kimberly K. Nelson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2015</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1)"/>
      <w:numFmt w:val="decimal"/>
      <w:start w:val="1"/>
    </w:lvl>
  </w:abstractNum>
  <w:abstractNum w:abstractNumId="19">
    <w:nsid w:val="2A487CB0"/>
    <w:multiLevelType w:val="hybridMultilevel"/>
    <w:lvl w:ilvl="0">
      <w:lvlJc w:val="left"/>
      <w:lvlText w:val="(%1)"/>
      <w:numFmt w:val="decimal"/>
      <w:start w:val="2"/>
    </w:lvl>
  </w:abstractNum>
  <w:abstractNum w:abstractNumId="20">
    <w:nsid w:val="1D4ED43B"/>
    <w:multiLevelType w:val="hybridMultilevel"/>
    <w:lvl w:ilvl="0">
      <w:lvlJc w:val="left"/>
      <w:lvlText w:val="(%1)"/>
      <w:numFmt w:val="decimal"/>
      <w:start w:val="7"/>
    </w:lvl>
  </w:abstractNum>
  <w:abstractNum w:abstractNumId="21">
    <w:nsid w:val="725A06FB"/>
    <w:multiLevelType w:val="hybridMultilevel"/>
    <w:lvl w:ilvl="0">
      <w:lvlJc w:val="left"/>
      <w:lvlText w:val="(%1)"/>
      <w:numFmt w:val="decimal"/>
      <w:start w:val="8"/>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1)"/>
      <w:numFmt w:val="lowerLetter"/>
      <w:start w:val="1"/>
    </w:lvl>
  </w:abstractNum>
  <w:abstractNum w:abstractNumId="27">
    <w:nsid w:val="6DE91B18"/>
    <w:multiLevelType w:val="hybridMultilevel"/>
    <w:lvl w:ilvl="0">
      <w:lvlJc w:val="left"/>
      <w:lvlText w:val="%1"/>
      <w:numFmt w:val="decimal"/>
      <w:start w:val="101"/>
    </w:lvl>
  </w:abstractNum>
  <w:abstractNum w:abstractNumId="28">
    <w:nsid w:val="38437FDB"/>
    <w:multiLevelType w:val="hybridMultilevel"/>
    <w:lvl w:ilvl="0">
      <w:lvlJc w:val="left"/>
      <w:lvlText w:val="%1."/>
      <w:numFmt w:val="decimal"/>
      <w:start w:val="1"/>
    </w:lvl>
  </w:abstractNum>
  <w:abstractNum w:abstractNumId="29">
    <w:nsid w:val="7644A45C"/>
    <w:multiLevelType w:val="hybridMultilevel"/>
    <w:lvl w:ilvl="0">
      <w:lvlJc w:val="left"/>
      <w:lvlText w:val="%1."/>
      <w:numFmt w:val="decimal"/>
      <w:start w:val="2"/>
    </w:lvl>
  </w:abstractNum>
  <w:abstractNum w:abstractNumId="30">
    <w:nsid w:val="32FFF902"/>
    <w:multiLevelType w:val="hybridMultilevel"/>
    <w:lvl w:ilvl="0">
      <w:lvlJc w:val="left"/>
      <w:lvlText w:val="(%1)"/>
      <w:numFmt w:val="lowerLetter"/>
      <w:start w:val="1"/>
    </w:lvl>
    <w:lvl w:ilvl="1">
      <w:lvlJc w:val="left"/>
      <w:lvlText w:val="(%2)"/>
      <w:numFmt w:val="decimal"/>
      <w:start w:val="1"/>
    </w:lvl>
  </w:abstractNum>
  <w:abstractNum w:abstractNumId="31">
    <w:nsid w:val="684A481A"/>
    <w:multiLevelType w:val="hybridMultilevel"/>
    <w:lvl w:ilvl="0">
      <w:lvlJc w:val="left"/>
      <w:lvlText w:val="(%1)"/>
      <w:numFmt w:val="decimal"/>
      <w:start w:val="2"/>
    </w:lvl>
  </w:abstractNum>
  <w:abstractNum w:abstractNumId="32">
    <w:nsid w:val="579478FE"/>
    <w:multiLevelType w:val="hybridMultilevel"/>
    <w:lvl w:ilvl="0">
      <w:lvlJc w:val="left"/>
      <w:lvlText w:val="(%1)"/>
      <w:numFmt w:val="lowerLetter"/>
      <w:start w:val="7"/>
    </w:lvl>
    <w:lvl w:ilvl="1">
      <w:lvlJc w:val="left"/>
      <w:lvlText w:val="(%2)"/>
      <w:numFmt w:val="decimal"/>
      <w:start w:val="1"/>
    </w:lvl>
  </w:abstractNum>
  <w:abstractNum w:abstractNumId="33">
    <w:nsid w:val="749ABB43"/>
    <w:multiLevelType w:val="hybridMultilevel"/>
    <w:lvl w:ilvl="0">
      <w:lvlJc w:val="left"/>
      <w:lvlText w:val="(%1)"/>
      <w:numFmt w:val="lowerLetter"/>
      <w:start w:val="16"/>
    </w:lvl>
  </w:abstractNum>
  <w:abstractNum w:abstractNumId="34">
    <w:nsid w:val="3DC240FB"/>
    <w:multiLevelType w:val="hybridMultilevel"/>
    <w:lvl w:ilvl="0">
      <w:lvlJc w:val="left"/>
      <w:lvlText w:val="(%1)"/>
      <w:numFmt w:val="lowerLetter"/>
      <w:start w:val="27"/>
    </w:lvl>
  </w:abstractNum>
  <w:abstractNum w:abstractNumId="35">
    <w:nsid w:val="1BA026FA"/>
    <w:multiLevelType w:val="hybridMultilevel"/>
    <w:lvl w:ilvl="0">
      <w:lvlJc w:val="left"/>
      <w:lvlText w:val="(%1)"/>
      <w:numFmt w:val="lowerRoman"/>
      <w:start w:val="2"/>
    </w:lvl>
  </w:abstractNum>
  <w:abstractNum w:abstractNumId="36">
    <w:nsid w:val="79A1DEAA"/>
    <w:multiLevelType w:val="hybridMultilevel"/>
    <w:lvl w:ilvl="0">
      <w:lvlJc w:val="left"/>
      <w:lvlText w:val="%1"/>
      <w:numFmt w:val="decimal"/>
      <w:start w:val="1"/>
    </w:lvl>
    <w:lvl w:ilvl="1">
      <w:lvlJc w:val="left"/>
      <w:lvlText w:val="(%2)"/>
      <w:numFmt w:val="lowerLetter"/>
      <w:start w:val="33"/>
    </w:lvl>
    <w:lvl w:ilvl="2">
      <w:lvlJc w:val="left"/>
      <w:lvlText w:val="%3"/>
      <w:numFmt w:val="decimal"/>
      <w:start w:val="1"/>
    </w:lvl>
  </w:abstractNum>
  <w:abstractNum w:abstractNumId="37">
    <w:nsid w:val="75C6C33A"/>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38">
    <w:nsid w:val="12E685FB"/>
    <w:multiLevelType w:val="hybridMultilevel"/>
    <w:lvl w:ilvl="0">
      <w:lvlJc w:val="left"/>
      <w:lvlText w:val="(%1)"/>
      <w:numFmt w:val="lowerLetter"/>
      <w:start w:val="3"/>
    </w:lvl>
  </w:abstractNum>
  <w:abstractNum w:abstractNumId="39">
    <w:nsid w:val="70C6A529"/>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40">
    <w:nsid w:val="520EEDD1"/>
    <w:multiLevelType w:val="hybridMultilevel"/>
    <w:lvl w:ilvl="0">
      <w:lvlJc w:val="left"/>
      <w:lvlText w:val="%1"/>
      <w:numFmt w:val="decimal"/>
      <w:start w:val="1"/>
    </w:lvl>
    <w:lvl w:ilvl="1">
      <w:lvlJc w:val="left"/>
      <w:lvlText w:val="(%2)"/>
      <w:numFmt w:val="lowerLetter"/>
      <w:start w:val="6"/>
    </w:lvl>
  </w:abstractNum>
  <w:abstractNum w:abstractNumId="41">
    <w:nsid w:val="374A3FE6"/>
    <w:multiLevelType w:val="hybridMultilevel"/>
    <w:lvl w:ilvl="0">
      <w:lvlJc w:val="left"/>
      <w:lvlText w:val="%1."/>
      <w:numFmt w:val="decimal"/>
      <w:start w:val="5"/>
    </w:lvl>
    <w:lvl w:ilvl="1">
      <w:lvlJc w:val="left"/>
      <w:lvlText w:val="%2"/>
      <w:numFmt w:val="lowerLetter"/>
      <w:start w:val="1"/>
    </w:lvl>
  </w:abstractNum>
  <w:abstractNum w:abstractNumId="42">
    <w:nsid w:val="4F4EF005"/>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43">
    <w:nsid w:val="23F9C13C"/>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abstractNum>
  <w:abstractNum w:abstractNumId="44">
    <w:nsid w:val="649BB77C"/>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45">
    <w:nsid w:val="275AC794"/>
    <w:multiLevelType w:val="hybridMultilevel"/>
    <w:lvl w:ilvl="0">
      <w:lvlJc w:val="left"/>
      <w:lvlText w:val="(%1)"/>
      <w:numFmt w:val="decimal"/>
      <w:start w:val="3"/>
    </w:lvl>
  </w:abstractNum>
  <w:abstractNum w:abstractNumId="46">
    <w:nsid w:val="39386575"/>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47">
    <w:nsid w:val="1CF10FD8"/>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48">
    <w:nsid w:val="180115BE"/>
    <w:multiLevelType w:val="hybridMultilevel"/>
    <w:lvl w:ilvl="0">
      <w:lvlJc w:val="left"/>
      <w:lvlText w:val="(%1)"/>
      <w:numFmt w:val="lowerLetter"/>
      <w:start w:val="1"/>
    </w:lvl>
  </w:abstractNum>
  <w:abstractNum w:abstractNumId="49">
    <w:nsid w:val="235BA861"/>
    <w:multiLevelType w:val="hybridMultilevel"/>
    <w:lvl w:ilvl="0">
      <w:lvlJc w:val="left"/>
      <w:lvlText w:val="%1."/>
      <w:numFmt w:val="decimal"/>
      <w:start w:val="11"/>
    </w:lvl>
  </w:abstractNum>
  <w:abstractNum w:abstractNumId="50">
    <w:nsid w:val="47398C89"/>
    <w:multiLevelType w:val="hybridMultilevel"/>
    <w:lvl w:ilvl="0">
      <w:lvlJc w:val="left"/>
      <w:lvlText w:val="%1."/>
      <w:numFmt w:val="decimal"/>
      <w:start w:val="12"/>
    </w:lvl>
    <w:lvl w:ilvl="1">
      <w:lvlJc w:val="left"/>
      <w:lvlText w:val="(%2)"/>
      <w:numFmt w:val="lowerLetter"/>
      <w:start w:val="1"/>
    </w:lvl>
    <w:lvl w:ilvl="2">
      <w:lvlJc w:val="left"/>
      <w:lvlText w:val="(%3)"/>
      <w:numFmt w:val="decimal"/>
      <w:start w:val="1"/>
    </w:lvl>
  </w:abstractNum>
  <w:abstractNum w:abstractNumId="51">
    <w:nsid w:val="354FE9F9"/>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52">
    <w:nsid w:val="15B5AF5C"/>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53">
    <w:nsid w:val="741226BB"/>
    <w:multiLevelType w:val="hybridMultilevel"/>
    <w:lvl w:ilvl="0">
      <w:lvlJc w:val="left"/>
      <w:lvlText w:val="%1."/>
      <w:numFmt w:val="decimal"/>
      <w:start w:val="13"/>
    </w:lvl>
    <w:lvl w:ilvl="1">
      <w:lvlJc w:val="left"/>
      <w:lvlText w:val="%2"/>
      <w:numFmt w:val="lowerLetter"/>
      <w:start w:val="1"/>
    </w:lvl>
    <w:lvl w:ilvl="2">
      <w:lvlJc w:val="left"/>
      <w:lvlText w:val="%3"/>
      <w:numFmt w:val="decimal"/>
      <w:start w:val="1"/>
    </w:lvl>
  </w:abstractNum>
  <w:abstractNum w:abstractNumId="54">
    <w:nsid w:val="D34B6A8"/>
    <w:multiLevelType w:val="hybridMultilevel"/>
    <w:lvl w:ilvl="0">
      <w:lvlJc w:val="left"/>
      <w:lvlText w:val="%1."/>
      <w:numFmt w:val="decimal"/>
      <w:start w:val="14"/>
    </w:lvl>
  </w:abstractNum>
  <w:abstractNum w:abstractNumId="55">
    <w:nsid w:val="10233C99"/>
    <w:multiLevelType w:val="hybridMultilevel"/>
    <w:lvl w:ilvl="0">
      <w:lvlJc w:val="left"/>
      <w:lvlText w:val="%1."/>
      <w:numFmt w:val="decimal"/>
      <w:start w:val="15"/>
    </w:lvl>
    <w:lvl w:ilvl="1">
      <w:lvlJc w:val="left"/>
      <w:lvlText w:val="(%2)"/>
      <w:numFmt w:val="lowerLetter"/>
      <w:start w:val="1"/>
    </w:lvl>
  </w:abstractNum>
  <w:abstractNum w:abstractNumId="56">
    <w:nsid w:val="3F6AB60F"/>
    <w:multiLevelType w:val="hybridMultilevel"/>
    <w:lvl w:ilvl="0">
      <w:lvlJc w:val="left"/>
      <w:lvlText w:val="(%1)"/>
      <w:numFmt w:val="lowerRoman"/>
      <w:start w:val="1"/>
    </w:lvl>
  </w:abstractNum>
  <w:abstractNum w:abstractNumId="57">
    <w:nsid w:val="61574095"/>
    <w:multiLevelType w:val="hybridMultilevel"/>
    <w:lvl w:ilvl="0">
      <w:lvlJc w:val="left"/>
      <w:lvlText w:val="%1."/>
      <w:numFmt w:val="decimal"/>
      <w:start w:val="16"/>
    </w:lvl>
  </w:abstractNum>
  <w:abstractNum w:abstractNumId="58">
    <w:nsid w:val="7E0C57B1"/>
    <w:multiLevelType w:val="hybridMultilevel"/>
    <w:lvl w:ilvl="0">
      <w:lvlJc w:val="left"/>
      <w:lvlText w:val="%1."/>
      <w:numFmt w:val="decimal"/>
      <w:start w:val="17"/>
    </w:lvl>
  </w:abstractNum>
  <w:abstractNum w:abstractNumId="59">
    <w:nsid w:val="77AE35EB"/>
    <w:multiLevelType w:val="hybridMultilevel"/>
    <w:lvl w:ilvl="0">
      <w:lvlJc w:val="left"/>
      <w:lvlText w:val="%1"/>
      <w:numFmt w:val="decimal"/>
      <w:start w:val="1"/>
    </w:lvl>
    <w:lvl w:ilvl="1">
      <w:lvlJc w:val="left"/>
      <w:lvlText w:val="(%2)"/>
      <w:numFmt w:val="lowerLetter"/>
      <w:start w:val="1"/>
    </w:lvl>
  </w:abstractNum>
  <w:abstractNum w:abstractNumId="60">
    <w:nsid w:val="579BE4F1"/>
    <w:multiLevelType w:val="hybridMultilevel"/>
    <w:lvl w:ilvl="0">
      <w:lvlJc w:val="left"/>
      <w:lvlText w:val="%1."/>
      <w:numFmt w:val="decimal"/>
      <w:start w:val="18"/>
    </w:lvl>
    <w:lvl w:ilvl="1">
      <w:lvlJc w:val="left"/>
      <w:lvlText w:val="(%2)"/>
      <w:numFmt w:val="lowerLetter"/>
      <w:start w:val="1"/>
    </w:lvl>
  </w:abstractNum>
  <w:abstractNum w:abstractNumId="61">
    <w:nsid w:val="310C50B3"/>
    <w:multiLevelType w:val="hybridMultilevel"/>
    <w:lvl w:ilvl="0">
      <w:lvlJc w:val="left"/>
      <w:lvlText w:val="(%1)"/>
      <w:numFmt w:val="lowerLetter"/>
      <w:start w:val="2"/>
    </w:lvl>
  </w:abstractNum>
  <w:abstractNum w:abstractNumId="62">
    <w:nsid w:val="5FF87E05"/>
    <w:multiLevelType w:val="hybridMultilevel"/>
    <w:lvl w:ilvl="0">
      <w:lvlJc w:val="left"/>
      <w:lvlText w:val="(%1)"/>
      <w:numFmt w:val="decimal"/>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2019-12-29T18:49:28Z</dcterms:created>
  <dcterms:modified xsi:type="dcterms:W3CDTF">2019-12-29T18:49:28Z</dcterms:modified>
</cp:coreProperties>
</file>