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430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color w:val="auto"/>
                <w:w w:val="89"/>
              </w:rPr>
              <w:t>For the Transition Period from</w:t>
            </w:r>
          </w:p>
        </w:tc>
        <w:tc>
          <w:tcPr>
            <w:tcW w:w="42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400" w:type="dxa"/>
            <w:vAlign w:val="bottom"/>
            <w:tcBorders>
              <w:bottom w:val="single" w:sz="8" w:color="auto"/>
            </w:tcBorders>
          </w:tcPr>
          <w:p>
            <w:pPr>
              <w:spacing w:after="0"/>
              <w:rPr>
                <w:sz w:val="14"/>
                <w:szCs w:val="14"/>
                <w:color w:val="auto"/>
              </w:rPr>
            </w:pPr>
          </w:p>
        </w:tc>
      </w:tr>
      <w:tr>
        <w:trPr>
          <w:trHeight w:val="223"/>
        </w:trPr>
        <w:tc>
          <w:tcPr>
            <w:tcW w:w="282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Commission file number 001-34702</w:t>
            </w: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SPS COMMERCE,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(Exact Name of Registrant as Specified in its Charter)</w:t>
      </w:r>
    </w:p>
    <w:p>
      <w:pPr>
        <w:sectPr>
          <w:pgSz w:w="11900" w:h="16838" w:orient="portrait"/>
          <w:cols w:equalWidth="0" w:num="1">
            <w:col w:w="11420"/>
          </w:cols>
          <w:pgMar w:left="240" w:top="216" w:right="239" w:bottom="1440" w:gutter="0" w:footer="0" w:header="0"/>
        </w:sectPr>
      </w:pPr>
    </w:p>
    <w:p>
      <w:pPr>
        <w:spacing w:after="0" w:line="58" w:lineRule="exact"/>
        <w:rPr>
          <w:sz w:val="24"/>
          <w:szCs w:val="24"/>
          <w:color w:val="auto"/>
        </w:rPr>
      </w:pPr>
    </w:p>
    <w:p>
      <w:pPr>
        <w:ind w:left="254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41-2015127</w:t>
      </w:r>
    </w:p>
    <w:p>
      <w:pPr>
        <w:spacing w:after="0" w:line="16" w:lineRule="exact"/>
        <w:rPr>
          <w:sz w:val="24"/>
          <w:szCs w:val="24"/>
          <w:color w:val="auto"/>
        </w:rPr>
      </w:pPr>
    </w:p>
    <w:p>
      <w:pPr>
        <w:sectPr>
          <w:pgSz w:w="11900" w:h="16838" w:orient="portrait"/>
          <w:cols w:equalWidth="0" w:num="2">
            <w:col w:w="7580" w:space="720"/>
            <w:col w:w="3120"/>
          </w:cols>
          <w:pgMar w:left="240" w:top="216" w:right="239" w:bottom="1440" w:gutter="0" w:footer="0" w:header="0"/>
          <w:type w:val="continuous"/>
        </w:sectPr>
      </w:pPr>
    </w:p>
    <w:p>
      <w:pPr>
        <w:spacing w:after="0" w:line="12" w:lineRule="exact"/>
        <w:rPr>
          <w:sz w:val="24"/>
          <w:szCs w:val="24"/>
          <w:color w:val="auto"/>
        </w:rPr>
      </w:pPr>
    </w:p>
    <w:p>
      <w:pPr>
        <w:ind w:left="2020"/>
        <w:spacing w:after="0"/>
        <w:rPr>
          <w:sz w:val="20"/>
          <w:szCs w:val="20"/>
          <w:color w:val="auto"/>
        </w:rPr>
      </w:pPr>
      <w:r>
        <w:rPr>
          <w:rFonts w:ascii="Arial" w:cs="Arial" w:eastAsia="Arial" w:hAnsi="Arial"/>
          <w:sz w:val="11"/>
          <w:szCs w:val="11"/>
          <w:b w:val="1"/>
          <w:bCs w:val="1"/>
          <w:i w:val="1"/>
          <w:iCs w:val="1"/>
          <w:color w:val="auto"/>
        </w:rPr>
        <w:t>(State or Other Jurisdiction of</w:t>
      </w:r>
    </w:p>
    <w:p>
      <w:pPr>
        <w:ind w:left="2000"/>
        <w:spacing w:after="0"/>
        <w:rPr>
          <w:sz w:val="20"/>
          <w:szCs w:val="20"/>
          <w:color w:val="auto"/>
        </w:rPr>
      </w:pPr>
      <w:r>
        <w:rPr>
          <w:rFonts w:ascii="Arial" w:cs="Arial" w:eastAsia="Arial" w:hAnsi="Arial"/>
          <w:sz w:val="11"/>
          <w:szCs w:val="11"/>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2"/>
          <w:szCs w:val="12"/>
          <w:b w:val="1"/>
          <w:bCs w:val="1"/>
          <w:i w:val="1"/>
          <w:iCs w:val="1"/>
          <w:color w:val="auto"/>
        </w:rPr>
        <w:t>(I.R.S. Employer</w:t>
      </w:r>
    </w:p>
    <w:p>
      <w:pPr>
        <w:jc w:val="center"/>
        <w:ind w:right="2320"/>
        <w:spacing w:after="0"/>
        <w:rPr>
          <w:sz w:val="20"/>
          <w:szCs w:val="20"/>
          <w:color w:val="auto"/>
        </w:rPr>
      </w:pPr>
      <w:r>
        <w:rPr>
          <w:rFonts w:ascii="Arial" w:cs="Arial" w:eastAsia="Arial" w:hAnsi="Arial"/>
          <w:sz w:val="11"/>
          <w:szCs w:val="11"/>
          <w:b w:val="1"/>
          <w:bCs w:val="1"/>
          <w:i w:val="1"/>
          <w:iCs w:val="1"/>
          <w:color w:val="auto"/>
        </w:rPr>
        <w:t>Identification No.)</w:t>
      </w:r>
    </w:p>
    <w:p>
      <w:pPr>
        <w:spacing w:after="0" w:line="68" w:lineRule="exact"/>
        <w:rPr>
          <w:sz w:val="24"/>
          <w:szCs w:val="24"/>
          <w:color w:val="auto"/>
        </w:rPr>
      </w:pPr>
    </w:p>
    <w:p>
      <w:pPr>
        <w:sectPr>
          <w:pgSz w:w="11900" w:h="16838" w:orient="portrait"/>
          <w:cols w:equalWidth="0" w:num="2">
            <w:col w:w="7420" w:space="720"/>
            <w:col w:w="3280"/>
          </w:cols>
          <w:pgMar w:left="240" w:top="216" w:right="2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333 South Seventh Street, Suite 1000, Minneapolis, MN 55402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i w:val="1"/>
          <w:iCs w:val="1"/>
          <w:color w:val="auto"/>
        </w:rPr>
        <w:t>(Address of Principal Executive Offices, Including Zip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(612) 435-9400</w:t>
      </w:r>
    </w:p>
    <w:p>
      <w:pPr>
        <w:jc w:val="center"/>
        <w:spacing w:after="0"/>
        <w:rPr>
          <w:sz w:val="20"/>
          <w:szCs w:val="20"/>
          <w:color w:val="auto"/>
        </w:rPr>
      </w:pPr>
      <w:r>
        <w:rPr>
          <w:rFonts w:ascii="Arial" w:cs="Arial" w:eastAsia="Arial" w:hAnsi="Arial"/>
          <w:sz w:val="13"/>
          <w:szCs w:val="13"/>
          <w:b w:val="1"/>
          <w:bCs w:val="1"/>
          <w:i w:val="1"/>
          <w:iCs w:val="1"/>
          <w:color w:val="auto"/>
        </w:rPr>
        <w:t>(Registrant’s Telephone Number, Including Area Code)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20"/>
          </w:cols>
          <w:pgMar w:left="240" w:top="216" w:right="239" w:bottom="1440" w:gutter="0" w:footer="0" w:header="0"/>
          <w:type w:val="continuous"/>
        </w:sectPr>
      </w:pPr>
    </w:p>
    <w:p>
      <w:pPr>
        <w:spacing w:after="0" w:line="215" w:lineRule="exact"/>
        <w:rPr>
          <w:sz w:val="24"/>
          <w:szCs w:val="24"/>
          <w:color w:val="auto"/>
        </w:rPr>
      </w:pPr>
    </w:p>
    <w:p>
      <w:pPr>
        <w:ind w:left="1660"/>
        <w:spacing w:after="0"/>
        <w:rPr>
          <w:sz w:val="20"/>
          <w:szCs w:val="20"/>
          <w:color w:val="auto"/>
        </w:rPr>
      </w:pPr>
      <w:r>
        <w:rPr>
          <w:rFonts w:ascii="Arial" w:cs="Arial" w:eastAsia="Arial" w:hAnsi="Arial"/>
          <w:sz w:val="11"/>
          <w:szCs w:val="11"/>
          <w:color w:val="auto"/>
        </w:rPr>
        <w:t>Common stock, par value $0.001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jc w:val="center"/>
        <w:ind w:right="1940"/>
        <w:spacing w:after="0"/>
        <w:rPr>
          <w:sz w:val="20"/>
          <w:szCs w:val="20"/>
          <w:color w:val="auto"/>
        </w:rPr>
      </w:pPr>
      <w:r>
        <w:rPr>
          <w:rFonts w:ascii="Arial" w:cs="Arial" w:eastAsia="Arial" w:hAnsi="Arial"/>
          <w:sz w:val="12"/>
          <w:szCs w:val="12"/>
          <w:color w:val="auto"/>
        </w:rPr>
        <w:t>The Nasdaq Stock Market LLC</w:t>
      </w:r>
    </w:p>
    <w:p>
      <w:pPr>
        <w:spacing w:after="0" w:line="22" w:lineRule="exact"/>
        <w:rPr>
          <w:sz w:val="24"/>
          <w:szCs w:val="24"/>
          <w:color w:val="auto"/>
        </w:rPr>
      </w:pPr>
    </w:p>
    <w:p>
      <w:pPr>
        <w:jc w:val="center"/>
        <w:ind w:right="1940"/>
        <w:spacing w:after="0"/>
        <w:rPr>
          <w:sz w:val="20"/>
          <w:szCs w:val="20"/>
          <w:color w:val="auto"/>
        </w:rPr>
      </w:pPr>
      <w:r>
        <w:rPr>
          <w:rFonts w:ascii="Arial" w:cs="Arial" w:eastAsia="Arial" w:hAnsi="Arial"/>
          <w:sz w:val="14"/>
          <w:szCs w:val="14"/>
          <w:color w:val="auto"/>
        </w:rPr>
        <w:t>(Nasdaq Global Market)</w:t>
      </w:r>
    </w:p>
    <w:p>
      <w:pPr>
        <w:spacing w:after="0" w:line="1" w:lineRule="exact"/>
        <w:rPr>
          <w:sz w:val="24"/>
          <w:szCs w:val="24"/>
          <w:color w:val="auto"/>
        </w:rPr>
      </w:pPr>
    </w:p>
    <w:p>
      <w:pPr>
        <w:sectPr>
          <w:pgSz w:w="11900" w:h="16838" w:orient="portrait"/>
          <w:cols w:equalWidth="0" w:num="2">
            <w:col w:w="7060" w:space="720"/>
            <w:col w:w="3640"/>
          </w:cols>
          <w:pgMar w:left="240" w:top="216" w:right="239" w:bottom="1440" w:gutter="0" w:footer="0" w:header="0"/>
          <w:type w:val="continuous"/>
        </w:sectPr>
      </w:pPr>
    </w:p>
    <w:p>
      <w:pPr>
        <w:ind w:left="2300"/>
        <w:spacing w:after="0"/>
        <w:rPr>
          <w:sz w:val="20"/>
          <w:szCs w:val="20"/>
          <w:color w:val="auto"/>
        </w:rPr>
      </w:pPr>
      <w:r>
        <w:rPr>
          <w:rFonts w:ascii="Arial" w:cs="Arial" w:eastAsia="Arial" w:hAnsi="Arial"/>
          <w:sz w:val="9"/>
          <w:szCs w:val="9"/>
          <w:b w:val="1"/>
          <w:bCs w:val="1"/>
          <w:i w:val="1"/>
          <w:i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i w:val="1"/>
          <w:iCs w:val="1"/>
          <w:color w:val="auto"/>
        </w:rPr>
        <w:t>(Name of each exchange on which registered)</w:t>
      </w:r>
    </w:p>
    <w:p>
      <w:pPr>
        <w:spacing w:after="0" w:line="73" w:lineRule="exact"/>
        <w:rPr>
          <w:sz w:val="24"/>
          <w:szCs w:val="24"/>
          <w:color w:val="auto"/>
        </w:rPr>
      </w:pPr>
    </w:p>
    <w:p>
      <w:pPr>
        <w:sectPr>
          <w:pgSz w:w="11900" w:h="16838" w:orient="portrait"/>
          <w:cols w:equalWidth="0" w:num="2">
            <w:col w:w="6720" w:space="720"/>
            <w:col w:w="3980"/>
          </w:cols>
          <w:pgMar w:left="240" w:top="216" w:right="2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420"/>
          </w:cols>
          <w:pgMar w:left="240" w:top="216"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6340" w:space="140"/>
            <w:col w:w="200" w:space="60"/>
            <w:col w:w="120" w:space="140"/>
            <w:col w:w="4420"/>
          </w:cols>
          <w:pgMar w:left="240" w:top="21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4">
            <w:col w:w="6040" w:space="120"/>
            <w:col w:w="200" w:space="60"/>
            <w:col w:w="120" w:space="140"/>
            <w:col w:w="4740"/>
          </w:cols>
          <w:pgMar w:left="240" w:top="216" w:right="239" w:bottom="1440" w:gutter="0" w:footer="0" w:header="0"/>
          <w:type w:val="continuous"/>
        </w:sect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240"/>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4" w:lineRule="exact"/>
        <w:rPr>
          <w:sz w:val="24"/>
          <w:szCs w:val="24"/>
          <w:color w:val="auto"/>
        </w:rPr>
      </w:pPr>
    </w:p>
    <w:p>
      <w:pPr>
        <w:ind w:right="64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1" w:lineRule="exact"/>
        <w:rPr>
          <w:sz w:val="24"/>
          <w:szCs w:val="24"/>
          <w:color w:val="auto"/>
        </w:rPr>
      </w:pPr>
    </w:p>
    <w:p>
      <w:pPr>
        <w:ind w:right="18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 w:lineRule="exact"/>
        <w:rPr>
          <w:sz w:val="24"/>
          <w:szCs w:val="24"/>
          <w:color w:val="auto"/>
        </w:rPr>
      </w:pPr>
    </w:p>
    <w:p>
      <w:pPr>
        <w:spacing w:after="0" w:line="161" w:lineRule="exact"/>
        <w:tabs>
          <w:tab w:leader="none" w:pos="2280" w:val="left"/>
          <w:tab w:leader="none" w:pos="2860" w:val="left"/>
          <w:tab w:leader="none" w:pos="5140" w:val="left"/>
          <w:tab w:leader="none" w:pos="5700" w:val="left"/>
          <w:tab w:leader="none" w:pos="7980" w:val="left"/>
          <w:tab w:leader="none" w:pos="8560" w:val="left"/>
          <w:tab w:leader="none" w:pos="108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(Do not check if a smaller reporting company)</w:t>
      </w:r>
    </w:p>
    <w:p>
      <w:pPr>
        <w:spacing w:after="0" w:line="128" w:lineRule="exact"/>
        <w:rPr>
          <w:sz w:val="24"/>
          <w:szCs w:val="24"/>
          <w:color w:val="auto"/>
        </w:rPr>
      </w:pPr>
    </w:p>
    <w:p>
      <w:pPr>
        <w:ind w:right="260"/>
        <w:spacing w:after="0" w:line="168"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34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61" w:lineRule="exact"/>
        <w:tabs>
          <w:tab w:leader="none" w:pos="6260" w:val="left"/>
          <w:tab w:leader="none" w:pos="67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0" w:lineRule="exact"/>
        <w:rPr>
          <w:sz w:val="24"/>
          <w:szCs w:val="24"/>
          <w:color w:val="auto"/>
        </w:rPr>
      </w:pPr>
    </w:p>
    <w:p>
      <w:pPr>
        <w:ind w:right="280"/>
        <w:spacing w:after="0" w:line="239" w:lineRule="auto"/>
        <w:rPr>
          <w:sz w:val="20"/>
          <w:szCs w:val="20"/>
          <w:color w:val="auto"/>
        </w:rPr>
      </w:pPr>
      <w:r>
        <w:rPr>
          <w:rFonts w:ascii="Arial" w:cs="Arial" w:eastAsia="Arial" w:hAnsi="Arial"/>
          <w:sz w:val="14"/>
          <w:szCs w:val="14"/>
          <w:color w:val="auto"/>
        </w:rPr>
        <w:t>As of June 30, 2017, the last business day of the registrant’s most recently completed second fiscal quarter, the aggregate market value of shares of the registrant’s common stock held by non-affiliates of the registrant (based upon the closing sale price of $63.76 per share on the Nasdaq Global Market on such date) was approximately $1.1 billion.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9, 2018 was 17,250,664 shares.</w:t>
      </w:r>
    </w:p>
    <w:p>
      <w:pPr>
        <w:spacing w:after="0" w:line="69"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140"/>
        <w:spacing w:after="0" w:line="239" w:lineRule="auto"/>
        <w:rPr>
          <w:sz w:val="20"/>
          <w:szCs w:val="20"/>
          <w:color w:val="auto"/>
        </w:rPr>
      </w:pPr>
      <w:r>
        <w:rPr>
          <w:rFonts w:ascii="Arial" w:cs="Arial" w:eastAsia="Arial" w:hAnsi="Arial"/>
          <w:sz w:val="14"/>
          <w:szCs w:val="14"/>
          <w:color w:val="auto"/>
        </w:rPr>
        <w:t>Portions of the Company’s definitive Proxy Statement for the Annual Meeting of Stockholders to be held on May 31, 2018 (the “2018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4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9"/>
              </w:rPr>
              <w:t>SPS COMMERCE, INC.</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99"/>
              </w:rPr>
              <w:t>ANNUAL REPORT ON FORM 10-K</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8"/>
          </w:tcPr>
          <w:p>
            <w:pPr>
              <w:jc w:val="center"/>
              <w:ind w:right="2720"/>
              <w:spacing w:after="0"/>
              <w:rPr>
                <w:sz w:val="20"/>
                <w:szCs w:val="20"/>
                <w:color w:val="auto"/>
              </w:rPr>
            </w:pPr>
            <w:r>
              <w:rPr>
                <w:rFonts w:ascii="Arial" w:cs="Arial" w:eastAsia="Arial" w:hAnsi="Arial"/>
                <w:sz w:val="18"/>
                <w:szCs w:val="18"/>
                <w:b w:val="1"/>
                <w:bCs w:val="1"/>
                <w:color w:val="auto"/>
                <w:w w:val="89"/>
              </w:rPr>
              <w:t>Table of Contents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878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940" w:type="dxa"/>
            <w:vAlign w:val="bottom"/>
          </w:tcPr>
          <w:p>
            <w:pPr>
              <w:jc w:val="right"/>
              <w:ind w:right="6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8780" w:type="dxa"/>
            <w:vAlign w:val="bottom"/>
            <w:gridSpan w:val="23"/>
            <w:vMerge w:val="continue"/>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7520" w:type="dxa"/>
            <w:vAlign w:val="bottom"/>
            <w:gridSpan w:val="18"/>
          </w:tcPr>
          <w:p>
            <w:pPr>
              <w:spacing w:after="0"/>
              <w:rPr>
                <w:sz w:val="18"/>
                <w:szCs w:val="18"/>
                <w:color w:val="auto"/>
              </w:rPr>
            </w:pP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Risk Factors</w:t>
              </w:r>
            </w:hyperlink>
          </w:p>
        </w:tc>
        <w:tc>
          <w:tcPr>
            <w:tcW w:w="7260" w:type="dxa"/>
            <w:vAlign w:val="bottom"/>
            <w:gridSpan w:val="16"/>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Unresolved Staff Comments</w:t>
              </w:r>
            </w:hyperlink>
          </w:p>
        </w:tc>
        <w:tc>
          <w:tcPr>
            <w:tcW w:w="6120" w:type="dxa"/>
            <w:vAlign w:val="bottom"/>
            <w:gridSpan w:val="11"/>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8780" w:type="dxa"/>
            <w:vAlign w:val="bottom"/>
            <w:gridSpan w:val="2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Item 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Registrant’s Common Equity, Related Stockholder Matters and Issuer Purchases of Equity</w:t>
              </w:r>
            </w:hyperlink>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Securities</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gridSpan w:val="4"/>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3800" w:type="dxa"/>
            <w:vAlign w:val="bottom"/>
            <w:gridSpan w:val="6"/>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1660" w:type="dxa"/>
            <w:vAlign w:val="bottom"/>
            <w:gridSpan w:val="3"/>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6460" w:type="dxa"/>
            <w:vAlign w:val="bottom"/>
            <w:gridSpan w:val="13"/>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8060" w:type="dxa"/>
            <w:vAlign w:val="bottom"/>
            <w:gridSpan w:val="19"/>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Item 10.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4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w:t>
              </w:r>
            </w:hyperlink>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080" w:type="dxa"/>
            <w:vAlign w:val="bottom"/>
            <w:gridSpan w:val="7"/>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Security Ownership of Certain Beneficial Owners and Management and Related Stockholder Matters</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880" w:type="dxa"/>
            <w:vAlign w:val="bottom"/>
            <w:gridSpan w:val="2"/>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2720" w:type="dxa"/>
            <w:vAlign w:val="bottom"/>
            <w:gridSpan w:val="5"/>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520" w:type="dxa"/>
            <w:vAlign w:val="bottom"/>
            <w:tcBorders>
              <w:left w:val="single" w:sz="8" w:color="0000EE"/>
            </w:tcBorders>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780" w:type="dxa"/>
            <w:vAlign w:val="bottom"/>
            <w:gridSpan w:val="23"/>
          </w:tcPr>
          <w:p>
            <w:pPr>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IV</w:t>
              </w:r>
            </w:hyperlink>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Exhibits, Financial Statement Schedules</w:t>
              </w:r>
            </w:hyperlink>
          </w:p>
        </w:tc>
        <w:tc>
          <w:tcPr>
            <w:tcW w:w="5260" w:type="dxa"/>
            <w:vAlign w:val="bottom"/>
            <w:gridSpan w:val="9"/>
          </w:tcPr>
          <w:p>
            <w:pPr>
              <w:spacing w:after="0"/>
              <w:rPr>
                <w:sz w:val="17"/>
                <w:szCs w:val="17"/>
                <w:color w:val="auto"/>
              </w:rPr>
            </w:pPr>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4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Form 10-K Summary</w:t>
              </w:r>
            </w:hyperlink>
          </w:p>
        </w:tc>
        <w:tc>
          <w:tcPr>
            <w:tcW w:w="194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2"/>
        </w:trPr>
        <w:tc>
          <w:tcPr>
            <w:tcW w:w="1360" w:type="dxa"/>
            <w:vAlign w:val="bottom"/>
            <w:gridSpan w:val="4"/>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SIGNATURES</w:t>
              </w:r>
            </w:hyperlink>
          </w:p>
        </w:tc>
        <w:tc>
          <w:tcPr>
            <w:tcW w:w="1520" w:type="dxa"/>
            <w:vAlign w:val="bottom"/>
            <w:tcBorders>
              <w:top w:val="single" w:sz="8" w:color="0000EE"/>
            </w:tcBorders>
            <w:gridSpan w:val="6"/>
          </w:tcPr>
          <w:p>
            <w:pPr>
              <w:spacing w:after="0"/>
              <w:rPr>
                <w:sz w:val="24"/>
                <w:szCs w:val="24"/>
                <w:color w:val="auto"/>
              </w:rPr>
            </w:pPr>
          </w:p>
        </w:tc>
        <w:tc>
          <w:tcPr>
            <w:tcW w:w="6620" w:type="dxa"/>
            <w:vAlign w:val="bottom"/>
            <w:gridSpan w:val="14"/>
          </w:tcPr>
          <w:p>
            <w:pPr>
              <w:spacing w:after="0"/>
              <w:rPr>
                <w:sz w:val="24"/>
                <w:szCs w:val="24"/>
                <w:color w:val="auto"/>
              </w:rPr>
            </w:pP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885"/>
        </w:trPr>
        <w:tc>
          <w:tcPr>
            <w:tcW w:w="7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20" w:type="dxa"/>
            <w:vAlign w:val="bottom"/>
            <w:gridSpan w:val="17"/>
          </w:tcPr>
          <w:p>
            <w:pPr>
              <w:jc w:val="center"/>
              <w:ind w:left="33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98"/>
        <w:spacing w:after="0" w:line="290" w:lineRule="auto"/>
        <w:rPr>
          <w:sz w:val="20"/>
          <w:szCs w:val="20"/>
          <w:color w:val="auto"/>
        </w:rPr>
      </w:pPr>
      <w:r>
        <w:rPr>
          <w:rFonts w:ascii="Arial" w:cs="Arial" w:eastAsia="Arial" w:hAnsi="Arial"/>
          <w:sz w:val="16"/>
          <w:szCs w:val="16"/>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Implementing and maintaining this suite of supply chain management capabilities is resource intensive and not a core competency for most businesses. The SPS Commerce Platform eliminates the need for on premise software and support staff, which enables our customers to focus their resources on their core business. The SPS Commerce Platform enables retailers, suppliers, distributors and logistics firms to increase supply cycle agility, optimize inventory levels and sell-through, reduce costs, increase visibility into customer orders and ensure suppliers, distributors and logistics firms satisfy exacting retailer requirements.</w:t>
      </w:r>
    </w:p>
    <w:p>
      <w:pPr>
        <w:spacing w:after="0" w:line="5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As of December 31, 2017, we had approximately 26,000 customers with contracts to pay us monthly fees, which we refer to as recurring revenue customers. We have also generated revenues by providing our cloud-based supply chain management solutions to an additional 49,000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63"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As a provider of cloud services, we enable our customers to easily interact with their trading partners around the world without the local implementation and servicing of software that traditional on-premise solutions require. Our delivery model also enables us to offer functionality, integration, analytics and reliability with less cost and risk than traditional solutions.</w:t>
      </w:r>
    </w:p>
    <w:p>
      <w:pPr>
        <w:spacing w:after="0" w:line="73"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For the years ended December 31, 2017, 2016 and 2015, we generated revenues of $220.6 million, $193.3 million and $158.5 million, respectively. Our fiscal quarter ended December 31, 2017 represented our 68th consecutive quarter of increased revenues. Recurring revenues from recurring revenue customers accounted for 92.5%, 91.6% and 90.8% of our total revenues for the years ended December 31, 2017, 2016 and 2015, respectively. Our revenues are not concentrated with any customer, as our largest customer represented less than 1.0% of total revenues for the year ended December 31, 2017 and less than 2.0% of total revenues for the years ended December 31, 2016 and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We operate one of the largest retail trading partner networks through a cloud-based services suite that improves the way suppliers, retailers, logistics firms, distributors and other trading partners manage and fulfill orders, manage sell-through performance and source new items. Approximately 75,000 customers across more than 60 countries currently use our Platform to improve the performance of their trading relationships. Our Platform fundamentally changes how organizations use electronic communication to manage their supply chains by replacing the collection of traditional, custom-built, point-to-point integrations with a network model whereby a single integration to our Platform enables an organization to connect seamlessly to the entire SPS Commerce network of trading partners.</w:t>
      </w:r>
    </w:p>
    <w:p>
      <w:pPr>
        <w:spacing w:after="0" w:line="8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From that single connection, a member of our network can make use of the full suite of our solutions, from fulfillment automation, to the analysis and optimization of item sell-through performance, to sourcing new items, retailing relationships or providers of logistics and other services. This represents a fundamental change to fulfillment automation and enables inherent adaptability and flexibility not possible with traditional supply chain management system architectures.</w:t>
      </w:r>
    </w:p>
    <w:p>
      <w:pPr>
        <w:spacing w:after="0" w:line="7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Our Platform is comprised of a set of coupled cloud services that deliver value as stand-alone offerings, but also provide additional value when used collectively. Our fulfillment product combines integrations that comply with numerous rule books for retailers and distributors with whom we and our customers have done business. By maintaining current integrations with retailers, our Platform removes the need for a retailer’s trading partners to continually stay up-to-date with the rule book changes required by retailers. Moreover, by utilizing a cloud services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right="60"/>
        <w:spacing w:after="0" w:line="264" w:lineRule="auto"/>
        <w:rPr>
          <w:sz w:val="20"/>
          <w:szCs w:val="20"/>
          <w:color w:val="auto"/>
        </w:rPr>
      </w:pPr>
      <w:r>
        <w:rPr>
          <w:rFonts w:ascii="Arial" w:cs="Arial" w:eastAsia="Arial" w:hAnsi="Arial"/>
          <w:sz w:val="18"/>
          <w:szCs w:val="18"/>
          <w:color w:val="auto"/>
        </w:rPr>
        <w:t>model, we eliminate or greatly reduce the burden on trading partners to support and maintain an on-premise software application, thereby reducing ongoing operating costs. As the transaction hub for trading partners, we also are able to provide increased performance visibility and data analytics capabilities across their supply chains, each of which is difficult to gain from traditional, point-to-point integration solutions.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solutions are enabled through the SPS Commerce cloud services Platform:</w:t>
      </w:r>
    </w:p>
    <w:p>
      <w:pPr>
        <w:spacing w:after="0" w:line="117" w:lineRule="exact"/>
        <w:rPr>
          <w:sz w:val="20"/>
          <w:szCs w:val="20"/>
          <w:color w:val="auto"/>
        </w:rPr>
      </w:pPr>
    </w:p>
    <w:p>
      <w:pPr>
        <w:ind w:left="1200" w:right="140" w:hanging="598"/>
        <w:spacing w:after="0" w:line="34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Trading Partner Community Enablement. </w:t>
      </w:r>
      <w:r>
        <w:rPr>
          <w:rFonts w:ascii="Arial" w:cs="Arial" w:eastAsia="Arial" w:hAnsi="Arial"/>
          <w:sz w:val="16"/>
          <w:szCs w:val="16"/>
          <w:color w:val="auto"/>
        </w:rPr>
        <w:t>Our Community Enablement solution enables organizations, from large to small retailers and</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suppliers to emerging providers of value-added products and services, to verify that they can electronically trade with their trading partners.</w:t>
      </w:r>
    </w:p>
    <w:p>
      <w:pPr>
        <w:spacing w:after="0" w:line="15" w:lineRule="exact"/>
        <w:rPr>
          <w:rFonts w:ascii="Arial" w:cs="Arial" w:eastAsia="Arial" w:hAnsi="Arial"/>
          <w:sz w:val="16"/>
          <w:szCs w:val="16"/>
          <w:color w:val="auto"/>
        </w:rPr>
      </w:pPr>
    </w:p>
    <w:p>
      <w:pPr>
        <w:ind w:left="1200" w:right="200" w:hanging="598"/>
        <w:spacing w:after="0" w:line="31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Trading Partner Fulfillment. </w:t>
      </w:r>
      <w:r>
        <w:rPr>
          <w:rFonts w:ascii="Arial" w:cs="Arial" w:eastAsia="Arial" w:hAnsi="Arial"/>
          <w:sz w:val="16"/>
          <w:szCs w:val="16"/>
          <w:color w:val="auto"/>
        </w:rPr>
        <w:t>Our Fulfillment solution provides fulfillment automation and replaces or augments an organization’s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partner electronic communication infrastructure, enabling them to have visibility into the journey of an order and comply with retailers’ rule books and enabling the electronic exchange of information among numerous trading partners through various protocols.</w:t>
      </w:r>
    </w:p>
    <w:p>
      <w:pPr>
        <w:spacing w:after="0" w:line="38" w:lineRule="exact"/>
        <w:rPr>
          <w:rFonts w:ascii="Arial" w:cs="Arial" w:eastAsia="Arial" w:hAnsi="Arial"/>
          <w:sz w:val="16"/>
          <w:szCs w:val="16"/>
          <w:color w:val="auto"/>
        </w:rPr>
      </w:pPr>
    </w:p>
    <w:p>
      <w:pPr>
        <w:ind w:left="1200" w:right="160" w:hanging="598"/>
        <w:spacing w:after="0" w:line="25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Assortment. </w:t>
      </w:r>
      <w:r>
        <w:rPr>
          <w:rFonts w:ascii="Arial" w:cs="Arial" w:eastAsia="Arial" w:hAnsi="Arial"/>
          <w:sz w:val="18"/>
          <w:szCs w:val="18"/>
          <w:color w:val="auto"/>
        </w:rPr>
        <w:t>Today’s retail marketplace requires the management of tens and even hundreds of individual attributes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each item a retailer or supplier sells today. This information can include supply chain descriptions and measurements, store and shelf dimensions, warehouse dimensions, digital images/video, customer facing descriptions and measurements, and warehouse information. Our Assortment product provides robust, extensible management of this information, enabling accurate orders and rapid fulfillment.</w:t>
      </w:r>
    </w:p>
    <w:p>
      <w:pPr>
        <w:spacing w:after="0" w:line="80" w:lineRule="exact"/>
        <w:rPr>
          <w:rFonts w:ascii="Arial" w:cs="Arial" w:eastAsia="Arial" w:hAnsi="Arial"/>
          <w:sz w:val="18"/>
          <w:szCs w:val="18"/>
          <w:color w:val="auto"/>
        </w:rPr>
      </w:pPr>
    </w:p>
    <w:p>
      <w:pPr>
        <w:ind w:left="1200" w:hanging="598"/>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Analytics. </w:t>
      </w:r>
      <w:r>
        <w:rPr>
          <w:rFonts w:ascii="Arial" w:cs="Arial" w:eastAsia="Arial" w:hAnsi="Arial"/>
          <w:sz w:val="18"/>
          <w:szCs w:val="18"/>
          <w:color w:val="auto"/>
        </w:rPr>
        <w:t>Our Analytics solution consists of data analytics applications that enable our customers to improve their visibility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across, 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78" w:lineRule="exact"/>
        <w:rPr>
          <w:rFonts w:ascii="Arial" w:cs="Arial" w:eastAsia="Arial" w:hAnsi="Arial"/>
          <w:sz w:val="18"/>
          <w:szCs w:val="18"/>
          <w:color w:val="auto"/>
        </w:rPr>
      </w:pPr>
    </w:p>
    <w:p>
      <w:pPr>
        <w:jc w:val="both"/>
        <w:ind w:left="1200" w:right="200" w:hanging="59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Sourcing. </w:t>
      </w:r>
      <w:r>
        <w:rPr>
          <w:rFonts w:ascii="Arial" w:cs="Arial" w:eastAsia="Arial" w:hAnsi="Arial"/>
          <w:sz w:val="18"/>
          <w:szCs w:val="18"/>
          <w:color w:val="auto"/>
        </w:rPr>
        <w:t>Through Retail Universe, our social network for the retail industry, retailers can source providers of new items,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can connect with new retailers and the broader retailing community can make connections to expand their business networks and grow.</w:t>
      </w:r>
    </w:p>
    <w:p>
      <w:pPr>
        <w:spacing w:after="0" w:line="73" w:lineRule="exact"/>
        <w:rPr>
          <w:rFonts w:ascii="Arial" w:cs="Arial" w:eastAsia="Arial" w:hAnsi="Arial"/>
          <w:sz w:val="18"/>
          <w:szCs w:val="18"/>
          <w:color w:val="auto"/>
        </w:rPr>
      </w:pPr>
    </w:p>
    <w:p>
      <w:pPr>
        <w:ind w:left="1200" w:right="260" w:hanging="598"/>
        <w:spacing w:after="0" w:line="308"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Other Trading Partner Solutions. </w:t>
      </w:r>
      <w:r>
        <w:rPr>
          <w:rFonts w:ascii="Arial" w:cs="Arial" w:eastAsia="Arial" w:hAnsi="Arial"/>
          <w:sz w:val="17"/>
          <w:szCs w:val="17"/>
          <w:color w:val="auto"/>
        </w:rPr>
        <w:t>We provide a number of peripheral solutions such as barcode labeling, planogram services and our scan</w:t>
      </w:r>
      <w:r>
        <w:rPr>
          <w:rFonts w:ascii="Arial" w:cs="Arial" w:eastAsia="Arial" w:hAnsi="Arial"/>
          <w:sz w:val="17"/>
          <w:szCs w:val="17"/>
          <w:i w:val="1"/>
          <w:iCs w:val="1"/>
          <w:color w:val="auto"/>
        </w:rPr>
        <w:t xml:space="preserve"> </w:t>
      </w:r>
      <w:r>
        <w:rPr>
          <w:rFonts w:ascii="Arial" w:cs="Arial" w:eastAsia="Arial" w:hAnsi="Arial"/>
          <w:sz w:val="17"/>
          <w:szCs w:val="17"/>
          <w:color w:val="auto"/>
        </w:rPr>
        <w:t>and pack application, which helps trading partners process information to streamline the picking and packaging process.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As one of the largest providers of cloud services for supply chain management, the trading partner relationships that we enable among our retailer, supplier and fulfillment customers naturally lead to new customer acquisition opportunities.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Once connected to our network, trading partners can exchange electronic supply chain information with each other. The value of our Platform increases with the number of trading partners connected to the Platform. The addition of each new customer to our Platform enables that new customer to communicate with our existing customers and enables our existing customers to do business with the new customer. Additionally, through our Sourcing product, our community now has a social network focused on facilitating connections and business interactions among retailers and suppliers.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i w:val="1"/>
          <w:iCs w:val="1"/>
          <w:color w:val="auto"/>
        </w:rPr>
        <w:t xml:space="preserve">Community Enablement. </w:t>
      </w:r>
      <w:r>
        <w:rPr>
          <w:rFonts w:ascii="Arial" w:cs="Arial" w:eastAsia="Arial" w:hAnsi="Arial"/>
          <w:sz w:val="18"/>
          <w:szCs w:val="18"/>
          <w:color w:val="auto"/>
        </w:rPr>
        <w:t>As retailers and suppliers reshape how they do business in an omnichannel landscape, they need to bring new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to their trading partner networks. For instance,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 w:name="page6"/>
    <w:bookmarkEnd w:id="5"/>
    <w:p>
      <w:pPr>
        <w:ind w:right="80"/>
        <w:spacing w:after="0" w:line="264" w:lineRule="auto"/>
        <w:rPr>
          <w:sz w:val="20"/>
          <w:szCs w:val="20"/>
          <w:color w:val="auto"/>
        </w:rPr>
      </w:pPr>
      <w:r>
        <w:rPr>
          <w:rFonts w:ascii="Arial" w:cs="Arial" w:eastAsia="Arial" w:hAnsi="Arial"/>
          <w:sz w:val="18"/>
          <w:szCs w:val="18"/>
          <w:color w:val="auto"/>
        </w:rPr>
        <w:t>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73" w:lineRule="exact"/>
        <w:rPr>
          <w:sz w:val="20"/>
          <w:szCs w:val="20"/>
          <w:color w:val="auto"/>
        </w:rPr>
      </w:pPr>
    </w:p>
    <w:p>
      <w:pPr>
        <w:ind w:right="960" w:firstLine="598"/>
        <w:spacing w:after="0" w:line="308" w:lineRule="auto"/>
        <w:rPr>
          <w:sz w:val="20"/>
          <w:szCs w:val="20"/>
          <w:color w:val="auto"/>
        </w:rPr>
      </w:pPr>
      <w:r>
        <w:rPr>
          <w:rFonts w:ascii="Arial" w:cs="Arial" w:eastAsia="Arial" w:hAnsi="Arial"/>
          <w:sz w:val="17"/>
          <w:szCs w:val="17"/>
          <w:i w:val="1"/>
          <w:iCs w:val="1"/>
          <w:color w:val="auto"/>
        </w:rPr>
        <w:t xml:space="preserve">Referrals from Our Customers. </w:t>
      </w:r>
      <w:r>
        <w:rPr>
          <w:rFonts w:ascii="Arial" w:cs="Arial" w:eastAsia="Arial" w:hAnsi="Arial"/>
          <w:sz w:val="17"/>
          <w:szCs w:val="17"/>
          <w:color w:val="auto"/>
        </w:rPr>
        <w:t>We also receive sales leads from our customers seeking to communicate electronically with their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For example, a supplier may refer to us its third-party logistics provider or manufacturer which is not in our network.</w:t>
      </w:r>
    </w:p>
    <w:p>
      <w:pPr>
        <w:spacing w:after="0" w:line="3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sell our solutions through a global sales force which is organized as follows:</w:t>
      </w:r>
    </w:p>
    <w:p>
      <w:pPr>
        <w:spacing w:after="0" w:line="117"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Retailer Sales. </w:t>
      </w:r>
      <w:r>
        <w:rPr>
          <w:rFonts w:ascii="Arial" w:cs="Arial" w:eastAsia="Arial" w:hAnsi="Arial"/>
          <w:sz w:val="17"/>
          <w:szCs w:val="17"/>
          <w:color w:val="auto"/>
        </w:rPr>
        <w:t>We employ a team of sales professionals who focus on selling our cloud services suite to retailers and distributors.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Supplier Sales. </w:t>
      </w:r>
      <w:r>
        <w:rPr>
          <w:rFonts w:ascii="Arial" w:cs="Arial" w:eastAsia="Arial" w:hAnsi="Arial"/>
          <w:sz w:val="18"/>
          <w:szCs w:val="18"/>
          <w:color w:val="auto"/>
        </w:rPr>
        <w:t>We employ a team of supplier sales representatives focused on selling our cloud services suite to suppliers.</w:t>
      </w:r>
    </w:p>
    <w:p>
      <w:pPr>
        <w:spacing w:after="0" w:line="117"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Business Development Efforts. </w:t>
      </w:r>
      <w:r>
        <w:rPr>
          <w:rFonts w:ascii="Arial" w:cs="Arial" w:eastAsia="Arial" w:hAnsi="Arial"/>
          <w:sz w:val="18"/>
          <w:szCs w:val="18"/>
          <w:color w:val="auto"/>
        </w:rPr>
        <w:t>Our business development organization is tasked with finding new sources of revenue and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new business opportunities through channel partners and other areas that present opportunity for growth.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117" w:lineRule="exact"/>
        <w:rPr>
          <w:sz w:val="20"/>
          <w:szCs w:val="20"/>
          <w:color w:val="auto"/>
        </w:rPr>
      </w:pPr>
    </w:p>
    <w:p>
      <w:pPr>
        <w:ind w:left="1200" w:right="20" w:hanging="598"/>
        <w:spacing w:after="0" w:line="25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Further Penetrate Our Current Market. </w:t>
      </w:r>
      <w:r>
        <w:rPr>
          <w:rFonts w:ascii="Arial" w:cs="Arial" w:eastAsia="Arial" w:hAnsi="Arial"/>
          <w:sz w:val="18"/>
          <w:szCs w:val="18"/>
          <w:color w:val="auto"/>
        </w:rPr>
        <w:t>We believe the global supply chain management market is underpenetrated and, as the retail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80" w:lineRule="exact"/>
        <w:rPr>
          <w:rFonts w:ascii="Arial" w:cs="Arial" w:eastAsia="Arial" w:hAnsi="Arial"/>
          <w:sz w:val="18"/>
          <w:szCs w:val="18"/>
          <w:color w:val="auto"/>
        </w:rPr>
      </w:pPr>
    </w:p>
    <w:p>
      <w:pPr>
        <w:ind w:left="1200" w:right="80" w:hanging="598"/>
        <w:spacing w:after="0" w:line="255"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Increase Revenues from Our Customer Base. </w:t>
      </w:r>
      <w:r>
        <w:rPr>
          <w:rFonts w:ascii="Arial" w:cs="Arial" w:eastAsia="Arial" w:hAnsi="Arial"/>
          <w:sz w:val="18"/>
          <w:szCs w:val="18"/>
          <w:color w:val="auto"/>
        </w:rPr>
        <w:t>We believe our overall customer satisfaction is strong and will lead our customers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expand their use of the solutions they have currently purchased as well as purchase additional services to continue improving the performance of their trading partner relationships,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85" w:lineRule="exact"/>
        <w:rPr>
          <w:rFonts w:ascii="Arial" w:cs="Arial" w:eastAsia="Arial" w:hAnsi="Arial"/>
          <w:sz w:val="18"/>
          <w:szCs w:val="18"/>
          <w:color w:val="auto"/>
        </w:rPr>
      </w:pPr>
    </w:p>
    <w:p>
      <w:pPr>
        <w:ind w:left="1200" w:right="340" w:hanging="598"/>
        <w:spacing w:after="0" w:line="342"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Our Distribution Channels. </w:t>
      </w:r>
      <w:r>
        <w:rPr>
          <w:rFonts w:ascii="Arial" w:cs="Arial" w:eastAsia="Arial" w:hAnsi="Arial"/>
          <w:sz w:val="16"/>
          <w:szCs w:val="16"/>
          <w:color w:val="auto"/>
        </w:rPr>
        <w:t>We intend to grow our business by expanding our network of sales representatives to gain new</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We also believe there are valuable opportunities to promote and sell our solutions through collaboration with other providers.</w:t>
      </w:r>
    </w:p>
    <w:p>
      <w:pPr>
        <w:spacing w:after="0" w:line="15" w:lineRule="exact"/>
        <w:rPr>
          <w:rFonts w:ascii="Arial" w:cs="Arial" w:eastAsia="Arial" w:hAnsi="Arial"/>
          <w:sz w:val="16"/>
          <w:szCs w:val="16"/>
          <w:color w:val="auto"/>
        </w:rPr>
      </w:pPr>
    </w:p>
    <w:p>
      <w:pPr>
        <w:ind w:left="1200" w:right="40" w:hanging="598"/>
        <w:spacing w:after="0" w:line="259"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International Presence. </w:t>
      </w:r>
      <w:r>
        <w:rPr>
          <w:rFonts w:ascii="Arial" w:cs="Arial" w:eastAsia="Arial" w:hAnsi="Arial"/>
          <w:sz w:val="18"/>
          <w:szCs w:val="18"/>
          <w:color w:val="auto"/>
        </w:rPr>
        <w:t>We believe our presence in Asia Pacific, as well as Europe, represents a significant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 We plan to increase our international sales efforts to obtain new customers around the world. We intend to leverage our current international presence to increase the number of integrations we have with retailers in foreign markets to make our Platform more valuable to their trading partners based overseas.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ind w:left="12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and Expand Our Platform. </w:t>
      </w:r>
      <w:r>
        <w:rPr>
          <w:rFonts w:ascii="Arial" w:cs="Arial" w:eastAsia="Arial" w:hAnsi="Arial"/>
          <w:sz w:val="18"/>
          <w:szCs w:val="18"/>
          <w:color w:val="auto"/>
        </w:rPr>
        <w:t>We intend to further improve and develop the functionality and features of our Platform, including,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developing new solutions and applications.</w:t>
      </w:r>
    </w:p>
    <w:p>
      <w:pPr>
        <w:spacing w:after="0" w:line="62" w:lineRule="exact"/>
        <w:rPr>
          <w:rFonts w:ascii="Arial" w:cs="Arial" w:eastAsia="Arial" w:hAnsi="Arial"/>
          <w:sz w:val="18"/>
          <w:szCs w:val="18"/>
          <w:color w:val="auto"/>
        </w:rPr>
      </w:pPr>
    </w:p>
    <w:p>
      <w:pPr>
        <w:ind w:left="1200" w:right="60" w:hanging="598"/>
        <w:spacing w:after="0" w:line="287"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The fragmented nature of our market provides opportunity for selective acquisitions. In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substantially all of the assets of Leadtec Systems Australia Pty Ltd (“Leadtec”) and its affiliates, a privately-held provider of cloud-based integration solutions in Australia and New Zealand. This acquisition expanded our base of recurring revenue customers and added suppliers to our network. In 2016, we purchased Toolbox Solutions, Inc. (Toolbox Solutions), a Canadian based point-of-sale analytics and category management services provider to retailers and consumer packaged goods suppliers in North America. To complement and accelerate our internal growth, we may pursue acquisitions of other supply chain management companies to add customers or additional functionalities. We plan to evaluate potential acquisitions of other supply chain management companies primarily based on the number of customers and revenue the acquisition would provide relative to the purchase price. We also may pursue acquisitions that allow us to expand into regions where we do not have a significant presence or to offer new functionalities we do not currently provide. We plan to evaluate potential acquisitions to expand into new regions or offer additional functionalities primarily based on the anticipated growth the acquisition would provide, the purchase price and our ability to integrate and operate the acquired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were an early provider of cloud services to the retail supply chain management industry, launching the first version of our Platform in 1997. We use commercially available hardware and cloud services with a combination of proprietary and commercially available software.</w:t>
      </w:r>
    </w:p>
    <w:p>
      <w:pPr>
        <w:spacing w:after="0" w:line="62"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Our cloud Platform treats all customers as logically separate tenants in a common Platform.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Our research and development efforts focus on maintaining, improving and enhancing our existing solutions, as well as developing new solutions and applications. Our multi-tenant Platform serves all of our customers, which allows us to maintain relatively low research and development expenses and release software updates more frequently compared to traditional on-premise licensed software solutions that support multiple versions. Our development efforts take place at our U.S. locations in Minnesota and New Jersey, as well as in Toronto, Canada and Kiev, Ukraine.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We operate our infrastructure in third-party data centers located in Minnesota and New Jersey; Melbourne, Australia; as well as provisioned services in public cloud providers. In all cases, infrastructure and services are managed by us.</w:t>
      </w:r>
    </w:p>
    <w:p>
      <w:pPr>
        <w:spacing w:after="0" w:line="6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We have internal and third party monitoring software that continually checks our Platform and key underlying components for continuous availability and performance, ensuring our Platform is available and providing adequate service levels. We have a technology operations team that provides system provisioning, management, maintenance, monitoring and back-up.</w:t>
      </w:r>
    </w:p>
    <w:p>
      <w:pPr>
        <w:spacing w:after="0" w:line="73"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We operate a service architecture using industry best practices to insure multiple points of redundancy, high availability and scale as needed. Our databases are replicated between locations with a defined recovery point objective.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As of December 31, 2017, we had approximately 26,000 recurring revenue customers and approximately 75,000 total customers. Our primary source of revenue is from small- to mid-sized suppliers in the consumer packaged goods industry. We also generate revenues from other members of the supply chain ecosystem, including retailers, distributors, third-party logistics providers and other trading partners. Our revenues are not concentrated with any customer, as our largest customer represented less than 1.0% of total revenues for the year ended December 31, 2017 and less than 2.0% of total revenues for both the years ended December 31, 2016 and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Vendors in the supply chain management industry offer solutions through three delivery methods: on demand or cloud-based, traditional on-premise software and managed services.</w:t>
      </w:r>
    </w:p>
    <w:p>
      <w:pPr>
        <w:spacing w:after="0" w:line="6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on the following: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pre-built connections to retailers, third-party logistics providers, and other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of establishing and maintaining reliable integration connections with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of the cloud service vendor in the supply chain management industry;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is able to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7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Cloud service vendors also compete with traditional on-premise software companies and managed service providers. Traditional on-premise software companies focused on supply chain integration management include IBM-Sterling Commerce and OpenText-GXS.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85"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Managed service providers focused on the supply chain management market include IBM-Sterling Commerce and OpenText-GXS.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5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cloud service solution. Cloud service supply chain management solutions also are at a relatively early stage of development compared to traditional on-premise software and managed service providers. Cloud service vendors compete with these better established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right="200"/>
        <w:spacing w:after="0" w:line="259" w:lineRule="auto"/>
        <w:rPr>
          <w:sz w:val="20"/>
          <w:szCs w:val="20"/>
          <w:color w:val="auto"/>
        </w:rPr>
      </w:pPr>
      <w:r>
        <w:rPr>
          <w:rFonts w:ascii="Arial" w:cs="Arial" w:eastAsia="Arial" w:hAnsi="Arial"/>
          <w:sz w:val="18"/>
          <w:szCs w:val="18"/>
          <w:color w:val="auto"/>
        </w:rPr>
        <w:t>solutions based on total cost of ownership and flexibility. If suppliers do not perceive the benefits of cloud 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U.S. and certain foreign countries. 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do not have any patents, but we have pending patent applications. Our trade secrets consist primarily of the software we have developed for our SPS Commerce Platform. Our software is also protected under copyright law, but we do not have any registered copyrights.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 of December 31, 2017, we had 1,336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Stockholders may also request copies of these documents from: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Age</w:t>
            </w:r>
          </w:p>
        </w:tc>
        <w:tc>
          <w:tcPr>
            <w:tcW w:w="6720" w:type="dxa"/>
            <w:vAlign w:val="bottom"/>
          </w:tcPr>
          <w:p>
            <w:pPr>
              <w:ind w:left="304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C. Black</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55</w:t>
            </w:r>
          </w:p>
        </w:tc>
        <w:tc>
          <w:tcPr>
            <w:tcW w:w="260" w:type="dxa"/>
            <w:vAlign w:val="bottom"/>
            <w:tcBorders>
              <w:top w:val="single" w:sz="8" w:color="CFF0FC"/>
            </w:tcBorders>
            <w:shd w:val="clear" w:color="auto" w:fill="CFF0FC"/>
          </w:tcPr>
          <w:p>
            <w:pPr>
              <w:spacing w:after="0"/>
              <w:rPr>
                <w:sz w:val="19"/>
                <w:szCs w:val="19"/>
                <w:color w:val="auto"/>
              </w:rPr>
            </w:pPr>
          </w:p>
        </w:tc>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 Frome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53</w:t>
            </w:r>
          </w:p>
        </w:tc>
        <w:tc>
          <w:tcPr>
            <w:tcW w:w="260" w:type="dxa"/>
            <w:vAlign w:val="bottom"/>
            <w:shd w:val="clear" w:color="auto" w:fill="CFF0FC"/>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Operating Officer</w:t>
            </w:r>
          </w:p>
        </w:tc>
      </w:tr>
    </w:tbl>
    <w:p>
      <w:pPr>
        <w:spacing w:after="0" w:line="10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140" w:firstLine="598"/>
        <w:spacing w:after="0" w:line="259" w:lineRule="auto"/>
        <w:rPr>
          <w:sz w:val="20"/>
          <w:szCs w:val="20"/>
          <w:color w:val="auto"/>
        </w:rPr>
      </w:pPr>
      <w:r>
        <w:rPr>
          <w:rFonts w:ascii="Arial" w:cs="Arial" w:eastAsia="Arial" w:hAnsi="Arial"/>
          <w:sz w:val="18"/>
          <w:szCs w:val="18"/>
          <w:color w:val="auto"/>
        </w:rPr>
        <w:t>Kimberly K. Nelson has served as our Executive Vice President and Chief Financial Officer since November 2007. Prior to joining us, Ms. Nelson served as the Finance Director, Investor Relations for Amazon.com from June 2005 through November 2007 and as the Finance Director, Worldwide Application for Amazon.com’s Technology group from April 2003 until June 2005. Ms. Nelson also served as Amazon.com’s Finance Director, Financial Planning and Analysis from December 2000 until April 2003.</w:t>
      </w:r>
    </w:p>
    <w:p>
      <w:pPr>
        <w:spacing w:after="0" w:line="79" w:lineRule="exact"/>
        <w:rPr>
          <w:sz w:val="20"/>
          <w:szCs w:val="20"/>
          <w:color w:val="auto"/>
        </w:rPr>
      </w:pPr>
    </w:p>
    <w:p>
      <w:pPr>
        <w:ind w:right="300" w:firstLine="598"/>
        <w:spacing w:after="0" w:line="291" w:lineRule="auto"/>
        <w:rPr>
          <w:sz w:val="20"/>
          <w:szCs w:val="20"/>
          <w:color w:val="auto"/>
        </w:rPr>
      </w:pPr>
      <w:r>
        <w:rPr>
          <w:rFonts w:ascii="Arial" w:cs="Arial" w:eastAsia="Arial" w:hAnsi="Arial"/>
          <w:sz w:val="16"/>
          <w:szCs w:val="16"/>
          <w:color w:val="auto"/>
        </w:rPr>
        <w:t>James J. Frome has served as our Executive Vice President and Chief Operating Officer since August 2012. Previously, Mr. Frome served as our Executive Vice President and Chief Strategy Officer from March 2001 to August 2012 and our Vice President of Marketing from July 2000 to March</w:t>
      </w:r>
    </w:p>
    <w:p>
      <w:pPr>
        <w:spacing w:after="0" w:line="261" w:lineRule="auto"/>
        <w:rPr>
          <w:sz w:val="20"/>
          <w:szCs w:val="20"/>
          <w:color w:val="auto"/>
        </w:rPr>
      </w:pPr>
      <w:r>
        <w:rPr>
          <w:rFonts w:ascii="Arial" w:cs="Arial" w:eastAsia="Arial" w:hAnsi="Arial"/>
          <w:sz w:val="18"/>
          <w:szCs w:val="18"/>
          <w:color w:val="auto"/>
        </w:rPr>
        <w:t>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0" w:name="page11"/>
    <w:bookmarkEnd w:id="10"/>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i w:val="1"/>
          <w:iCs w:val="1"/>
          <w:color w:val="auto"/>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29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solutions, or if our customers do not increase their use of our solutions, our revenue growth and profitability will be adversely affected.</w:t>
      </w:r>
    </w:p>
    <w:p>
      <w:pPr>
        <w:spacing w:after="0" w:line="58"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To increase our revenues and achieve and maintain profitability, we must regularly add new customers, sell additional solutions and our customers must increase their use of the solutions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maintain profitability.</w:t>
      </w:r>
    </w:p>
    <w:p>
      <w:pPr>
        <w:spacing w:after="0" w:line="29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58"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can be adversely affected in a short period of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of operations may fluctuate in the future, which could result in volatility in our stock price.</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Our quarterly revenues and results of operations have varied in the past and may fluctuate as a result of a variety of factors, including the success of our more recent offerings such as our Trading Partner Analytics solution. If 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79" w:lineRule="exact"/>
        <w:rPr>
          <w:sz w:val="20"/>
          <w:szCs w:val="20"/>
          <w:color w:val="auto"/>
        </w:rPr>
      </w:pPr>
    </w:p>
    <w:p>
      <w:pPr>
        <w:ind w:left="1200" w:right="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117" w:lineRule="exact"/>
        <w:rPr>
          <w:rFonts w:ascii="Arial" w:cs="Arial" w:eastAsia="Arial" w:hAnsi="Arial"/>
          <w:sz w:val="18"/>
          <w:szCs w:val="18"/>
          <w:color w:val="auto"/>
        </w:rPr>
      </w:pPr>
    </w:p>
    <w:p>
      <w:pPr>
        <w:ind w:left="1200" w:right="80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for our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or delays from third-party data centers could impair the delivery of our solutions and our business could suffer.</w:t>
      </w:r>
    </w:p>
    <w:p>
      <w:pPr>
        <w:spacing w:after="0" w:line="12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We use third-party data centers, located in Minnesota, New Jersey and Melbourne, as well as provision services in public cloud providers, to conduct our operations. In all cases, infrastructure and services on which our Platform runs is managed by us. Our operations depend on the protection of the equipment and information we store in these third-party centers against damage or service interruptions that may be caused by fire, flood, severe storm, power loss, telecommunications failures, natural disasters, war, criminal act, military action, terrorist attack and other similar events beyond our control. In addition, third party malfeasance, such as intentional misconduct by computer hackers, unauthorized intrusions, computer viruses or denial of service attacks, may also cause substantial service disruptions.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89"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9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industry is a prime target for those that seek to steal confidential information and computer malware, viruses, hacking and phishing attacks, and spamming could harm our business and cause us to lose the confidence of our users, which could significantly impact our business and results of operations.</w:t>
      </w:r>
    </w:p>
    <w:p>
      <w:pPr>
        <w:spacing w:after="0" w:line="72" w:lineRule="exact"/>
        <w:rPr>
          <w:sz w:val="20"/>
          <w:szCs w:val="20"/>
          <w:color w:val="auto"/>
        </w:rPr>
      </w:pPr>
    </w:p>
    <w:p>
      <w:pPr>
        <w:ind w:right="320" w:firstLine="598"/>
        <w:spacing w:after="0" w:line="285" w:lineRule="auto"/>
        <w:rPr>
          <w:sz w:val="20"/>
          <w:szCs w:val="20"/>
          <w:color w:val="auto"/>
        </w:rPr>
      </w:pPr>
      <w:r>
        <w:rPr>
          <w:rFonts w:ascii="Arial" w:cs="Arial" w:eastAsia="Arial" w:hAnsi="Arial"/>
          <w:sz w:val="16"/>
          <w:szCs w:val="16"/>
          <w:color w:val="auto"/>
        </w:rPr>
        <w:t>As demonstrated by recent material and high-profile data security breaches within the retail industry, computer malware, viruses, and computer hacking and phishing attacks have become more prevalent in our industry, have occurred on our systems in the past, and may occur on our systems in the future.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prospectus. Businesses in our industry have experienced material sales declines after discovering data breaches, and our business could be similarly impacted. The security costs to reduce the likelihood of an attack are high and may continue to increase.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ind w:right="22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access to our customers’ information systems could expose us to litigation, materially damage our reputation and harm our business, and the costs of preventing such a failure could adversely affect our results of operations.</w:t>
      </w:r>
    </w:p>
    <w:p>
      <w:pPr>
        <w:spacing w:after="0" w:line="72" w:lineRule="exact"/>
        <w:rPr>
          <w:sz w:val="20"/>
          <w:szCs w:val="20"/>
          <w:color w:val="auto"/>
        </w:rPr>
      </w:pPr>
    </w:p>
    <w:p>
      <w:pPr>
        <w:ind w:right="260" w:firstLine="598"/>
        <w:spacing w:after="0" w:line="289" w:lineRule="auto"/>
        <w:rPr>
          <w:sz w:val="20"/>
          <w:szCs w:val="20"/>
          <w:color w:val="auto"/>
        </w:rPr>
      </w:pPr>
      <w:r>
        <w:rPr>
          <w:rFonts w:ascii="Arial" w:cs="Arial" w:eastAsia="Arial" w:hAnsi="Arial"/>
          <w:sz w:val="16"/>
          <w:szCs w:val="16"/>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Our security measures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IT systems. Additionally, third parties may attempt to fraudulently induce employees or customers into disclosing sensitive information such as user 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third-parties may also conduct attacks designed to temporarily deny customers access to our services.</w:t>
      </w:r>
    </w:p>
    <w:p>
      <w:pPr>
        <w:spacing w:after="0" w:line="5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If any compromise of this information security were to occur, or if we fail to detect and appropriately respond to a significant data security breach, we could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Litigation resulting from such claims may be costly, time-consuming and distracting to management. In addition, because of the critical nature of data security, any perceived breach of our security measures could cause existing or potential customers not to use our solutions and could harm our reputation.</w:t>
      </w:r>
    </w:p>
    <w:p>
      <w:pPr>
        <w:spacing w:after="0" w:line="29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material non-monetary concessions, negative media attention or increased service costs as a result of performance claims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50"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5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right="180"/>
        <w:spacing w:after="0" w:line="266" w:lineRule="auto"/>
        <w:rPr>
          <w:sz w:val="20"/>
          <w:szCs w:val="20"/>
          <w:color w:val="auto"/>
        </w:rPr>
      </w:pPr>
      <w:r>
        <w:rPr>
          <w:rFonts w:ascii="Arial" w:cs="Arial" w:eastAsia="Arial" w:hAnsi="Arial"/>
          <w:sz w:val="18"/>
          <w:szCs w:val="18"/>
          <w:b w:val="1"/>
          <w:bCs w:val="1"/>
          <w:color w:val="auto"/>
        </w:rPr>
        <w:t>Our business is dependent on our ability to maintain and scale our technical infrastructure, and any failure to effectively maintain and grow our technical infrastructure service could damage our reputation, result in a potential loss of users and engagement, and adversely affect our financial results.</w:t>
      </w:r>
    </w:p>
    <w:p>
      <w:pPr>
        <w:spacing w:after="0" w:line="72"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 Any failure to effectively maintain and grow our technical infrastructure could damage our reputation, result in a potential loss of users and engagement, and adversely affect our financial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estimate the life cycles of our products.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implement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be adversely affected.</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28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 assertion by a third party that we are infringing its intellectual property could subject us to costly and time-consuming litigation or expensive licenses and our business might be harmed.</w:t>
      </w:r>
    </w:p>
    <w:p>
      <w:pPr>
        <w:spacing w:after="0" w:line="58"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73"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solutions violate any third-party proprietary rights, we could be required to withdraw those solutions from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4" w:name="page15"/>
    <w:bookmarkEnd w:id="14"/>
    <w:p>
      <w:pPr>
        <w:jc w:val="both"/>
        <w:ind w:right="120"/>
        <w:spacing w:after="0" w:line="259" w:lineRule="auto"/>
        <w:rPr>
          <w:sz w:val="20"/>
          <w:szCs w:val="20"/>
          <w:color w:val="auto"/>
        </w:rPr>
      </w:pPr>
      <w:r>
        <w:rPr>
          <w:rFonts w:ascii="Arial" w:cs="Arial" w:eastAsia="Arial" w:hAnsi="Arial"/>
          <w:sz w:val="18"/>
          <w:szCs w:val="18"/>
          <w:color w:val="auto"/>
        </w:rPr>
        <w:t>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79"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new products and changes to existing products could fail to attract or retain users or generate revenue.</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software is highly technical, and if it contains undetected errors, our business could be adversely affected.</w:t>
      </w:r>
    </w:p>
    <w:p>
      <w:pPr>
        <w:spacing w:after="0" w:line="121"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29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5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derive, and expect to continue to derive, substantially all of our revenues from providing cloud-based supply chain management solutions to suppliers, retailers, distributors and logistics firms. The market for cloud-based supply chain management solutions is in an early stage of development, and it is uncertain whether these solutions will achieve and sustain high levels of demand and market acceptance. Our success will depend on the willingness of retailers and their trading partners to accept our cloud-based supply chain management solutions as an alternative to traditional licensed hardware and software solutions.</w:t>
      </w:r>
    </w:p>
    <w:p>
      <w:pPr>
        <w:spacing w:after="0" w:line="80"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Some suppliers, retailers, distributors, or logistics firms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color w:val="auto"/>
        </w:rPr>
        <w:t>Other factors that may limit market acceptance of our cloud-based supply chain management solutions include:</w:t>
      </w:r>
    </w:p>
    <w:p>
      <w:pPr>
        <w:spacing w:after="0" w:line="117"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assuage suppliers’ confidentiality concerns about information stored outside of their controlled computing environments.</w:t>
      </w:r>
    </w:p>
    <w:p>
      <w:pPr>
        <w:spacing w:after="0" w:line="129"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If retailers and their trading partners do not perceive the benefits of our cloud-based supply chain management solutions, or if retailers and their trading partners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58"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Data Protection Directive, and the country-specific regulations that implement that directive, also govern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may be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59"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79"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62"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Evolving regulation of the Internet may increase our expenditures related to compliance efforts, which may adversely affect our financial condition.</w:t>
      </w:r>
    </w:p>
    <w:p>
      <w:pPr>
        <w:spacing w:after="0" w:line="144" w:lineRule="exact"/>
        <w:rPr>
          <w:sz w:val="20"/>
          <w:szCs w:val="20"/>
          <w:color w:val="auto"/>
        </w:rPr>
      </w:pPr>
    </w:p>
    <w:p>
      <w:pPr>
        <w:ind w:right="140" w:firstLine="598"/>
        <w:spacing w:after="0" w:line="254" w:lineRule="auto"/>
        <w:rPr>
          <w:sz w:val="20"/>
          <w:szCs w:val="20"/>
          <w:color w:val="auto"/>
        </w:rPr>
      </w:pPr>
      <w:r>
        <w:rPr>
          <w:rFonts w:ascii="Arial" w:cs="Arial" w:eastAsia="Arial" w:hAnsi="Arial"/>
          <w:sz w:val="18"/>
          <w:szCs w:val="18"/>
          <w:color w:val="auto"/>
        </w:rPr>
        <w:t>As Internet 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Industry-specific regulation is evolving and unfavorable industry-specific laws, regulations or interpretive positions could harm our business.</w:t>
      </w:r>
    </w:p>
    <w:p>
      <w:pPr>
        <w:spacing w:after="0" w:line="144"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third party infrastructure, software and services that could take a significant time to replace or upgrade.</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2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pursue acquisitions and our potential inability to successfully integrate newly acquired companies or businesses could adversely affect our financial results.</w:t>
      </w:r>
    </w:p>
    <w:p>
      <w:pPr>
        <w:spacing w:after="0" w:line="58"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62"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debt on terms unfavorable to us or that we are unable to repay;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improper compliance with laws and regulations;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Fully integrating an acquired company or business into our operations may take a significant amount of time. We cannot assure you that we will be successful in overcoming these risks or any other problems encountered with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9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Because our long-term success depends, in part, on our ability to expand the sales of our solutions to customers located outside of the U.S., our business will be susceptible to risks associated with international operations.</w:t>
      </w:r>
    </w:p>
    <w:p>
      <w:pPr>
        <w:spacing w:after="0" w:line="58"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have limited experience operating in foreign jurisdictions. Customers in countries outside of North America accounted for 6.0% of our revenues for each of the years ended December 31, 2017, 2016 and 2015, respectively. In 2014, we purchased substantially all of the assets of Leadtec, a privately-held provider of cloud-based integration solutions in Australia and New Zealand and in 2016, we acquired all the shares of Toolbox Solutions, Inc., a privately-held provider of cloud-based analytic solutions, which is based in Canada.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U.S., including:</w:t>
      </w:r>
    </w:p>
    <w:p>
      <w:pPr>
        <w:spacing w:after="0" w:line="57"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82" w:lineRule="exact"/>
        <w:rPr>
          <w:sz w:val="20"/>
          <w:szCs w:val="20"/>
          <w:color w:val="auto"/>
        </w:rPr>
      </w:pPr>
    </w:p>
    <w:p>
      <w:pPr>
        <w:ind w:right="120" w:firstLine="598"/>
        <w:spacing w:after="0" w:line="290" w:lineRule="auto"/>
        <w:rPr>
          <w:sz w:val="20"/>
          <w:szCs w:val="20"/>
          <w:color w:val="auto"/>
        </w:rPr>
      </w:pPr>
      <w:r>
        <w:rPr>
          <w:rFonts w:ascii="Arial" w:cs="Arial" w:eastAsia="Arial" w:hAnsi="Arial"/>
          <w:sz w:val="16"/>
          <w:szCs w:val="16"/>
          <w:color w:val="auto"/>
        </w:rPr>
        <w:t>In addition, we operate in parts of the world, such as Ukraine, that are recognized as having governmental corruption problems to some degree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criminal or civil sanctions, which could disrupt our business and result in a material adverse effect on our reputation, business, results of operations or financial condition.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Some of our products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 Furthermore, if we fail to comply with these licenses, we may be subject to certain conditions,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alterations under the terms of the particular open source license. If an author or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75"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adversely affected by ongoing developments in Ukraine.</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political and civil situation in Ukraine cannot be accurately predicted since the removal of President Yanukovych from power by the Ukrainian parliament in late February 2014, which was followed by reports of Russian military activity in the Crimean region. Ukraine’s political activities remain fluid and beyond our control. We also cannot predict the outcome of developments there or the reaction to such developments by U.S., European, U.N. or other international authorities.</w:t>
      </w:r>
    </w:p>
    <w:p>
      <w:pPr>
        <w:spacing w:after="0" w:line="79"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We currently engage in software development activities in the Ukraine and have an office in Kiev with 64 employees. We continue to monitor the situation closely. Prolonged or expanded unrest, military activities, or broad-based sanctions, should they be implemented, could have a material adverse effect on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operating losses in the past and may incur operating losses in the future.</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We began operating our supply chain management solution business in 1997. Throughout most of our history, we have experienced net losses and negative cash flows from operations. As of December 31, 2017, we had an accumulated deficit of $19.9 million. We expect our operating expenses to continue to increase in the future as we expand our operations and increase our customer base due to expected increased sales and marketing expenses, operations costs, research and development costs and general and administration costs.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 In addition, our ability to achieve profitability is subject to a number of the risks and uncertainties discussed herein, many of which are beyond our control.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U.S. net operating loss carryforwards might be limited.</w:t>
      </w:r>
    </w:p>
    <w:p>
      <w:pPr>
        <w:spacing w:after="0" w:line="121" w:lineRule="exact"/>
        <w:rPr>
          <w:sz w:val="20"/>
          <w:szCs w:val="20"/>
          <w:color w:val="auto"/>
        </w:rPr>
      </w:pPr>
    </w:p>
    <w:p>
      <w:pPr>
        <w:ind w:right="440" w:firstLine="598"/>
        <w:spacing w:after="0" w:line="264" w:lineRule="auto"/>
        <w:rPr>
          <w:sz w:val="20"/>
          <w:szCs w:val="20"/>
          <w:color w:val="auto"/>
        </w:rPr>
      </w:pPr>
      <w:r>
        <w:rPr>
          <w:rFonts w:ascii="Arial" w:cs="Arial" w:eastAsia="Arial" w:hAnsi="Arial"/>
          <w:sz w:val="18"/>
          <w:szCs w:val="18"/>
          <w:color w:val="auto"/>
        </w:rPr>
        <w:t>As of December 31, 2017, we had net operating loss carryforwards of $58.5 million for U.S. federal tax purposes. We also had $10.6 million of various state net operating loss carryforwards. The net operating loss carryforwards for federal tax purposes will expire between 2020 and 2036 if not utilized. The net operating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line="270" w:lineRule="auto"/>
        <w:rPr>
          <w:sz w:val="20"/>
          <w:szCs w:val="20"/>
          <w:color w:val="auto"/>
        </w:rPr>
      </w:pPr>
      <w:r>
        <w:rPr>
          <w:rFonts w:ascii="Arial" w:cs="Arial" w:eastAsia="Arial" w:hAnsi="Arial"/>
          <w:sz w:val="17"/>
          <w:szCs w:val="17"/>
          <w:color w:val="auto"/>
        </w:rPr>
        <w:t>carryforwards for state tax purposes will expire between 2018 and 2036 if not utilized.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$1.0 million.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On December 22, 2017, President Trump signed into law the statute commonly referred to as the “Tax Cuts and Jobs Act (“Tax Act”) which enacts a broad range of changes to the Internal Revenue Code of 1986, as amended. The new legislation,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to our projection of minimal cash taxes or to our net operating loss carryforward. Our net deferred tax assets and liabilities have been revalued at the newly enacted U.S. corporate rate and the impact has been recognized in our tax expense in 2017. We continue to examine the impact this tax reform legislation may have on our business.</w:t>
      </w:r>
    </w:p>
    <w:p>
      <w:pPr>
        <w:spacing w:after="0" w:line="26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7"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Mergers or other strategic transactions involving our competitors could weaken our competitive position, which could harm our operating results.</w:t>
      </w:r>
    </w:p>
    <w:p>
      <w:pPr>
        <w:spacing w:after="0" w:line="144"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Our industry is highly fragmented, and we believe it is likely that our existing competitors will continue to consolidate or will be acquired. In addition, some of our competitors may enter into new alliances with each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or may establish or strengthen cooperative relationships with systems integrators, third-party consulting firms or other parties.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9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difficult for us to forecast operating results accurately.</w:t>
      </w:r>
    </w:p>
    <w:p>
      <w:pPr>
        <w:spacing w:after="0" w:line="5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71"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34"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2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we fail to retain our Chief Executive Officer and other key personnel, our business would be harmed and we might not be able to implement our business plan successfully.</w:t>
      </w:r>
    </w:p>
    <w:p>
      <w:pPr>
        <w:spacing w:after="0" w:line="5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The loss of any member of our senior management team or key personnel might significantly delay or prevent the achievement of our business objectives and could materially harm our business and our customer relationships. In addition, because of the nature of our business, the loss of any significant number of our existing engineering, project management and sales personnel could have an adverse effect on our business, results of operations and financial condition.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4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7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27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80"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open source community expands into enterprise application and supply chain software, our fee revenues may decline.</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and that software has competitive features and scale to support business users in our markets, we may need to change our product pricing and distribution strategy to compete successfully, and our fee revenues may decline as a result.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2017, our common stock has traded as high as $79.98 per share and as low as $8.45 per share. An active, liquid and orderly market for our common stock may not be sustained, which could depress the trading price of our common stock. Some of the factors that may cause the market price of our common stock to fluctuate include:</w:t>
      </w:r>
    </w:p>
    <w:p>
      <w:pPr>
        <w:spacing w:after="0" w:line="79"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foreign countries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securities or industry analysts cease publishing research or reports about us, our business or our market, or if they publish negative evaluations of our stock, the price of our stock and trading volume could decline.</w:t>
      </w:r>
    </w:p>
    <w:p>
      <w:pPr>
        <w:spacing w:after="0" w:line="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incorrect or unfavorable research about our business, our stock price would likely decline. In addition, if one or more of these analysts ceases coverage of our company or fails to publish reports on us regularly, demand for our stock could decrease, which could cause our stock price or trading volume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by our existing stockholders could cause our stock price to decline.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2017, we had approximately 4.6 million shares of our common stock issuable under approved equity compensation plans which are covered by effective registration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Our charter documents and Delaware law may inhibit a takeover that stockholders consider favorable.</w:t>
      </w:r>
    </w:p>
    <w:p>
      <w:pPr>
        <w:spacing w:after="0" w:line="121"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1200" w:right="2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Minnesota where we lease approximately 166,000 square feet under an agreement that expires on April 30, 2025. We have agreed to expand our headquarters premises by approximately 48,000 square feet during 2018 and 2020. Our lease agreement also includes a further expansion right and a right of first offer to lease certain additional space and two options to extend the term of the lease for five years at a market rate determined in accordance with the lease.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have operations in or near:</w:t>
      </w:r>
    </w:p>
    <w:p>
      <w:pPr>
        <w:spacing w:after="0" w:line="117" w:lineRule="exact"/>
        <w:rPr>
          <w:sz w:val="20"/>
          <w:szCs w:val="20"/>
          <w:color w:val="auto"/>
        </w:rPr>
      </w:pPr>
    </w:p>
    <w:p>
      <w:pPr>
        <w:ind w:left="1200" w:right="260" w:hanging="598"/>
        <w:spacing w:after="0" w:line="264"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Little Falls, New Jersey, where we lease approximately 26,000 square feet under an agreement that expires on June 30, 2023. The lease includes a right of first offer to lease certain additional space and one option to extend the term of the lease for five years at a market rate determined in accordance with the lease.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24" w:name="page25"/>
    <w:bookmarkEnd w:id="24"/>
    <w:p>
      <w:pPr>
        <w:ind w:left="1200" w:right="34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Toronto, Ontario, where we lease approximately 17,000 square feet under an agreement that expires on December 31, 2021.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340" w:hanging="598"/>
        <w:spacing w:after="0" w:line="342" w:lineRule="auto"/>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Melbourne, Australia, where we lease approximately 11,000 square feet under an agreement that expires on October 15, 2021. The lease includes one option to extend the term of the lease for three years at a market rate determined in accordance with the lease.</w:t>
      </w:r>
    </w:p>
    <w:p>
      <w:pPr>
        <w:spacing w:after="0" w:line="15" w:lineRule="exact"/>
        <w:rPr>
          <w:rFonts w:ascii="Arial" w:cs="Arial" w:eastAsia="Arial" w:hAnsi="Arial"/>
          <w:sz w:val="16"/>
          <w:szCs w:val="16"/>
          <w:color w:val="auto"/>
        </w:rPr>
      </w:pPr>
    </w:p>
    <w:p>
      <w:pPr>
        <w:ind w:left="12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Sydney, Australia, where we lease approximately 4,000 square feet under an agreement that expires on April 30, 2020. The lease includes a right of first offer to lease certain additional space and one option to extend the term of the lease for three years at a market rate determined in accordance with the lease.</w:t>
      </w:r>
    </w:p>
    <w:p>
      <w:pPr>
        <w:spacing w:after="0" w:line="73" w:lineRule="exact"/>
        <w:rPr>
          <w:rFonts w:ascii="Arial" w:cs="Arial" w:eastAsia="Arial" w:hAnsi="Arial"/>
          <w:sz w:val="18"/>
          <w:szCs w:val="18"/>
          <w:color w:val="auto"/>
        </w:rPr>
      </w:pPr>
    </w:p>
    <w:p>
      <w:pPr>
        <w:ind w:left="1200" w:right="200" w:hanging="598"/>
        <w:spacing w:after="0" w:line="342" w:lineRule="auto"/>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Kiev, Ukraine, where we lease approximately 3,000 square feet under an agreement that expires on April 26, 2020. The lease includes one option to extend the term of the lease for two years and 11 months at a market rate determined in accordance with the lease.</w:t>
      </w:r>
    </w:p>
    <w:p>
      <w:pPr>
        <w:spacing w:after="0" w:line="16"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The following table sets forth, for the periods indicated, the high and low sales prices for our common stock as reported on the Nasdaq Global Market.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2016</w:t>
            </w:r>
          </w:p>
        </w:tc>
        <w:tc>
          <w:tcPr>
            <w:tcW w:w="3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3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69.48</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w:t>
            </w:r>
          </w:p>
        </w:tc>
        <w:tc>
          <w:tcPr>
            <w:tcW w:w="3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60.72</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Third Quarter</w:t>
            </w:r>
          </w:p>
        </w:tc>
        <w:tc>
          <w:tcPr>
            <w:tcW w:w="3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74.85</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w:t>
            </w:r>
          </w:p>
        </w:tc>
        <w:tc>
          <w:tcPr>
            <w:tcW w:w="3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3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3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72.60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w:t>
            </w:r>
          </w:p>
        </w:tc>
        <w:tc>
          <w:tcPr>
            <w:tcW w:w="3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Third Quarter</w:t>
            </w:r>
          </w:p>
        </w:tc>
        <w:tc>
          <w:tcPr>
            <w:tcW w:w="3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64.40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w:t>
            </w:r>
          </w:p>
        </w:tc>
        <w:tc>
          <w:tcPr>
            <w:tcW w:w="3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9, 2018, we had 76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currently intend to retain our future earnings, if any, to finance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121"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63"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color w:val="auto"/>
        </w:rPr>
        <w:t>The graph below compares the cumulative total stockholder return of our common stock with that of the Nasdaq US Benchmark TR Index and the Nasdaq US Benchmark Computer Services TR Index from December 31, 2012 through December 31, 2017, utilizing the last trading day of each respective year. The graph assumes that $100 was invested in shares of our common stock, the Nasdaq US Benchmark TR Index and the Nasdaq US Benchmark Computer Services TR Index at the close of market on December 30, 2012, and that dividends, if any, were reinvested. The comparisons in this graph are based on historical data and are not intended to forecast or be indicative of future performance of our common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Comparison of Cumulative Total Returns of SPS Commerce, Inc., NASDAQ US Benchmark TR Index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US Benchmark Computer Services TR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NASDAQ US</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NASDAQ US</w:t>
            </w:r>
          </w:p>
        </w:tc>
      </w:t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Benchmark</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Benchmark Computer</w:t>
            </w:r>
          </w:p>
        </w:tc>
      </w:tr>
      <w:tr>
        <w:trPr>
          <w:trHeight w:val="171"/>
        </w:trPr>
        <w:tc>
          <w:tcPr>
            <w:tcW w:w="5080" w:type="dxa"/>
            <w:vAlign w:val="bottom"/>
          </w:tcPr>
          <w:p>
            <w:pPr>
              <w:spacing w:after="0"/>
              <w:rPr>
                <w:sz w:val="14"/>
                <w:szCs w:val="14"/>
                <w:color w:val="auto"/>
              </w:rPr>
            </w:pPr>
          </w:p>
        </w:tc>
        <w:tc>
          <w:tcPr>
            <w:tcW w:w="2160" w:type="dxa"/>
            <w:vAlign w:val="bottom"/>
            <w:gridSpan w:val="2"/>
          </w:tcPr>
          <w:p>
            <w:pPr>
              <w:ind w:left="460"/>
              <w:spacing w:after="0"/>
              <w:rPr>
                <w:sz w:val="20"/>
                <w:szCs w:val="20"/>
                <w:color w:val="auto"/>
              </w:rPr>
            </w:pPr>
            <w:r>
              <w:rPr>
                <w:rFonts w:ascii="Arial" w:cs="Arial" w:eastAsia="Arial" w:hAnsi="Arial"/>
                <w:sz w:val="14"/>
                <w:szCs w:val="14"/>
                <w:b w:val="1"/>
                <w:bCs w:val="1"/>
                <w:color w:val="auto"/>
              </w:rPr>
              <w:t>SPS Commerce</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TR Index</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Services TR Index</w:t>
            </w:r>
          </w:p>
        </w:tc>
      </w:tr>
      <w:tr>
        <w:trPr>
          <w:trHeight w:val="223"/>
        </w:trPr>
        <w:tc>
          <w:tcPr>
            <w:tcW w:w="5080" w:type="dxa"/>
            <w:vAlign w:val="bottom"/>
            <w:tcBorders>
              <w:top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12/31/2012</w:t>
            </w:r>
          </w:p>
        </w:tc>
        <w:tc>
          <w:tcPr>
            <w:tcW w:w="1900" w:type="dxa"/>
            <w:vAlign w:val="bottom"/>
            <w:tcBorders>
              <w:top w:val="single" w:sz="8" w:color="auto"/>
            </w:tcBorders>
            <w:shd w:val="clear" w:color="auto" w:fill="CFF0FC"/>
          </w:tcPr>
          <w:p>
            <w:pPr>
              <w:jc w:val="right"/>
              <w:ind w:right="613"/>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12/31/2013</w:t>
            </w:r>
          </w:p>
        </w:tc>
        <w:tc>
          <w:tcPr>
            <w:tcW w:w="1900" w:type="dxa"/>
            <w:vAlign w:val="bottom"/>
          </w:tcPr>
          <w:p>
            <w:pPr>
              <w:jc w:val="right"/>
              <w:ind w:right="613"/>
              <w:spacing w:after="0"/>
              <w:rPr>
                <w:sz w:val="20"/>
                <w:szCs w:val="20"/>
                <w:color w:val="auto"/>
              </w:rPr>
            </w:pPr>
            <w:r>
              <w:rPr>
                <w:rFonts w:ascii="Arial" w:cs="Arial" w:eastAsia="Arial" w:hAnsi="Arial"/>
                <w:sz w:val="18"/>
                <w:szCs w:val="18"/>
                <w:color w:val="auto"/>
              </w:rPr>
              <w:t>175.2</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133.5</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12/31/2014</w:t>
            </w:r>
          </w:p>
        </w:tc>
        <w:tc>
          <w:tcPr>
            <w:tcW w:w="19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rPr>
              <w:t>151.9</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150.1</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12/31/2015</w:t>
            </w:r>
          </w:p>
        </w:tc>
        <w:tc>
          <w:tcPr>
            <w:tcW w:w="1900" w:type="dxa"/>
            <w:vAlign w:val="bottom"/>
          </w:tcPr>
          <w:p>
            <w:pPr>
              <w:jc w:val="right"/>
              <w:ind w:right="613"/>
              <w:spacing w:after="0"/>
              <w:rPr>
                <w:sz w:val="20"/>
                <w:szCs w:val="20"/>
                <w:color w:val="auto"/>
              </w:rPr>
            </w:pPr>
            <w:r>
              <w:rPr>
                <w:rFonts w:ascii="Arial" w:cs="Arial" w:eastAsia="Arial" w:hAnsi="Arial"/>
                <w:sz w:val="18"/>
                <w:szCs w:val="18"/>
                <w:color w:val="auto"/>
              </w:rPr>
              <w:t>188.4</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150.8</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12/30/2016</w:t>
            </w:r>
          </w:p>
        </w:tc>
        <w:tc>
          <w:tcPr>
            <w:tcW w:w="19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rPr>
              <w:t>187.5</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170.5</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12/29/2017</w:t>
            </w:r>
          </w:p>
        </w:tc>
        <w:tc>
          <w:tcPr>
            <w:tcW w:w="1900" w:type="dxa"/>
            <w:vAlign w:val="bottom"/>
          </w:tcPr>
          <w:p>
            <w:pPr>
              <w:jc w:val="right"/>
              <w:ind w:right="613"/>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20"/>
                <w:szCs w:val="20"/>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206.9</w:t>
            </w:r>
          </w:p>
        </w:tc>
        <w:tc>
          <w:tcPr>
            <w:tcW w:w="260" w:type="dxa"/>
            <w:vAlign w:val="bottom"/>
          </w:tcPr>
          <w:p>
            <w:pPr>
              <w:spacing w:after="0"/>
              <w:rPr>
                <w:sz w:val="20"/>
                <w:szCs w:val="20"/>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On November 2, 2017, our board of directors authorized a program to repurchase up to $50.0 million of common stock. Under the program, purchases may be made from time to time in the open market over the next two years. During the fourth quarter of 2017, we repurchased 122,147 shares at a cost of $5.8 million. As of December 31, 2017, $44.2 million of the $50.0 million of the share repurchases authorized was available for future share repurchases.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jc w:val="both"/>
        <w:ind w:right="100" w:firstLine="59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fourth quarter of 2017,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2700"/>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2 - 30, 2017</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122,147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122,147</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1 - 31, 2017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44,200,000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fourth quarter 2017</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122,147</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122,147</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44,200,000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See Note H to our consolidated financial statements, included in this Annual Report on Form 10-K, for additional information regarding our stock repurchase program.</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 xml:space="preserve">The following selected financial data should be read together with our audited consolidated financial statements and the related notes and with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which are included elsewhere in this Annual Report on Form 10-K. Our historical results are not necessarily indicative of results to be expected for any future period.</w:t>
      </w:r>
    </w:p>
    <w:p>
      <w:pPr>
        <w:spacing w:after="0" w:line="73"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The statements of income data for each of the years ended December 31, 2017, 2016, and 2015, the balance sheet data as of December 31, 2017 and 2016, and the operating data relating to Adjusted EBITDA and non-GAAP income per diluted share for each of the years ended December 31, 2017, 2016, and 2015 have been derived from our audited consolidated financial statements, which are included in this Annual Report on Form 10-K.</w:t>
      </w:r>
    </w:p>
    <w:p>
      <w:pPr>
        <w:spacing w:after="0" w:line="39"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statements of income data for the years ended December 31, 2014 and 2013, the balance sheet data as of December 31, 2015, 2014 and 2013, and the operating data relating to Adjusted EBITDA and non-GAAP income per diluted share for each of the years ended December 31, 2014 and 2013 have been derived from our audited consolidated financial statements which are not included in this Annual Report on Form 10-K, but which have been included in prior Annual Reports on Form 10-K filed with the SEC.</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Adjusted EBITDA and non-GAAP income per diluted share are non-GAAP financial measures. We believe that these non-GAAP measures provide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useful information to management and investors regarding certain financial and business trends relating to our financial condition and results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 Our management uses these non-GAAP measures to compare the company’s performance to that of prior periods for trend analyses and planning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Adjusted EBITDA is also used for purposes of determining executive and senior management incentive compensation. These measures are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presented to our board of directors.</w:t>
      </w:r>
    </w:p>
    <w:p>
      <w:pPr>
        <w:spacing w:after="0" w:line="103"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right="280" w:firstLine="598"/>
        <w:spacing w:after="0" w:line="277"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8"/>
          </w:tcPr>
          <w:p>
            <w:pPr>
              <w:jc w:val="center"/>
              <w:ind w:right="44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Statements of Income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220,566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193,295</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158,518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127,947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15"/>
                <w:szCs w:val="15"/>
                <w:color w:val="auto"/>
              </w:rPr>
              <w:t>(1)</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50,043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128,949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108,475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Amortization of intangible assets </w:t>
            </w:r>
            <w:r>
              <w:rPr>
                <w:rFonts w:ascii="Arial" w:cs="Arial" w:eastAsia="Arial" w:hAnsi="Arial"/>
                <w:sz w:val="15"/>
                <w:szCs w:val="15"/>
                <w:color w:val="auto"/>
              </w:rPr>
              <w:t>(2)</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138,513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121,432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101,452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(3)</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(0.14)</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0.33</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123,127</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115,877</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121,538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130,795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335,520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298,229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261,731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243,775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276,820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249,267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222,185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205,091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8"/>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(Unaudited, adjusted EBITDA 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32,617</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26,502</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22,620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18,160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Non-GAAP income per diluted share with tax adjustments </w:t>
            </w:r>
            <w:r>
              <w:rPr>
                <w:rFonts w:ascii="Arial" w:cs="Arial" w:eastAsia="Arial" w:hAnsi="Arial"/>
                <w:sz w:val="15"/>
                <w:szCs w:val="15"/>
                <w:color w:val="auto"/>
              </w:rPr>
              <w:t>(5)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Recurring revenue customers </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00" w:right="100" w:hanging="592"/>
        <w:spacing w:after="0" w:line="292" w:lineRule="auto"/>
        <w:tabs>
          <w:tab w:leader="none" w:pos="600" w:val="left"/>
        </w:tabs>
        <w:numPr>
          <w:ilvl w:val="0"/>
          <w:numId w:val="19"/>
        </w:numPr>
        <w:rPr>
          <w:rFonts w:ascii="Arial" w:cs="Arial" w:eastAsia="Arial" w:hAnsi="Arial"/>
          <w:sz w:val="14"/>
          <w:szCs w:val="14"/>
          <w:color w:val="auto"/>
        </w:rPr>
      </w:pPr>
      <w:r>
        <w:rPr>
          <w:rFonts w:ascii="Arial" w:cs="Arial" w:eastAsia="Arial" w:hAnsi="Arial"/>
          <w:sz w:val="17"/>
          <w:szCs w:val="17"/>
          <w:color w:val="auto"/>
        </w:rPr>
        <w:t>For 2017, stock-based compensation expense included a $3.6 million charge due to immediate expensing of equity awards upon our Chief Executive Officer meeting certain age and years of service conditions. Stock-based compensation expense was as follows (in thousands):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hanging="592"/>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For 2013, amortization of intangible assets included $0.3 million for the impairment of a certain non-competition agreement.</w:t>
      </w:r>
    </w:p>
    <w:p>
      <w:pPr>
        <w:spacing w:after="0" w:line="117" w:lineRule="exact"/>
        <w:rPr>
          <w:rFonts w:ascii="Arial" w:cs="Arial" w:eastAsia="Arial" w:hAnsi="Arial"/>
          <w:sz w:val="15"/>
          <w:szCs w:val="15"/>
          <w:color w:val="auto"/>
        </w:rPr>
      </w:pPr>
    </w:p>
    <w:p>
      <w:pPr>
        <w:ind w:left="600" w:hanging="592"/>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For 2014, other expense included $0.3 million for a one-time Australian stamp duty tax related to the Leadtec acquisition.</w:t>
      </w:r>
    </w:p>
    <w:p>
      <w:pPr>
        <w:spacing w:after="0" w:line="117" w:lineRule="exact"/>
        <w:rPr>
          <w:rFonts w:ascii="Arial" w:cs="Arial" w:eastAsia="Arial" w:hAnsi="Arial"/>
          <w:sz w:val="15"/>
          <w:szCs w:val="15"/>
          <w:color w:val="auto"/>
        </w:rPr>
      </w:pPr>
    </w:p>
    <w:p>
      <w:pPr>
        <w:ind w:left="600" w:right="40" w:hanging="592"/>
        <w:spacing w:after="0" w:line="28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6"/>
          <w:szCs w:val="16"/>
          <w:color w:val="auto"/>
        </w:rPr>
        <w:t>Adjusted EBITDA consists of net income (loss) adjusted for depreciation and amortization, interest expense, interest income, income tax expense, stock-based compensation expense, the discrete impact from tax law change and other adjustments as necessary for a fair presentation. In 2017, the discrete impact from tax law change included $8.6 million of tax expense related to The Job Cuts and Tax Act (Tax Act”) reduction in the corporate tax rate to 21.0% resulting in a decrease in our net deferred tax assets. Other adjustments included the impact of the fair value adjustment for the Toolbox Solutions share-based earn-out liability in 2016, a one-time Australian stamp duty tax related to the Leadtec acquisition in 2014, as well as the impact of use tax refunds in 2015, 2014 and 2013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(loss) to Adjusted EBITDA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right="60" w:hanging="592"/>
        <w:spacing w:after="0" w:line="259"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8"/>
          <w:szCs w:val="18"/>
          <w:color w:val="auto"/>
        </w:rPr>
        <w:t>Non-GAAP income per share consists of net income (loss)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Toolbox Solutions share-based earn-out liability in 2016.</w:t>
      </w:r>
    </w:p>
    <w:p>
      <w:pPr>
        <w:spacing w:after="0" w:line="78" w:lineRule="exact"/>
        <w:rPr>
          <w:rFonts w:ascii="Arial" w:cs="Arial" w:eastAsia="Arial" w:hAnsi="Arial"/>
          <w:sz w:val="15"/>
          <w:szCs w:val="15"/>
          <w:color w:val="auto"/>
        </w:rPr>
      </w:pPr>
    </w:p>
    <w:p>
      <w:pPr>
        <w:jc w:val="both"/>
        <w:ind w:left="600" w:right="60"/>
        <w:spacing w:after="0" w:line="257" w:lineRule="auto"/>
        <w:rPr>
          <w:rFonts w:ascii="Arial" w:cs="Arial" w:eastAsia="Arial" w:hAnsi="Arial"/>
          <w:sz w:val="15"/>
          <w:szCs w:val="15"/>
          <w:color w:val="auto"/>
        </w:rPr>
      </w:pPr>
      <w:r>
        <w:rPr>
          <w:rFonts w:ascii="Arial" w:cs="Arial" w:eastAsia="Arial" w:hAnsi="Arial"/>
          <w:sz w:val="18"/>
          <w:szCs w:val="18"/>
          <w:color w:val="auto"/>
        </w:rPr>
        <w:t>Pursuant to a Compliance and Disclosure Interpretation published by the U.S. SEC in May 2016, related to the use of non-GAAP financial measures, in 2017, we began including an adjustment to non-GAAP income to reflect the income tax effects of the adjustments to GAAP net income (loss). 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0" w:name="page31"/>
    <w:bookmarkEnd w:id="30"/>
    <w:p>
      <w:pPr>
        <w:ind w:left="600" w:right="540"/>
        <w:spacing w:after="0" w:line="342" w:lineRule="auto"/>
        <w:rPr>
          <w:sz w:val="20"/>
          <w:szCs w:val="20"/>
          <w:color w:val="auto"/>
        </w:rPr>
      </w:pPr>
      <w:r>
        <w:rPr>
          <w:rFonts w:ascii="Arial" w:cs="Arial" w:eastAsia="Arial" w:hAnsi="Arial"/>
          <w:sz w:val="16"/>
          <w:szCs w:val="16"/>
          <w:color w:val="auto"/>
        </w:rPr>
        <w:t>We believe non-GAAP income per share is useful to an investor because it is widely used to measure a company’s operating performance. The following table provides a reconciliation of net income (loss) to non-GAAP income per share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FF0FC"/>
          </w:tcPr>
          <w:p>
            <w:pPr>
              <w:spacing w:after="0"/>
              <w:rPr>
                <w:sz w:val="18"/>
                <w:szCs w:val="18"/>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15,201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 reported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600" w:right="20" w:hanging="592"/>
        <w:spacing w:after="0" w:line="279"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7"/>
          <w:szCs w:val="17"/>
          <w:color w:val="auto"/>
        </w:rPr>
        <w:t>This reflects the number of recurring revenue customers at the end of the period. Recurring revenue customers are customers with contracts to pay us monthly fees. A small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to 90 days’ notice.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the products that consumers buy. We derive the majority of our revenues from thousands of monthly recurring subscriptions from businesses that utilize our solutions.</w:t>
      </w:r>
    </w:p>
    <w:p>
      <w:pPr>
        <w:spacing w:after="0" w:line="80"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79"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For the years ended December 31, 2017, 2016 and 2015, we generated revenues of $220.6 million, $193.3 million and $158.5 million, respectively. Our fiscal quarter ended December 31, 2017 represented our 68th consecutive quarter of increased revenues. Recurring revenues from recurring revenue customers accounted for 92.5%, 91.6% and 90.8% of our total revenues for the years ended December 31, 2017, 2016 and 2015, respectively. Our revenues are not concentrated with any customer, as our largest customer represented less than 1.0% of total revenues for the year ended December 31, 2017 and less than 2.0% of total revenues for the years ended December 31, 2016 and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i w:val="1"/>
          <w:iCs w:val="1"/>
          <w:color w:val="auto"/>
        </w:rPr>
        <w:t xml:space="preserve">Trading Partner Fulfillment. </w:t>
      </w:r>
      <w:r>
        <w:rPr>
          <w:rFonts w:ascii="Arial" w:cs="Arial" w:eastAsia="Arial" w:hAnsi="Arial"/>
          <w:sz w:val="18"/>
          <w:szCs w:val="18"/>
          <w:color w:val="auto"/>
        </w:rPr>
        <w:t>Our Fulfillment solution provides fulfillment automation and replaces or augments an organization’s existing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electronic 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73"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i w:val="1"/>
          <w:iCs w:val="1"/>
          <w:color w:val="auto"/>
        </w:rPr>
        <w:t xml:space="preserve">Trading Partner Analytics. </w:t>
      </w:r>
      <w:r>
        <w:rPr>
          <w:rFonts w:ascii="Arial" w:cs="Arial" w:eastAsia="Arial" w:hAnsi="Arial"/>
          <w:sz w:val="17"/>
          <w:szCs w:val="17"/>
          <w:color w:val="auto"/>
        </w:rPr>
        <w:t>Our Analytics solution consists of data analytics applications that enable our customers to improve their visibility across,</w:t>
      </w:r>
      <w:r>
        <w:rPr>
          <w:rFonts w:ascii="Arial" w:cs="Arial" w:eastAsia="Arial" w:hAnsi="Arial"/>
          <w:sz w:val="17"/>
          <w:szCs w:val="17"/>
          <w:i w:val="1"/>
          <w:iCs w:val="1"/>
          <w:color w:val="auto"/>
        </w:rPr>
        <w:t xml:space="preserve"> </w:t>
      </w:r>
      <w:r>
        <w:rPr>
          <w:rFonts w:ascii="Arial" w:cs="Arial" w:eastAsia="Arial" w:hAnsi="Arial"/>
          <w:sz w:val="17"/>
          <w:szCs w:val="17"/>
          <w:color w:val="auto"/>
        </w:rPr>
        <w:t>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57"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i w:val="1"/>
          <w:iCs w:val="1"/>
          <w:color w:val="auto"/>
        </w:rPr>
        <w:t xml:space="preserve">Trading Partner Assortment. </w:t>
      </w:r>
      <w:r>
        <w:rPr>
          <w:rFonts w:ascii="Arial" w:cs="Arial" w:eastAsia="Arial" w:hAnsi="Arial"/>
          <w:sz w:val="16"/>
          <w:szCs w:val="16"/>
          <w:color w:val="auto"/>
        </w:rPr>
        <w:t>Today’s retail marketplace requires the management of tens and even hundreds of individual attributes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each item a 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39"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i w:val="1"/>
          <w:iCs w:val="1"/>
          <w:color w:val="auto"/>
        </w:rPr>
        <w:t>Trading Partner Sourcing</w:t>
      </w:r>
      <w:r>
        <w:rPr>
          <w:rFonts w:ascii="Arial" w:cs="Arial" w:eastAsia="Arial" w:hAnsi="Arial"/>
          <w:sz w:val="17"/>
          <w:szCs w:val="17"/>
          <w:color w:val="auto"/>
        </w:rPr>
        <w:t>. Through Retail Universe, our social network for the retail industry, retailers can source providers of new items, suppliers</w:t>
      </w:r>
      <w:r>
        <w:rPr>
          <w:rFonts w:ascii="Arial" w:cs="Arial" w:eastAsia="Arial" w:hAnsi="Arial"/>
          <w:sz w:val="17"/>
          <w:szCs w:val="17"/>
          <w:i w:val="1"/>
          <w:iCs w:val="1"/>
          <w:color w:val="auto"/>
        </w:rPr>
        <w:t xml:space="preserve"> </w:t>
      </w:r>
      <w:r>
        <w:rPr>
          <w:rFonts w:ascii="Arial" w:cs="Arial" w:eastAsia="Arial" w:hAnsi="Arial"/>
          <w:sz w:val="17"/>
          <w:szCs w:val="17"/>
          <w:color w:val="auto"/>
        </w:rPr>
        <w:t>can connect with new retailers and the broader retailing community can make connections to expand their business networks and grow.</w:t>
      </w:r>
    </w:p>
    <w:p>
      <w:pPr>
        <w:spacing w:after="0" w:line="38"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i w:val="1"/>
          <w:iCs w:val="1"/>
          <w:color w:val="auto"/>
        </w:rPr>
        <w:t xml:space="preserve">Trading Partner Community Development. </w:t>
      </w:r>
      <w:r>
        <w:rPr>
          <w:rFonts w:ascii="Arial" w:cs="Arial" w:eastAsia="Arial" w:hAnsi="Arial"/>
          <w:sz w:val="18"/>
          <w:szCs w:val="18"/>
          <w:color w:val="auto"/>
        </w:rPr>
        <w:t>Our Community Development solution provides communication programs based on our best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programs enable organizations, from large and small retailers and suppliers to emerging providers of value-added products and services, to establish trading partner relationships with new trading partners to expand their businesses.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ind w:right="180" w:firstLine="598"/>
        <w:spacing w:after="0" w:line="277" w:lineRule="auto"/>
        <w:rPr>
          <w:sz w:val="20"/>
          <w:szCs w:val="20"/>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planogram services and our scan and pack</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which helps trading partners process information to streamline the picking and packaging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79"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 In order to expand our business, we will continue to add resources to our sales and marketing efforts over time.</w:t>
      </w:r>
    </w:p>
    <w:p>
      <w:pPr>
        <w:spacing w:after="0" w:line="73"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personnel costs for development of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existing solutions, net of amounts capitalized as developed software. Our research and development group is also responsible for enhancing existing solutions and applications as well as internal tools and developing new information maps that integrate our customers to their trading partners in compliance with those trading partners’ requirements.</w:t>
      </w:r>
    </w:p>
    <w:p>
      <w:pPr>
        <w:spacing w:after="0" w:line="79"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information technology support, as well as legal, accounting and other fees, such as credit card processing fees.</w:t>
      </w:r>
    </w:p>
    <w:p>
      <w:pPr>
        <w:spacing w:after="0" w:line="62"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cost of revenues and operating expenses categories based on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Metrics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2017, we had approximately 26,000 customers with contracts to pay us monthly fees,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as recurring revenue customers. We report recurring revenue customers at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79"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also 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50"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50" w:lineRule="exact"/>
        <w:rPr>
          <w:sz w:val="20"/>
          <w:szCs w:val="20"/>
          <w:color w:val="auto"/>
        </w:rPr>
      </w:pPr>
    </w:p>
    <w:p>
      <w:pPr>
        <w:jc w:val="both"/>
        <w:ind w:right="100" w:firstLine="59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598"/>
        <w:spacing w:after="0" w:line="276" w:lineRule="auto"/>
        <w:rPr>
          <w:sz w:val="20"/>
          <w:szCs w:val="20"/>
          <w:color w:val="auto"/>
        </w:rPr>
      </w:pPr>
      <w:r>
        <w:rPr>
          <w:rFonts w:ascii="Arial" w:cs="Arial" w:eastAsia="Arial" w:hAnsi="Arial"/>
          <w:sz w:val="17"/>
          <w:szCs w:val="17"/>
          <w:color w:val="auto"/>
        </w:rPr>
        <w:t>The discussion of our financial condition and results of operations is based upon our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4"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We believe that of our significant accounting policies, which are described in the notes to our financial statements, the following accounting policies involve a greater degree of judgment and complexity and are material to our financial statement presentation.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generate revenues by providing three types of solutions to our customers; fulfillment, enablement and analytics. Our cloud-based solutions allow our customers to meet their supply chain management requirements.</w:t>
      </w:r>
    </w:p>
    <w:p>
      <w:pPr>
        <w:spacing w:after="0" w:line="62"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Revenues are recognized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7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Fees related to our fulfillment and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74" w:lineRule="exact"/>
        <w:rPr>
          <w:sz w:val="20"/>
          <w:szCs w:val="20"/>
          <w:color w:val="auto"/>
        </w:rPr>
      </w:pPr>
    </w:p>
    <w:p>
      <w:pPr>
        <w:ind w:right="680" w:firstLine="598"/>
        <w:spacing w:after="0" w:line="342" w:lineRule="auto"/>
        <w:rPr>
          <w:sz w:val="20"/>
          <w:szCs w:val="20"/>
          <w:color w:val="auto"/>
        </w:rPr>
      </w:pPr>
      <w:r>
        <w:rPr>
          <w:rFonts w:ascii="Arial" w:cs="Arial" w:eastAsia="Arial" w:hAnsi="Arial"/>
          <w:sz w:val="16"/>
          <w:szCs w:val="16"/>
          <w:color w:val="auto"/>
        </w:rPr>
        <w:t xml:space="preserve">See Note A to our consolidated financial statements,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xml:space="preserve"> included in this Annual Report on Form 10-K, for additional information regarding the impacts to revenue for adoption of ASU No. 2014-09, </w:t>
      </w:r>
      <w:r>
        <w:rPr>
          <w:rFonts w:ascii="Arial" w:cs="Arial" w:eastAsia="Arial" w:hAnsi="Arial"/>
          <w:sz w:val="16"/>
          <w:szCs w:val="16"/>
          <w:i w:val="1"/>
          <w:iCs w:val="1"/>
          <w:color w:val="auto"/>
        </w:rPr>
        <w:t>Revenue from Contracts with Customers (Topic 606).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judgement, there is a less than a 50% likelihood that the deferred tax asset will be utilized.</w:t>
      </w:r>
    </w:p>
    <w:p>
      <w:pPr>
        <w:spacing w:after="0" w:line="8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4" w:name="page35"/>
    <w:bookmarkEnd w:id="34"/>
    <w:p>
      <w:pPr>
        <w:ind w:right="220" w:firstLine="598"/>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5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On December 22, 2017, the Tax Act was signed into law. The financial information included in the Form 10-K reflects the estimated impact of the enactment of the Tax Act. See Note J to our consolidated financial statements for additional information regarding the Tax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220,566</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193,295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27,271</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33.4</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146,941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128,949</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17,992</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1,202</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138,513</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121,432</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17,081</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7,517</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(1,052)</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7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268.8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(8,150)</w:t>
            </w:r>
          </w:p>
        </w:tc>
        <w:tc>
          <w:tcPr>
            <w:tcW w:w="4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2017 increased $27.3 million, or 14.1%, to $220.6 million from $193.3 million for 2016. The increase in revenues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two primary factors: the increase in recurring revenue customers and the increase in average recurring revenues per recurring revenue customer, which we also refer to as wallet share.</w:t>
      </w:r>
    </w:p>
    <w:p>
      <w:pPr>
        <w:spacing w:after="0" w:line="73" w:lineRule="exact"/>
        <w:rPr>
          <w:sz w:val="20"/>
          <w:szCs w:val="20"/>
          <w:color w:val="auto"/>
        </w:rPr>
      </w:pPr>
    </w:p>
    <w:p>
      <w:pPr>
        <w:ind w:left="1200" w:hanging="598"/>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3.8% to 25,751 at December 31, 2017 from 24,805 at December 31, 2016.</w:t>
      </w:r>
    </w:p>
    <w:p>
      <w:pPr>
        <w:spacing w:after="0" w:line="128" w:lineRule="exact"/>
        <w:rPr>
          <w:rFonts w:ascii="Arial" w:cs="Arial" w:eastAsia="Arial" w:hAnsi="Arial"/>
          <w:sz w:val="17"/>
          <w:szCs w:val="17"/>
          <w:color w:val="auto"/>
        </w:rPr>
      </w:pPr>
    </w:p>
    <w:p>
      <w:pPr>
        <w:ind w:left="1200" w:right="14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or wallet share, increased 9.8% to $8,067 2017 from $7,344 for 2016. This increase in wallet share was primarily attributable to increased fees resulting from increased usage of our solutions by our recurring revenue customers.</w:t>
      </w:r>
    </w:p>
    <w:p>
      <w:pPr>
        <w:spacing w:after="0" w:line="73"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Recurring revenues from recurring revenue customers increased 15.2% in 2017, as compared to 2016, and accounted for 92.5% of our total revenues for 2017 and 91.6% for 2016.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right="20" w:firstLine="598"/>
        <w:spacing w:after="0" w:line="286"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2017 increased $9.3 million, or 14.4%, to $73.6 million from $64.3 million for 2016. This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higher personnel-related costs of approximately $7.3 million, driven by increased headcount. Compared to 2016, stock-based compensation expense increased $0.6 million and direct network costs decreased $0.2 million. We also incurred higher expenses for software and cloud-based subscriptions of $0.9 million and depreciation expense of $0.7 million for continued investment in the infrastructure supporting our solutions in 2017 as compared to</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2016. As a percentage of revenues, cost of revenues was 33.4% for 2017 compared to 33.3% for 2016. Going forward, we anticipate that cost of revenues will increase in absolute dollars as we continue to expand our business.</w:t>
      </w:r>
    </w:p>
    <w:p>
      <w:pPr>
        <w:spacing w:after="0" w:line="76"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2017 increased $7.4 million, or 11.2%, to $73.3 million from $65.9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2016. This increase was primarily due to increased headcount in 2017, which resulted in higher personnel-related costs of $3.0 million and increased commissions of approximately $4.4 million earned by sales personnel and referral partners from generating new business. We also incurred $0.4 million in higher expenses for promotional expenses and $0.2 million in software and cloud-based subscriptions, offset by $0.3 million in lower expenses for depreciation and $0.2 million in stock-based compensation expense as compared to 2016. As a percentage of revenues, sales and marketing expenses were 33.2% for 2017 compared to 34.1% for 2016. As we expand our business, we will continue to add resources to our sales and marketing efforts over time, and we expect that these expenses will continue to increase in absolute dollars.</w:t>
      </w:r>
    </w:p>
    <w:p>
      <w:pPr>
        <w:spacing w:after="0" w:line="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2017 increased $1.2 million, or 5.5%, to $23.2 million from $22.0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2016. This increase was primarily due to higher expenses for software and cloud-based subscriptions of $0.7 million, higher personnel-related costs of $0.2 million and higher stock-based compensation of $0.3 million in 2017 as compared to 2016. As a percentage of revenues, research and development expenses were 10.5% for 2017 compared to 11.4% for 2016. As we enhance and expand our solutions and applications, we expect that research and development expenses will continue to increase in absolute dollars.</w:t>
      </w:r>
    </w:p>
    <w:p>
      <w:pPr>
        <w:spacing w:after="0" w:line="80"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2017 increased $8.6 million, or 30.0%, to $37.5 million from $28.8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2016. This increase was primarily due to a $4.0 million increase in stock-based compensation driven by the immediate expensing of $3.6 million of equity awards upon our Chief Executive Officer meeting certain age and years of service conditions. Increased headcount in 2017 resulted in higher personnel-related costs of $3.3 million. These increases were offset by lower charitable contributions and hardware not capitalized and hardware maintenance costs in 2017 as compared to 2016. As a percentage of revenues, general and administrative expenses were 17.0% for 2017 and 14.9% for 2016. Going forward, we expect that general and administrative expenses will continue to increase in absolute dollars as we expand our business.</w:t>
      </w:r>
    </w:p>
    <w:p>
      <w:pPr>
        <w:spacing w:after="0" w:line="5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2017 decreased $0.2 million, or 3.5%, from 2016. This decrease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intangible assets becoming fully amortized during 2017.</w:t>
      </w:r>
    </w:p>
    <w:p>
      <w:pPr>
        <w:spacing w:after="0" w:line="62"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2016 included a $1.0 million adjustment to the fair value of the Toolbox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earn-out liability due to a change in our estimate of probability of attainment. There was no similar charge during 2017 as the contingent consideration arrangement had been resolved.</w:t>
      </w:r>
    </w:p>
    <w:p>
      <w:pPr>
        <w:spacing w:after="0" w:line="7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provisions for income taxes for 2017 and 2016 were $11.6 million and $3.1 million, respectively, and included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foreign income taxes as well as deferred federal, state and foreign income taxes. The increase in income tax expense in 2017 was primarily due to the tax law changes related to the Tax Act. The 2017 provision included $8.6 million in income tax expense primarily driven by the reduction in the corporate income tax rate to 21.0%, offset by $0.9 million of discrete tax benefits from the adoption of ASU 2016-09 relating to stock-based compensation. See Note J to our consolidated financial statements, included in this Annual Report on Form 10-K, for additional information regarding our income taxes.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320" w:firstLine="598"/>
        <w:spacing w:after="0" w:line="30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(loss) adjusted for</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interest expense, interest income, income tax expense, stock-based compensation expense, the discrete impact from tax law change and other adjustments as necessary for a fair presentation. Other adjustments included the impact of an earn-out adjustment related to the Toolbox Solutions acquisition in 2016. The following table provides a reconciliation of net income (loss) to Adjusted EBITDA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(2,440)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11,336</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Income tax expense</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(1,106)</w:t>
            </w:r>
          </w:p>
        </w:tc>
      </w:tr>
      <w:tr>
        <w:trPr>
          <w:trHeight w:val="223"/>
        </w:trPr>
        <w:tc>
          <w:tcPr>
            <w:tcW w:w="526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32,617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26,502</w:t>
            </w:r>
          </w:p>
        </w:tc>
        <w:tc>
          <w:tcPr>
            <w:tcW w:w="12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i w:val="1"/>
          <w:iCs w:val="1"/>
          <w:color w:val="auto"/>
        </w:rPr>
        <w:t xml:space="preserve">Non-GAAP Income per Share. </w:t>
      </w:r>
      <w:r>
        <w:rPr>
          <w:rFonts w:ascii="Arial" w:cs="Arial" w:eastAsia="Arial" w:hAnsi="Arial"/>
          <w:sz w:val="17"/>
          <w:szCs w:val="17"/>
          <w:color w:val="auto"/>
        </w:rPr>
        <w:t>Non-GAAP income per share, which is also a non-GAAP measure of financial performance, consists of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(loss)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Toolbox Solutions share-based earn-out liability in 2016.</w:t>
      </w:r>
    </w:p>
    <w:p>
      <w:pPr>
        <w:spacing w:after="0" w:line="63"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Pursuant to a Compliance and Disclosure Interpretation published by the U.S. Securities and Exchange Commission in May 2016, related to the use of non-GAAP financial measures, in 2017, we began including an adjustment to non-GAAP income to reflect the income tax effects of the adjustments to GAAP net income (loss).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provides a reconciliation of net income (loss) to non-GAAP income per share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3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9"/>
                <w:szCs w:val="19"/>
                <w:color w:val="auto"/>
              </w:rPr>
            </w:pP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31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17,365</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31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(6,774)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(4,925)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3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16,700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12,440</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3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16,947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17,356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17,241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12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Diluted</w:t>
            </w:r>
          </w:p>
        </w:tc>
        <w:tc>
          <w:tcPr>
            <w:tcW w:w="412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 reported</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________________</w:t>
            </w:r>
          </w:p>
        </w:tc>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40" w:type="dxa"/>
            <w:vAlign w:val="bottom"/>
          </w:tcPr>
          <w:p>
            <w:pPr>
              <w:ind w:left="600"/>
              <w:spacing w:after="0"/>
              <w:rPr>
                <w:sz w:val="20"/>
                <w:szCs w:val="20"/>
                <w:color w:val="auto"/>
              </w:rPr>
            </w:pPr>
            <w:r>
              <w:rPr>
                <w:rFonts w:ascii="Arial" w:cs="Arial" w:eastAsia="Arial" w:hAnsi="Arial"/>
                <w:sz w:val="18"/>
                <w:szCs w:val="18"/>
                <w:color w:val="auto"/>
              </w:rPr>
              <w:t>N/A – not applicable</w:t>
            </w:r>
          </w:p>
        </w:tc>
        <w:tc>
          <w:tcPr>
            <w:tcW w:w="3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740" w:type="dxa"/>
            <w:vAlign w:val="bottom"/>
          </w:tcPr>
          <w:p>
            <w:pPr>
              <w:spacing w:after="0"/>
              <w:rPr>
                <w:sz w:val="24"/>
                <w:szCs w:val="24"/>
                <w:color w:val="auto"/>
              </w:rPr>
            </w:pPr>
          </w:p>
        </w:tc>
        <w:tc>
          <w:tcPr>
            <w:tcW w:w="3120" w:type="dxa"/>
            <w:vAlign w:val="bottom"/>
          </w:tcPr>
          <w:p>
            <w:pPr>
              <w:jc w:val="right"/>
              <w:ind w:right="1970"/>
              <w:spacing w:after="0"/>
              <w:rPr>
                <w:sz w:val="20"/>
                <w:szCs w:val="20"/>
                <w:color w:val="auto"/>
              </w:rPr>
            </w:pPr>
            <w:r>
              <w:rPr>
                <w:rFonts w:ascii="Arial" w:cs="Arial" w:eastAsia="Arial" w:hAnsi="Arial"/>
                <w:sz w:val="18"/>
                <w:szCs w:val="18"/>
                <w:color w:val="auto"/>
              </w:rPr>
              <w:t>37</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193,295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158,518</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34,777</w:t>
            </w: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14,303</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108,475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20,474</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10,512</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17,954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121,432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101,452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(145)</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4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4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600"/>
              <w:spacing w:after="0"/>
              <w:rPr>
                <w:sz w:val="20"/>
                <w:szCs w:val="20"/>
                <w:color w:val="auto"/>
              </w:rPr>
            </w:pPr>
            <w:r>
              <w:rPr>
                <w:rFonts w:ascii="Arial" w:cs="Arial" w:eastAsia="Arial" w:hAnsi="Arial"/>
                <w:sz w:val="18"/>
                <w:szCs w:val="18"/>
                <w:color w:val="auto"/>
              </w:rPr>
              <w:t>NM – not meaningful</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2016 increased $34.8 million, or 21.9%, to $193.3 million from $158.5 million for 2015. The increase in revenues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two primary factors: the increase in recurring revenue customers and the increase in average recurring revenues per recurring revenue customer, which we also refer to as wallet share.</w:t>
      </w:r>
    </w:p>
    <w:p>
      <w:pPr>
        <w:spacing w:after="0" w:line="73"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6.0% to 24,805 at December 31, 2016 from 23,410 at December 31, 2015.</w:t>
      </w:r>
    </w:p>
    <w:p>
      <w:pPr>
        <w:spacing w:after="0" w:line="128" w:lineRule="exact"/>
        <w:rPr>
          <w:rFonts w:ascii="Arial" w:cs="Arial" w:eastAsia="Arial" w:hAnsi="Arial"/>
          <w:sz w:val="17"/>
          <w:szCs w:val="17"/>
          <w:color w:val="auto"/>
        </w:rPr>
      </w:pPr>
    </w:p>
    <w:p>
      <w:pPr>
        <w:jc w:val="both"/>
        <w:ind w:left="1200" w:right="80" w:hanging="598"/>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or wallet share, increased 15.8% to $7,344 for 2016 from $6,343 for 2015. This increase in wallet share was primarily attributable to increased fees resulting from increased usage of our solutions by our recurring revenue customers.</w:t>
      </w:r>
    </w:p>
    <w:p>
      <w:pPr>
        <w:spacing w:after="0" w:line="73"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Recurring revenues from recurring revenue customers increased 23.0% in 2016, as compared to 2015, and accounted for 91.6% of our total revenues for 2016 and 90.8% for 2015. We anticipate that the number of recurring revenue customers and wallet share will continue to increase as we increase the number of solutions we offer and increase the penetration of those solutions across our customer base.</w:t>
      </w:r>
    </w:p>
    <w:p>
      <w:pPr>
        <w:spacing w:after="0" w:line="73"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2016 increased $14.3 million, or 28.6%, to $64.3 million from $50.0 million for 2015. This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headcount in 2016 which resulted in higher personnel-related costs of approximately $10.0 million, occupancy costs of approximately $0.8 million and stock-based compensation expense of $0.3. We also incurred higher expenses for software and cloud-based subscriptions of $2.2 million and depreciation expense of $0.6 million for continued investment in the infrastructure supporting our solutions in 2016 as compared to 2015. As a percentage of revenues, cost of revenues was 33.3% for 2016 compared to 31.6% for 2015.</w:t>
      </w:r>
    </w:p>
    <w:p>
      <w:pPr>
        <w:spacing w:after="0" w:line="64"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2016 increased $10.5 million, or 19.0%, to $65.9 million from $55.4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2015. This increase was primarily due to increased headcount in 2016, which resulted in higher personnel-related costs of $8.1 million and stock-based compensation expense of $0.4 million, and increased commissions of approximately $2.0 million earned by sales personnel and referral partners from generating new business. As a percentage of revenues, sales and marketing expenses were 34.1% for 2016 compared to 34.9% for 2015.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right="8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2016 increased $4.0 million, or 22.4%, to $22.0 million from $18.0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2015. This increase was primarily due to increased headcount in 2016 which resulted in higher personnel-related costs of $3.5 million. We also incurred higher expenses for software and cloud-based subscriptions of $0.4 million in 2016 as compared to 2015. As a percentage of revenues, research and development expenses were 11.4% for 2016 and 11.3% for 2015.</w:t>
      </w:r>
    </w:p>
    <w:p>
      <w:pPr>
        <w:spacing w:after="0" w:line="79"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2016 increased $4.0 million, or 16.2%, to $28.8 million from $24.8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2015. This increase was primarily due to increased headcount in 2016 which resulted in higher personnel-related costs of $1.4 million and stock-based compensation expense of $0.9 million. We also incurred higher expenses for software subscription and maintenance of $1.0 million. We also had increases in our provision for doubtful accounts, credit card fees and legal fees offset by lower charitable contributions in 2016 as compared to 2015. As a percentage of revenues, general and administrative expenses were 14.9% for 2016 and 15.7% for 2015.</w:t>
      </w:r>
    </w:p>
    <w:p>
      <w:pPr>
        <w:spacing w:after="0" w:line="64"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2016 increased $1.4 million from 2015. This increase was due to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amortization from the intangible assets acquired in the Toolbox Solutions acquisition in January 2016.</w:t>
      </w:r>
    </w:p>
    <w:p>
      <w:pPr>
        <w:spacing w:after="0" w:line="62"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2016 included a $1.0 million adjustment to the fair value of the Toolbox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earn-out liability due to a change in our estimate of probability of attainment.</w:t>
      </w:r>
    </w:p>
    <w:p>
      <w:pPr>
        <w:spacing w:after="0" w:line="62"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provisions for income taxes for 2016 and 2015 were $3.1 million and $2.4 million, respectively, and included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foreign income taxes as well as deferred federal and state income taxes. The increase in income tax expense in 2016 was primarily due to the increase in pretax book income of $1.8 million. See Note J to our consolidated financial statements, included in this Annual Report on Form 10-K, for additional information regarding our income taxes.</w:t>
      </w:r>
    </w:p>
    <w:p>
      <w:pPr>
        <w:spacing w:after="0" w:line="79" w:lineRule="exact"/>
        <w:rPr>
          <w:sz w:val="20"/>
          <w:szCs w:val="20"/>
          <w:color w:val="auto"/>
        </w:rPr>
      </w:pPr>
    </w:p>
    <w:p>
      <w:pPr>
        <w:ind w:right="340" w:firstLine="598"/>
        <w:spacing w:after="0" w:line="302"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interest expense, interest income, income tax expense, stock-based compensation expense and other adjustments as necessary for a fair presentation. Other adjustments included the impact of an earn-out adjustment related to the Toolbox acquisition in 2016, as well as the impact of use tax refunds in 2015 related to items previously expensed. The following table provides a reconciliation of net income to Adjusted EBITDA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Income tax expense</w:t>
            </w:r>
          </w:p>
        </w:tc>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r>
      <w:tr>
        <w:trPr>
          <w:trHeight w:val="223"/>
        </w:trPr>
        <w:tc>
          <w:tcPr>
            <w:tcW w:w="52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26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26,502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22,620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and amortization expense related to intangible assets divided by the weighted average number of shares of common stock outstanding during each period.</w:t>
      </w:r>
    </w:p>
    <w:p>
      <w:pPr>
        <w:spacing w:after="0" w:line="73"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Pursuant to a Compliance and Disclosure Interpretation published by the SEC in May 2016, related to the use of non-GAAP financial measures, in 2017, we began including an adjustment to non-GAAP income to reflect the income tax effects of the adjustments to GAAP net income.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60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 as historically reported</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17,365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14,325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8"/>
                <w:szCs w:val="18"/>
                <w:color w:val="auto"/>
              </w:rPr>
              <w:t>Income tax effects of adjustments</w:t>
            </w:r>
          </w:p>
        </w:tc>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Borders>
              <w:bottom w:val="single" w:sz="8" w:color="CFF0FC"/>
            </w:tcBorders>
            <w:vMerge w:val="continue"/>
          </w:tcPr>
          <w:p>
            <w:pPr>
              <w:spacing w:after="0"/>
              <w:rPr>
                <w:sz w:val="18"/>
                <w:szCs w:val="18"/>
                <w:color w:val="auto"/>
              </w:rPr>
            </w:pPr>
          </w:p>
        </w:tc>
        <w:tc>
          <w:tcPr>
            <w:tcW w:w="200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(4,925)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(3,566)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 with tax adjustments</w:t>
            </w:r>
          </w:p>
        </w:tc>
        <w:tc>
          <w:tcPr>
            <w:tcW w:w="20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12,440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2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16,947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with tax adjustments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300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16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00" w:type="dxa"/>
            <w:vAlign w:val="bottom"/>
            <w:gridSpan w:val="2"/>
            <w:shd w:val="clear" w:color="auto" w:fill="CFF0FC"/>
          </w:tcPr>
          <w:p>
            <w:pPr>
              <w:jc w:val="right"/>
              <w:ind w:right="8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Non-GAAP income per share as historically reported</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000" w:type="dxa"/>
            <w:vAlign w:val="bottom"/>
            <w:gridSpan w:val="2"/>
            <w:shd w:val="clear" w:color="auto" w:fill="CFF0FC"/>
          </w:tcPr>
          <w:p>
            <w:pPr>
              <w:jc w:val="right"/>
              <w:ind w:right="8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300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firstLine="598"/>
        <w:spacing w:after="0" w:line="255" w:lineRule="auto"/>
        <w:rPr>
          <w:sz w:val="20"/>
          <w:szCs w:val="20"/>
          <w:color w:val="auto"/>
        </w:rPr>
      </w:pPr>
      <w:r>
        <w:rPr>
          <w:rFonts w:ascii="Arial" w:cs="Arial" w:eastAsia="Arial" w:hAnsi="Arial"/>
          <w:sz w:val="18"/>
          <w:szCs w:val="18"/>
          <w:color w:val="auto"/>
        </w:rPr>
        <w:t>At December 31, 2017, our principal sources of liquidity were cash and cash equivalents, certificates of deposit and marketable securities totaling $168.5 million and accounts receivable, net of allowance for doubtful accounts of $24.9 million compared to cash and cash equivalents and marketable securities totaling $146.4 million and accounts receivable, net of allowance for doubtful accounts of $20.7 million at December 31, 2016.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Net cash provided by operating activities was $31.1 million for 2017 compared to $18.8 million for 2016. The increase in operating cash flows as compared to 2016 was driven by a $19.1 million increase in non-cash expenses and a $1.3 million increase in changes in assets and liabilities, primarily due to increases in deferred revenues and other current and non-current assets and accounts payable, partially offset by decreases in net income of $8.2 million, accounts receivable, deferred costs and deferred rent as compared to 2016.</w:t>
      </w:r>
    </w:p>
    <w:p>
      <w:pPr>
        <w:spacing w:after="0" w:line="79"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Net cash provided by operating activities was $18.8 million for 2016 compared to $14.4 million for 2015. The increase in operating cash flows as compared to 2015 was driven by a $1.1 million increase in net income, a $0.8 million increase in non-cash expenses and a $2.5 million increase, primarily due to increases in deferred revenues, accrued expenses and accounts payable, partially offset by increases in deferred costs and deferred rent as compared to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Net cash used in investing activities was $22.6 million for 2017 compared to $34.1 million for 2016. The decrease in cash used in investing activities as compared to 2016 was primarily due to the prior year acquisition of Toolbox Solutions for $18.0 million and $18.0 million of increased maturities of investments, partially offset by $24.7 million increased purchases of investments. For the years ended December 31, 2017 and 2016, we had capital expenditures of $7.3 million and $8.0 million, respectively. Our capital expenditures are for supporting our business growth and existing customer base, as well as for our internal use such as equipment for our employees.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20" w:firstLine="598"/>
        <w:spacing w:after="0" w:line="259" w:lineRule="auto"/>
        <w:rPr>
          <w:sz w:val="20"/>
          <w:szCs w:val="20"/>
          <w:color w:val="auto"/>
        </w:rPr>
      </w:pPr>
      <w:r>
        <w:rPr>
          <w:rFonts w:ascii="Arial" w:cs="Arial" w:eastAsia="Arial" w:hAnsi="Arial"/>
          <w:sz w:val="18"/>
          <w:szCs w:val="18"/>
          <w:color w:val="auto"/>
        </w:rPr>
        <w:t>Net cash used in investing activities was $34.1 million for 2016 compared to $31.3 million for 2015. The increase in cash used in investing activities as compared to 2015 was driven by the $18.0 million acquisition of Toolbox Solutions, net of cash acquired, partially offset by $15.0 million in cash provided by maturities of marketable securities. There was no significant change in the amount of cash used for purchases of marketable securities or capital expenditures in 2016 compared to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Net cash used in financing activities for 2017 was $2.5 million which consisted of $5.8 million of repurchases of our common stock, partially offset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$1.4 million and $1.9 million of proceeds from the exercise of stock options and the net proceeds from the employee stock purchase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respectively. Net cash provided by financing activities was $10.1 million and $8.3 million for 2016 and 2015, respectively, all related to the exercise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 and proceeds from our employee stock purchase plan.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Currency Exchange Rate Changes</w:t>
      </w:r>
    </w:p>
    <w:p>
      <w:pPr>
        <w:spacing w:after="0" w:line="11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 in foreign currency exchange rates. We maintained approximately 7.8%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We believe our cash, cash equivalents, marketable securities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and commercial commitments as of December 31, 2017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5 Years</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24,492</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140" w:firstLine="598"/>
        <w:spacing w:after="0" w:line="277" w:lineRule="auto"/>
        <w:rPr>
          <w:sz w:val="20"/>
          <w:szCs w:val="20"/>
          <w:color w:val="auto"/>
        </w:rPr>
      </w:pPr>
      <w:r>
        <w:rPr>
          <w:rFonts w:ascii="Arial" w:cs="Arial" w:eastAsia="Arial" w:hAnsi="Arial"/>
          <w:sz w:val="18"/>
          <w:szCs w:val="18"/>
          <w:color w:val="auto"/>
        </w:rPr>
        <w:t>The size and breadth of our customer base mitigates the seasonality of any particular retailer. As a result, our results of operations are not materially affected by seasonality.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2016-09, </w:t>
      </w:r>
      <w:r>
        <w:rPr>
          <w:rFonts w:ascii="Arial" w:cs="Arial" w:eastAsia="Arial" w:hAnsi="Arial"/>
          <w:sz w:val="16"/>
          <w:szCs w:val="16"/>
          <w:i w:val="1"/>
          <w:iCs w:val="1"/>
          <w:color w:val="auto"/>
        </w:rPr>
        <w:t>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Accounting </w:t>
      </w:r>
      <w:r>
        <w:rPr>
          <w:rFonts w:ascii="Arial" w:cs="Arial" w:eastAsia="Arial" w:hAnsi="Arial"/>
          <w:sz w:val="16"/>
          <w:szCs w:val="16"/>
          <w:color w:val="auto"/>
        </w:rPr>
        <w:t>(“ASU 2016-09”). The new guidance requires excess tax benefits and tax deficiencies to be recorded in the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when the awards vest or are settled and provides an accounting policy election to account for forfeitures as they occur. In addition, cash flows related to excess tax benefits will no longer be separately classified as a financing activity apart from other income tax cash flows within operating activities. The standard also allows entities to repurchase more of an employee’s shares for tax withholding purposes without triggering liability accounting and clarifies that all cash payments made on an employee’s behalf for withheld shares should be presented as a financing activity on the statements of cash flows. The standard is effective for fiscal years, and interim periods within those fiscal years, beginning after December 15, 2016, with early adoption permitted.</w:t>
      </w:r>
    </w:p>
    <w:p>
      <w:pPr>
        <w:spacing w:after="0" w:line="59"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We adopted ASU 2016-09 during the year ended December 31, 2017. The impact to our consolidated balance sheet as of January 1, 2017 was a $16.3 million increase in deferred income tax assets and a corresponding $16.3 million decrease in accumulated deficit. This impact results from the cumulative-effect adjustment for previously unrecognized excess tax benefits using the modified retrospective method required by the new standard. We elected to adopt the changes in cash flow statement presentation prospectively to be consistent with the prospective transition for the treatment of excess tax benefits in the income statement. Accordingly, we no longer classify excess tax benefits as a financing activity subsequent to January 1, 2017.</w:t>
      </w:r>
    </w:p>
    <w:p>
      <w:pPr>
        <w:spacing w:after="0" w:line="5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On December 22, 2017, the Securities and Exchange Commission (“SEC”) staff issued Staff Accounting Bulletin No. 118 (“SAB 118”) to address the application of U.S. GAAP related to the enactment of the Tax Act. This guidance was adopted in the fourth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The new revenue recognition standard will not materially impact our recognition of the primary fees received from customers for our cloud-based supply chain solutions. The adoption of the new standard will impact our accounting for certain upfront set-up fees and the periods over which the related revenues are recognized, as well as the timing of cost recognition for some sales commissions. When compared to previously reported amounts, revenue will decrease $0.5 million and $0.1 million for the years ended December 31, 2017 and 2016, respectively. Commission expense, which is reported in sales and marketing expense, will decrease $2.0 million for the year ended December 31, 2017 and increase $1.0 million for the year ended December 31, 2016.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right="40" w:firstLine="598"/>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59"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which simplifies the test for goodwill impairment by eliminating step two from the goodwill impairment test. Under the new guidance, an entity should recognize an impairment charge for the amount based on the excess of a reporting unit’s carrying amount over its fair value. The impairment charge will be limited to the amount of goodwill allocated to that reporting unit. This guidance is effective for annual and interim impairment tests performed in periods beginning after December 15, 2019 on a prospective basis, and earlier adoption is permitted for goodwill impairment tests performed on testing dates after January 1, 2017. We believe the adoption of this standard will not have a material impact on our financial statements.</w:t>
      </w:r>
    </w:p>
    <w:p>
      <w:pPr>
        <w:spacing w:after="0" w:line="2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i w:val="1"/>
          <w:iCs w:val="1"/>
          <w:color w:val="auto"/>
        </w:rPr>
        <w:t xml:space="preserve">Interest Rate Sensitivity Risk. </w:t>
      </w:r>
      <w:r>
        <w:rPr>
          <w:rFonts w:ascii="Arial" w:cs="Arial" w:eastAsia="Arial" w:hAnsi="Arial"/>
          <w:sz w:val="16"/>
          <w:szCs w:val="16"/>
          <w:color w:val="auto"/>
        </w:rPr>
        <w:t>The principal objectives of our investment activities are to preserve principal, provide liquidity and maximize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any outstanding debt as of December 31, 2017 and 2016. We therefore do not have any material risk to interest rate fluctuations.</w:t>
      </w:r>
    </w:p>
    <w:p>
      <w:pPr>
        <w:spacing w:after="0" w:line="14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We have revenue, expenses, assets and liabilities that are denominated in currencies other than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Australian dollar and Canadian dollar. As of December 31, 2017, we maintained approximately 7.8%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 and Subsidiaries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Comprehensive Income</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1180" w:type="dxa"/>
            <w:vAlign w:val="bottom"/>
            <w:gridSpan w:val="2"/>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w:t>
              </w:r>
            </w:hyperlink>
          </w:p>
        </w:tc>
        <w:tc>
          <w:tcPr>
            <w:tcW w:w="2040" w:type="dxa"/>
            <w:vAlign w:val="bottom"/>
            <w:gridSpan w:val="5"/>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669"/>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ind w:right="5550"/>
              <w:spacing w:after="0"/>
              <w:rPr>
                <w:sz w:val="20"/>
                <w:szCs w:val="20"/>
                <w:color w:val="auto"/>
              </w:rPr>
            </w:pPr>
            <w:r>
              <w:rPr>
                <w:rFonts w:ascii="Arial" w:cs="Arial" w:eastAsia="Arial" w:hAnsi="Arial"/>
                <w:sz w:val="18"/>
                <w:szCs w:val="18"/>
                <w:color w:val="auto"/>
              </w:rPr>
              <w:t>44</w:t>
            </w: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consolidated balance sheets of SPS Commerce, Inc. (</w:t>
      </w:r>
      <w:r>
        <w:rPr>
          <w:rFonts w:ascii="Arial" w:cs="Arial" w:eastAsia="Arial" w:hAnsi="Arial"/>
          <w:sz w:val="18"/>
          <w:szCs w:val="18"/>
          <w:i w:val="1"/>
          <w:iCs w:val="1"/>
          <w:color w:val="auto"/>
        </w:rPr>
        <w:t>and subsidiaries</w:t>
      </w:r>
      <w:r>
        <w:rPr>
          <w:rFonts w:ascii="Arial" w:cs="Arial" w:eastAsia="Arial" w:hAnsi="Arial"/>
          <w:sz w:val="18"/>
          <w:szCs w:val="18"/>
          <w:color w:val="auto"/>
        </w:rPr>
        <w:t xml:space="preserve">) (the Company) as of December 31, 2017 and 2016, the related consolidated statements of comprehensive income, stockholders’ equity, and cash flows for each of the years in the three-year period ended December 31, 2017, and the related notes (collectively,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5" w:name="page46"/>
    <w:bookmarkEnd w:id="45"/>
    <w:p>
      <w:pPr>
        <w:ind w:right="240"/>
        <w:spacing w:after="0" w:line="259" w:lineRule="auto"/>
        <w:rPr>
          <w:sz w:val="20"/>
          <w:szCs w:val="20"/>
          <w:color w:val="auto"/>
        </w:rPr>
      </w:pPr>
      <w:r>
        <w:rPr>
          <w:rFonts w:ascii="Arial" w:cs="Arial" w:eastAsia="Arial" w:hAnsi="Arial"/>
          <w:sz w:val="18"/>
          <w:szCs w:val="18"/>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 KPMG LLP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35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123,127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40,192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25,091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6,149</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219,456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185,933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51,613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5,206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6,770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asset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17,551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335,520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298,365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18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4,463</w:t>
            </w:r>
          </w:p>
        </w:tc>
        <w:tc>
          <w:tcPr>
            <w:tcW w:w="280" w:type="dxa"/>
            <w:vAlign w:val="bottom"/>
          </w:tcPr>
          <w:p>
            <w:pPr>
              <w:spacing w:after="0"/>
              <w:rPr>
                <w:sz w:val="18"/>
                <w:szCs w:val="18"/>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4,712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43,147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3,064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liability</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58,700</w:t>
            </w:r>
          </w:p>
        </w:tc>
        <w:tc>
          <w:tcPr>
            <w:tcW w:w="2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660" w:type="dxa"/>
            <w:vAlign w:val="bottom"/>
          </w:tcPr>
          <w:p>
            <w:pPr>
              <w:ind w:left="260"/>
              <w:spacing w:after="0"/>
              <w:rPr>
                <w:sz w:val="20"/>
                <w:szCs w:val="20"/>
                <w:color w:val="auto"/>
              </w:rPr>
            </w:pPr>
            <w:r>
              <w:rPr>
                <w:rFonts w:ascii="Arial" w:cs="Arial" w:eastAsia="Arial" w:hAnsi="Arial"/>
                <w:sz w:val="16"/>
                <w:szCs w:val="16"/>
                <w:color w:val="auto"/>
                <w:w w:val="92"/>
              </w:rPr>
              <w:t>Common stock, $0.001 par value; 55,000,000 shares authorized; 17,249,153 and 17,081,145 shares issued; and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tcPr>
          <w:p>
            <w:pPr>
              <w:ind w:left="260"/>
              <w:spacing w:after="0"/>
              <w:rPr>
                <w:sz w:val="20"/>
                <w:szCs w:val="20"/>
                <w:color w:val="auto"/>
              </w:rPr>
            </w:pPr>
            <w:r>
              <w:rPr>
                <w:rFonts w:ascii="Arial" w:cs="Arial" w:eastAsia="Arial" w:hAnsi="Arial"/>
                <w:sz w:val="16"/>
                <w:szCs w:val="16"/>
                <w:color w:val="auto"/>
              </w:rPr>
              <w:t>17,127,006 and 17,081,145 outstanding, respectively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 at cost; 122,147 and 0 shares, respectively</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(5,815)</w:t>
            </w: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301,863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(19,902)</w:t>
            </w: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(33,739)</w:t>
            </w: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276,820</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249,267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6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118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335,520</w:t>
            </w:r>
          </w:p>
        </w:tc>
        <w:tc>
          <w:tcPr>
            <w:tcW w:w="280" w:type="dxa"/>
            <w:vAlign w:val="bottom"/>
          </w:tcPr>
          <w:p>
            <w:pPr>
              <w:spacing w:after="0"/>
              <w:rPr>
                <w:sz w:val="17"/>
                <w:szCs w:val="17"/>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298,365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(loss) income per share</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(loss) income per share</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Unrealized loss on investments, net of tax of $0, $5 and $31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5"/>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Reclassification of unrealized loss on investments into earnings, net of tax of $24, $0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$0</w:t>
            </w:r>
          </w:p>
        </w:tc>
        <w:tc>
          <w:tcPr>
            <w:tcW w:w="2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50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680" w:type="dxa"/>
            <w:vAlign w:val="bottom"/>
            <w:vMerge w:val="restart"/>
          </w:tcPr>
          <w:p>
            <w:pPr>
              <w:spacing w:after="0"/>
              <w:rPr>
                <w:sz w:val="20"/>
                <w:szCs w:val="20"/>
                <w:color w:val="auto"/>
              </w:rPr>
            </w:pPr>
            <w:r>
              <w:rPr>
                <w:rFonts w:ascii="Arial" w:cs="Arial" w:eastAsia="Arial" w:hAnsi="Arial"/>
                <w:sz w:val="14"/>
                <w:szCs w:val="14"/>
                <w:color w:val="auto"/>
              </w:rPr>
              <w:t>Balances, January 1, 2015</w:t>
            </w: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92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6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680" w:type="dxa"/>
            <w:vAlign w:val="bottom"/>
            <w:vMerge w:val="continue"/>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16,348,747</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250,633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(44,088)</w:t>
            </w:r>
          </w:p>
        </w:tc>
        <w:tc>
          <w:tcPr>
            <w:tcW w:w="200" w:type="dxa"/>
            <w:vAlign w:val="bottom"/>
          </w:tcPr>
          <w:p>
            <w:pPr>
              <w:spacing w:after="0"/>
              <w:rPr>
                <w:sz w:val="13"/>
                <w:szCs w:val="13"/>
                <w:color w:val="auto"/>
              </w:rPr>
            </w:pPr>
          </w:p>
        </w:tc>
        <w:tc>
          <w:tcPr>
            <w:tcW w:w="180" w:type="dxa"/>
            <w:vAlign w:val="bottom"/>
            <w:tcBorders>
              <w:top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205,091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346,885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Excess tax benefit of stock options exercised</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28,362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4,639</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(2,119)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(2,119)</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Unrealized loss on investments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Balances, December 31, 2015</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16,723,994</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265,265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(39,449)</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222,185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279,841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Excess tax benefit of stock options exercised</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33,357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Stock issued for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43,953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Reclassification of losses on investments into earnings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Unrealized loss on investments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Balances, December 31, 2016</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17,081,145</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286,315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(33,739)</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(3,326)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249,267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135,906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Cumulative-effect adjustment for previously unrecognized</w:t>
            </w: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excess tax benefits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16,277</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40,968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Retirement of escrow shares</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(8,866)</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(122,147)</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122,147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(5,815)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(5,815)</w:t>
            </w: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(2,440)</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spacing w:after="0"/>
              <w:rPr>
                <w:sz w:val="20"/>
                <w:szCs w:val="20"/>
                <w:color w:val="auto"/>
              </w:rPr>
            </w:pPr>
            <w:r>
              <w:rPr>
                <w:rFonts w:ascii="Arial" w:cs="Arial" w:eastAsia="Arial" w:hAnsi="Arial"/>
                <w:sz w:val="14"/>
                <w:szCs w:val="14"/>
                <w:color w:val="auto"/>
              </w:rPr>
              <w:t>Reclassification of loss on investments into earnings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Balances, December 31, 2017</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17,127,006</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122,147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301,863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(19,902)</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657</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Net (loss) income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(2,440)</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5,710</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Reconciliation of net (loss) income to net cash provided by operating</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(1,698)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earn-out liability</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 and equipment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effects of</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acquisition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(3,735)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(3,517)</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(6,548)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(4,964)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213"/>
        </w:trPr>
        <w:tc>
          <w:tcPr>
            <w:tcW w:w="5760" w:type="dxa"/>
            <w:vAlign w:val="bottom"/>
          </w:tcPr>
          <w:p>
            <w:pPr>
              <w:ind w:left="740"/>
              <w:spacing w:after="0"/>
              <w:rPr>
                <w:sz w:val="20"/>
                <w:szCs w:val="20"/>
                <w:color w:val="auto"/>
              </w:rPr>
            </w:pPr>
            <w:r>
              <w:rPr>
                <w:rFonts w:ascii="Arial" w:cs="Arial" w:eastAsia="Arial" w:hAnsi="Arial"/>
                <w:sz w:val="16"/>
                <w:szCs w:val="16"/>
                <w:color w:val="auto"/>
              </w:rPr>
              <w:t>Other current and non-current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13"/>
        </w:trPr>
        <w:tc>
          <w:tcPr>
            <w:tcW w:w="5760" w:type="dxa"/>
            <w:vAlign w:val="bottom"/>
          </w:tcPr>
          <w:p>
            <w:pPr>
              <w:ind w:left="740"/>
              <w:spacing w:after="0"/>
              <w:rPr>
                <w:sz w:val="20"/>
                <w:szCs w:val="20"/>
                <w:color w:val="auto"/>
              </w:rPr>
            </w:pPr>
            <w:r>
              <w:rPr>
                <w:rFonts w:ascii="Arial" w:cs="Arial" w:eastAsia="Arial" w:hAnsi="Arial"/>
                <w:sz w:val="16"/>
                <w:szCs w:val="16"/>
                <w:color w:val="auto"/>
              </w:rPr>
              <w:t>Accrued compensation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3"/>
        </w:trPr>
        <w:tc>
          <w:tcPr>
            <w:tcW w:w="576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6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31,050</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18,765</w:t>
            </w: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14,429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(7,271)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(8,008)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(8,757)</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(47,878)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(23,135)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(22,527)</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business and intangible assets, net of cash acquired</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(18,032)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(22,620)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(34,157)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(31,284)</w:t>
            </w:r>
          </w:p>
        </w:tc>
        <w:tc>
          <w:tcPr>
            <w:tcW w:w="0" w:type="dxa"/>
            <w:vAlign w:val="bottom"/>
          </w:tcPr>
          <w:p>
            <w:pPr>
              <w:spacing w:after="0"/>
              <w:rPr>
                <w:sz w:val="1"/>
                <w:szCs w:val="1"/>
                <w:color w:val="auto"/>
              </w:rPr>
            </w:pPr>
          </w:p>
        </w:tc>
      </w:tr>
      <w:tr>
        <w:trPr>
          <w:trHeight w:val="21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(5,815)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exercise of options to purchase common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60"/>
              <w:spacing w:after="0"/>
              <w:rPr>
                <w:sz w:val="20"/>
                <w:szCs w:val="20"/>
                <w:color w:val="auto"/>
              </w:rPr>
            </w:pPr>
            <w:r>
              <w:rPr>
                <w:rFonts w:ascii="Arial" w:cs="Arial" w:eastAsia="Arial" w:hAnsi="Arial"/>
                <w:sz w:val="16"/>
                <w:szCs w:val="16"/>
                <w:color w:val="auto"/>
              </w:rPr>
              <w:t>Excess tax benefit from exercise of options to purchase</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80"/>
              <w:spacing w:after="0"/>
              <w:rPr>
                <w:sz w:val="20"/>
                <w:szCs w:val="20"/>
                <w:color w:val="auto"/>
              </w:rPr>
            </w:pPr>
            <w:r>
              <w:rPr>
                <w:rFonts w:ascii="Arial" w:cs="Arial" w:eastAsia="Arial" w:hAnsi="Arial"/>
                <w:sz w:val="16"/>
                <w:szCs w:val="16"/>
                <w:color w:val="auto"/>
              </w:rPr>
              <w:t>common stock</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employee stock purchase plan</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6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(2,472)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foreign currency exchange rate changes</w:t>
            </w: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6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(5,661)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(9,257)</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year</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121,538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115,877</w:t>
            </w:r>
          </w:p>
        </w:tc>
        <w:tc>
          <w:tcPr>
            <w:tcW w:w="1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121,538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10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Cash paid for income taxes, net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722</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financing activities: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Net purchases of property and equipment on account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issued for business acquisitions</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the products that consumers buy. We derive the majority of our revenues from thousands of monthly recurring subscriptions from businesses that utilize our solutions.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Assets and liabilities denominated in currencies other than the U.S. dollar are translated into U.S. dollars at the exchange rates in effect at the balance sheet date, with the resulting translation adjustments recorded as a separate component of accumulated other comprehensive loss. Income and expense accounts are translated at the average exchange rates during the year. Foreign currency transaction gains and losses, if any, are included in net income (loss).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80" w:firstLine="598"/>
        <w:spacing w:after="0" w:line="271" w:lineRule="auto"/>
        <w:rPr>
          <w:sz w:val="20"/>
          <w:szCs w:val="20"/>
          <w:color w:val="auto"/>
        </w:rPr>
      </w:pPr>
      <w:r>
        <w:rPr>
          <w:rFonts w:ascii="Arial" w:cs="Arial" w:eastAsia="Arial" w:hAnsi="Arial"/>
          <w:sz w:val="17"/>
          <w:szCs w:val="17"/>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use estimates and assumptions that we believe are reasonable as a part of determining the value and useful lives of purchased intangible assets and the purchase price allocation process. 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comprehensive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in and report on one segment, which is supply chain management solutions</w:t>
      </w:r>
      <w:r>
        <w:rPr>
          <w:rFonts w:ascii="Arial" w:cs="Arial" w:eastAsia="Arial" w:hAnsi="Arial"/>
          <w:sz w:val="18"/>
          <w:szCs w:val="18"/>
          <w:i w:val="1"/>
          <w:i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temporary cash and cash equivalents in financial institutions in excess of federally insured limits and trade accounts receivable. Temporary cash investments are held with financial institutions that we believe are subject to minimal risk.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 Cash and cash equivalents are stated at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Management determines the appropriate classification of certificates of deposit and marketable securities at the time of purchase and reevaluates such determination at each balance sheet date. Securities are classified as available for sale and are carried at fair value, with the change in unrealized gains and losses, net of tax, reported as a separate component on the consolidated statements of comprehensive income.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300" w:firstLine="598"/>
        <w:spacing w:after="0" w:line="342" w:lineRule="auto"/>
        <w:rPr>
          <w:sz w:val="20"/>
          <w:szCs w:val="20"/>
          <w:color w:val="auto"/>
        </w:rPr>
      </w:pPr>
      <w:r>
        <w:rPr>
          <w:rFonts w:ascii="Arial" w:cs="Arial" w:eastAsia="Arial" w:hAnsi="Arial"/>
          <w:sz w:val="16"/>
          <w:szCs w:val="16"/>
          <w:color w:val="auto"/>
        </w:rPr>
        <w:t>The carrying amounts of our financial instruments, which include cash, cash equivalents, accounts receivable, accounts payable and other accrued expenses, approximates fair value due to their short maturities. Marketable securities are recorded at fair value as further described in Note 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80" w:firstLine="598"/>
        <w:spacing w:after="0" w:line="293" w:lineRule="auto"/>
        <w:rPr>
          <w:sz w:val="20"/>
          <w:szCs w:val="20"/>
          <w:color w:val="auto"/>
        </w:rPr>
      </w:pPr>
      <w:r>
        <w:rPr>
          <w:rFonts w:ascii="Arial" w:cs="Arial" w:eastAsia="Arial" w:hAnsi="Arial"/>
          <w:sz w:val="16"/>
          <w:szCs w:val="16"/>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 Depreciation and amortization are computed using the straight-line method over the estimated useful lives when placed in service, which are:</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Computer equipment and software: 2 to 3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Office equipment and furniture: 5 to 7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Leasehold improvements: the shorter of the useful life of the asset or the remaining term of the lease</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We also capitalize and amortize eligible costs to acquire or develop internal-use software that are incurred during the development stage. The assets and related accumulated depreciation and amortization are adjusted for asset retirements and disposals with the resulting gain or loss included in our consolidated statements of comprehensive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the testing date.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57" w:lineRule="exact"/>
        <w:rPr>
          <w:sz w:val="20"/>
          <w:szCs w:val="20"/>
          <w:color w:val="auto"/>
        </w:rPr>
      </w:pPr>
    </w:p>
    <w:p>
      <w:pPr>
        <w:ind w:right="620" w:firstLine="598"/>
        <w:spacing w:after="0" w:line="308" w:lineRule="auto"/>
        <w:rPr>
          <w:sz w:val="20"/>
          <w:szCs w:val="20"/>
          <w:color w:val="auto"/>
        </w:rPr>
      </w:pPr>
      <w:r>
        <w:rPr>
          <w:rFonts w:ascii="Arial" w:cs="Arial" w:eastAsia="Arial" w:hAnsi="Arial"/>
          <w:sz w:val="17"/>
          <w:szCs w:val="17"/>
          <w:color w:val="auto"/>
        </w:rPr>
        <w:t>The purchased intangible assets are being amortized on a straight-line basis over their estimated useful lives, which are three to nine years for subscriber relationships, two to five years for non-competition agreements and one to four years for technology and other.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generate revenues by providing three types of solutions to our customers; fulfillment, enablement and analytics. Our cloud-based solutions allow our customers to meet their supply chain management requirements.</w:t>
      </w:r>
    </w:p>
    <w:p>
      <w:pPr>
        <w:spacing w:after="0" w:line="62"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Revenues are recognized when all of the following criteria are met: (1) persuasive evidence of an arrangement exists, (2) delivery has occurred, (3) the fee is fixed or determinable, and (4) collectability is probable. If collection is not considered probable, revenues are recognized when the fees are collected.</w:t>
      </w:r>
    </w:p>
    <w:p>
      <w:pPr>
        <w:spacing w:after="0" w:line="7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Fees related to our fulfillment and analytics solutions consist of two revenue sources: set-up fees and recurring monthly fees. Set-up fees are specific for each connection a customer has with a trading partner and most of our customers have connections with numerous trading partners. Set-up fees are nonrefundable upfront fees that do not have standalone value to our customer and are not separable from the recurring monthly fees. All set-up fees and related costs are deferred and recognized ratably over the average life of the connection between the customer and the trading partner, which is approximately two years. We begin recognizing set-up fee revenue once the connection is established. Set-up fees for which connections have not yet been established are classified as long-term. We continue to evaluate the length of the amortization period as more experience is gained with cancellations and technology changes requested by our customers. It is possible that, in the future, the period over which such subscription set-up fees and costs are amortized may be adjusted. Any change in our estimate of the average connection life will affect our future results of operations. The recurring monthly fees are comprised of both fixed and transaction-based fees that are recognized as earned.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40" w:firstLine="598"/>
        <w:spacing w:after="0" w:line="342"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w:t>
      </w:r>
    </w:p>
    <w:p>
      <w:pPr>
        <w:spacing w:after="0" w:line="16" w:lineRule="exact"/>
        <w:rPr>
          <w:sz w:val="20"/>
          <w:szCs w:val="20"/>
          <w:color w:val="auto"/>
        </w:rPr>
      </w:pPr>
    </w:p>
    <w:p>
      <w:pPr>
        <w:jc w:val="both"/>
        <w:ind w:right="140" w:firstLine="598"/>
        <w:spacing w:after="0" w:line="259" w:lineRule="auto"/>
        <w:rPr>
          <w:sz w:val="20"/>
          <w:szCs w:val="20"/>
          <w:color w:val="auto"/>
        </w:rPr>
      </w:pPr>
      <w:r>
        <w:rPr>
          <w:rFonts w:ascii="Arial" w:cs="Arial" w:eastAsia="Arial" w:hAnsi="Arial"/>
          <w:sz w:val="18"/>
          <w:szCs w:val="18"/>
          <w:color w:val="auto"/>
        </w:rPr>
        <w:t>We estimate the fair value of options granted using the Black-Scholes option pricing model. In valuing share-based awards, 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based on the simplified method which does not consider historical employee exercise behavior.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judgement, there is a less than a 50% likelihood that the deferred tax asset will be utilized.</w:t>
      </w:r>
    </w:p>
    <w:p>
      <w:pPr>
        <w:spacing w:after="0" w:line="8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significant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80" w:lineRule="exact"/>
        <w:rPr>
          <w:sz w:val="20"/>
          <w:szCs w:val="20"/>
          <w:color w:val="auto"/>
        </w:rPr>
      </w:pPr>
    </w:p>
    <w:p>
      <w:pPr>
        <w:ind w:right="200" w:firstLine="598"/>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Basic net income (loss) per share has been computed using the weighted average number of shares of common stock outstanding during each period. Diluted net income (loss) per share also includes the impact of our outstanding potential common shares, including options, restricted stock units and restricted stock awards. Potential common shares that are anti-dilutive are excluded from the calculation of diluted net income (loss) per share.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80" w:firstLine="598"/>
        <w:spacing w:after="0" w:line="254"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(“ASU 2016-09”). The new guidance requires excess tax benefits and tax deficiencies to be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when the awards vest or are settled and provides an accounting policy election to account for forfeitures as they occur. In addition, cash flows related to excess tax benefits will no longer be separately classified as a financing activity apart from other income tax cash flows within operating activities. The standard also allows entities to repurchase more of an employee’s shares for tax withholding purposes without triggering liability accounting and clarifies that all cash payments made on an employee’s behalf for withheld shares should be presented as a financing activity on the statements of cash flows. The standard is effective for fiscal years, and interim periods within those fiscal years, beginning after December 15, 2016, with early adoption permitted.</w:t>
      </w:r>
    </w:p>
    <w:p>
      <w:pPr>
        <w:spacing w:after="0" w:line="84"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We adopted ASU 2016-09 during the year ended December 31, 2017. The impact to our consolidated balance sheet as of January 1, 2017 was a $16.3 million increase in deferred income tax assets and a corresponding $16.3 million decrease in accumulated deficit. This impact results from the cumulative-effect adjustment for previously unrecognized excess tax benefits using the modified retrospective method required by the new standard. We elected to adopt the changes in cash flow statement presentation prospectively to be consistent with the prospective transition for the treatment of excess tax benefits in the income statement. Accordingly, we no longer classify excess tax benefits as a financing activity subsequent to January 1, 2017.</w:t>
      </w:r>
    </w:p>
    <w:p>
      <w:pPr>
        <w:spacing w:after="0" w:line="50"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On December 22, 2017, the Securities and Exchange Commission (“SEC”) staff issued Staff Accounting Bulletin No. 118 (“SAB 118”) to address the application of U.S. GAAP related to the enactment of the comprehensive tax legislation, commonly referred to as the Tax Cut and Jobs Act (“Tax Act”). This guidance was adopted in the fourth quarter of 2017. Additional information regarding our adoption of this guidance is contained in Note J.</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will replace most existing revenue recognition guidance in GAAP when it becomes effective. These new requirements are effective for annual reporting periods beginning after December 15, 2017, and interim periods within those annual periods. The new revenue recognition standard will not materially impact our recognition of the primary fees received from customers for our cloud-based supply chain solutions. The adoption of the new standard will impact our accounting for certain upfront set-up fees and the periods over which the related revenues are recognized, as well as the timing of cost recognition for some sales commissions. When compared to previously reported amounts, revenue will decrease $0.5 million and $0.1 million for the years ended December 31, 2017 and 2016, respectively. Commission expense, which is reported in sales and marketing expense, will decrease $2.0 million for the year ended December 31, 2017 and increase $1.0 million for the year ended December 31, 2016.</w:t>
      </w:r>
    </w:p>
    <w:p>
      <w:pPr>
        <w:spacing w:after="0" w:line="70"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impact on our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60" w:firstLine="598"/>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w:t>
      </w:r>
      <w:r>
        <w:rPr>
          <w:rFonts w:ascii="Arial" w:cs="Arial" w:eastAsia="Arial" w:hAnsi="Arial"/>
          <w:sz w:val="17"/>
          <w:szCs w:val="17"/>
          <w:color w:val="auto"/>
        </w:rPr>
        <w:t>, which simplifies the test for goodwill impairment by eliminating step two from the goodwill impairment test. Under the new guidance, an entity should recognize an impairment charge for the amount based on the excess of a reporting unit’s carrying amount over its fair value. The impairment charge will be limited to the amount of goodwill allocated to that reporting unit. This guidance is effective for annual and interim impairment tests performed in periods beginning after December 15, 2019 on a prospective basis, and earlier adoption is permitted for goodwill impairment tests performed on testing dates after January 1, 2017. We believe the adoption of this standard will not have a material impact on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Toolbox Solutions, Inc.</w:t>
      </w:r>
    </w:p>
    <w:p>
      <w:pPr>
        <w:spacing w:after="0" w:line="121"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On January 5, 2016, we completed our acquisition of all of the outstanding common shares of Toolbox Solutions, Inc. (“Toolbox Solutions”), a privately held company providing point-of-sale analytics and category management services to retailers and consumer packaged goods suppliers in North America. This acquisition expanded our retail network and strengthened our analytics offerings. Pursuant to the share purchase agreement, we paid $18.0 million in cash and issued $2.9 million in stock, or 43,953 shares of common stock, to the shareholders of Toolbox Solutions. The purchase agreement also allowed the sellers to receive up to 16,222 additional shares of common stock, which would have become payable contingent upon the completion of certain revenue milestones, none of which were met, and therefore, no additional shares were issued. During the year ended December 31, 2016, we recognized other income of $1.1 million in our consolidated statements of comprehensive income due to the remeasurement of this contingent liability.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purchase price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18,032</w:t>
            </w:r>
          </w:p>
        </w:tc>
        <w:tc>
          <w:tcPr>
            <w:tcW w:w="12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SPS Commerce, Inc. common stock</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share-based earn-out liability</w:t>
            </w:r>
          </w:p>
        </w:tc>
        <w:tc>
          <w:tcPr>
            <w:tcW w:w="7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FF0FC"/>
          </w:tcPr>
          <w:p>
            <w:pPr>
              <w:spacing w:after="0"/>
              <w:rPr>
                <w:sz w:val="19"/>
                <w:szCs w:val="19"/>
                <w:color w:val="auto"/>
              </w:rPr>
            </w:pPr>
          </w:p>
        </w:tc>
      </w:tr>
      <w:tr>
        <w:trPr>
          <w:trHeight w:val="223"/>
        </w:trPr>
        <w:tc>
          <w:tcPr>
            <w:tcW w:w="9400" w:type="dxa"/>
            <w:vAlign w:val="bottom"/>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21,997</w:t>
            </w:r>
          </w:p>
        </w:tc>
        <w:tc>
          <w:tcPr>
            <w:tcW w:w="1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The final purchase price was subject to a net working capital adjustment to be determined by the sellers and us, pursuant to the terms of the purchase agreement. The number of shares of our common stock issued for the acquisition was a net of 43,953 shares, which consisted of 48,668 shares issued at closing, as calculated according to the terms of the purchase agreement, less 4,715 shares that were returned to us from escrow in the fourth quarter of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ind w:right="280" w:firstLine="598"/>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net of cash acquired of $0.4 million, and liabilities assumed at the acquisition date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15,389</w:t>
            </w:r>
          </w:p>
        </w:tc>
        <w:tc>
          <w:tcPr>
            <w:tcW w:w="12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Intangible assets</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(1,249)</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w:t>
            </w:r>
          </w:p>
        </w:tc>
        <w:tc>
          <w:tcPr>
            <w:tcW w:w="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(2,221)</w:t>
            </w:r>
          </w:p>
        </w:tc>
      </w:tr>
      <w:tr>
        <w:trPr>
          <w:trHeight w:val="223"/>
        </w:trPr>
        <w:tc>
          <w:tcPr>
            <w:tcW w:w="9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21,997</w:t>
            </w:r>
          </w:p>
        </w:tc>
        <w:tc>
          <w:tcPr>
            <w:tcW w:w="1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70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Non-competition agreements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8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January 5, 2016 through December 31, 2016 was $1.4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117" w:lineRule="exact"/>
        <w:rPr>
          <w:sz w:val="20"/>
          <w:szCs w:val="20"/>
          <w:color w:val="auto"/>
        </w:rPr>
      </w:pPr>
    </w:p>
    <w:p>
      <w:pPr>
        <w:jc w:val="both"/>
        <w:ind w:right="260" w:firstLine="598"/>
        <w:spacing w:after="0" w:line="302" w:lineRule="auto"/>
        <w:rPr>
          <w:sz w:val="20"/>
          <w:szCs w:val="20"/>
          <w:color w:val="auto"/>
        </w:rPr>
      </w:pPr>
      <w:r>
        <w:rPr>
          <w:rFonts w:ascii="Arial" w:cs="Arial" w:eastAsia="Arial" w:hAnsi="Arial"/>
          <w:sz w:val="16"/>
          <w:szCs w:val="16"/>
          <w:color w:val="auto"/>
        </w:rPr>
        <w:t>Acquisition-related costs were $0.1 million and are included in our consolidated statement of comprehensive income for the year ended December 31, 2016. The operating results of Toolbox Solutions have been included in our consolidated financial statements since January 5, 2016, the closing date of the acquisition. For the period from January 5, 2016 through December 31, 2016, approximately $7.9 million of our revenues were derived from Toolbox Solutions’ products and services. The amount of operating income or loss from Toolbox Solutions was not separately identifiable due to our integration.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unaudited pro forma financial information in the table below presents the combined operating results of SPS Commerce and Toolbox Solutions as if the acquisition had occurred on January 1, 2015. The unaudited pro forma information includes the historical operating results of each company and pro forma adjustments for the approximately $1.4 million of annual amortization expense related to purchased intangible assets and the additional impact on the provision or benefit for income taxes, resulting from the combined income and intangible amortization expense, using our statutory blended income tax rate of 26.5%.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100" w:firstLine="598"/>
        <w:spacing w:after="0" w:line="264"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2015, nor is it necessarily indicative of our results of operations for any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4"/>
                <w:szCs w:val="14"/>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88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 forma total revenue</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193,525</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 forma net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Financial Instruments</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Investments with remaining maturities of more than one year from the balance sheet date are classified as long-term investments.</w:t>
      </w:r>
    </w:p>
    <w:p>
      <w:pPr>
        <w:spacing w:after="0" w:line="63"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Our short- and long-term marketable securities are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73"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equivalents and short- and long-term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4"/>
              <w:spacing w:after="0" w:line="147"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4"/>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104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74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Gains (Losses)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Gains (Losses)</w:t>
            </w: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104,544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104,544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75,375</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U.S. agency obligations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Due within one year</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144,736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Due within two years</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assessment of available evidence as of December 31, 2017. We expect to receive the full principal and interest on all of these cash equivalents and short- and long-term investments.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80" w:firstLine="598"/>
        <w:spacing w:after="0" w:line="340"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23" w:lineRule="exact"/>
        <w:rPr>
          <w:sz w:val="20"/>
          <w:szCs w:val="20"/>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200" w:right="260" w:hanging="598"/>
        <w:spacing w:after="0" w:line="302"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46" w:lineRule="exact"/>
        <w:rPr>
          <w:rFonts w:ascii="Arial" w:cs="Arial" w:eastAsia="Arial" w:hAnsi="Arial"/>
          <w:sz w:val="16"/>
          <w:szCs w:val="16"/>
          <w:color w:val="auto"/>
        </w:rPr>
      </w:pPr>
    </w:p>
    <w:p>
      <w:pPr>
        <w:ind w:left="1200" w:hanging="598"/>
        <w:spacing w:after="0"/>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29"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at December 31, 2017:</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Commerical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Assets at December 31, 2016:</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75,375</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Commerical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agency obligations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75,375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Allowance for Doubtful Accounts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2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2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2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(1,457)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(1,306)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Balances, December 31</w:t>
            </w:r>
          </w:p>
        </w:tc>
        <w:tc>
          <w:tcPr>
            <w:tcW w:w="27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700" w:type="dxa"/>
            <w:vAlign w:val="bottom"/>
            <w:vMerge w:val="restart"/>
          </w:tcPr>
          <w:p>
            <w:pPr>
              <w:jc w:val="right"/>
              <w:ind w:right="899"/>
              <w:spacing w:after="0"/>
              <w:rPr>
                <w:sz w:val="20"/>
                <w:szCs w:val="20"/>
                <w:color w:val="auto"/>
              </w:rPr>
            </w:pPr>
            <w:r>
              <w:rPr>
                <w:rFonts w:ascii="Arial" w:cs="Arial" w:eastAsia="Arial" w:hAnsi="Arial"/>
                <w:sz w:val="18"/>
                <w:szCs w:val="18"/>
                <w:color w:val="auto"/>
              </w:rPr>
              <w:t>59</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E –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included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29,270</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w:t>
            </w:r>
          </w:p>
        </w:tc>
        <w:tc>
          <w:tcPr>
            <w:tcW w:w="12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44,201</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(33,951)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(28,887)</w:t>
            </w: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15,314</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At December 31, 2017 and 2016, property and equipment, net included approximately $2.2 million and $2.1 million, respectively, of assets held at subsidiary and office locations outside of the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net carrying amount of goodwill for the years ended December 31, 2017 and 2016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left="857"/>
              <w:spacing w:after="0"/>
              <w:rPr>
                <w:sz w:val="20"/>
                <w:szCs w:val="20"/>
                <w:color w:val="auto"/>
              </w:rPr>
            </w:pPr>
            <w:r>
              <w:rPr>
                <w:rFonts w:ascii="Arial" w:cs="Arial" w:eastAsia="Arial" w:hAnsi="Arial"/>
                <w:sz w:val="14"/>
                <w:szCs w:val="14"/>
                <w:b w:val="1"/>
                <w:bCs w:val="1"/>
                <w:color w:val="auto"/>
                <w:w w:val="89"/>
              </w:rPr>
              <w:t>2017</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5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49,777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Additions from business acquisitions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Balances, December 31</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bottom w:val="single" w:sz="8" w:color="auto"/>
            </w:tcBorders>
          </w:tcPr>
          <w:p>
            <w:pPr>
              <w:jc w:val="center"/>
              <w:ind w:right="459"/>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51,613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0"/>
              <w:spacing w:after="0"/>
              <w:rPr>
                <w:sz w:val="20"/>
                <w:szCs w:val="20"/>
                <w:color w:val="auto"/>
              </w:rPr>
            </w:pPr>
            <w:r>
              <w:rPr>
                <w:rFonts w:ascii="Arial" w:cs="Arial" w:eastAsia="Arial" w:hAnsi="Arial"/>
                <w:sz w:val="18"/>
                <w:szCs w:val="18"/>
                <w:color w:val="auto"/>
                <w:w w:val="98"/>
              </w:rPr>
              <w:t>Intangible assets, net included the following (in thousands):</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40" w:type="dxa"/>
            <w:vAlign w:val="bottom"/>
            <w:gridSpan w:val="2"/>
          </w:tcPr>
          <w:p>
            <w:pPr>
              <w:jc w:val="center"/>
              <w:ind w:left="61"/>
              <w:spacing w:after="0" w:line="133"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left="61"/>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020" w:type="dxa"/>
            <w:vAlign w:val="bottom"/>
            <w:gridSpan w:val="4"/>
          </w:tcPr>
          <w:p>
            <w:pPr>
              <w:jc w:val="center"/>
              <w:ind w:right="65"/>
              <w:spacing w:after="0"/>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614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(1,518)</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(23,168)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718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40" w:type="dxa"/>
            <w:vAlign w:val="bottom"/>
            <w:gridSpan w:val="2"/>
          </w:tcPr>
          <w:p>
            <w:pPr>
              <w:jc w:val="center"/>
              <w:ind w:left="61"/>
              <w:spacing w:after="0" w:line="133" w:lineRule="exact"/>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left="61"/>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020" w:type="dxa"/>
            <w:vAlign w:val="bottom"/>
            <w:gridSpan w:val="4"/>
          </w:tcPr>
          <w:p>
            <w:pPr>
              <w:jc w:val="center"/>
              <w:ind w:right="65"/>
              <w:spacing w:after="0"/>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(15,708)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295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18,323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(1,818)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(18,646)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375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60" w:name="page61"/>
    <w:bookmarkEnd w:id="60"/>
    <w:p>
      <w:pPr>
        <w:ind w:right="480" w:firstLine="598"/>
        <w:spacing w:after="0" w:line="277" w:lineRule="auto"/>
        <w:rPr>
          <w:sz w:val="20"/>
          <w:szCs w:val="20"/>
          <w:color w:val="auto"/>
        </w:rPr>
      </w:pPr>
      <w:r>
        <w:rPr>
          <w:rFonts w:ascii="Arial" w:cs="Arial" w:eastAsia="Arial" w:hAnsi="Arial"/>
          <w:sz w:val="18"/>
          <w:szCs w:val="18"/>
          <w:color w:val="auto"/>
        </w:rPr>
        <w:t>Amortization expense was $4.6 million, $4.7 million and $3.3 million for the years ended December 31, 2017, 2016 and 2015, respectively. At December 31, 2017, future amortization expense for intangible assets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2019</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firstLine="598"/>
        <w:spacing w:after="0" w:line="271" w:lineRule="auto"/>
        <w:rPr>
          <w:sz w:val="20"/>
          <w:szCs w:val="20"/>
          <w:color w:val="auto"/>
        </w:rPr>
      </w:pPr>
      <w:r>
        <w:rPr>
          <w:rFonts w:ascii="Arial" w:cs="Arial" w:eastAsia="Arial" w:hAnsi="Arial"/>
          <w:sz w:val="18"/>
          <w:szCs w:val="18"/>
          <w:color w:val="auto"/>
        </w:rPr>
        <w:t>We are obligated under non-cancellable operating leases primarily for office space. Rent expense for all operating leases, which includes minimum lease payments and other charges such as common area maintenance fees, charged to operations was $4.9 million, $5.0 million and $4.6 million for the years ended December 31, 2017, 2016 and 2015, respectively.</w:t>
      </w:r>
    </w:p>
    <w:p>
      <w:pPr>
        <w:spacing w:after="0" w:line="69"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On December 20, 2017, we executed the fourth amendment to our lease agreement for our current headquarters located in Minneapolis, Minnesota where we lease approximately 166,000 square feet under an agreement that expires on April 30, 2025. We have agreed to expand our headquarters premises by approximately 48,000 square feet during 2018 and 2020. Our lease agreement also includes a further expansion right and a right of first offer to lease certain additional space and two options to extend the term of the lease for five years at a market rate determined in accordance with the lease. We received $3.2 million in incentives upon execution of the amendment which have been incorporated into our deferred rent calculation.</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2017, our future minimum payments under operating leases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2019</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Our management believes that the outcome of any such claims and legal actions will not have a material effect on our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117"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In connection with the acquisition of Toolbox Solutions (see Note B), we issued a net of 43,953 shares which consisted of 48,668 shares issued at closing, as calculated according to the terms of the purchase agreement, less 4,715 shares that were returned to us from escrow in the fourth quarter of 2016. The fair value of the shares we issued, approximately $2.9 million, was determined using the closing price of our common stock on January 5, 2016.</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the second quarter of 2017, 8,866 shares were returned from escrow pursuant to the agreement with Toolbox Solutions.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On November 2, 2017, our board of directors authorized a program to repurchase up to $50.0 million of common stock. Under the program, purchases may be made from time to time in the open market over the next two years. The number of shares to be purchased and the timing of purchases will be based on the price of our common stock, general business and market conditions and other investment considerations and factors.</w:t>
      </w:r>
    </w:p>
    <w:p>
      <w:pPr>
        <w:spacing w:after="0" w:line="57"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program does not obligate us to repurchase any specific number of shares and may be suspended or discontinued at any time without prior notice. We intend to finance the share repurchase program with cash on hand.</w:t>
      </w:r>
    </w:p>
    <w:p>
      <w:pPr>
        <w:spacing w:after="0" w:line="62"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During the fourth quarter of 2017, we repurchased 122,147 shares at a cost of $5.8 million. As of December 31, 2017, $44.2 million of the $50.0 million share repurchases authorized was available for future share repurchases.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Stock-Based Compensation</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2017 and February 2016, 1,024,868 and 1,003,439 additional shares, respectively, were reserved for future issuance under our 2010 Equity Incentive Plan. At December 31, 2017, there were approximately 4.6 million shares available for grant under approved equity compensation plans.</w:t>
      </w:r>
    </w:p>
    <w:p>
      <w:pPr>
        <w:spacing w:after="0" w:line="99"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We recorded stock-based compensation expense of $12.7 million, $8.0 million and $6.4 million for the years ended December 31, 2017, 2016 and 2015, respectively. During the year ended December 31, 2017, stock-based compensation expense included a $3.6 million charge due to immediate expensing of equity awards upon our Chief Executive Officer meeting certain age and years of service conditions. Stock-based compensation expense was allocated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9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12,727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As of December 31, 2017, there was approximately $11.6 million of unrecognized stock-based compensation expense under our equity compensation plans, which is expected to be recognized on a straight-line basis over a weighted-average period of 2.5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 options generally vest over four years and have a contractual term of seven to ten years from the date of grant. Our stock option activity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r>
      <w:tr>
        <w:trPr>
          <w:trHeight w:val="162"/>
        </w:trPr>
        <w:tc>
          <w:tcPr>
            <w:tcW w:w="78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r>
      <w:tr>
        <w:trPr>
          <w:trHeight w:val="171"/>
        </w:trPr>
        <w:tc>
          <w:tcPr>
            <w:tcW w:w="7840" w:type="dxa"/>
            <w:vAlign w:val="bottom"/>
          </w:tcPr>
          <w:p>
            <w:pPr>
              <w:spacing w:after="0"/>
              <w:rPr>
                <w:sz w:val="14"/>
                <w:szCs w:val="14"/>
                <w:color w:val="auto"/>
              </w:rPr>
            </w:pP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2015</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1,085,463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181,487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(305,106)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(18,741)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943,103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340,609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(221,630)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(46,070)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19"/>
                <w:szCs w:val="19"/>
                <w:color w:val="auto"/>
              </w:rPr>
            </w:pP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172,697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(65,502)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(25,876)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9"/>
                <w:szCs w:val="19"/>
                <w:color w:val="auto"/>
              </w:rPr>
            </w:pPr>
          </w:p>
        </w:tc>
      </w:tr>
      <w:tr>
        <w:trPr>
          <w:trHeight w:val="223"/>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1,097,331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Of the total outstanding options at December 31, 2017, 743,471 were exercisable with a weighted average exercise price of $44.58 per share. The total outstanding options had a weighted average remaining contractual life of 4.0 years.</w:t>
      </w:r>
    </w:p>
    <w:p>
      <w:pPr>
        <w:spacing w:after="0" w:line="76"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fair value of options that vested during the years ended December 31, 2017, 2016 and 2015 was $4.2 million, $3.4 million and $3.1 million, respectively.</w:t>
      </w:r>
    </w:p>
    <w:p>
      <w:pPr>
        <w:spacing w:after="0" w:line="76" w:lineRule="exact"/>
        <w:rPr>
          <w:sz w:val="20"/>
          <w:szCs w:val="20"/>
          <w:color w:val="auto"/>
        </w:rPr>
      </w:pPr>
    </w:p>
    <w:p>
      <w:pPr>
        <w:ind w:right="80" w:firstLine="598"/>
        <w:spacing w:after="0" w:line="271" w:lineRule="auto"/>
        <w:rPr>
          <w:sz w:val="20"/>
          <w:szCs w:val="20"/>
          <w:color w:val="auto"/>
        </w:rPr>
      </w:pPr>
      <w:r>
        <w:rPr>
          <w:rFonts w:ascii="Arial" w:cs="Arial" w:eastAsia="Arial" w:hAnsi="Arial"/>
          <w:sz w:val="18"/>
          <w:szCs w:val="18"/>
          <w:color w:val="auto"/>
        </w:rPr>
        <w:t>The intrinsic value of options exercised during the years ended December 31, 2017, 2016 and 2015 was $2.8 million, $8.6 million and $16.8 million, respectively. The intrinsic value of outstanding options at December 31, 2017, 2016 and 2015 was $7.3 million, $25.6 million and $30.5 million, respectively.</w:t>
      </w:r>
    </w:p>
    <w:p>
      <w:pPr>
        <w:spacing w:after="0" w:line="69"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weighted-average fair values per share of options granted during the years ended December 31, 2017, 2016 and 2015 were $18.85, $16.13 and $23.09, respectively. The fair values of the options granted were estimated on the date of grant using the Black-Scholes option pricing model with the following weighted-average assumptions:</w:t>
      </w:r>
    </w:p>
    <w:p>
      <w:pPr>
        <w:spacing w:after="0" w:line="186"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bl>
    <w:p>
      <w:pPr>
        <w:spacing w:after="0" w:line="106"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expected volatility of the options is based on the historical volatility of our common stock. We have not issued dividends on our common stock and do not expect to do so in the foreseeable future. The expected term of the options is based on the simplified method which does not consider historical employee exercise behavior. The risk-free interest rate is based on the U.S. Treasury rates at the date of grant with maturity dates approximately equal to the expected life at the grant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Performance Share Units and Restricted Stock Units and Awards</w:t>
      </w:r>
    </w:p>
    <w:p>
      <w:pPr>
        <w:spacing w:after="0" w:line="117"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February 2017, our executive officers were granted performance share unit (“PSU”) awards with vesting contingent on successful attainment of predetermined revenue targets over the course of a three-year performance period. No expense for PSU awards was recognized during the year ended December 31, 2017 as the probability of attainment of the revenue target decreased.</w:t>
      </w:r>
    </w:p>
    <w:p>
      <w:pPr>
        <w:spacing w:after="0" w:line="73"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Restricted stock units (“RSU”) vest over four years and, upon vesting, the holder is entitled to receive shares of our common stock. With restricted stock awards (“RSA”), shares of our common stock are issued when the award is granted and the restrictions lapse over one year.</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PSU and RSU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PSUs and RSUs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7860" w:type="dxa"/>
            <w:vAlign w:val="bottom"/>
          </w:tcPr>
          <w:p>
            <w:pPr>
              <w:spacing w:after="0"/>
              <w:rPr>
                <w:sz w:val="14"/>
                <w:szCs w:val="14"/>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2015</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115,133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68,159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(37,669)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115,896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(52,133)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189,042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211,168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(64,950)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number of PSUs and RSUs outstanding at December 31, 2017 included 44,177 units that have vested, but the shares of common stock have not yet been issued pursuant to the terms of the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RSA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020" w:type="dxa"/>
            <w:vAlign w:val="bottom"/>
          </w:tcPr>
          <w:p>
            <w:pPr>
              <w:ind w:left="620"/>
              <w:spacing w:after="0"/>
              <w:rPr>
                <w:sz w:val="20"/>
                <w:szCs w:val="20"/>
                <w:color w:val="auto"/>
              </w:rPr>
            </w:pPr>
            <w:r>
              <w:rPr>
                <w:rFonts w:ascii="Arial" w:cs="Arial" w:eastAsia="Arial" w:hAnsi="Arial"/>
                <w:sz w:val="14"/>
                <w:szCs w:val="14"/>
                <w:b w:val="1"/>
                <w:bCs w:val="1"/>
                <w:color w:val="auto"/>
              </w:rPr>
              <w:t>RSAs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Grant Date 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80" w:type="dxa"/>
            <w:vAlign w:val="bottom"/>
            <w:gridSpan w:val="2"/>
          </w:tcPr>
          <w:p>
            <w:pPr>
              <w:ind w:left="856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2015</w:t>
            </w: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tcPr>
          <w:p>
            <w:pPr>
              <w:jc w:val="right"/>
              <w:spacing w:after="0"/>
              <w:rPr>
                <w:sz w:val="20"/>
                <w:szCs w:val="20"/>
                <w:color w:val="auto"/>
              </w:rPr>
            </w:pPr>
            <w:r>
              <w:rPr>
                <w:rFonts w:ascii="Arial" w:cs="Arial" w:eastAsia="Arial" w:hAnsi="Arial"/>
                <w:sz w:val="18"/>
                <w:szCs w:val="18"/>
                <w:color w:val="auto"/>
              </w:rPr>
              <w:t>4,110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tcPr>
          <w:p>
            <w:pPr>
              <w:jc w:val="right"/>
              <w:spacing w:after="0"/>
              <w:rPr>
                <w:sz w:val="20"/>
                <w:szCs w:val="20"/>
                <w:color w:val="auto"/>
              </w:rPr>
            </w:pPr>
            <w:r>
              <w:rPr>
                <w:rFonts w:ascii="Arial" w:cs="Arial" w:eastAsia="Arial" w:hAnsi="Arial"/>
                <w:sz w:val="18"/>
                <w:szCs w:val="18"/>
                <w:color w:val="auto"/>
              </w:rPr>
              <w:t>5,454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20"/>
              <w:spacing w:after="0"/>
              <w:rPr>
                <w:sz w:val="20"/>
                <w:szCs w:val="20"/>
                <w:color w:val="auto"/>
              </w:rPr>
            </w:pPr>
            <w:r>
              <w:rPr>
                <w:rFonts w:ascii="Arial" w:cs="Arial" w:eastAsia="Arial" w:hAnsi="Arial"/>
                <w:sz w:val="18"/>
                <w:szCs w:val="18"/>
                <w:color w:val="auto"/>
              </w:rPr>
              <w:t>64</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98"/>
        <w:spacing w:after="0" w:line="280" w:lineRule="auto"/>
        <w:rPr>
          <w:sz w:val="20"/>
          <w:szCs w:val="20"/>
          <w:color w:val="auto"/>
        </w:rPr>
      </w:pPr>
      <w:r>
        <w:rPr>
          <w:rFonts w:ascii="Arial" w:cs="Arial" w:eastAsia="Arial" w:hAnsi="Arial"/>
          <w:sz w:val="17"/>
          <w:szCs w:val="17"/>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1.0 million shares of common stock are remaining for issuance under the plan.</w:t>
      </w:r>
    </w:p>
    <w:p>
      <w:pPr>
        <w:spacing w:after="0" w:line="62" w:lineRule="exact"/>
        <w:rPr>
          <w:sz w:val="20"/>
          <w:szCs w:val="20"/>
          <w:color w:val="auto"/>
        </w:rPr>
      </w:pPr>
    </w:p>
    <w:p>
      <w:pPr>
        <w:ind w:right="780" w:firstLine="598"/>
        <w:spacing w:after="0" w:line="308" w:lineRule="auto"/>
        <w:rPr>
          <w:sz w:val="20"/>
          <w:szCs w:val="20"/>
          <w:color w:val="auto"/>
        </w:rPr>
      </w:pPr>
      <w:r>
        <w:rPr>
          <w:rFonts w:ascii="Arial" w:cs="Arial" w:eastAsia="Arial" w:hAnsi="Arial"/>
          <w:sz w:val="17"/>
          <w:szCs w:val="17"/>
          <w:color w:val="auto"/>
        </w:rPr>
        <w:t>For the offering periods in 2017, 2016 and 2015, we withheld approximately $1.9 million, $1.7 million and $1.5 million, respectively, from employees participating in the plan and purchased 40,968 shares, 33,357 shares and 28,362 shares, respectively, on their behalf.</w:t>
      </w:r>
    </w:p>
    <w:p>
      <w:pPr>
        <w:spacing w:after="0" w:line="52"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For the years ended December 31, 2017, 2016 and 2015, we recorded approximately $0.7 million, $0.6 million and $0.4 million,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152"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Our provisions for income taxes included current federal, foreign and state income tax expense, as well as deferred tax expense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8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3,684</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2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Borders>
              <w:top w:val="single" w:sz="8" w:color="CFF0FC"/>
              <w:bottom w:val="single" w:sz="8" w:color="CFF0FC"/>
            </w:tcBorders>
            <w:shd w:val="clear" w:color="auto" w:fill="CFF0FC"/>
          </w:tcPr>
          <w:p>
            <w:pPr>
              <w:spacing w:after="0"/>
              <w:rPr>
                <w:sz w:val="19"/>
                <w:szCs w:val="19"/>
                <w:color w:val="auto"/>
              </w:rPr>
            </w:pP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11,580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The current federal provision in the table above includes a $0.4 million reclass of alternative minimum tax (“AMT”) credit carryforwards from the deferred federal provision. These unutilized AMT credit carryforwards become partially refundable in 2019, 2020 and 2021 and fully refundable in 2022.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5" w:name="page66"/>
    <w:bookmarkEnd w:id="65"/>
    <w:p>
      <w:pPr>
        <w:ind w:left="600"/>
        <w:spacing w:after="0"/>
        <w:rPr>
          <w:sz w:val="20"/>
          <w:szCs w:val="20"/>
          <w:color w:val="auto"/>
        </w:rPr>
      </w:pPr>
      <w:r>
        <w:rPr>
          <w:rFonts w:ascii="Arial" w:cs="Arial" w:eastAsia="Arial" w:hAnsi="Arial"/>
          <w:sz w:val="18"/>
          <w:szCs w:val="18"/>
          <w:color w:val="auto"/>
        </w:rPr>
        <w:t>A reconciliation of the expected federal income tax at the statutory rate to the provision for income taxes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0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Expected federal income tax at statutory rate</w:t>
            </w:r>
          </w:p>
        </w:tc>
        <w:tc>
          <w:tcPr>
            <w:tcW w:w="17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Tax impact of foreign activity</w:t>
            </w:r>
          </w:p>
        </w:tc>
        <w:tc>
          <w:tcPr>
            <w:tcW w:w="1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Permanent book/tax differences</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Change in state deferred rate</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w:t>
            </w:r>
          </w:p>
        </w:tc>
        <w:tc>
          <w:tcPr>
            <w:tcW w:w="1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Tax impact of Tax Cuts and Jobs Act</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Tax impact of stock activity</w:t>
            </w:r>
          </w:p>
        </w:tc>
        <w:tc>
          <w:tcPr>
            <w:tcW w:w="1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3"/>
        </w:trPr>
        <w:tc>
          <w:tcPr>
            <w:tcW w:w="5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provision for income taxes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11,580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tax provision for the year ended December 31, 2017 includes tax benefits of $0.9 million for the excess tax deduction from stock activity. It also includes tax expense of $8.6 million related to The Job Cuts and Tax Act (“Tax Act”), primarily due to the reduction in corporate tax rate to 21.0% resulting in a decrease in our U.S. net deferred tax assets.</w:t>
      </w:r>
    </w:p>
    <w:p>
      <w:pPr>
        <w:spacing w:after="0" w:line="73"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Differences between our effective tax rate and statutory tax rates are primarily due to the impact of the Tax Act, as well as permanently non-deductible expenses partially offset by the federal research and development credit. Additionally, under ASU 2016-09, excess tax benefits generated upon settlement or exercise of stock awards are now recognized as a reduction to income tax expense as a discrete tax item in the period that the event occurs creating potentially significant fluctuation in tax expense by year.</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70"/>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285"/>
              <w:spacing w:after="0" w:line="155"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operating loss and credit carryforwards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11,067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operations</w:t>
            </w:r>
          </w:p>
        </w:tc>
        <w:tc>
          <w:tcPr>
            <w:tcW w:w="36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allowances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Gross deferred tax asset</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18,122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12,862</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valuation allowance</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(649)</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net deferred tax asset</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17,520</w:t>
            </w:r>
          </w:p>
        </w:tc>
        <w:tc>
          <w:tcPr>
            <w:tcW w:w="2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Deferred operations</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3"/>
          </w:tcPr>
          <w:p>
            <w:pPr>
              <w:jc w:val="right"/>
              <w:ind w:right="54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operations</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(1,536)</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(1,328)</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5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(1,856)</w:t>
            </w: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(1,678)</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As of December 31, 2017, we had net operating loss carryforwards of $58.5 million for U.S. federal tax purposes. We also had $10.6 million of various state net operating loss carryforwards. The loss carryforwards for federal tax purposes will expire between 2020 and 2036 if not utilized. The loss carryforwards for state tax purposes will expire between 2018 and 2036 if not utilized.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firstLine="598"/>
        <w:spacing w:after="0" w:line="271" w:lineRule="auto"/>
        <w:rPr>
          <w:sz w:val="20"/>
          <w:szCs w:val="20"/>
          <w:color w:val="auto"/>
        </w:rPr>
      </w:pPr>
      <w:r>
        <w:rPr>
          <w:rFonts w:ascii="Arial" w:cs="Arial" w:eastAsia="Arial" w:hAnsi="Arial"/>
          <w:sz w:val="17"/>
          <w:szCs w:val="17"/>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$1.0 million. This limitation could be further restricted if any ownership changes occur in future years. Accordingly, our deferred tax assets are reported net of the excess tax deductions for stock compensation and Section 382 limitations.</w:t>
      </w:r>
    </w:p>
    <w:p>
      <w:pPr>
        <w:spacing w:after="0" w:line="7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of December 31, 2017 we had federal research and development credit carryforwards, net of Section 383 limitations, of $1.2 million, which, if not utilized, will begin to expire in 2030. We had state research and development credit carryforwards of $0.6 million which, if not utilized, will begin to expire in 2025.</w:t>
      </w:r>
    </w:p>
    <w:p>
      <w:pPr>
        <w:spacing w:after="0" w:line="73"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As of December 31, 2017, we had a valuation allowance against our deferred tax assets of $0.6 million. The valuation allowance is established for state net operating loss and credit carryforwards that we do not expect to utilize based on our current expectations of future state taxable income.</w:t>
      </w:r>
    </w:p>
    <w:p>
      <w:pPr>
        <w:spacing w:after="0" w:line="16"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We are subject to income taxes in the U.S. federal, various state and international jurisdictions. We are generally subject to U.S. federal and state tax examinations for all prior tax years due to our net operating loss carryforwards and the utilization of the carryforwards in years still open under statute.</w:t>
      </w:r>
    </w:p>
    <w:p>
      <w:pPr>
        <w:spacing w:after="0" w:line="16"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As of December 31, 2017,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The Tax Act, which was enacted on December 22, 2017, includes broad and complex changes to the U.S tax code. The Tax Act reduces the corporate federal income tax rate to 21.0% effective January 1, 2018 and establishes a mandatory tax on previously untaxed foreign earnings and profits (“E&amp;P”). The Tax Act expands the limitations for executive compensation under Section 162(m) and includes transition rules for previously awarded compensation.</w:t>
      </w:r>
    </w:p>
    <w:p>
      <w:pPr>
        <w:spacing w:after="0" w:line="39"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color w:val="auto"/>
        </w:rPr>
        <w:t>Accounting Standard Codification 740 requires a company to record the effects of a tax law change in the period of enactment, however, the SEC staff issued SAB 118, which allows a company to record a provisional amount when it does not have the necessary information available, prepared or analyzed in reasonable detail to complete its accounting for the change in the tax law. The measurement period ends when the company has obtained, prepared and analyzed the information necessary to finalize its accounting, but cannot extend beyond one year.</w:t>
      </w:r>
    </w:p>
    <w:p>
      <w:pPr>
        <w:spacing w:after="0" w:line="63"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We have finalized our accounting for the corporate rate reduction and have recorded a decrease to our net deferred tax assets of $8.6 million with a corresponding adjustment to deferred tax expense for the year ended December 31, 2017. We have estimated that there is no tax on mandatory deemed repatriation due to a net foreign E&amp;P deficit. We are continuing to evaluate the impact of the Tax Act on the taxation of previously untaxed foreign E&amp;P and the deferred tax liability for withholding taxes on dividends. We are also continuing to evaluate the impact the expanded Section 162(m) limitations and related transition rules have on our deferred tax assets related to stock compensation.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 K – Net Income (Loss) Per Share</w:t>
      </w:r>
    </w:p>
    <w:p>
      <w:pPr>
        <w:spacing w:after="0" w:line="121"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(loss)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Net (loss) income</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(2,440)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5,710</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16,565</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500"/>
              <w:spacing w:after="0"/>
              <w:rPr>
                <w:sz w:val="20"/>
                <w:szCs w:val="20"/>
                <w:color w:val="auto"/>
              </w:rPr>
            </w:pPr>
            <w:r>
              <w:rPr>
                <w:rFonts w:ascii="Arial" w:cs="Arial" w:eastAsia="Arial" w:hAnsi="Arial"/>
                <w:sz w:val="18"/>
                <w:szCs w:val="18"/>
                <w:color w:val="auto"/>
              </w:rPr>
              <w:t>Restricted stock units</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stock purchase plan</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63"/>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3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17,183</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17,241</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tcBorders>
              <w:bottom w:val="single" w:sz="8" w:color="CFF0FC"/>
            </w:tcBorders>
          </w:tcPr>
          <w:p>
            <w:pPr>
              <w:spacing w:after="0"/>
              <w:rPr>
                <w:sz w:val="22"/>
                <w:szCs w:val="22"/>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1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For the years ended December 31, 2017, 2016 and 2015, the effect of approximately 283,000, 5,000 and 4,000 outstanding potential common shares, respectively, were excluded from the calculation of diluted net income (loss) per share as they were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Retirement Savings Plan</w:t>
      </w:r>
    </w:p>
    <w:p>
      <w:pPr>
        <w:spacing w:after="0" w:line="121" w:lineRule="exact"/>
        <w:rPr>
          <w:sz w:val="20"/>
          <w:szCs w:val="20"/>
          <w:color w:val="auto"/>
        </w:rPr>
      </w:pPr>
    </w:p>
    <w:p>
      <w:pPr>
        <w:ind w:right="200" w:firstLine="598"/>
        <w:spacing w:after="0" w:line="288" w:lineRule="auto"/>
        <w:rPr>
          <w:sz w:val="20"/>
          <w:szCs w:val="20"/>
          <w:color w:val="auto"/>
        </w:rPr>
      </w:pPr>
      <w:r>
        <w:rPr>
          <w:rFonts w:ascii="Arial" w:cs="Arial" w:eastAsia="Arial" w:hAnsi="Arial"/>
          <w:sz w:val="16"/>
          <w:szCs w:val="16"/>
          <w:color w:val="auto"/>
        </w:rPr>
        <w:t>We sponsor a 401(k) retirement savings plan for our U.S. employees. Employees can contribute up to 100% of their compensation, subject to the limits established by law. We match 25% of the employee’s contribution up to the first 6% of pre-tax annual compensation. Additionally, we make statutory contributions to retirement plans as required by local foreign government regulations. Our contributions to the plans, which vest immediately, were</w:t>
      </w:r>
    </w:p>
    <w:p>
      <w:pPr>
        <w:spacing w:after="0"/>
        <w:rPr>
          <w:sz w:val="20"/>
          <w:szCs w:val="20"/>
          <w:color w:val="auto"/>
        </w:rPr>
      </w:pPr>
      <w:r>
        <w:rPr>
          <w:rFonts w:ascii="Arial" w:cs="Arial" w:eastAsia="Arial" w:hAnsi="Arial"/>
          <w:sz w:val="18"/>
          <w:szCs w:val="18"/>
          <w:color w:val="auto"/>
        </w:rPr>
        <w:t>$1.6 million, $1.4 million and $1.1 million for the years ended December 31, 2017, 2016 and 2015, respectively.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Related Party Transactions</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officers. These officers receive no compensation from the Foundation for the management services performed for the Foundation. The Foundation is not a subsidiary of ours and the financial results of the Foundation are not consolidated with our financial statements. We made contributions of $0.2 million and $0.3 million to the Foundation for the years ended December 31, 2017 and 2016, respectively. We have no current legal obligations for future commitments to the Foundation.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N –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our selected unaudited quarterly statements of comprehensive income data (in thousands,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36,093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w:t>
            </w:r>
          </w:p>
        </w:tc>
        <w:tc>
          <w:tcPr>
            <w:tcW w:w="18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45,599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47,351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49,284</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51,061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69" w:name="page70"/>
    <w:bookmarkEnd w:id="69"/>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2017,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2017, our disclosure controls and procedures were effective.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200" w:right="160" w:hanging="598"/>
        <w:spacing w:after="0" w:line="342" w:lineRule="auto"/>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200" w:right="6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60" w:firstLine="598"/>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2017,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w:t>
      </w:r>
    </w:p>
    <w:p>
      <w:pPr>
        <w:spacing w:after="0" w:line="5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2017 based on the specified criteria.</w:t>
      </w:r>
    </w:p>
    <w:p>
      <w:pPr>
        <w:spacing w:after="0" w:line="62" w:lineRule="exact"/>
        <w:rPr>
          <w:sz w:val="20"/>
          <w:szCs w:val="20"/>
          <w:color w:val="auto"/>
        </w:rPr>
      </w:pPr>
    </w:p>
    <w:p>
      <w:pPr>
        <w:ind w:right="680" w:firstLine="59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2017 has been audited by KPMG LLP, our independent registered public accounting firm, as stated in their report, which is included under Item 8 of this Annual Report on Form 10-K.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2017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240" w:top="661" w:right="739" w:bottom="1440" w:gutter="0" w:footer="0" w:header="0"/>
        </w:sectPr>
      </w:pPr>
    </w:p>
    <w:bookmarkStart w:id="71" w:name="page72"/>
    <w:bookmarkEnd w:id="71"/>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2018 Proxy Statement under the caption “Item 1 – Election of Directors,” which will be filed no later than 120 days after the end of the fiscal year covered by this Annual Report on Form 10-K, and is incorporated herein by reference.</w:t>
      </w:r>
    </w:p>
    <w:p>
      <w:pPr>
        <w:spacing w:after="0" w:line="79"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information required by this item under Item 405 of Regulation S-K is incorporated herein by reference to the section titled “Section 16(a) Beneficial Ownership Reporting Compliance” of our 2018 Proxy Statement, which will be filed no later than 120 days after the end of the fiscal year covered by this Annual Report on Form 10-K.</w:t>
      </w:r>
    </w:p>
    <w:p>
      <w:pPr>
        <w:spacing w:after="0" w:line="73"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The information required by this item under Item 407(d)(4) and (d)(5) of Regulation S-K is incorporated herein by reference to the section titled “Information Regarding the Board of Directors and Corporate Governance—Board Committees—Audit Committee” of our 2018 Proxy Statement, which will be filed no later than 120 days after the end of the fiscal year covered by this Annual Report on Form 10-K.</w:t>
      </w:r>
    </w:p>
    <w:p>
      <w:pPr>
        <w:spacing w:after="0" w:line="73"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“Director Compensation” and “Certain Relationships and Related Transactions—Compensation Committee Interlocks and Insider Participation” of our 2018 Proxy Statement, which will be filed no later than 120 days after the end of the fiscal year covered by this Annual Report on Form 10-K.</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The information related to security ownership required by this item is incorporated herein by reference to the section titled “Security Ownership” of our 2018 Proxy Statement, which will be filed no later than 120 days after the end of the fiscal year covered by this Annual Report on Form 10-K.</w:t>
      </w:r>
    </w:p>
    <w:p>
      <w:pPr>
        <w:spacing w:after="0" w:line="2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titled “Certain Relationships and Related Transactions,” and “Information Regarding the Board of Directors and Corporate Governance—Director Independence” of our 2018 Proxy Statement, which will be filed no later than 120 days after the end of the fiscal year covered by this Annual Report on Form 10-K.</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 titled “Audit Committee Report and Payment of Fees to Our Independent Auditor” of our 2018 Proxy Statement, which will be filed no later than 120 days after the end of the fiscal year covered by this Annual Report on Form 10-K.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1180" w:hanging="295"/>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880" w:right="40" w:firstLine="5"/>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880" w:firstLine="5"/>
        <w:spacing w:after="0" w:line="277" w:lineRule="auto"/>
        <w:tabs>
          <w:tab w:leader="none" w:pos="11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1"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9"/>
              </w:rPr>
              <w:t>File</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0"/>
          </w:tcPr>
          <w:p>
            <w:pPr>
              <w:ind w:left="260"/>
              <w:spacing w:after="0"/>
              <w:rPr>
                <w:sz w:val="20"/>
                <w:szCs w:val="20"/>
                <w:color w:val="auto"/>
              </w:rPr>
            </w:pPr>
            <w:r>
              <w:rPr>
                <w:rFonts w:ascii="Arial" w:cs="Arial" w:eastAsia="Arial" w:hAnsi="Arial"/>
                <w:sz w:val="14"/>
                <w:szCs w:val="14"/>
                <w:b w:val="1"/>
                <w:bCs w:val="1"/>
                <w:i w:val="1"/>
                <w:iCs w:val="1"/>
                <w:color w:val="auto"/>
              </w:rPr>
              <w:t>Exhibit Description</w:t>
            </w:r>
          </w:p>
        </w:tc>
        <w:tc>
          <w:tcPr>
            <w:tcW w:w="10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Exhibit 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Filed Herewith</w:t>
            </w:r>
          </w:p>
        </w:tc>
        <w:tc>
          <w:tcPr>
            <w:tcW w:w="20" w:type="dxa"/>
            <w:vAlign w:val="bottom"/>
          </w:tcPr>
          <w:p>
            <w:pPr>
              <w:spacing w:after="0"/>
              <w:rPr>
                <w:sz w:val="14"/>
                <w:szCs w:val="14"/>
                <w:color w:val="auto"/>
              </w:rPr>
            </w:pPr>
          </w:p>
        </w:tc>
      </w:tr>
      <w:tr>
        <w:trPr>
          <w:trHeight w:val="291"/>
        </w:trPr>
        <w:tc>
          <w:tcPr>
            <w:tcW w:w="114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60" w:type="dxa"/>
            <w:vAlign w:val="bottom"/>
            <w:tcBorders>
              <w:bottom w:val="single" w:sz="8" w:color="0000EE"/>
            </w:tcBorders>
            <w:gridSpan w:val="10"/>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Amended and Restated Certificate of</w:t>
              </w:r>
            </w:hyperlink>
          </w:p>
        </w:tc>
        <w:tc>
          <w:tcPr>
            <w:tcW w:w="1120" w:type="dxa"/>
            <w:vAlign w:val="bottom"/>
            <w:gridSpan w:val="1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S-3</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333-182097</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06/13/2012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Incorporation</w:t>
              </w:r>
            </w:hyperlink>
          </w:p>
        </w:tc>
        <w:tc>
          <w:tcPr>
            <w:tcW w:w="2800" w:type="dxa"/>
            <w:vAlign w:val="bottom"/>
            <w:gridSpan w:val="2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89">
              <w:r>
                <w:rPr>
                  <w:rFonts w:ascii="Arial" w:cs="Arial" w:eastAsia="Arial" w:hAnsi="Arial"/>
                  <w:sz w:val="18"/>
                  <w:szCs w:val="18"/>
                  <w:color w:val="0000EE"/>
                </w:rPr>
                <w:t>Amended and Restated Bylaws</w:t>
              </w:r>
            </w:hyperlink>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10/17/2017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2001 Stock Option Plan**</w:t>
              </w:r>
            </w:hyperlink>
          </w:p>
        </w:tc>
        <w:tc>
          <w:tcPr>
            <w:tcW w:w="340" w:type="dxa"/>
            <w:vAlign w:val="bottom"/>
            <w:tcBorders>
              <w:top w:val="single" w:sz="8" w:color="0000EE"/>
            </w:tcBorders>
            <w:gridSpan w:val="2"/>
          </w:tcPr>
          <w:p>
            <w:pPr>
              <w:spacing w:after="0"/>
              <w:rPr>
                <w:sz w:val="24"/>
                <w:szCs w:val="24"/>
                <w:color w:val="auto"/>
              </w:rPr>
            </w:pPr>
          </w:p>
        </w:tc>
        <w:tc>
          <w:tcPr>
            <w:tcW w:w="1540" w:type="dxa"/>
            <w:vAlign w:val="bottom"/>
            <w:gridSpan w:val="15"/>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91">
              <w:r>
                <w:rPr>
                  <w:rFonts w:ascii="Arial" w:cs="Arial" w:eastAsia="Arial" w:hAnsi="Arial"/>
                  <w:sz w:val="18"/>
                  <w:szCs w:val="18"/>
                  <w:color w:val="0000EE"/>
                  <w:w w:val="96"/>
                </w:rPr>
                <w:t>Form of Incentive Stock Option Agreement under</w:t>
              </w:r>
            </w:hyperlink>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2001 Stock Option Plan**</w:t>
              </w:r>
            </w:hyperlink>
          </w:p>
        </w:tc>
        <w:tc>
          <w:tcPr>
            <w:tcW w:w="1680" w:type="dxa"/>
            <w:vAlign w:val="bottom"/>
            <w:tcBorders>
              <w:top w:val="single" w:sz="8" w:color="0000EE"/>
            </w:tcBorders>
            <w:gridSpan w:val="12"/>
          </w:tcPr>
          <w:p>
            <w:pPr>
              <w:spacing w:after="0"/>
              <w:rPr>
                <w:sz w:val="17"/>
                <w:szCs w:val="17"/>
                <w:color w:val="auto"/>
              </w:rPr>
            </w:pPr>
          </w:p>
        </w:tc>
        <w:tc>
          <w:tcPr>
            <w:tcW w:w="20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(Director) under 2001 Stock Option Plan**</w:t>
              </w:r>
            </w:hyperlink>
          </w:p>
        </w:tc>
        <w:tc>
          <w:tcPr>
            <w:tcW w:w="66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2010 Equity Incentive Plan, as amended effective</w:t>
              </w:r>
            </w:hyperlink>
          </w:p>
        </w:tc>
        <w:tc>
          <w:tcPr>
            <w:tcW w:w="1120" w:type="dxa"/>
            <w:vAlign w:val="bottom"/>
          </w:tcPr>
          <w:p>
            <w:pPr>
              <w:spacing w:after="0"/>
              <w:rPr>
                <w:sz w:val="20"/>
                <w:szCs w:val="20"/>
                <w:color w:val="auto"/>
              </w:rPr>
            </w:pPr>
            <w:r>
              <w:rPr>
                <w:rFonts w:ascii="Arial" w:cs="Arial" w:eastAsia="Arial" w:hAnsi="Arial"/>
                <w:sz w:val="18"/>
                <w:szCs w:val="18"/>
                <w:color w:val="auto"/>
              </w:rPr>
              <w:t>10-K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02/20/2015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October 29, 2014**</w:t>
              </w:r>
            </w:hyperlink>
          </w:p>
        </w:tc>
        <w:tc>
          <w:tcPr>
            <w:tcW w:w="22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94">
              <w:r>
                <w:rPr>
                  <w:rFonts w:ascii="Arial" w:cs="Arial" w:eastAsia="Arial" w:hAnsi="Arial"/>
                  <w:sz w:val="18"/>
                  <w:szCs w:val="18"/>
                  <w:color w:val="0000EE"/>
                  <w:w w:val="96"/>
                </w:rPr>
                <w:t>Form of Incentive Stock Option Agreement under</w:t>
              </w:r>
            </w:hyperlink>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2010 Equity Incentive Plan**</w:t>
              </w:r>
            </w:hyperlink>
          </w:p>
        </w:tc>
        <w:tc>
          <w:tcPr>
            <w:tcW w:w="1440" w:type="dxa"/>
            <w:vAlign w:val="bottom"/>
            <w:tcBorders>
              <w:top w:val="single" w:sz="8" w:color="0000EE"/>
            </w:tcBorders>
            <w:gridSpan w:val="11"/>
          </w:tcPr>
          <w:p>
            <w:pPr>
              <w:spacing w:after="0"/>
              <w:rPr>
                <w:sz w:val="17"/>
                <w:szCs w:val="17"/>
                <w:color w:val="auto"/>
              </w:rPr>
            </w:pPr>
          </w:p>
        </w:tc>
        <w:tc>
          <w:tcPr>
            <w:tcW w:w="20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3"/>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(Employee) under 2010 Equity Incentive Plan**</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(Director) under 2010 Equity Incentive Plan**</w:t>
              </w:r>
            </w:hyperlink>
          </w:p>
        </w:tc>
        <w:tc>
          <w:tcPr>
            <w:tcW w:w="42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540" w:type="dxa"/>
            <w:vAlign w:val="bottom"/>
            <w:tcBorders>
              <w:bottom w:val="single" w:sz="8" w:color="0000EE"/>
            </w:tcBorders>
            <w:gridSpan w:val="1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Restricted Stock Unit Award Agreement</w:t>
              </w:r>
            </w:hyperlink>
          </w:p>
        </w:tc>
        <w:tc>
          <w:tcPr>
            <w:tcW w:w="240" w:type="dxa"/>
            <w:vAlign w:val="bottom"/>
            <w:gridSpan w:val="7"/>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02/15/2017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under 2010 Equity Incentive Plan**</w:t>
              </w:r>
            </w:hyperlink>
          </w:p>
        </w:tc>
        <w:tc>
          <w:tcPr>
            <w:tcW w:w="118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3640" w:type="dxa"/>
            <w:vAlign w:val="bottom"/>
            <w:tcBorders>
              <w:bottom w:val="single" w:sz="8" w:color="0000EE"/>
            </w:tcBorders>
            <w:gridSpan w:val="20"/>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Restricted Stock Award Agreement under</w:t>
              </w:r>
            </w:hyperlink>
          </w:p>
        </w:tc>
        <w:tc>
          <w:tcPr>
            <w:tcW w:w="140" w:type="dxa"/>
            <w:vAlign w:val="bottom"/>
            <w:gridSpan w:val="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05/08/2012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2010 Equity Incentive Plan**</w:t>
              </w:r>
            </w:hyperlink>
          </w:p>
        </w:tc>
        <w:tc>
          <w:tcPr>
            <w:tcW w:w="16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3660" w:type="dxa"/>
            <w:vAlign w:val="bottom"/>
            <w:tcBorders>
              <w:bottom w:val="single" w:sz="8" w:color="0000EE"/>
            </w:tcBorders>
            <w:gridSpan w:val="21"/>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Form of Performance Stock Unit Agreement under</w:t>
              </w:r>
            </w:hyperlink>
          </w:p>
        </w:tc>
        <w:tc>
          <w:tcPr>
            <w:tcW w:w="120" w:type="dxa"/>
            <w:vAlign w:val="bottom"/>
            <w:gridSpan w:val="2"/>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02/18/2018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2010 Equity Incentive Plan**</w:t>
              </w:r>
            </w:hyperlink>
          </w:p>
        </w:tc>
        <w:tc>
          <w:tcPr>
            <w:tcW w:w="16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Non-Employee Director Compensation Policy**</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3500" w:type="dxa"/>
            <w:vAlign w:val="bottom"/>
            <w:tcBorders>
              <w:top w:val="single" w:sz="8" w:color="0000EE"/>
            </w:tcBorders>
            <w:gridSpan w:val="15"/>
          </w:tcPr>
          <w:p>
            <w:pPr>
              <w:spacing w:after="0"/>
              <w:rPr>
                <w:rFonts w:ascii="Arial" w:cs="Arial" w:eastAsia="Arial" w:hAnsi="Arial"/>
                <w:sz w:val="18"/>
                <w:szCs w:val="18"/>
                <w:color w:val="0000EE"/>
              </w:rPr>
            </w:pPr>
            <w:hyperlink r:id="rId100">
              <w:r>
                <w:rPr>
                  <w:rFonts w:ascii="Arial" w:cs="Arial" w:eastAsia="Arial" w:hAnsi="Arial"/>
                  <w:sz w:val="18"/>
                  <w:szCs w:val="18"/>
                  <w:color w:val="0000EE"/>
                </w:rPr>
                <w:t>Form of Indemnification Agreement for</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Independent Directors</w:t>
              </w:r>
            </w:hyperlink>
          </w:p>
        </w:tc>
        <w:tc>
          <w:tcPr>
            <w:tcW w:w="1260" w:type="dxa"/>
            <w:vAlign w:val="bottom"/>
            <w:tcBorders>
              <w:top w:val="single" w:sz="8" w:color="0000EE"/>
            </w:tcBorders>
            <w:gridSpan w:val="7"/>
          </w:tcPr>
          <w:p>
            <w:pPr>
              <w:spacing w:after="0"/>
              <w:rPr>
                <w:sz w:val="17"/>
                <w:szCs w:val="17"/>
                <w:color w:val="auto"/>
              </w:rPr>
            </w:pPr>
          </w:p>
        </w:tc>
        <w:tc>
          <w:tcPr>
            <w:tcW w:w="920" w:type="dxa"/>
            <w:vAlign w:val="bottom"/>
            <w:gridSpan w:val="1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3620" w:type="dxa"/>
            <w:vAlign w:val="bottom"/>
            <w:tcBorders>
              <w:bottom w:val="single" w:sz="8" w:color="0000EE"/>
            </w:tcBorders>
            <w:gridSpan w:val="19"/>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Form of Indemnification Agreement for Archie C.</w:t>
              </w:r>
            </w:hyperlink>
          </w:p>
        </w:tc>
        <w:tc>
          <w:tcPr>
            <w:tcW w:w="160" w:type="dxa"/>
            <w:vAlign w:val="bottom"/>
            <w:gridSpan w:val="4"/>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Black**</w:t>
              </w:r>
            </w:hyperlink>
          </w:p>
        </w:tc>
        <w:tc>
          <w:tcPr>
            <w:tcW w:w="3180" w:type="dxa"/>
            <w:vAlign w:val="bottom"/>
            <w:gridSpan w:val="2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3480" w:type="dxa"/>
            <w:vAlign w:val="bottom"/>
            <w:tcBorders>
              <w:bottom w:val="single" w:sz="8" w:color="0000EE"/>
            </w:tcBorders>
            <w:gridSpan w:val="14"/>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Employment Agreement between the Company</w:t>
              </w:r>
            </w:hyperlink>
          </w:p>
        </w:tc>
        <w:tc>
          <w:tcPr>
            <w:tcW w:w="300" w:type="dxa"/>
            <w:vAlign w:val="bottom"/>
            <w:gridSpan w:val="9"/>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03/05/2010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3"/>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and Archie C. Black**</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9"/>
        </w:trPr>
        <w:tc>
          <w:tcPr>
            <w:tcW w:w="1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508"/>
              <w:spacing w:after="0" w:line="149" w:lineRule="exact"/>
              <w:rPr>
                <w:sz w:val="20"/>
                <w:szCs w:val="20"/>
                <w:color w:val="auto"/>
              </w:rPr>
            </w:pPr>
            <w:r>
              <w:rPr>
                <w:rFonts w:ascii="Arial" w:cs="Arial" w:eastAsia="Arial" w:hAnsi="Arial"/>
                <w:sz w:val="14"/>
                <w:szCs w:val="14"/>
                <w:b w:val="1"/>
                <w:bCs w:val="1"/>
                <w:i w:val="1"/>
                <w:iCs w:val="1"/>
                <w:color w:val="auto"/>
              </w:rPr>
              <w:t>File</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8"/>
          </w:tcPr>
          <w:p>
            <w:pPr>
              <w:ind w:left="440"/>
              <w:spacing w:after="0"/>
              <w:rPr>
                <w:sz w:val="20"/>
                <w:szCs w:val="20"/>
                <w:color w:val="auto"/>
              </w:rPr>
            </w:pPr>
            <w:r>
              <w:rPr>
                <w:rFonts w:ascii="Arial" w:cs="Arial" w:eastAsia="Arial" w:hAnsi="Arial"/>
                <w:sz w:val="14"/>
                <w:szCs w:val="14"/>
                <w:b w:val="1"/>
                <w:bCs w:val="1"/>
                <w:i w:val="1"/>
                <w:iCs w:val="1"/>
                <w:color w:val="auto"/>
              </w:rPr>
              <w:t>Exhibit Description</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i w:val="1"/>
                <w:iCs w:val="1"/>
                <w:color w:val="auto"/>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Exhibit 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Filed Herewith</w:t>
            </w: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Executive Severance and Change in</w:t>
              </w:r>
            </w:hyperlink>
          </w:p>
        </w:tc>
        <w:tc>
          <w:tcPr>
            <w:tcW w:w="1120" w:type="dxa"/>
            <w:vAlign w:val="bottom"/>
          </w:tcPr>
          <w:p>
            <w:pPr>
              <w:spacing w:after="0"/>
              <w:rPr>
                <w:sz w:val="20"/>
                <w:szCs w:val="20"/>
                <w:color w:val="auto"/>
              </w:rPr>
            </w:pPr>
            <w:r>
              <w:rPr>
                <w:rFonts w:ascii="Arial" w:cs="Arial" w:eastAsia="Arial" w:hAnsi="Arial"/>
                <w:sz w:val="18"/>
                <w:szCs w:val="18"/>
                <w:color w:val="auto"/>
              </w:rPr>
              <w:t>S-K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02/03/2016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Control Agreement**</w:t>
              </w:r>
            </w:hyperlink>
          </w:p>
        </w:tc>
        <w:tc>
          <w:tcPr>
            <w:tcW w:w="5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Standard Form Office Lease, dated as of February</w:t>
              </w:r>
            </w:hyperlink>
          </w:p>
        </w:tc>
        <w:tc>
          <w:tcPr>
            <w:tcW w:w="180" w:type="dxa"/>
            <w:vAlign w:val="bottom"/>
            <w:gridSpan w:val="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14, 2012, by and between the registrant and</w:t>
              </w:r>
            </w:hyperlink>
          </w:p>
        </w:tc>
        <w:tc>
          <w:tcPr>
            <w:tcW w:w="64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CSDV-MN Limited Partnership</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2280" w:type="dxa"/>
            <w:vAlign w:val="bottom"/>
            <w:tcBorders>
              <w:top w:val="single" w:sz="8" w:color="0000EE"/>
            </w:tcBorders>
            <w:gridSpan w:val="7"/>
          </w:tcPr>
          <w:p>
            <w:pPr>
              <w:spacing w:after="0"/>
              <w:rPr>
                <w:rFonts w:ascii="Arial" w:cs="Arial" w:eastAsia="Arial" w:hAnsi="Arial"/>
                <w:sz w:val="18"/>
                <w:szCs w:val="18"/>
                <w:color w:val="0000EE"/>
                <w:w w:val="95"/>
              </w:rPr>
            </w:pPr>
            <w:hyperlink r:id="rId107">
              <w:r>
                <w:rPr>
                  <w:rFonts w:ascii="Arial" w:cs="Arial" w:eastAsia="Arial" w:hAnsi="Arial"/>
                  <w:sz w:val="18"/>
                  <w:szCs w:val="18"/>
                  <w:color w:val="0000EE"/>
                  <w:w w:val="95"/>
                </w:rPr>
                <w:t>Management Incentive Plan**</w:t>
              </w:r>
            </w:hyperlink>
          </w:p>
        </w:tc>
        <w:tc>
          <w:tcPr>
            <w:tcW w:w="1500" w:type="dxa"/>
            <w:vAlign w:val="bottom"/>
            <w:gridSpan w:val="1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02/03/2016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Executive Severance and Change in Control</w:t>
              </w:r>
            </w:hyperlink>
          </w:p>
        </w:tc>
        <w:tc>
          <w:tcPr>
            <w:tcW w:w="600" w:type="dxa"/>
            <w:vAlign w:val="bottom"/>
            <w:gridSpan w:val="7"/>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11/17/2017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Agreement</w:t>
              </w:r>
            </w:hyperlink>
          </w:p>
        </w:tc>
        <w:tc>
          <w:tcPr>
            <w:tcW w:w="2980" w:type="dxa"/>
            <w:vAlign w:val="bottom"/>
            <w:gridSpan w:val="19"/>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Subsidiaries of the registrant</w:t>
              </w:r>
            </w:hyperlink>
          </w:p>
        </w:tc>
        <w:tc>
          <w:tcPr>
            <w:tcW w:w="1720" w:type="dxa"/>
            <w:vAlign w:val="bottom"/>
            <w:gridSpan w:val="15"/>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Consent of KPMG LLP</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Power of Attorney (included on signature page)</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1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Principal Executive Officer</w:t>
              </w:r>
            </w:hyperlink>
          </w:p>
        </w:tc>
        <w:tc>
          <w:tcPr>
            <w:tcW w:w="300" w:type="dxa"/>
            <w:vAlign w:val="bottom"/>
            <w:tcBorders>
              <w:top w:val="single" w:sz="8" w:color="0000EE"/>
            </w:tcBorders>
            <w:gridSpan w:val="4"/>
          </w:tcPr>
          <w:p>
            <w:pPr>
              <w:spacing w:after="0"/>
              <w:rPr>
                <w:sz w:val="24"/>
                <w:szCs w:val="24"/>
                <w:color w:val="auto"/>
              </w:rPr>
            </w:pPr>
          </w:p>
        </w:tc>
        <w:tc>
          <w:tcPr>
            <w:tcW w:w="360" w:type="dxa"/>
            <w:vAlign w:val="bottom"/>
            <w:gridSpan w:val="5"/>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pursuant to Rules 13a-14(a) under the Securities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Exchange Act of 1934, as amended</w:t>
              </w:r>
            </w:hyperlink>
          </w:p>
        </w:tc>
        <w:tc>
          <w:tcPr>
            <w:tcW w:w="920" w:type="dxa"/>
            <w:vAlign w:val="bottom"/>
            <w:tcBorders>
              <w:top w:val="single" w:sz="8" w:color="0000EE"/>
            </w:tcBorders>
            <w:gridSpan w:val="8"/>
          </w:tcPr>
          <w:p>
            <w:pPr>
              <w:spacing w:after="0"/>
              <w:rPr>
                <w:sz w:val="17"/>
                <w:szCs w:val="17"/>
                <w:color w:val="auto"/>
              </w:rPr>
            </w:pPr>
          </w:p>
        </w:tc>
        <w:tc>
          <w:tcPr>
            <w:tcW w:w="3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Certification of Principal Financial Officer</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pursuant to Rules 13a-14(a) under the Securities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Exchange Act of 1934, as amended</w:t>
              </w:r>
            </w:hyperlink>
          </w:p>
        </w:tc>
        <w:tc>
          <w:tcPr>
            <w:tcW w:w="920" w:type="dxa"/>
            <w:vAlign w:val="bottom"/>
            <w:tcBorders>
              <w:top w:val="single" w:sz="8" w:color="0000EE"/>
            </w:tcBorders>
            <w:gridSpan w:val="8"/>
          </w:tcPr>
          <w:p>
            <w:pPr>
              <w:spacing w:after="0"/>
              <w:rPr>
                <w:sz w:val="17"/>
                <w:szCs w:val="17"/>
                <w:color w:val="auto"/>
              </w:rPr>
            </w:pPr>
          </w:p>
        </w:tc>
        <w:tc>
          <w:tcPr>
            <w:tcW w:w="3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36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Certification of Chief Executive Officer and Chief</w:t>
              </w:r>
            </w:hyperlink>
          </w:p>
        </w:tc>
        <w:tc>
          <w:tcPr>
            <w:tcW w:w="1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Financial Officer pursuant to 18 U.S.C. Sec. 1350,</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as adopted pursuant to Section 906 of the</w:t>
              </w:r>
            </w:hyperlink>
          </w:p>
        </w:tc>
        <w:tc>
          <w:tcPr>
            <w:tcW w:w="1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Sarbanes-Oxley Act of 2002</w:t>
              </w:r>
            </w:hyperlink>
          </w:p>
        </w:tc>
        <w:tc>
          <w:tcPr>
            <w:tcW w:w="82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740" w:type="dxa"/>
            <w:vAlign w:val="bottom"/>
            <w:gridSpan w:val="1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auto"/>
              </w:rPr>
              <w:t>Interactive Data Files Pursuant to Rule 405 of</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auto"/>
              </w:rPr>
              <w:t>Regulation S-T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2" w:lineRule="exact"/>
        <w:rPr>
          <w:sz w:val="20"/>
          <w:szCs w:val="20"/>
          <w:color w:val="auto"/>
        </w:rPr>
      </w:pPr>
    </w:p>
    <w:p>
      <w:pPr>
        <w:ind w:left="5620" w:right="5620" w:hanging="5612"/>
        <w:spacing w:after="0" w:line="853" w:lineRule="auto"/>
        <w:tabs>
          <w:tab w:leader="none" w:pos="59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February 26, 2018</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ARCHIE C. BLACK</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16"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26,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20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2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1"/>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ARCHIE C. BLACK</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 President and 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KIMBERLY K. NELSON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0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J. LEESTMA</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B. RAMSEY</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TAMI L. RELLER</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A. SMERKLO</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Michael A. Smerklo</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E. SORAN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SVEN A. WEHRWEIN</w:t>
            </w:r>
          </w:p>
        </w:tc>
        <w:tc>
          <w:tcPr>
            <w:tcW w:w="20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850"/>
        </w:trPr>
        <w:tc>
          <w:tcPr>
            <w:tcW w:w="1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76</w:t>
            </w: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ON</w:t>
      </w:r>
      <w:r>
        <w:rPr>
          <w:rFonts w:ascii="Arial" w:cs="Arial" w:eastAsia="Arial" w:hAnsi="Arial"/>
          <w:sz w:val="18"/>
          <w:szCs w:val="18"/>
          <w:b w:val="1"/>
          <w:bCs w:val="1"/>
          <w:color w:val="auto"/>
        </w:rPr>
        <w:t>-E</w:t>
      </w:r>
      <w:r>
        <w:rPr>
          <w:rFonts w:ascii="Arial" w:cs="Arial" w:eastAsia="Arial" w:hAnsi="Arial"/>
          <w:sz w:val="13"/>
          <w:szCs w:val="13"/>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March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annual retainer</w:t>
      </w:r>
      <w:r>
        <w:rPr>
          <w:rFonts w:ascii="Arial" w:cs="Arial" w:eastAsia="Arial" w:hAnsi="Arial"/>
          <w:sz w:val="18"/>
          <w:szCs w:val="18"/>
          <w:color w:val="auto"/>
        </w:rPr>
        <w:t>: Annual retainer, payable in case, of $31,000 per director except for the chairperson who shall receive $45,000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i w:val="1"/>
                <w:iCs w:val="1"/>
                <w:color w:val="auto"/>
              </w:rPr>
              <w:t>Committee chairs annual retainer</w:t>
            </w:r>
            <w:r>
              <w:rPr>
                <w:rFonts w:ascii="Arial" w:cs="Arial" w:eastAsia="Arial" w:hAnsi="Arial"/>
                <w:sz w:val="18"/>
                <w:szCs w:val="18"/>
                <w:color w:val="auto"/>
              </w:rPr>
              <w:t>: Annual retainers, payable in cash, of:</w:t>
            </w: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0"/>
        </w:trPr>
        <w:tc>
          <w:tcPr>
            <w:tcW w:w="6660" w:type="dxa"/>
            <w:vAlign w:val="bottom"/>
          </w:tcPr>
          <w:p>
            <w:pPr>
              <w:ind w:left="2860"/>
              <w:spacing w:after="0"/>
              <w:rPr>
                <w:sz w:val="20"/>
                <w:szCs w:val="20"/>
                <w:color w:val="auto"/>
              </w:rPr>
            </w:pPr>
            <w:r>
              <w:rPr>
                <w:rFonts w:ascii="Arial" w:cs="Arial" w:eastAsia="Arial" w:hAnsi="Arial"/>
                <w:sz w:val="18"/>
                <w:szCs w:val="18"/>
                <w:color w:val="auto"/>
              </w:rPr>
              <w:t>Audit Committee:</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6660" w:type="dxa"/>
            <w:vAlign w:val="bottom"/>
          </w:tcPr>
          <w:p>
            <w:pPr>
              <w:ind w:left="2860"/>
              <w:spacing w:after="0"/>
              <w:rPr>
                <w:sz w:val="20"/>
                <w:szCs w:val="20"/>
                <w:color w:val="auto"/>
              </w:rPr>
            </w:pPr>
            <w:r>
              <w:rPr>
                <w:rFonts w:ascii="Arial" w:cs="Arial" w:eastAsia="Arial" w:hAnsi="Arial"/>
                <w:sz w:val="18"/>
                <w:szCs w:val="18"/>
                <w:color w:val="auto"/>
              </w:rPr>
              <w:t>Compensation Committee: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660" w:type="dxa"/>
            <w:vAlign w:val="bottom"/>
          </w:tcPr>
          <w:p>
            <w:pPr>
              <w:ind w:left="2860"/>
              <w:spacing w:after="0"/>
              <w:rPr>
                <w:sz w:val="20"/>
                <w:szCs w:val="20"/>
                <w:color w:val="auto"/>
              </w:rPr>
            </w:pPr>
            <w:r>
              <w:rPr>
                <w:rFonts w:ascii="Arial" w:cs="Arial" w:eastAsia="Arial" w:hAnsi="Arial"/>
                <w:sz w:val="18"/>
                <w:szCs w:val="18"/>
                <w:color w:val="auto"/>
              </w:rPr>
              <w:t>Governance and Nominating Committee:</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324"/>
        </w:trPr>
        <w:tc>
          <w:tcPr>
            <w:tcW w:w="6660" w:type="dxa"/>
            <w:vAlign w:val="bottom"/>
          </w:tcPr>
          <w:p>
            <w:pPr>
              <w:spacing w:after="0"/>
              <w:rPr>
                <w:sz w:val="20"/>
                <w:szCs w:val="20"/>
                <w:color w:val="auto"/>
              </w:rPr>
            </w:pPr>
            <w:r>
              <w:rPr>
                <w:rFonts w:ascii="Arial" w:cs="Arial" w:eastAsia="Arial" w:hAnsi="Arial"/>
                <w:sz w:val="18"/>
                <w:szCs w:val="18"/>
                <w:i w:val="1"/>
                <w:iCs w:val="1"/>
                <w:color w:val="auto"/>
              </w:rPr>
              <w:t>Committee member annual retainer</w:t>
            </w:r>
            <w:r>
              <w:rPr>
                <w:rFonts w:ascii="Arial" w:cs="Arial" w:eastAsia="Arial" w:hAnsi="Arial"/>
                <w:sz w:val="18"/>
                <w:szCs w:val="18"/>
                <w:color w:val="auto"/>
              </w:rPr>
              <w:t>: Annual retainers, payable in cash, of:</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6660" w:type="dxa"/>
            <w:vAlign w:val="bottom"/>
          </w:tcPr>
          <w:p>
            <w:pPr>
              <w:ind w:left="2860"/>
              <w:spacing w:after="0"/>
              <w:rPr>
                <w:sz w:val="20"/>
                <w:szCs w:val="20"/>
                <w:color w:val="auto"/>
              </w:rPr>
            </w:pPr>
            <w:r>
              <w:rPr>
                <w:rFonts w:ascii="Arial" w:cs="Arial" w:eastAsia="Arial" w:hAnsi="Arial"/>
                <w:sz w:val="18"/>
                <w:szCs w:val="18"/>
                <w:color w:val="auto"/>
              </w:rPr>
              <w:t>Audit Committee: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6660" w:type="dxa"/>
            <w:vAlign w:val="bottom"/>
          </w:tcPr>
          <w:p>
            <w:pPr>
              <w:ind w:left="2860"/>
              <w:spacing w:after="0"/>
              <w:rPr>
                <w:sz w:val="20"/>
                <w:szCs w:val="20"/>
                <w:color w:val="auto"/>
              </w:rPr>
            </w:pPr>
            <w:r>
              <w:rPr>
                <w:rFonts w:ascii="Arial" w:cs="Arial" w:eastAsia="Arial" w:hAnsi="Arial"/>
                <w:sz w:val="18"/>
                <w:szCs w:val="18"/>
                <w:color w:val="auto"/>
              </w:rPr>
              <w:t>Compensation Committee: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660" w:type="dxa"/>
            <w:vAlign w:val="bottom"/>
          </w:tcPr>
          <w:p>
            <w:pPr>
              <w:ind w:left="2860"/>
              <w:spacing w:after="0"/>
              <w:rPr>
                <w:sz w:val="20"/>
                <w:szCs w:val="20"/>
                <w:color w:val="auto"/>
              </w:rPr>
            </w:pPr>
            <w:r>
              <w:rPr>
                <w:rFonts w:ascii="Arial" w:cs="Arial" w:eastAsia="Arial" w:hAnsi="Arial"/>
                <w:sz w:val="18"/>
                <w:szCs w:val="18"/>
                <w:color w:val="auto"/>
              </w:rPr>
              <w:t>Governance and Nominating Committee:</w:t>
            </w: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non-statutory stock option grants</w:t>
      </w:r>
      <w:r>
        <w:rPr>
          <w:rFonts w:ascii="Arial" w:cs="Arial" w:eastAsia="Arial" w:hAnsi="Arial"/>
          <w:sz w:val="18"/>
          <w:szCs w:val="18"/>
          <w:color w:val="auto"/>
        </w:rPr>
        <w:t>:</w:t>
      </w:r>
    </w:p>
    <w:p>
      <w:pPr>
        <w:spacing w:after="0" w:line="117" w:lineRule="exact"/>
        <w:rPr>
          <w:sz w:val="20"/>
          <w:szCs w:val="20"/>
          <w:color w:val="auto"/>
        </w:rPr>
      </w:pPr>
    </w:p>
    <w:p>
      <w:pPr>
        <w:ind w:left="880" w:right="60" w:hanging="440"/>
        <w:spacing w:after="0" w:line="26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purchase up to $53,000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Exercise price per share equal to the closing sales price for a share on the Nasdaq Global Market on the date of the annual meeting of stockholders</w:t>
      </w:r>
    </w:p>
    <w:p>
      <w:pPr>
        <w:spacing w:after="0" w:line="140" w:lineRule="exact"/>
        <w:rPr>
          <w:rFonts w:ascii="Arial" w:cs="Arial" w:eastAsia="Arial" w:hAnsi="Arial"/>
          <w:sz w:val="16"/>
          <w:szCs w:val="16"/>
          <w:color w:val="auto"/>
        </w:rPr>
      </w:pPr>
    </w:p>
    <w:p>
      <w:pPr>
        <w:ind w:left="880" w:right="22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Vest in four equal installments on the last day of each fiscal quarter with the first vesting occurring on June 30, provided the recipient remains a member of the board as of the vesting date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Maximum term of seven years measured from the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restricted stock grants</w:t>
      </w:r>
      <w:r>
        <w:rPr>
          <w:rFonts w:ascii="Arial" w:cs="Arial" w:eastAsia="Arial" w:hAnsi="Arial"/>
          <w:sz w:val="18"/>
          <w:szCs w:val="18"/>
          <w:color w:val="auto"/>
        </w:rPr>
        <w:t>:</w:t>
      </w:r>
    </w:p>
    <w:p>
      <w:pPr>
        <w:spacing w:after="0" w:line="117" w:lineRule="exact"/>
        <w:rPr>
          <w:sz w:val="20"/>
          <w:szCs w:val="20"/>
          <w:color w:val="auto"/>
        </w:rPr>
      </w:pPr>
    </w:p>
    <w:p>
      <w:pPr>
        <w:ind w:left="980" w:right="18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acquire up to $53,000 of restricted common stock calculated by dividing this amount by the closing sale price for a share of the Company’s common stock on the Nasdaq Global Market on the date of the Company’s annual meeting of stockholders</w:t>
      </w:r>
    </w:p>
    <w:p>
      <w:pPr>
        <w:spacing w:after="0" w:line="62"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17"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Vests in four equal installments on the last day of each fiscal quarter with the first vesting occurring on June 30, provided the recipient remains a member of the board as of the vesting date</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Reimbursement of expenses</w:t>
      </w:r>
      <w:r>
        <w:rPr>
          <w:rFonts w:ascii="Arial" w:cs="Arial" w:eastAsia="Arial" w:hAnsi="Arial"/>
          <w:sz w:val="18"/>
          <w:szCs w:val="18"/>
          <w:color w:val="auto"/>
        </w:rPr>
        <w:t>: The Company shall reimburse directors for reasonable expenses incurred in connection with attending board and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Initial non-statutory stock option grants</w:t>
      </w:r>
      <w:r>
        <w:rPr>
          <w:rFonts w:ascii="Arial" w:cs="Arial" w:eastAsia="Arial" w:hAnsi="Arial"/>
          <w:sz w:val="18"/>
          <w:szCs w:val="18"/>
          <w:color w:val="auto"/>
        </w:rPr>
        <w:t>: Each director receives a non-statutory stock option grant to purchase up to $111,000 of common stock calculated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fair value of the stock-based awards computed in accordance with FASB ASC 718 in connection with initial appointment or election to the board. The grant is made on the date of initial appointment or election to the board. Exercise price per share equal to the closing sales price for a share on the Nasdaq Global Market on the effective date of the appointment or election of the director. Vest in equal monthly installments commencing on the first day of the calendar month following the initial appointment or election to the board, provided the recipient remains a member of the board as of the vesting date. Maximum term of seven years measured from the date of grant.</w:t>
      </w:r>
    </w:p>
    <w:p>
      <w:pPr>
        <w:sectPr>
          <w:pgSz w:w="11900" w:h="16838" w:orient="portrait"/>
          <w:cols w:equalWidth="0" w:num="1">
            <w:col w:w="11420"/>
          </w:cols>
          <w:pgMar w:left="240" w:top="35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List of SPS Commerce, Inc. Subsidiaries</w:t>
      </w:r>
    </w:p>
    <w:p>
      <w:pPr>
        <w:sectPr>
          <w:pgSz w:w="11900" w:h="16838" w:orient="portrait"/>
          <w:cols w:equalWidth="0" w:num="1">
            <w:col w:w="11000"/>
          </w:cols>
          <w:pgMar w:left="240" w:top="364" w:right="6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Incorporation/Organization</w:t>
      </w:r>
    </w:p>
    <w:p>
      <w:pPr>
        <w:spacing w:after="0" w:line="200" w:lineRule="exact"/>
        <w:rPr>
          <w:sz w:val="20"/>
          <w:szCs w:val="20"/>
          <w:color w:val="auto"/>
        </w:rPr>
      </w:pPr>
    </w:p>
    <w:p>
      <w:pPr>
        <w:sectPr>
          <w:pgSz w:w="11900" w:h="16838" w:orient="portrait"/>
          <w:cols w:equalWidth="0" w:num="2">
            <w:col w:w="6620" w:space="720"/>
            <w:col w:w="3660"/>
          </w:cols>
          <w:pgMar w:left="240" w:top="364" w:right="6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SPS Commerce Australia Pty Ltd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SPS Commerce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Edifice Japan G.K.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SPS Commerce Canada, Ltd.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ectPr>
          <w:pgSz w:w="11900" w:h="16838" w:orient="portrait"/>
          <w:cols w:equalWidth="0" w:num="2">
            <w:col w:w="6620" w:space="720"/>
            <w:col w:w="3660"/>
          </w:cols>
          <w:pgMar w:left="240" w:top="364" w:right="65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38"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on Form S-3 (No. 333-192392, 333-182097 and 333-174026) and on Form S-8 (Nos. 333-222438, 333-222435, 333-216288, 333-209721, 333-201673, 333-193544, 333-185972, 333-182007, 333-179236, 333-172073, 333-167315 and 333-167314) of SPS Commerce, Inc. of our report dated February 26, 2018, with respect to the consolidated balance sheets of SPS Commerce, Inc. and subsidiaries as of December 31, 2017 and 2016, and the related consolidated statements of comprehensive income, stockholders’ equity and cash flows for the each of the years in the three-year period ended December 31, 2017, and the effectiveness of internal control over financial reporting as of December 31, 2017, which report appears in the December 31, 2017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SPS Commerce,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35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35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2017,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7" w:lineRule="exact"/>
        <w:rPr>
          <w:sz w:val="20"/>
          <w:szCs w:val="20"/>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428"/>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2"/>
    </w:lvl>
  </w:abstractNum>
  <w:abstractNum w:abstractNumId="20">
    <w:nsid w:val="71F32454"/>
    <w:multiLevelType w:val="hybridMultilevel"/>
    <w:lvl w:ilvl="0">
      <w:lvlJc w:val="left"/>
      <w:lvlText w:val="(%1)"/>
      <w:numFmt w:val="decimal"/>
      <w:start w:val="5"/>
    </w:lvl>
  </w:abstractNum>
  <w:abstractNum w:abstractNumId="21">
    <w:nsid w:val="2CA88611"/>
    <w:multiLevelType w:val="hybridMultilevel"/>
    <w:lvl w:ilvl="0">
      <w:lvlJc w:val="left"/>
      <w:lvlText w:val="(%1)"/>
      <w:numFmt w:val="decimal"/>
      <w:start w:val="6"/>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88" Type="http://schemas.openxmlformats.org/officeDocument/2006/relationships/hyperlink" Target="http://www.sec.gov/Archives/edgar/data/1092699/000119312512269607/d365652dex41.htm" TargetMode="External"/><Relationship Id="rId89" Type="http://schemas.openxmlformats.org/officeDocument/2006/relationships/hyperlink" Target="http://www.sec.gov/Archives/edgar/data/1092699/000119312517311896/d430310dex31.htm" TargetMode="External"/><Relationship Id="rId90" Type="http://schemas.openxmlformats.org/officeDocument/2006/relationships/hyperlink" Target="http://www.sec.gov/Archives/edgar/data/1092699/000095012310001751/c54716a1exv10w3.htm" TargetMode="External"/><Relationship Id="rId91" Type="http://schemas.openxmlformats.org/officeDocument/2006/relationships/hyperlink" Target="http://www.sec.gov/Archives/edgar/data/1092699/000095012310001751/c54716a1exv10w4.htm" TargetMode="External"/><Relationship Id="rId92" Type="http://schemas.openxmlformats.org/officeDocument/2006/relationships/hyperlink" Target="http://www.sec.gov/Archives/edgar/data/1092699/000095012310001751/c54716a1exv10w5.htm" TargetMode="External"/><Relationship Id="rId93" Type="http://schemas.openxmlformats.org/officeDocument/2006/relationships/hyperlink" Target="http://www.sec.gov/Archives/edgar/data/1092699/000119312515056499/d845442dex106.htm" TargetMode="External"/><Relationship Id="rId94" Type="http://schemas.openxmlformats.org/officeDocument/2006/relationships/hyperlink" Target="http://www.sec.gov/Archives/edgar/data/1092699/000119312512067639/d303784dex102.htm" TargetMode="External"/><Relationship Id="rId95" Type="http://schemas.openxmlformats.org/officeDocument/2006/relationships/hyperlink" Target="http://www.sec.gov/Archives/edgar/data/1092699/000119312512067639/d303784dex103.htm" TargetMode="External"/><Relationship Id="rId96" Type="http://schemas.openxmlformats.org/officeDocument/2006/relationships/hyperlink" Target="http://www.sec.gov/Archives/edgar/data/1092699/000119312512067639/d303784dex104.htm" TargetMode="External"/><Relationship Id="rId97" Type="http://schemas.openxmlformats.org/officeDocument/2006/relationships/hyperlink" Target="http://www.sec.gov/Archives/edgar/data/1092699/000119312517045225/d348307dex992.htm" TargetMode="External"/><Relationship Id="rId98" Type="http://schemas.openxmlformats.org/officeDocument/2006/relationships/hyperlink" Target="http://www.sec.gov/Archives/edgar/data/1092699/000119312512218022/d343890dex106.htm" TargetMode="External"/><Relationship Id="rId99" Type="http://schemas.openxmlformats.org/officeDocument/2006/relationships/hyperlink" Target="http://www.sec.gov/Archives/edgar/data/1092699/000119312518034816/d525819dex101.htm" TargetMode="External"/><Relationship Id="rId100" Type="http://schemas.openxmlformats.org/officeDocument/2006/relationships/hyperlink" Target="http://www.sec.gov/Archives/edgar/data/1092699/000095012310001751/c54716a1exv10w18.htm" TargetMode="External"/><Relationship Id="rId101" Type="http://schemas.openxmlformats.org/officeDocument/2006/relationships/hyperlink" Target="http://www.sec.gov/Archives/edgar/data/1092699/000095012310001751/c54716a1exv10w19.htm" TargetMode="External"/><Relationship Id="rId102" Type="http://schemas.openxmlformats.org/officeDocument/2006/relationships/hyperlink" Target="http://www.sec.gov/Archives/edgar/data/1092699/000095012310021606/c54716a3exv10w20.htm" TargetMode="External"/><Relationship Id="rId105" Type="http://schemas.openxmlformats.org/officeDocument/2006/relationships/hyperlink" Target="http://www.sec.gov/Archives/edgar/data/1092699/000119312516449360/d113029dex101.htm" TargetMode="External"/><Relationship Id="rId106" Type="http://schemas.openxmlformats.org/officeDocument/2006/relationships/hyperlink" Target="http://www.sec.gov/Archives/edgar/data/1092699/000119312512067639/d303784dex101.htm" TargetMode="External"/><Relationship Id="rId107" Type="http://schemas.openxmlformats.org/officeDocument/2006/relationships/hyperlink" Target="http://www.sec.gov/Archives/edgar/data/1092699/000119312516449360/d113029dex102.htm" TargetMode="External"/><Relationship Id="rId108" Type="http://schemas.openxmlformats.org/officeDocument/2006/relationships/hyperlink" Target="http://www.sec.gov/Archives/edgar/data/1092699/000119312517347093/d4936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2019-12-29T01:05:05Z</dcterms:created>
  <dcterms:modified xsi:type="dcterms:W3CDTF">2019-12-29T01:05:05Z</dcterms:modified>
</cp:coreProperties>
</file>