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39"/>
        <w:spacing w:after="0"/>
        <w:rPr>
          <w:sz w:val="20"/>
          <w:szCs w:val="20"/>
          <w:color w:val="auto"/>
        </w:rPr>
      </w:pPr>
      <w:r>
        <w:rPr>
          <w:rFonts w:ascii="Arial" w:cs="Arial" w:eastAsia="Arial" w:hAnsi="Arial"/>
          <w:sz w:val="22"/>
          <w:szCs w:val="22"/>
          <w:b w:val="1"/>
          <w:bCs w:val="1"/>
          <w:color w:val="auto"/>
        </w:rPr>
        <w:t>(Amendment No.  )</w:t>
      </w:r>
    </w:p>
    <w:p>
      <w:pPr>
        <w:spacing w:after="0" w:line="14" w:lineRule="exact"/>
        <w:rPr>
          <w:sz w:val="24"/>
          <w:szCs w:val="24"/>
          <w:color w:val="auto"/>
        </w:rPr>
      </w:pPr>
    </w:p>
    <w:p>
      <w:pPr>
        <w:spacing w:after="0" w:line="207" w:lineRule="exact"/>
        <w:tabs>
          <w:tab w:leader="none" w:pos="3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5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73660</wp:posOffset>
            </wp:positionV>
            <wp:extent cx="56578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0"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48"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80" w:hanging="572"/>
        <w:spacing w:after="0" w:line="298"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03"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-2196465</wp:posOffset>
            </wp:positionV>
            <wp:extent cx="6386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-1990725</wp:posOffset>
            </wp:positionV>
            <wp:extent cx="6386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-1656080</wp:posOffset>
            </wp:positionV>
            <wp:extent cx="6386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-1459230</wp:posOffset>
            </wp:positionV>
            <wp:extent cx="6386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-1253490</wp:posOffset>
            </wp:positionV>
            <wp:extent cx="6386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-533400</wp:posOffset>
            </wp:positionV>
            <wp:extent cx="6386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-335915</wp:posOffset>
            </wp:positionV>
            <wp:extent cx="6386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-130175</wp:posOffset>
            </wp:positionV>
            <wp:extent cx="6386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66040</wp:posOffset>
            </wp:positionV>
            <wp:extent cx="6386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816610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983230" cy="814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983230" cy="81470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71"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You are cordially invited to join us for our 2021 annual meeting of stockholders, which will be held on Wednesday, May 19, 2021, at 8:00 a.m., Central Time. The meeting will be virtual and can be accessed by visiting the following website and entering your control number: www.virtualshareholdermeeting.com/SPSC2021. Stockholders will have the same opportunities to participate in the meeting as you would at an in-person meeting, including having the opportunity to vote and to submit questions during the meeting using the directions on the meeting website. You will not be able to attend the annual meeting physically in person.</w:t>
      </w:r>
    </w:p>
    <w:p>
      <w:pPr>
        <w:spacing w:after="0" w:line="134"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The notice of annual meeting of stockholders and the proxy statement that follow describe the business to be conducted at the meeting. Whether or not you plan to attend the virtual meeting, your vote is important and we encourage you to submit your proxy to vote your shares promptly. You may vote your shares by proxy by using a toll-free telephone number, using the internet or you may sign, date and mail a proxy card which can be requested and mailed to you free of charge. Instructions regarding these three methods of voting are contained in the proxy materials.</w:t>
      </w:r>
    </w:p>
    <w:p>
      <w:pPr>
        <w:spacing w:after="0" w:line="117" w:lineRule="exact"/>
        <w:rPr>
          <w:sz w:val="20"/>
          <w:szCs w:val="20"/>
          <w:color w:val="auto"/>
        </w:rPr>
      </w:pPr>
    </w:p>
    <w:p>
      <w:pPr>
        <w:ind w:right="80" w:firstLine="769"/>
        <w:spacing w:after="0" w:line="254" w:lineRule="auto"/>
        <w:rPr>
          <w:sz w:val="20"/>
          <w:szCs w:val="20"/>
          <w:color w:val="auto"/>
        </w:rPr>
      </w:pPr>
      <w:r>
        <w:rPr>
          <w:rFonts w:ascii="Arial" w:cs="Arial" w:eastAsia="Arial" w:hAnsi="Arial"/>
          <w:sz w:val="18"/>
          <w:szCs w:val="18"/>
          <w:color w:val="auto"/>
        </w:rPr>
        <w:t>We are pleased to take advantage of Securities and Exchange Commission (“SEC”) rules that allow companies to furnish their proxy materials over the internet. We are mailing to many of our stockholders a Notice of Internet Availability of Proxy Materials (the “Notice”) instead of a paper copy of our proxy materials and our 2020 Annual Report to Stockholders (the “Annual Report”). The Notice contains instructions on how to access those documents and to cast your vote via the internet. The Notice also contains instructions on how to request a paper copy of our proxy materials and our Annual Report. All stockholders who do not receive a Notice will receive a paper copy of the proxy materials and the Annual Report by mail. This process allows us to provide our stockholders with the information they need on a more timely basis, while reducing the environmental impact and lowering the costs of printing and distributing our proxy materials.</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look forward to having you attend the annual meeting.</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160020</wp:posOffset>
            </wp:positionV>
            <wp:extent cx="1637030" cy="45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0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Archie Black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sz w:val="1"/>
          <w:szCs w:val="1"/>
          <w:color w:val="auto"/>
        </w:rPr>
        <w:drawing>
          <wp:inline distT="0" distB="0" distL="0" distR="0">
            <wp:extent cx="205740" cy="2057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4"/>
          <w:szCs w:val="14"/>
          <w:b w:val="1"/>
          <w:bCs w:val="1"/>
          <w:color w:val="auto"/>
        </w:rPr>
        <w:t xml:space="preserve">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251460</wp:posOffset>
            </wp:positionV>
            <wp:extent cx="2442845"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42845" cy="6686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31" w:lineRule="exact"/>
        <w:rPr>
          <w:sz w:val="20"/>
          <w:szCs w:val="20"/>
          <w:color w:val="auto"/>
        </w:rPr>
      </w:pPr>
    </w:p>
    <w:p>
      <w:pPr>
        <w:spacing w:after="0"/>
        <w:rPr>
          <w:sz w:val="20"/>
          <w:szCs w:val="20"/>
          <w:color w:val="auto"/>
        </w:rPr>
      </w:pPr>
      <w:r>
        <w:rPr>
          <w:rFonts w:ascii="Arial" w:cs="Arial" w:eastAsia="Arial" w:hAnsi="Arial"/>
          <w:sz w:val="39"/>
          <w:szCs w:val="39"/>
          <w:color w:val="auto"/>
        </w:rPr>
        <w:t>Notice of 2021 Annual Meeting of Stockholders</w:t>
      </w:r>
    </w:p>
    <w:p>
      <w:pPr>
        <w:sectPr>
          <w:pgSz w:w="11900" w:h="16838" w:orient="portrait"/>
          <w:cols w:equalWidth="0" w:num="1">
            <w:col w:w="11220"/>
          </w:cols>
          <w:pgMar w:left="320" w:top="1440" w:right="359" w:bottom="1440" w:gutter="0" w:footer="0" w:header="0"/>
        </w:sectPr>
      </w:pPr>
    </w:p>
    <w:p>
      <w:pPr>
        <w:spacing w:after="0" w:line="112" w:lineRule="exact"/>
        <w:rPr>
          <w:sz w:val="20"/>
          <w:szCs w:val="20"/>
          <w:color w:val="auto"/>
        </w:rPr>
      </w:pPr>
    </w:p>
    <w:p>
      <w:pPr>
        <w:ind w:left="340"/>
        <w:spacing w:after="0"/>
        <w:rPr>
          <w:sz w:val="20"/>
          <w:szCs w:val="20"/>
          <w:color w:val="auto"/>
        </w:rPr>
      </w:pPr>
      <w:r>
        <w:rPr>
          <w:sz w:val="1"/>
          <w:szCs w:val="1"/>
          <w:color w:val="auto"/>
        </w:rPr>
        <w:drawing>
          <wp:inline distT="0" distB="0" distL="0" distR="0">
            <wp:extent cx="145415"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b w:val="1"/>
          <w:bCs w:val="1"/>
          <w:color w:val="00AAE5"/>
        </w:rPr>
        <w:t xml:space="preserve"> Time and Date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8:00 a.m., Central Time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Wednesday, May 19, 2021</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45415"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b w:val="1"/>
          <w:bCs w:val="1"/>
          <w:color w:val="00AAE5"/>
        </w:rPr>
        <w:t>Access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meeting is virtual only. Join us via: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www.virtualshareholdermeeting.com/SPSC2021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226060</wp:posOffset>
            </wp:positionV>
            <wp:extent cx="7132320" cy="1114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00AAE5"/>
        </w:rPr>
        <w:t>Items of Business</w:t>
      </w:r>
    </w:p>
    <w:p>
      <w:pPr>
        <w:spacing w:after="0" w:line="117" w:lineRule="exact"/>
        <w:rPr>
          <w:sz w:val="20"/>
          <w:szCs w:val="20"/>
          <w:color w:val="auto"/>
        </w:rPr>
      </w:pPr>
    </w:p>
    <w:p>
      <w:pPr>
        <w:ind w:left="580" w:hanging="451"/>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the seven directors identified in the Proxy Statement, each for a one-year term.</w:t>
      </w:r>
    </w:p>
    <w:p>
      <w:pPr>
        <w:spacing w:after="0" w:line="117" w:lineRule="exact"/>
        <w:rPr>
          <w:rFonts w:ascii="Arial" w:cs="Arial" w:eastAsia="Arial" w:hAnsi="Arial"/>
          <w:sz w:val="18"/>
          <w:szCs w:val="18"/>
          <w:color w:val="auto"/>
        </w:rPr>
      </w:pPr>
    </w:p>
    <w:p>
      <w:pPr>
        <w:ind w:left="580" w:hanging="451"/>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Ratification of the selection of KPMG LLP as independent auditor of SPS Commerce, Inc. for the fiscal year ending December 31, 2021.</w:t>
      </w:r>
    </w:p>
    <w:p>
      <w:pPr>
        <w:spacing w:after="0" w:line="128" w:lineRule="exact"/>
        <w:rPr>
          <w:rFonts w:ascii="Arial" w:cs="Arial" w:eastAsia="Arial" w:hAnsi="Arial"/>
          <w:sz w:val="17"/>
          <w:szCs w:val="17"/>
          <w:color w:val="auto"/>
        </w:rPr>
      </w:pPr>
    </w:p>
    <w:p>
      <w:pPr>
        <w:ind w:left="580" w:hanging="451"/>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vote to approve the compensation of our named executive officers as disclosed in the attached proxy statement.</w:t>
      </w:r>
    </w:p>
    <w:p>
      <w:pPr>
        <w:spacing w:after="0" w:line="117" w:lineRule="exact"/>
        <w:rPr>
          <w:rFonts w:ascii="Arial" w:cs="Arial" w:eastAsia="Arial" w:hAnsi="Arial"/>
          <w:sz w:val="18"/>
          <w:szCs w:val="18"/>
          <w:color w:val="auto"/>
        </w:rPr>
      </w:pPr>
    </w:p>
    <w:p>
      <w:pPr>
        <w:ind w:left="580" w:hanging="451"/>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that may properly be considered at the meeting or any adjournment or postponement of the meeting.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00AAE5"/>
        </w:rPr>
        <w:t xml:space="preserve">Record Date </w:t>
      </w:r>
      <w:r>
        <w:rPr>
          <w:rFonts w:ascii="Arial" w:cs="Arial" w:eastAsia="Arial" w:hAnsi="Arial"/>
          <w:sz w:val="18"/>
          <w:szCs w:val="18"/>
          <w:color w:val="000000"/>
        </w:rPr>
        <w:t>– You may vote at the meeting if you were a stockholder of record at the close of business on March 24, 2021.</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00AAE5"/>
        </w:rPr>
        <w:t xml:space="preserve">Voting by Proxy </w:t>
      </w:r>
      <w:r>
        <w:rPr>
          <w:rFonts w:ascii="Arial" w:cs="Arial" w:eastAsia="Arial" w:hAnsi="Arial"/>
          <w:sz w:val="18"/>
          <w:szCs w:val="18"/>
          <w:color w:val="000000"/>
        </w:rPr>
        <w:t>– Whether or not you plan to attend the annual meeting virtually, please vote your shares by proxy to ensure they are represented at the</w:t>
      </w:r>
      <w:r>
        <w:rPr>
          <w:rFonts w:ascii="Arial" w:cs="Arial" w:eastAsia="Arial" w:hAnsi="Arial"/>
          <w:sz w:val="18"/>
          <w:szCs w:val="18"/>
          <w:color w:val="00AAE5"/>
        </w:rPr>
        <w:t xml:space="preserve"> </w:t>
      </w:r>
      <w:r>
        <w:rPr>
          <w:rFonts w:ascii="Arial" w:cs="Arial" w:eastAsia="Arial" w:hAnsi="Arial"/>
          <w:sz w:val="18"/>
          <w:szCs w:val="18"/>
          <w:color w:val="000000"/>
        </w:rPr>
        <w:t>meeting. To submit your proxy vote, you may follow the instructions for voting via telephone or the internet as described in the Notice of Internet Availability of Proxy Materials and the following proxy statement. If you received a paper copy of the proxy card by mail, you may sign, date, and mail the proxy card in the envelope provided. Our vote tabulator is Broadridge Financial Solutions, Inc., and no postage is required if the request for a paper copy of the proxy materials is mailed in the United States.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6845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8450" cy="30861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Archie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702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308" w:lineRule="exact"/>
        <w:rPr>
          <w:sz w:val="20"/>
          <w:szCs w:val="20"/>
          <w:color w:val="auto"/>
        </w:rPr>
      </w:pPr>
    </w:p>
    <w:p>
      <w:pPr>
        <w:jc w:val="center"/>
        <w:ind w:left="460" w:right="660"/>
        <w:spacing w:after="0" w:line="282" w:lineRule="auto"/>
        <w:rPr>
          <w:sz w:val="20"/>
          <w:szCs w:val="20"/>
          <w:color w:val="auto"/>
        </w:rPr>
      </w:pPr>
      <w:r>
        <w:rPr>
          <w:rFonts w:ascii="Arial" w:cs="Arial" w:eastAsia="Arial" w:hAnsi="Arial"/>
          <w:sz w:val="18"/>
          <w:szCs w:val="18"/>
          <w:b w:val="1"/>
          <w:bCs w:val="1"/>
          <w:color w:val="00AAE5"/>
        </w:rPr>
        <w:t>IMPORTANT NOTICE REGARDING THE AVAILABILITY OF PROXY MATERIALS FOR THE ANNUAL MEETING OF STOCKHOLDERS TO BE HELD ON MAY 19, 2021:</w:t>
      </w:r>
    </w:p>
    <w:p>
      <w:pPr>
        <w:spacing w:after="0" w:line="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0AAE5"/>
        </w:rPr>
        <w:t>The Notice of Annual Meeting, Proxy Statement, and 2020 Annual Report are available at www.proxyvote.com.</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sz w:val="1"/>
          <w:szCs w:val="1"/>
          <w:color w:val="auto"/>
        </w:rPr>
        <w:drawing>
          <wp:inline distT="0" distB="0" distL="0" distR="0">
            <wp:extent cx="205740" cy="2057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4"/>
          <w:szCs w:val="14"/>
          <w:b w:val="1"/>
          <w:bCs w:val="1"/>
          <w:color w:val="auto"/>
        </w:rPr>
        <w:t xml:space="preserve">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7"/>
          <w:szCs w:val="27"/>
          <w:b w:val="1"/>
          <w:bCs w:val="1"/>
          <w:color w:val="auto"/>
        </w:rPr>
        <w:t>How to Vote</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Whether or not you plan to attend the meeting virtually, please provide your proxy by either using the internet or telephone as further explained in this proxy statement or filling in, signing, dating, and promptly mailing a proxy card.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the “Plan” are in reference to the SPS Commerce, Inc. 401(k)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939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00AAE5"/>
        </w:rPr>
        <w:t>BY TELEPHONE</w:t>
      </w:r>
    </w:p>
    <w:p>
      <w:pPr>
        <w:spacing w:after="0" w:line="158"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need to use a control number that was provided to you by our vote tabulator, Broadridge Financial Solutions.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Call the toll-free number on your Notice or proxy card, 24 hours a day, seven days a week, through 11:59 p.m. (ET) on May 18, 2021 for shares held directly, and through 11:59 p.m. (ET) on May 16, 2021 for shares held in the Plan.</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additional steps when prompted.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00AAE5"/>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541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415" cy="137160"/>
                    </a:xfrm>
                    <a:prstGeom prst="rect">
                      <a:avLst/>
                    </a:prstGeom>
                    <a:noFill/>
                  </pic:spPr>
                </pic:pic>
              </a:graphicData>
            </a:graphic>
          </wp:anchor>
        </w:drawing>
      </w:r>
    </w:p>
    <w:p>
      <w:pPr>
        <w:spacing w:after="0" w:line="124" w:lineRule="exact"/>
        <w:rPr>
          <w:sz w:val="20"/>
          <w:szCs w:val="20"/>
          <w:color w:val="auto"/>
        </w:rPr>
      </w:pPr>
    </w:p>
    <w:p>
      <w:pPr>
        <w:ind w:left="880" w:right="52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the web site at www.proxyvote.com, 24 hours a day, seven days a week, through 11:59 p.m. (ET) on May 18, 2021 for shares held directly, and through 11:59 p.m. (ET) on May 16, 2021 for shares held in the Plan.</w:t>
      </w:r>
    </w:p>
    <w:p>
      <w:pPr>
        <w:spacing w:after="0" w:line="62"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instructions provided to obtain your records and to create an electronic voting instruction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00AAE5"/>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2827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102870"/>
                    </a:xfrm>
                    <a:prstGeom prst="rect">
                      <a:avLst/>
                    </a:prstGeom>
                    <a:noFill/>
                  </pic:spPr>
                </pic:pic>
              </a:graphicData>
            </a:graphic>
          </wp:anchor>
        </w:drawing>
      </w:r>
    </w:p>
    <w:p>
      <w:pPr>
        <w:spacing w:after="0" w:line="124" w:lineRule="exact"/>
        <w:rPr>
          <w:sz w:val="20"/>
          <w:szCs w:val="20"/>
          <w:color w:val="auto"/>
        </w:rPr>
      </w:pPr>
    </w:p>
    <w:p>
      <w:pPr>
        <w:ind w:left="880" w:right="4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received a Notice, first request a paper copy of the proxy materials as directed in the Notice on or before May 5, 2021 to facilitate timely delivery.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it in the postage-paid envelope provided.</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voting instructions from the organization holding your account and you must follow those instructions to vote your shares. You will receive a Notice Regarding the Availability of Proxy Materials that will tell you how to access our proxy materials on the internet and vote your shares over the internet. It will also tell you how to request a paper or e-mail copy of our proxy materials.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THANK YOU FOR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sz w:val="1"/>
          <w:szCs w:val="1"/>
          <w:color w:val="auto"/>
        </w:rPr>
        <w:drawing>
          <wp:inline distT="0" distB="0" distL="0" distR="0">
            <wp:extent cx="205740" cy="2057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4"/>
          <w:szCs w:val="14"/>
          <w:b w:val="1"/>
          <w:bCs w:val="1"/>
          <w:color w:val="auto"/>
        </w:rPr>
        <w:t xml:space="preserve">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6774815</wp:posOffset>
            </wp:positionH>
            <wp:positionV relativeFrom="page">
              <wp:posOffset>723265</wp:posOffset>
            </wp:positionV>
            <wp:extent cx="565785" cy="565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00AAE5"/>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PROXY SUMMARY</w:t>
              </w:r>
            </w:hyperlink>
          </w:p>
        </w:tc>
        <w:tc>
          <w:tcPr>
            <w:tcW w:w="420" w:type="dxa"/>
            <w:vAlign w:val="bottom"/>
          </w:tcPr>
          <w:p>
            <w:pPr>
              <w:jc w:val="right"/>
              <w:spacing w:after="0"/>
              <w:rPr>
                <w:sz w:val="20"/>
                <w:szCs w:val="20"/>
                <w:color w:val="auto"/>
              </w:rPr>
            </w:pPr>
            <w:r>
              <w:rPr>
                <w:rFonts w:ascii="Arial" w:cs="Arial" w:eastAsia="Arial" w:hAnsi="Arial"/>
                <w:sz w:val="18"/>
                <w:szCs w:val="18"/>
                <w:color w:val="00AAE5"/>
              </w:rPr>
              <w:t>2</w:t>
            </w:r>
          </w:p>
        </w:tc>
      </w:tr>
      <w:tr>
        <w:trPr>
          <w:trHeight w:val="20"/>
        </w:trPr>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QUESTIONS AND ANSWERS ABOUT THE ANNUAL</w:t>
              </w:r>
            </w:hyperlink>
          </w:p>
        </w:tc>
        <w:tc>
          <w:tcPr>
            <w:tcW w:w="76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MEETING AND VOTING</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00AAE5"/>
              </w:rPr>
              <w:t>4</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Purpose of the Annual Meeting</w:t>
              </w:r>
            </w:hyperlink>
          </w:p>
        </w:tc>
        <w:tc>
          <w:tcPr>
            <w:tcW w:w="258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6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Annual Meeting Voting Rights and Attendance</w:t>
              </w:r>
            </w:hyperlink>
          </w:p>
        </w:tc>
        <w:tc>
          <w:tcPr>
            <w:tcW w:w="146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60" w:type="dxa"/>
            <w:vAlign w:val="bottom"/>
          </w:tcPr>
          <w:p>
            <w:pPr>
              <w:spacing w:after="0"/>
              <w:rPr>
                <w:sz w:val="17"/>
                <w:szCs w:val="17"/>
                <w:color w:val="auto"/>
              </w:rPr>
            </w:pPr>
          </w:p>
        </w:tc>
        <w:tc>
          <w:tcPr>
            <w:tcW w:w="35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Information about the Notice and Proxy Materials</w:t>
              </w:r>
            </w:hyperlink>
          </w:p>
        </w:tc>
        <w:tc>
          <w:tcPr>
            <w:tcW w:w="124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6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Voting</w:t>
              </w:r>
            </w:hyperlink>
          </w:p>
        </w:tc>
        <w:tc>
          <w:tcPr>
            <w:tcW w:w="4360" w:type="dxa"/>
            <w:vAlign w:val="bottom"/>
            <w:gridSpan w:val="3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2980" w:type="dxa"/>
            <w:vAlign w:val="bottom"/>
            <w:tcBorders>
              <w:bottom w:val="single" w:sz="8" w:color="0000EE"/>
            </w:tcBorders>
            <w:gridSpan w:val="23"/>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ITEM 1 – ELECTION OF DIRECTORS</w:t>
              </w:r>
            </w:hyperlink>
          </w:p>
        </w:tc>
        <w:tc>
          <w:tcPr>
            <w:tcW w:w="200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00AAE5"/>
              </w:rPr>
              <w:t>9</w:t>
            </w: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Nominees for Director</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4740" w:type="dxa"/>
            <w:vAlign w:val="bottom"/>
            <w:tcBorders>
              <w:bottom w:val="single" w:sz="8" w:color="0000EE"/>
            </w:tcBorders>
            <w:gridSpan w:val="34"/>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INFORMATION REGARDING THE BOARD OF DIRECTORS</w:t>
              </w:r>
            </w:hyperlink>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27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AND CORPORATE GOVERNANCE</w:t>
              </w:r>
            </w:hyperlink>
          </w:p>
        </w:tc>
        <w:tc>
          <w:tcPr>
            <w:tcW w:w="212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00AAE5"/>
              </w:rPr>
              <w:t>13</w:t>
            </w: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Board Committees</w:t>
              </w:r>
            </w:hyperlink>
          </w:p>
        </w:tc>
        <w:tc>
          <w:tcPr>
            <w:tcW w:w="620" w:type="dxa"/>
            <w:vAlign w:val="bottom"/>
            <w:tcBorders>
              <w:top w:val="single" w:sz="8" w:color="0000EE"/>
            </w:tcBorders>
            <w:gridSpan w:val="8"/>
          </w:tcPr>
          <w:p>
            <w:pPr>
              <w:spacing w:after="0"/>
              <w:rPr>
                <w:sz w:val="17"/>
                <w:szCs w:val="17"/>
                <w:color w:val="auto"/>
              </w:rPr>
            </w:pPr>
          </w:p>
        </w:tc>
        <w:tc>
          <w:tcPr>
            <w:tcW w:w="286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Meeting Attendance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 Involvement in Risk Oversight</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5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Procedures for Contacting the Company, including the Board of</w:t>
              </w:r>
            </w:hyperlink>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gridSpan w:val="3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8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Hedging, Pledging and Other Restricted Transactions</w:t>
              </w:r>
            </w:hyperlink>
          </w:p>
        </w:tc>
        <w:tc>
          <w:tcPr>
            <w:tcW w:w="100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Procedures for Selecting and Nominating Director Candidates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60" w:type="dxa"/>
            <w:vAlign w:val="bottom"/>
          </w:tcPr>
          <w:p>
            <w:pPr>
              <w:spacing w:after="0"/>
              <w:rPr>
                <w:sz w:val="17"/>
                <w:szCs w:val="17"/>
                <w:color w:val="auto"/>
              </w:rPr>
            </w:pPr>
          </w:p>
        </w:tc>
        <w:tc>
          <w:tcPr>
            <w:tcW w:w="44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Compensation</w:t>
              </w:r>
            </w:hyperlink>
          </w:p>
        </w:tc>
        <w:tc>
          <w:tcPr>
            <w:tcW w:w="38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246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EXECUTIVE COMPENSATION</w:t>
              </w:r>
            </w:hyperlink>
          </w:p>
        </w:tc>
        <w:tc>
          <w:tcPr>
            <w:tcW w:w="252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00AAE5"/>
              </w:rPr>
              <w:t>20</w:t>
            </w:r>
          </w:p>
        </w:tc>
      </w:tr>
      <w:tr>
        <w:trPr>
          <w:trHeight w:val="196"/>
        </w:trPr>
        <w:tc>
          <w:tcPr>
            <w:tcW w:w="160" w:type="dxa"/>
            <w:vAlign w:val="bottom"/>
          </w:tcPr>
          <w:p>
            <w:pPr>
              <w:spacing w:after="0"/>
              <w:rPr>
                <w:sz w:val="17"/>
                <w:szCs w:val="17"/>
                <w:color w:val="auto"/>
              </w:rPr>
            </w:pPr>
          </w:p>
        </w:tc>
        <w:tc>
          <w:tcPr>
            <w:tcW w:w="28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Compensation Discussion and Analysis</w:t>
              </w:r>
            </w:hyperlink>
          </w:p>
        </w:tc>
        <w:tc>
          <w:tcPr>
            <w:tcW w:w="198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0" w:type="dxa"/>
            <w:vAlign w:val="bottom"/>
          </w:tcPr>
          <w:p>
            <w:pPr>
              <w:spacing w:after="0"/>
              <w:rPr>
                <w:sz w:val="17"/>
                <w:szCs w:val="17"/>
                <w:color w:val="auto"/>
              </w:rPr>
            </w:pPr>
          </w:p>
        </w:tc>
        <w:tc>
          <w:tcPr>
            <w:tcW w:w="24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Compensation Committee Report</w:t>
              </w:r>
            </w:hyperlink>
          </w:p>
        </w:tc>
        <w:tc>
          <w:tcPr>
            <w:tcW w:w="24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2020 Summary Compensation Table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9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2020 Grants of Plan-Based Awards Table</w:t>
              </w:r>
            </w:hyperlink>
          </w:p>
        </w:tc>
        <w:tc>
          <w:tcPr>
            <w:tcW w:w="186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Outstanding Equity Awards at Fiscal Year-End Table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6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2020 Options Exercised and Stock Vested Table</w:t>
              </w:r>
            </w:hyperlink>
          </w:p>
        </w:tc>
        <w:tc>
          <w:tcPr>
            <w:tcW w:w="340" w:type="dxa"/>
            <w:vAlign w:val="bottom"/>
            <w:tcBorders>
              <w:top w:val="single" w:sz="8" w:color="0000EE"/>
            </w:tcBorders>
            <w:gridSpan w:val="2"/>
          </w:tcPr>
          <w:p>
            <w:pPr>
              <w:spacing w:after="0"/>
              <w:rPr>
                <w:sz w:val="17"/>
                <w:szCs w:val="17"/>
                <w:color w:val="auto"/>
              </w:rPr>
            </w:pPr>
          </w:p>
        </w:tc>
        <w:tc>
          <w:tcPr>
            <w:tcW w:w="104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0" w:type="dxa"/>
            <w:vAlign w:val="bottom"/>
          </w:tcPr>
          <w:p>
            <w:pPr>
              <w:spacing w:after="0"/>
              <w:rPr>
                <w:sz w:val="17"/>
                <w:szCs w:val="17"/>
                <w:color w:val="auto"/>
              </w:rPr>
            </w:pPr>
          </w:p>
        </w:tc>
        <w:tc>
          <w:tcPr>
            <w:tcW w:w="12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Pension Benefits</w:t>
              </w:r>
            </w:hyperlink>
          </w:p>
        </w:tc>
        <w:tc>
          <w:tcPr>
            <w:tcW w:w="3620" w:type="dxa"/>
            <w:vAlign w:val="bottom"/>
            <w:gridSpan w:val="2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Non-Qualified Deferred Compensation</w:t>
              </w:r>
            </w:hyperlink>
          </w:p>
        </w:tc>
        <w:tc>
          <w:tcPr>
            <w:tcW w:w="202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Employment Agreements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2500" w:type="dxa"/>
            <w:vAlign w:val="bottom"/>
            <w:gridSpan w:val="1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Potential Payments Upon Termination or Change-in-Control</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0" w:type="dxa"/>
            <w:vAlign w:val="bottom"/>
          </w:tcPr>
          <w:p>
            <w:pPr>
              <w:spacing w:after="0"/>
              <w:rPr>
                <w:sz w:val="17"/>
                <w:szCs w:val="17"/>
                <w:color w:val="auto"/>
              </w:rPr>
            </w:pPr>
          </w:p>
        </w:tc>
        <w:tc>
          <w:tcPr>
            <w:tcW w:w="43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CEO Pay Ratio</w:t>
              </w:r>
            </w:hyperlink>
          </w:p>
        </w:tc>
        <w:tc>
          <w:tcPr>
            <w:tcW w:w="5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26"/>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AUDIT COMMITTEE REPORT AND PAYMENT OF FEES TO</w:t>
              </w:r>
            </w:hyperlink>
          </w:p>
        </w:tc>
        <w:tc>
          <w:tcPr>
            <w:tcW w:w="460" w:type="dxa"/>
            <w:vAlign w:val="bottom"/>
          </w:tcPr>
          <w:p>
            <w:pPr>
              <w:spacing w:after="0"/>
              <w:rPr>
                <w:sz w:val="17"/>
                <w:szCs w:val="17"/>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OUR INDEPENDENT AUDITOR</w:t>
              </w:r>
            </w:hyperlink>
          </w:p>
        </w:tc>
        <w:tc>
          <w:tcPr>
            <w:tcW w:w="2120" w:type="dxa"/>
            <w:vAlign w:val="bottom"/>
            <w:tcBorders>
              <w:top w:val="single" w:sz="8" w:color="0000EE"/>
            </w:tcBorders>
            <w:gridSpan w:val="11"/>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00AAE5"/>
              </w:rPr>
              <w:t>36</w:t>
            </w:r>
          </w:p>
        </w:tc>
      </w:tr>
      <w:tr>
        <w:trPr>
          <w:trHeight w:val="196"/>
        </w:trPr>
        <w:tc>
          <w:tcPr>
            <w:tcW w:w="140" w:type="dxa"/>
            <w:vAlign w:val="bottom"/>
          </w:tcPr>
          <w:p>
            <w:pPr>
              <w:spacing w:after="0"/>
              <w:rPr>
                <w:sz w:val="17"/>
                <w:szCs w:val="17"/>
                <w:color w:val="auto"/>
              </w:rPr>
            </w:pPr>
          </w:p>
        </w:tc>
        <w:tc>
          <w:tcPr>
            <w:tcW w:w="480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Audit Committee Report</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Auditor Fees</w:t>
              </w:r>
            </w:hyperlink>
          </w:p>
        </w:tc>
        <w:tc>
          <w:tcPr>
            <w:tcW w:w="840" w:type="dxa"/>
            <w:vAlign w:val="bottom"/>
            <w:tcBorders>
              <w:top w:val="single" w:sz="8" w:color="0000EE"/>
            </w:tcBorders>
            <w:gridSpan w:val="5"/>
          </w:tcPr>
          <w:p>
            <w:pPr>
              <w:spacing w:after="0"/>
              <w:rPr>
                <w:sz w:val="17"/>
                <w:szCs w:val="17"/>
                <w:color w:val="auto"/>
              </w:rPr>
            </w:pPr>
          </w:p>
        </w:tc>
        <w:tc>
          <w:tcPr>
            <w:tcW w:w="302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0" w:type="dxa"/>
            <w:vAlign w:val="bottom"/>
          </w:tcPr>
          <w:p>
            <w:pPr>
              <w:spacing w:after="0"/>
              <w:rPr>
                <w:sz w:val="17"/>
                <w:szCs w:val="17"/>
                <w:color w:val="auto"/>
              </w:rPr>
            </w:pPr>
          </w:p>
        </w:tc>
        <w:tc>
          <w:tcPr>
            <w:tcW w:w="480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Auditor Services Pre-Approval Policy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94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 RATIFICATION OF SELECTION OF</w:t>
              </w:r>
            </w:hyperlink>
          </w:p>
        </w:tc>
        <w:tc>
          <w:tcPr>
            <w:tcW w:w="460" w:type="dxa"/>
            <w:vAlign w:val="bottom"/>
          </w:tcPr>
          <w:p>
            <w:pPr>
              <w:spacing w:after="0"/>
              <w:rPr>
                <w:sz w:val="24"/>
                <w:szCs w:val="24"/>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INDEPENDENT AUDITOR</w:t>
              </w:r>
            </w:hyperlink>
          </w:p>
        </w:tc>
        <w:tc>
          <w:tcPr>
            <w:tcW w:w="1440" w:type="dxa"/>
            <w:vAlign w:val="bottom"/>
            <w:tcBorders>
              <w:top w:val="single" w:sz="8" w:color="0000EE"/>
            </w:tcBorders>
            <w:gridSpan w:val="6"/>
          </w:tcPr>
          <w:p>
            <w:pPr>
              <w:spacing w:after="0"/>
              <w:rPr>
                <w:sz w:val="17"/>
                <w:szCs w:val="17"/>
                <w:color w:val="auto"/>
              </w:rPr>
            </w:pPr>
          </w:p>
        </w:tc>
        <w:tc>
          <w:tcPr>
            <w:tcW w:w="130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00AAE5"/>
              </w:rPr>
              <w:t>38</w:t>
            </w:r>
          </w:p>
        </w:tc>
      </w:tr>
      <w:tr>
        <w:trPr>
          <w:trHeight w:val="412"/>
        </w:trPr>
        <w:tc>
          <w:tcPr>
            <w:tcW w:w="38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ITEM 3 — ADVISORY VOTE TO APPROVE THE</w:t>
              </w:r>
            </w:hyperlink>
          </w:p>
        </w:tc>
        <w:tc>
          <w:tcPr>
            <w:tcW w:w="110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480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COMPENSATION OF THE COMPANY’S NAMED</w:t>
              </w:r>
            </w:hyperlink>
          </w:p>
        </w:tc>
        <w:tc>
          <w:tcPr>
            <w:tcW w:w="4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EXECUTIVE OFFICERS</w:t>
              </w:r>
            </w:hyperlink>
          </w:p>
        </w:tc>
        <w:tc>
          <w:tcPr>
            <w:tcW w:w="1880" w:type="dxa"/>
            <w:vAlign w:val="bottom"/>
            <w:tcBorders>
              <w:top w:val="single" w:sz="8" w:color="0000EE"/>
            </w:tcBorders>
            <w:gridSpan w:val="11"/>
          </w:tcPr>
          <w:p>
            <w:pPr>
              <w:spacing w:after="0"/>
              <w:rPr>
                <w:sz w:val="17"/>
                <w:szCs w:val="17"/>
                <w:color w:val="auto"/>
              </w:rPr>
            </w:pPr>
          </w:p>
        </w:tc>
        <w:tc>
          <w:tcPr>
            <w:tcW w:w="100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00AAE5"/>
              </w:rPr>
              <w:t>39</w:t>
            </w:r>
          </w:p>
        </w:tc>
      </w:tr>
      <w:tr>
        <w:trPr>
          <w:trHeight w:val="412"/>
        </w:trPr>
        <w:tc>
          <w:tcPr>
            <w:tcW w:w="4940" w:type="dxa"/>
            <w:vAlign w:val="bottom"/>
            <w:gridSpan w:val="2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SECURITY OWNERSHIP</w:t>
              </w:r>
            </w:hyperlink>
          </w:p>
        </w:tc>
        <w:tc>
          <w:tcPr>
            <w:tcW w:w="460" w:type="dxa"/>
            <w:vAlign w:val="bottom"/>
          </w:tcPr>
          <w:p>
            <w:pPr>
              <w:jc w:val="right"/>
              <w:spacing w:after="0"/>
              <w:rPr>
                <w:sz w:val="20"/>
                <w:szCs w:val="20"/>
                <w:color w:val="auto"/>
              </w:rPr>
            </w:pPr>
            <w:r>
              <w:rPr>
                <w:rFonts w:ascii="Arial" w:cs="Arial" w:eastAsia="Arial" w:hAnsi="Arial"/>
                <w:sz w:val="18"/>
                <w:szCs w:val="18"/>
                <w:color w:val="00AAE5"/>
              </w:rPr>
              <w:t>40</w:t>
            </w:r>
          </w:p>
        </w:tc>
      </w:tr>
      <w:tr>
        <w:trPr>
          <w:trHeight w:val="20"/>
        </w:trPr>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1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Beneficial Ownership of Directors, Nominees, Executive</w:t>
              </w:r>
            </w:hyperlink>
          </w:p>
        </w:tc>
        <w:tc>
          <w:tcPr>
            <w:tcW w:w="68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24"/>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Officers and Beneficial Owners of More than Five Percent of</w:t>
              </w:r>
            </w:hyperlink>
          </w:p>
        </w:tc>
        <w:tc>
          <w:tcPr>
            <w:tcW w:w="4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Our Common Stock</w:t>
              </w:r>
            </w:hyperlink>
          </w:p>
        </w:tc>
        <w:tc>
          <w:tcPr>
            <w:tcW w:w="22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2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346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CERTAIN RELATIONSHIPS AND RELATED</w:t>
              </w:r>
            </w:hyperlink>
          </w:p>
        </w:tc>
        <w:tc>
          <w:tcPr>
            <w:tcW w:w="148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TRANSACTIONS</w:t>
              </w:r>
            </w:hyperlink>
          </w:p>
        </w:tc>
        <w:tc>
          <w:tcPr>
            <w:tcW w:w="348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00AAE5"/>
              </w:rPr>
              <w:t>42</w:t>
            </w:r>
          </w:p>
        </w:tc>
      </w:tr>
      <w:tr>
        <w:trPr>
          <w:trHeight w:val="196"/>
        </w:trPr>
        <w:tc>
          <w:tcPr>
            <w:tcW w:w="140" w:type="dxa"/>
            <w:vAlign w:val="bottom"/>
          </w:tcPr>
          <w:p>
            <w:pPr>
              <w:spacing w:after="0"/>
              <w:rPr>
                <w:sz w:val="17"/>
                <w:szCs w:val="17"/>
                <w:color w:val="auto"/>
              </w:rPr>
            </w:pPr>
          </w:p>
        </w:tc>
        <w:tc>
          <w:tcPr>
            <w:tcW w:w="24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Transactions with Related Persons</w:t>
              </w:r>
            </w:hyperlink>
          </w:p>
        </w:tc>
        <w:tc>
          <w:tcPr>
            <w:tcW w:w="232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40" w:type="dxa"/>
            <w:vAlign w:val="bottom"/>
          </w:tcPr>
          <w:p>
            <w:pPr>
              <w:spacing w:after="0"/>
              <w:rPr>
                <w:sz w:val="17"/>
                <w:szCs w:val="17"/>
                <w:color w:val="auto"/>
              </w:rPr>
            </w:pPr>
          </w:p>
        </w:tc>
        <w:tc>
          <w:tcPr>
            <w:tcW w:w="3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Policy for Approval of Related Person Transactions</w:t>
              </w:r>
            </w:hyperlink>
          </w:p>
        </w:tc>
        <w:tc>
          <w:tcPr>
            <w:tcW w:w="108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412"/>
        </w:trPr>
        <w:tc>
          <w:tcPr>
            <w:tcW w:w="19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OTHER INFORMATION</w:t>
              </w:r>
            </w:hyperlink>
          </w:p>
        </w:tc>
        <w:tc>
          <w:tcPr>
            <w:tcW w:w="3040" w:type="dxa"/>
            <w:vAlign w:val="bottom"/>
            <w:gridSpan w:val="1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00AAE5"/>
              </w:rPr>
              <w:t>43</w:t>
            </w:r>
          </w:p>
        </w:tc>
      </w:tr>
      <w:tr>
        <w:trPr>
          <w:trHeight w:val="196"/>
        </w:trPr>
        <w:tc>
          <w:tcPr>
            <w:tcW w:w="140" w:type="dxa"/>
            <w:vAlign w:val="bottom"/>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Delinquent Section 16(a) Reports</w:t>
              </w:r>
            </w:hyperlink>
          </w:p>
        </w:tc>
        <w:tc>
          <w:tcPr>
            <w:tcW w:w="238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0" w:type="dxa"/>
            <w:vAlign w:val="bottom"/>
          </w:tcPr>
          <w:p>
            <w:pPr>
              <w:spacing w:after="0"/>
              <w:rPr>
                <w:sz w:val="17"/>
                <w:szCs w:val="17"/>
                <w:color w:val="auto"/>
              </w:rPr>
            </w:pPr>
          </w:p>
        </w:tc>
        <w:tc>
          <w:tcPr>
            <w:tcW w:w="37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Stockholder Proposals for the 2022 Annual Meeting</w:t>
              </w:r>
            </w:hyperlink>
          </w:p>
        </w:tc>
        <w:tc>
          <w:tcPr>
            <w:tcW w:w="104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0" w:type="dxa"/>
            <w:vAlign w:val="bottom"/>
          </w:tcPr>
          <w:p>
            <w:pPr>
              <w:spacing w:after="0"/>
              <w:rPr>
                <w:sz w:val="17"/>
                <w:szCs w:val="17"/>
                <w:color w:val="auto"/>
              </w:rPr>
            </w:pPr>
          </w:p>
        </w:tc>
        <w:tc>
          <w:tcPr>
            <w:tcW w:w="480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Householding of Proxy Materials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0" w:type="dxa"/>
            <w:vAlign w:val="bottom"/>
          </w:tcPr>
          <w:p>
            <w:pPr>
              <w:spacing w:after="0"/>
              <w:rPr>
                <w:sz w:val="17"/>
                <w:szCs w:val="17"/>
                <w:color w:val="auto"/>
              </w:rPr>
            </w:pPr>
          </w:p>
        </w:tc>
        <w:tc>
          <w:tcPr>
            <w:tcW w:w="2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Other Matters</w:t>
              </w:r>
            </w:hyperlink>
          </w:p>
        </w:tc>
        <w:tc>
          <w:tcPr>
            <w:tcW w:w="240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920" w:type="dxa"/>
            <w:vAlign w:val="bottom"/>
            <w:gridSpan w:val="1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940" w:type="dxa"/>
            <w:vAlign w:val="bottom"/>
            <w:gridSpan w:val="2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APPENDIX A - RECONCILIATION OF NON-GAAP</w:t>
              </w:r>
            </w:hyperlink>
          </w:p>
        </w:tc>
        <w:tc>
          <w:tcPr>
            <w:tcW w:w="460" w:type="dxa"/>
            <w:vAlign w:val="bottom"/>
          </w:tcPr>
          <w:p>
            <w:pPr>
              <w:spacing w:after="0"/>
              <w:rPr>
                <w:sz w:val="24"/>
                <w:szCs w:val="24"/>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FINANCIAL MEASURES</w:t>
              </w:r>
            </w:hyperlink>
          </w:p>
        </w:tc>
        <w:tc>
          <w:tcPr>
            <w:tcW w:w="96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00AAE5"/>
              </w:rPr>
              <w:t>A-1</w:t>
            </w: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617" w:lineRule="exact"/>
        <w:rPr>
          <w:sz w:val="20"/>
          <w:szCs w:val="20"/>
          <w:color w:val="auto"/>
        </w:rPr>
      </w:pPr>
    </w:p>
    <w:p>
      <w:pPr>
        <w:sectPr>
          <w:pgSz w:w="11900" w:h="16838" w:orient="portrait"/>
          <w:cols w:equalWidth="0" w:num="2">
            <w:col w:w="5400" w:space="440"/>
            <w:col w:w="5400"/>
          </w:cols>
          <w:pgMar w:left="320" w:top="1440" w:right="33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requires,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20574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36"/>
          <w:szCs w:val="36"/>
          <w:b w:val="1"/>
          <w:bCs w:val="1"/>
          <w:color w:val="00AAE5"/>
        </w:rPr>
        <w:t>PROXY SUMMARY</w:t>
      </w:r>
    </w:p>
    <w:p>
      <w:pPr>
        <w:spacing w:after="0" w:line="200"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This summary highlights information contained elsewhere in this proxy statement. We encourage you to review the entire proxy statement. This proxy statement and our Annual Report for the year ended December 31, 2020 are first being mailed to our stockholders on or about April 7, 2021. Website addresses included throughout this proxy statement are for reference only. The information contained on our website is not incorporated by reference into this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Business Results</w:t>
      </w:r>
    </w:p>
    <w:p>
      <w:pPr>
        <w:spacing w:after="0" w:line="183" w:lineRule="exact"/>
        <w:rPr>
          <w:sz w:val="20"/>
          <w:szCs w:val="20"/>
          <w:color w:val="auto"/>
        </w:rPr>
      </w:pPr>
    </w:p>
    <w:p>
      <w:pPr>
        <w:ind w:right="620" w:firstLine="589"/>
        <w:spacing w:after="0" w:line="342" w:lineRule="auto"/>
        <w:rPr>
          <w:sz w:val="20"/>
          <w:szCs w:val="20"/>
          <w:color w:val="auto"/>
        </w:rPr>
      </w:pPr>
      <w:r>
        <w:rPr>
          <w:rFonts w:ascii="Arial" w:cs="Arial" w:eastAsia="Arial" w:hAnsi="Arial"/>
          <w:sz w:val="16"/>
          <w:szCs w:val="16"/>
          <w:color w:val="auto"/>
        </w:rPr>
        <w:t>We are a technology company with revenue of $312.6 million in 2020. We are a leading provider of cloud-based supply chain management solutions, providing network-proven integrations and comprehensive retail performance analytics to tens of thousands of customers worldwide.</w:t>
      </w:r>
    </w:p>
    <w:p>
      <w:pPr>
        <w:spacing w:after="0" w:line="7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2020 was a year of continued execution for SPS Commerce, in an industry and customer base that has seen significant acceleration of transition. We achieved year-over-year recurring revenue growth, customer growth and wallet share growth while delivering strong revenue and Adjusted EBITDA growth. We also executed one strategic acquisition and continued to repurchase shares through our buyback program. Additional information regarding our performance is as follows.</w:t>
      </w:r>
    </w:p>
    <w:p>
      <w:pPr>
        <w:spacing w:after="0" w:line="79"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had sequential revenue growth for all four quarters of 2020 and now have 80 consecutive quarters of sequential revenue growth.</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revenues of $312.6 million for 2020, compared to $279.1 million for 2019, reflect 12% growth. Recurring revenue grew 13% from 2019.</w:t>
      </w:r>
    </w:p>
    <w:p>
      <w:pPr>
        <w:spacing w:after="0" w:line="140" w:lineRule="exact"/>
        <w:rPr>
          <w:rFonts w:ascii="Arial" w:cs="Arial" w:eastAsia="Arial" w:hAnsi="Arial"/>
          <w:sz w:val="16"/>
          <w:szCs w:val="16"/>
          <w:color w:val="auto"/>
        </w:rPr>
      </w:pPr>
    </w:p>
    <w:p>
      <w:pPr>
        <w:ind w:left="880" w:right="16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average recurring revenue per recurring revenue customer increased 6% from 2019, and the number of recurring revenue customers grew 8% from 2019.</w:t>
      </w:r>
    </w:p>
    <w:p>
      <w:pPr>
        <w:spacing w:after="0" w:line="62" w:lineRule="exact"/>
        <w:rPr>
          <w:rFonts w:ascii="Arial" w:cs="Arial" w:eastAsia="Arial" w:hAnsi="Arial"/>
          <w:sz w:val="18"/>
          <w:szCs w:val="18"/>
          <w:color w:val="auto"/>
        </w:rPr>
      </w:pPr>
    </w:p>
    <w:p>
      <w:pPr>
        <w:ind w:left="880" w:right="30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$87.0 million, compared to $69.8 million in 2019, and non-GAAP net income per diluted share of $1.53 compared to $1.28 in 2019.</w:t>
      </w:r>
      <w:r>
        <w:rPr>
          <w:rFonts w:ascii="Arial" w:cs="Arial" w:eastAsia="Arial" w:hAnsi="Arial"/>
          <w:sz w:val="15"/>
          <w:szCs w:val="15"/>
          <w:color w:val="auto"/>
        </w:rPr>
        <w:t>1</w:t>
      </w:r>
    </w:p>
    <w:p>
      <w:pPr>
        <w:spacing w:after="0" w:line="161" w:lineRule="exact"/>
        <w:rPr>
          <w:sz w:val="20"/>
          <w:szCs w:val="20"/>
          <w:color w:val="auto"/>
        </w:rPr>
      </w:pPr>
    </w:p>
    <w:p>
      <w:pPr>
        <w:ind w:right="440" w:firstLine="8"/>
        <w:spacing w:after="0" w:line="203" w:lineRule="auto"/>
        <w:tabs>
          <w:tab w:leader="none" w:pos="109"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i w:val="1"/>
          <w:iCs w:val="1"/>
          <w:color w:val="auto"/>
        </w:rPr>
        <w:t>Adjusted EBITDA, Non-GAAP income and non-GAAP income per diluted share are non-GAAP financial measures. Refer to Appendix A in this proxy statement for a reconciliation of these non-GAAP financial measures to the corresponding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20574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 w:name="page7"/>
    <w:bookmarkEnd w:id="6"/>
    <w:p>
      <w:pPr>
        <w:spacing w:after="0"/>
        <w:rPr>
          <w:sz w:val="20"/>
          <w:szCs w:val="20"/>
          <w:color w:val="auto"/>
        </w:rPr>
      </w:pPr>
      <w:r>
        <w:rPr>
          <w:rFonts w:ascii="Arial" w:cs="Arial" w:eastAsia="Arial" w:hAnsi="Arial"/>
          <w:sz w:val="27"/>
          <w:szCs w:val="27"/>
          <w:b w:val="1"/>
          <w:bCs w:val="1"/>
          <w:color w:val="auto"/>
        </w:rPr>
        <w:t>Voting Matters and Voting Recommendations</w:t>
      </w:r>
    </w:p>
    <w:p>
      <w:pPr>
        <w:spacing w:after="0" w:line="183"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following proposals are included in this proxy statement and are scheduled to be voted on at the meeting. Our board of directors recommends that you vote your shares as indicated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00AAE5"/>
              </w:rPr>
              <w:t>THE BOARD OF DIRECTOR’S</w:t>
            </w:r>
          </w:p>
        </w:tc>
        <w:tc>
          <w:tcPr>
            <w:tcW w:w="3880" w:type="dxa"/>
            <w:vAlign w:val="bottom"/>
          </w:tcPr>
          <w:p>
            <w:pPr>
              <w:spacing w:after="0"/>
              <w:rPr>
                <w:sz w:val="13"/>
                <w:szCs w:val="13"/>
                <w:color w:val="auto"/>
              </w:rPr>
            </w:pPr>
          </w:p>
        </w:tc>
        <w:tc>
          <w:tcPr>
            <w:tcW w:w="1460" w:type="dxa"/>
            <w:vAlign w:val="bottom"/>
          </w:tcPr>
          <w:p>
            <w:pPr>
              <w:ind w:left="260"/>
              <w:spacing w:after="0"/>
              <w:rPr>
                <w:sz w:val="20"/>
                <w:szCs w:val="20"/>
                <w:color w:val="auto"/>
              </w:rPr>
            </w:pPr>
            <w:r>
              <w:rPr>
                <w:rFonts w:ascii="Arial" w:cs="Arial" w:eastAsia="Arial" w:hAnsi="Arial"/>
                <w:sz w:val="13"/>
                <w:szCs w:val="13"/>
                <w:color w:val="00AAE5"/>
              </w:rPr>
              <w:t>FOR FURTHER</w:t>
            </w:r>
          </w:p>
        </w:tc>
      </w:tr>
      <w:tr>
        <w:trPr>
          <w:trHeight w:val="161"/>
        </w:trPr>
        <w:tc>
          <w:tcPr>
            <w:tcW w:w="3520" w:type="dxa"/>
            <w:vAlign w:val="bottom"/>
            <w:tcBorders>
              <w:bottom w:val="single" w:sz="8" w:color="00AAE5"/>
            </w:tcBorders>
            <w:gridSpan w:val="2"/>
          </w:tcPr>
          <w:p>
            <w:pPr>
              <w:spacing w:after="0"/>
              <w:rPr>
                <w:sz w:val="20"/>
                <w:szCs w:val="20"/>
                <w:color w:val="auto"/>
              </w:rPr>
            </w:pPr>
            <w:r>
              <w:rPr>
                <w:rFonts w:ascii="Arial" w:cs="Arial" w:eastAsia="Arial" w:hAnsi="Arial"/>
                <w:sz w:val="13"/>
                <w:szCs w:val="13"/>
                <w:color w:val="00AAE5"/>
              </w:rPr>
              <w:t>PROPOSALS:</w:t>
            </w:r>
          </w:p>
        </w:tc>
        <w:tc>
          <w:tcPr>
            <w:tcW w:w="2380" w:type="dxa"/>
            <w:vAlign w:val="bottom"/>
            <w:tcBorders>
              <w:bottom w:val="single" w:sz="8" w:color="00AAE5"/>
            </w:tcBorders>
          </w:tcPr>
          <w:p>
            <w:pPr>
              <w:ind w:left="260"/>
              <w:spacing w:after="0"/>
              <w:rPr>
                <w:sz w:val="20"/>
                <w:szCs w:val="20"/>
                <w:color w:val="auto"/>
              </w:rPr>
            </w:pPr>
            <w:r>
              <w:rPr>
                <w:rFonts w:ascii="Arial" w:cs="Arial" w:eastAsia="Arial" w:hAnsi="Arial"/>
                <w:sz w:val="13"/>
                <w:szCs w:val="13"/>
                <w:color w:val="00AAE5"/>
              </w:rPr>
              <w:t>VOTING RECOMMENDATIONS:</w:t>
            </w:r>
          </w:p>
        </w:tc>
        <w:tc>
          <w:tcPr>
            <w:tcW w:w="3880" w:type="dxa"/>
            <w:vAlign w:val="bottom"/>
            <w:tcBorders>
              <w:bottom w:val="single" w:sz="8" w:color="00AAE5"/>
            </w:tcBorders>
          </w:tcPr>
          <w:p>
            <w:pPr>
              <w:ind w:left="80"/>
              <w:spacing w:after="0"/>
              <w:rPr>
                <w:sz w:val="20"/>
                <w:szCs w:val="20"/>
                <w:color w:val="auto"/>
              </w:rPr>
            </w:pPr>
            <w:r>
              <w:rPr>
                <w:rFonts w:ascii="Arial" w:cs="Arial" w:eastAsia="Arial" w:hAnsi="Arial"/>
                <w:sz w:val="13"/>
                <w:szCs w:val="13"/>
                <w:color w:val="00AAE5"/>
              </w:rPr>
              <w:t>RATIONALE FOR SUPPORT:</w:t>
            </w:r>
          </w:p>
        </w:tc>
        <w:tc>
          <w:tcPr>
            <w:tcW w:w="1460" w:type="dxa"/>
            <w:vAlign w:val="bottom"/>
            <w:tcBorders>
              <w:bottom w:val="single" w:sz="8" w:color="00AAE5"/>
            </w:tcBorders>
          </w:tcPr>
          <w:p>
            <w:pPr>
              <w:ind w:left="260"/>
              <w:spacing w:after="0"/>
              <w:rPr>
                <w:sz w:val="20"/>
                <w:szCs w:val="20"/>
                <w:color w:val="auto"/>
              </w:rPr>
            </w:pPr>
            <w:r>
              <w:rPr>
                <w:rFonts w:ascii="Arial" w:cs="Arial" w:eastAsia="Arial" w:hAnsi="Arial"/>
                <w:sz w:val="13"/>
                <w:szCs w:val="13"/>
                <w:color w:val="00AAE5"/>
              </w:rPr>
              <w:t>DETAILS:</w:t>
            </w:r>
          </w:p>
        </w:tc>
      </w:tr>
      <w:tr>
        <w:trPr>
          <w:trHeight w:val="175"/>
        </w:trPr>
        <w:tc>
          <w:tcPr>
            <w:tcW w:w="300" w:type="dxa"/>
            <w:vAlign w:val="bottom"/>
          </w:tcPr>
          <w:p>
            <w:pPr>
              <w:spacing w:after="0"/>
              <w:rPr>
                <w:sz w:val="20"/>
                <w:szCs w:val="20"/>
                <w:color w:val="auto"/>
              </w:rPr>
            </w:pPr>
            <w:r>
              <w:rPr>
                <w:rFonts w:ascii="Arial" w:cs="Arial" w:eastAsia="Arial" w:hAnsi="Arial"/>
                <w:sz w:val="13"/>
                <w:szCs w:val="13"/>
                <w:color w:val="auto"/>
              </w:rPr>
              <w:t>1.</w:t>
            </w:r>
          </w:p>
        </w:tc>
        <w:tc>
          <w:tcPr>
            <w:tcW w:w="3220" w:type="dxa"/>
            <w:vAlign w:val="bottom"/>
          </w:tcPr>
          <w:p>
            <w:pPr>
              <w:ind w:left="200"/>
              <w:spacing w:after="0"/>
              <w:rPr>
                <w:sz w:val="20"/>
                <w:szCs w:val="20"/>
                <w:color w:val="auto"/>
              </w:rPr>
            </w:pPr>
            <w:r>
              <w:rPr>
                <w:rFonts w:ascii="Arial" w:cs="Arial" w:eastAsia="Arial" w:hAnsi="Arial"/>
                <w:sz w:val="13"/>
                <w:szCs w:val="13"/>
                <w:color w:val="auto"/>
              </w:rPr>
              <w:t>Election of the seven directors identified in this</w:t>
            </w:r>
          </w:p>
        </w:tc>
        <w:tc>
          <w:tcPr>
            <w:tcW w:w="2380" w:type="dxa"/>
            <w:vAlign w:val="bottom"/>
          </w:tcPr>
          <w:p>
            <w:pPr>
              <w:ind w:left="260"/>
              <w:spacing w:after="0"/>
              <w:rPr>
                <w:sz w:val="20"/>
                <w:szCs w:val="20"/>
                <w:color w:val="auto"/>
              </w:rPr>
            </w:pPr>
            <w:r>
              <w:rPr>
                <w:rFonts w:ascii="Arial" w:cs="Arial" w:eastAsia="Arial" w:hAnsi="Arial"/>
                <w:sz w:val="13"/>
                <w:szCs w:val="13"/>
                <w:color w:val="auto"/>
              </w:rPr>
              <w:t>“FOR” each nominee to the Board</w:t>
            </w:r>
          </w:p>
        </w:tc>
        <w:tc>
          <w:tcPr>
            <w:tcW w:w="3880" w:type="dxa"/>
            <w:vAlign w:val="bottom"/>
          </w:tcPr>
          <w:p>
            <w:pPr>
              <w:ind w:left="80"/>
              <w:spacing w:after="0"/>
              <w:rPr>
                <w:sz w:val="20"/>
                <w:szCs w:val="20"/>
                <w:color w:val="auto"/>
              </w:rPr>
            </w:pPr>
            <w:r>
              <w:rPr>
                <w:rFonts w:ascii="Arial" w:cs="Arial" w:eastAsia="Arial" w:hAnsi="Arial"/>
                <w:sz w:val="13"/>
                <w:szCs w:val="13"/>
                <w:color w:val="auto"/>
              </w:rPr>
              <w:t>Our nominees are distinguished leaders who bring a mix of</w:t>
            </w:r>
          </w:p>
        </w:tc>
        <w:tc>
          <w:tcPr>
            <w:tcW w:w="1460" w:type="dxa"/>
            <w:vAlign w:val="bottom"/>
          </w:tcPr>
          <w:p>
            <w:pPr>
              <w:ind w:left="260"/>
              <w:spacing w:after="0"/>
              <w:rPr>
                <w:sz w:val="20"/>
                <w:szCs w:val="20"/>
                <w:color w:val="auto"/>
              </w:rPr>
            </w:pPr>
            <w:r>
              <w:rPr>
                <w:rFonts w:ascii="Arial" w:cs="Arial" w:eastAsia="Arial" w:hAnsi="Arial"/>
                <w:sz w:val="13"/>
                <w:szCs w:val="13"/>
                <w:color w:val="auto"/>
              </w:rPr>
              <w:t>Page 9</w:t>
            </w:r>
          </w:p>
        </w:tc>
      </w:tr>
      <w:tr>
        <w:trPr>
          <w:trHeight w:val="149"/>
        </w:trPr>
        <w:tc>
          <w:tcPr>
            <w:tcW w:w="300" w:type="dxa"/>
            <w:vAlign w:val="bottom"/>
          </w:tcPr>
          <w:p>
            <w:pPr>
              <w:spacing w:after="0"/>
              <w:rPr>
                <w:sz w:val="12"/>
                <w:szCs w:val="12"/>
                <w:color w:val="auto"/>
              </w:rPr>
            </w:pPr>
          </w:p>
        </w:tc>
        <w:tc>
          <w:tcPr>
            <w:tcW w:w="3220" w:type="dxa"/>
            <w:vAlign w:val="bottom"/>
          </w:tcPr>
          <w:p>
            <w:pPr>
              <w:ind w:left="200"/>
              <w:spacing w:after="0"/>
              <w:rPr>
                <w:sz w:val="20"/>
                <w:szCs w:val="20"/>
                <w:color w:val="auto"/>
              </w:rPr>
            </w:pPr>
            <w:r>
              <w:rPr>
                <w:rFonts w:ascii="Arial" w:cs="Arial" w:eastAsia="Arial" w:hAnsi="Arial"/>
                <w:sz w:val="13"/>
                <w:szCs w:val="13"/>
                <w:color w:val="auto"/>
              </w:rPr>
              <w:t>Proxy Statement, each for a term of one year.</w:t>
            </w:r>
          </w:p>
        </w:tc>
        <w:tc>
          <w:tcPr>
            <w:tcW w:w="2380" w:type="dxa"/>
            <w:vAlign w:val="bottom"/>
          </w:tcPr>
          <w:p>
            <w:pPr>
              <w:spacing w:after="0"/>
              <w:rPr>
                <w:sz w:val="12"/>
                <w:szCs w:val="12"/>
                <w:color w:val="auto"/>
              </w:rPr>
            </w:pPr>
          </w:p>
        </w:tc>
        <w:tc>
          <w:tcPr>
            <w:tcW w:w="3880" w:type="dxa"/>
            <w:vAlign w:val="bottom"/>
          </w:tcPr>
          <w:p>
            <w:pPr>
              <w:ind w:left="80"/>
              <w:spacing w:after="0"/>
              <w:rPr>
                <w:sz w:val="20"/>
                <w:szCs w:val="20"/>
                <w:color w:val="auto"/>
              </w:rPr>
            </w:pPr>
            <w:r>
              <w:rPr>
                <w:rFonts w:ascii="Arial" w:cs="Arial" w:eastAsia="Arial" w:hAnsi="Arial"/>
                <w:sz w:val="13"/>
                <w:szCs w:val="13"/>
                <w:color w:val="auto"/>
              </w:rPr>
              <w:t>skills and qualifications to our board of directors and can</w:t>
            </w:r>
          </w:p>
        </w:tc>
        <w:tc>
          <w:tcPr>
            <w:tcW w:w="1460" w:type="dxa"/>
            <w:vAlign w:val="bottom"/>
          </w:tcPr>
          <w:p>
            <w:pPr>
              <w:spacing w:after="0"/>
              <w:rPr>
                <w:sz w:val="12"/>
                <w:szCs w:val="12"/>
                <w:color w:val="auto"/>
              </w:rPr>
            </w:pPr>
          </w:p>
        </w:tc>
      </w:tr>
      <w:tr>
        <w:trPr>
          <w:trHeight w:val="162"/>
        </w:trPr>
        <w:tc>
          <w:tcPr>
            <w:tcW w:w="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80" w:type="dxa"/>
            <w:vAlign w:val="bottom"/>
          </w:tcPr>
          <w:p>
            <w:pPr>
              <w:ind w:left="80"/>
              <w:spacing w:after="0"/>
              <w:rPr>
                <w:sz w:val="20"/>
                <w:szCs w:val="20"/>
                <w:color w:val="auto"/>
              </w:rPr>
            </w:pPr>
            <w:r>
              <w:rPr>
                <w:rFonts w:ascii="Arial" w:cs="Arial" w:eastAsia="Arial" w:hAnsi="Arial"/>
                <w:sz w:val="13"/>
                <w:szCs w:val="13"/>
                <w:color w:val="auto"/>
              </w:rPr>
              <w:t>represent the interests of all stockholders.</w:t>
            </w:r>
          </w:p>
        </w:tc>
        <w:tc>
          <w:tcPr>
            <w:tcW w:w="1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jc w:val="right"/>
              <w:ind w:right="113"/>
              <w:spacing w:after="0"/>
              <w:rPr>
                <w:sz w:val="20"/>
                <w:szCs w:val="20"/>
                <w:color w:val="auto"/>
              </w:rPr>
            </w:pPr>
            <w:r>
              <w:rPr>
                <w:rFonts w:ascii="Arial" w:cs="Arial" w:eastAsia="Arial" w:hAnsi="Arial"/>
                <w:sz w:val="13"/>
                <w:szCs w:val="13"/>
                <w:color w:val="auto"/>
                <w:w w:val="91"/>
              </w:rPr>
              <w:t>2.</w:t>
            </w:r>
          </w:p>
        </w:tc>
        <w:tc>
          <w:tcPr>
            <w:tcW w:w="3240" w:type="dxa"/>
            <w:vAlign w:val="bottom"/>
          </w:tcPr>
          <w:p>
            <w:pPr>
              <w:ind w:left="200"/>
              <w:spacing w:after="0"/>
              <w:rPr>
                <w:sz w:val="20"/>
                <w:szCs w:val="20"/>
                <w:color w:val="auto"/>
              </w:rPr>
            </w:pPr>
            <w:r>
              <w:rPr>
                <w:rFonts w:ascii="Arial" w:cs="Arial" w:eastAsia="Arial" w:hAnsi="Arial"/>
                <w:sz w:val="13"/>
                <w:szCs w:val="13"/>
                <w:color w:val="auto"/>
              </w:rPr>
              <w:t>Ratification of the selection of KPMG LLP</w:t>
            </w:r>
          </w:p>
        </w:tc>
        <w:tc>
          <w:tcPr>
            <w:tcW w:w="600" w:type="dxa"/>
            <w:vAlign w:val="bottom"/>
            <w:gridSpan w:val="2"/>
          </w:tcPr>
          <w:p>
            <w:pPr>
              <w:ind w:left="240"/>
              <w:spacing w:after="0"/>
              <w:rPr>
                <w:sz w:val="20"/>
                <w:szCs w:val="20"/>
                <w:color w:val="auto"/>
              </w:rPr>
            </w:pPr>
            <w:r>
              <w:rPr>
                <w:rFonts w:ascii="Arial" w:cs="Arial" w:eastAsia="Arial" w:hAnsi="Arial"/>
                <w:sz w:val="13"/>
                <w:szCs w:val="13"/>
                <w:color w:val="auto"/>
                <w:w w:val="94"/>
              </w:rPr>
              <w:t>“FOR”</w:t>
            </w:r>
          </w:p>
        </w:tc>
      </w:tr>
      <w:tr>
        <w:trPr>
          <w:trHeight w:val="148"/>
        </w:trPr>
        <w:tc>
          <w:tcPr>
            <w:tcW w:w="300" w:type="dxa"/>
            <w:vAlign w:val="bottom"/>
          </w:tcPr>
          <w:p>
            <w:pPr>
              <w:spacing w:after="0"/>
              <w:rPr>
                <w:sz w:val="12"/>
                <w:szCs w:val="12"/>
                <w:color w:val="auto"/>
              </w:rPr>
            </w:pPr>
          </w:p>
        </w:tc>
        <w:tc>
          <w:tcPr>
            <w:tcW w:w="3240" w:type="dxa"/>
            <w:vAlign w:val="bottom"/>
          </w:tcPr>
          <w:p>
            <w:pPr>
              <w:ind w:left="200"/>
              <w:spacing w:after="0"/>
              <w:rPr>
                <w:sz w:val="20"/>
                <w:szCs w:val="20"/>
                <w:color w:val="auto"/>
              </w:rPr>
            </w:pPr>
            <w:r>
              <w:rPr>
                <w:rFonts w:ascii="Arial" w:cs="Arial" w:eastAsia="Arial" w:hAnsi="Arial"/>
                <w:sz w:val="13"/>
                <w:szCs w:val="13"/>
                <w:color w:val="auto"/>
              </w:rPr>
              <w:t>(“KPMG“) as independent auditor of SPS</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8"/>
        </w:trPr>
        <w:tc>
          <w:tcPr>
            <w:tcW w:w="300" w:type="dxa"/>
            <w:vAlign w:val="bottom"/>
          </w:tcPr>
          <w:p>
            <w:pPr>
              <w:spacing w:after="0"/>
              <w:rPr>
                <w:sz w:val="12"/>
                <w:szCs w:val="12"/>
                <w:color w:val="auto"/>
              </w:rPr>
            </w:pPr>
          </w:p>
        </w:tc>
        <w:tc>
          <w:tcPr>
            <w:tcW w:w="3240" w:type="dxa"/>
            <w:vAlign w:val="bottom"/>
          </w:tcPr>
          <w:p>
            <w:pPr>
              <w:ind w:left="200"/>
              <w:spacing w:after="0"/>
              <w:rPr>
                <w:sz w:val="20"/>
                <w:szCs w:val="20"/>
                <w:color w:val="auto"/>
              </w:rPr>
            </w:pPr>
            <w:r>
              <w:rPr>
                <w:rFonts w:ascii="Arial" w:cs="Arial" w:eastAsia="Arial" w:hAnsi="Arial"/>
                <w:sz w:val="13"/>
                <w:szCs w:val="13"/>
                <w:color w:val="auto"/>
              </w:rPr>
              <w:t>Commerce, Inc. for the fiscal year ending</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70"/>
        </w:trPr>
        <w:tc>
          <w:tcPr>
            <w:tcW w:w="300" w:type="dxa"/>
            <w:vAlign w:val="bottom"/>
            <w:tcBorders>
              <w:bottom w:val="single" w:sz="8" w:color="00AAE5"/>
            </w:tcBorders>
          </w:tcPr>
          <w:p>
            <w:pPr>
              <w:spacing w:after="0"/>
              <w:rPr>
                <w:sz w:val="14"/>
                <w:szCs w:val="14"/>
                <w:color w:val="auto"/>
              </w:rPr>
            </w:pPr>
          </w:p>
        </w:tc>
        <w:tc>
          <w:tcPr>
            <w:tcW w:w="3240" w:type="dxa"/>
            <w:vAlign w:val="bottom"/>
            <w:tcBorders>
              <w:bottom w:val="single" w:sz="8" w:color="00AAE5"/>
            </w:tcBorders>
          </w:tcPr>
          <w:p>
            <w:pPr>
              <w:ind w:left="200"/>
              <w:spacing w:after="0"/>
              <w:rPr>
                <w:sz w:val="20"/>
                <w:szCs w:val="20"/>
                <w:color w:val="auto"/>
              </w:rPr>
            </w:pPr>
            <w:r>
              <w:rPr>
                <w:rFonts w:ascii="Arial" w:cs="Arial" w:eastAsia="Arial" w:hAnsi="Arial"/>
                <w:sz w:val="13"/>
                <w:szCs w:val="13"/>
                <w:color w:val="auto"/>
              </w:rPr>
              <w:t>December 31, 2021.</w:t>
            </w:r>
          </w:p>
        </w:tc>
        <w:tc>
          <w:tcPr>
            <w:tcW w:w="240" w:type="dxa"/>
            <w:vAlign w:val="bottom"/>
            <w:tcBorders>
              <w:bottom w:val="single" w:sz="8" w:color="99CCFF"/>
            </w:tcBorders>
          </w:tcPr>
          <w:p>
            <w:pPr>
              <w:spacing w:after="0"/>
              <w:rPr>
                <w:sz w:val="14"/>
                <w:szCs w:val="14"/>
                <w:color w:val="auto"/>
              </w:rPr>
            </w:pPr>
          </w:p>
        </w:tc>
        <w:tc>
          <w:tcPr>
            <w:tcW w:w="360" w:type="dxa"/>
            <w:vAlign w:val="bottom"/>
          </w:tcPr>
          <w:p>
            <w:pPr>
              <w:spacing w:after="0"/>
              <w:rPr>
                <w:sz w:val="14"/>
                <w:szCs w:val="14"/>
                <w:color w:val="auto"/>
              </w:rPr>
            </w:pPr>
          </w:p>
        </w:tc>
      </w:tr>
      <w:tr>
        <w:trPr>
          <w:trHeight w:val="175"/>
        </w:trPr>
        <w:tc>
          <w:tcPr>
            <w:tcW w:w="300" w:type="dxa"/>
            <w:vAlign w:val="bottom"/>
          </w:tcPr>
          <w:p>
            <w:pPr>
              <w:jc w:val="right"/>
              <w:ind w:right="113"/>
              <w:spacing w:after="0"/>
              <w:rPr>
                <w:sz w:val="20"/>
                <w:szCs w:val="20"/>
                <w:color w:val="auto"/>
              </w:rPr>
            </w:pPr>
            <w:r>
              <w:rPr>
                <w:rFonts w:ascii="Arial" w:cs="Arial" w:eastAsia="Arial" w:hAnsi="Arial"/>
                <w:sz w:val="13"/>
                <w:szCs w:val="13"/>
                <w:color w:val="auto"/>
                <w:w w:val="91"/>
              </w:rPr>
              <w:t>3.</w:t>
            </w:r>
          </w:p>
        </w:tc>
        <w:tc>
          <w:tcPr>
            <w:tcW w:w="3240" w:type="dxa"/>
            <w:vAlign w:val="bottom"/>
          </w:tcPr>
          <w:p>
            <w:pPr>
              <w:ind w:left="200"/>
              <w:spacing w:after="0"/>
              <w:rPr>
                <w:sz w:val="20"/>
                <w:szCs w:val="20"/>
                <w:color w:val="auto"/>
              </w:rPr>
            </w:pPr>
            <w:r>
              <w:rPr>
                <w:rFonts w:ascii="Arial" w:cs="Arial" w:eastAsia="Arial" w:hAnsi="Arial"/>
                <w:sz w:val="13"/>
                <w:szCs w:val="13"/>
                <w:color w:val="auto"/>
              </w:rPr>
              <w:t>An advisory vote to approve the compensation of</w:t>
            </w:r>
          </w:p>
        </w:tc>
        <w:tc>
          <w:tcPr>
            <w:tcW w:w="600" w:type="dxa"/>
            <w:vAlign w:val="bottom"/>
            <w:gridSpan w:val="2"/>
          </w:tcPr>
          <w:p>
            <w:pPr>
              <w:ind w:left="240"/>
              <w:spacing w:after="0"/>
              <w:rPr>
                <w:sz w:val="20"/>
                <w:szCs w:val="20"/>
                <w:color w:val="auto"/>
              </w:rPr>
            </w:pPr>
            <w:r>
              <w:rPr>
                <w:rFonts w:ascii="Arial" w:cs="Arial" w:eastAsia="Arial" w:hAnsi="Arial"/>
                <w:sz w:val="13"/>
                <w:szCs w:val="13"/>
                <w:color w:val="auto"/>
                <w:w w:val="94"/>
              </w:rPr>
              <w:t>“FOR”</w:t>
            </w:r>
          </w:p>
        </w:tc>
      </w:tr>
      <w:tr>
        <w:trPr>
          <w:trHeight w:val="162"/>
        </w:trPr>
        <w:tc>
          <w:tcPr>
            <w:tcW w:w="300" w:type="dxa"/>
            <w:vAlign w:val="bottom"/>
          </w:tcPr>
          <w:p>
            <w:pPr>
              <w:spacing w:after="0"/>
              <w:rPr>
                <w:sz w:val="14"/>
                <w:szCs w:val="14"/>
                <w:color w:val="auto"/>
              </w:rPr>
            </w:pPr>
          </w:p>
        </w:tc>
        <w:tc>
          <w:tcPr>
            <w:tcW w:w="3240" w:type="dxa"/>
            <w:vAlign w:val="bottom"/>
          </w:tcPr>
          <w:p>
            <w:pPr>
              <w:ind w:left="200"/>
              <w:spacing w:after="0"/>
              <w:rPr>
                <w:sz w:val="20"/>
                <w:szCs w:val="20"/>
                <w:color w:val="auto"/>
              </w:rPr>
            </w:pPr>
            <w:r>
              <w:rPr>
                <w:rFonts w:ascii="Arial" w:cs="Arial" w:eastAsia="Arial" w:hAnsi="Arial"/>
                <w:sz w:val="13"/>
                <w:szCs w:val="13"/>
                <w:color w:val="auto"/>
              </w:rPr>
              <w:t>our named executive officers.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4040" w:val="left"/>
        </w:tabs>
        <w:rPr>
          <w:sz w:val="20"/>
          <w:szCs w:val="20"/>
          <w:color w:val="auto"/>
        </w:rPr>
      </w:pPr>
      <w:r>
        <w:rPr>
          <w:rFonts w:ascii="Arial" w:cs="Arial" w:eastAsia="Arial" w:hAnsi="Arial"/>
          <w:sz w:val="13"/>
          <w:szCs w:val="13"/>
          <w:color w:val="auto"/>
        </w:rPr>
        <w:t>Based on its assessment of the qualifications and performance</w:t>
      </w:r>
      <w:r>
        <w:rPr>
          <w:sz w:val="20"/>
          <w:szCs w:val="20"/>
          <w:color w:val="auto"/>
        </w:rPr>
        <w:tab/>
      </w:r>
      <w:r>
        <w:rPr>
          <w:rFonts w:ascii="Arial" w:cs="Arial" w:eastAsia="Arial" w:hAnsi="Arial"/>
          <w:sz w:val="13"/>
          <w:szCs w:val="13"/>
          <w:color w:val="auto"/>
        </w:rPr>
        <w:t>Page 38</w:t>
      </w:r>
    </w:p>
    <w:p>
      <w:pPr>
        <w:ind w:right="1520"/>
        <w:spacing w:after="0" w:line="258" w:lineRule="auto"/>
        <w:rPr>
          <w:sz w:val="20"/>
          <w:szCs w:val="20"/>
          <w:color w:val="auto"/>
        </w:rPr>
      </w:pPr>
      <w:r>
        <w:rPr>
          <w:rFonts w:ascii="Arial" w:cs="Arial" w:eastAsia="Arial" w:hAnsi="Arial"/>
          <w:sz w:val="13"/>
          <w:szCs w:val="13"/>
          <w:color w:val="auto"/>
        </w:rPr>
        <w:t>of KPMG, the Audit Committee believes that it is in the best interests of the Company and its stockholders to retain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96520</wp:posOffset>
            </wp:positionV>
            <wp:extent cx="4740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172" w:lineRule="exact"/>
        <w:rPr>
          <w:sz w:val="20"/>
          <w:szCs w:val="20"/>
          <w:color w:val="auto"/>
        </w:rPr>
      </w:pPr>
    </w:p>
    <w:p>
      <w:pPr>
        <w:ind w:right="700"/>
        <w:spacing w:after="0" w:line="245" w:lineRule="auto"/>
        <w:rPr>
          <w:sz w:val="20"/>
          <w:szCs w:val="20"/>
          <w:color w:val="auto"/>
        </w:rPr>
      </w:pPr>
      <w:r>
        <w:rPr>
          <w:rFonts w:ascii="Arial" w:cs="Arial" w:eastAsia="Arial" w:hAnsi="Arial"/>
          <w:sz w:val="13"/>
          <w:szCs w:val="13"/>
          <w:color w:val="auto"/>
        </w:rPr>
        <w:t>Our executive compensation program is designed to attract and Page 39 retain talented and highly experienced executives and to motivate our executives to achieve the goals that are important to the Company’s growth and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6985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63" w:right="339" w:bottom="1440" w:gutter="0" w:footer="0" w:header="0"/>
          <w:type w:val="continuous"/>
        </w:sectPr>
      </w:pPr>
    </w:p>
    <w:p>
      <w:pPr>
        <w:spacing w:after="0" w:line="26"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Other than the proposals described in this proxy statement, the board is not aware of any other matters to be presented for a vote at the annual meeting. If you grant a proxy by telephone, internet, or by signing and returning your proxy card, any of the persons appointed by the board as proxy holders will have the discretion to vote your shares on any additional matters properly presented for a vote at the meeting. If any of our nominees is unavailable as a candidate for director, the above-named proxy holders will vote your proxy for another candidate or candidates as may be nominated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0574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7" w:name="page8"/>
    <w:bookmarkEnd w:id="7"/>
    <w:p>
      <w:pPr>
        <w:jc w:val="center"/>
        <w:ind w:left="340" w:right="360"/>
        <w:spacing w:after="0" w:line="280" w:lineRule="auto"/>
        <w:rPr>
          <w:sz w:val="20"/>
          <w:szCs w:val="20"/>
          <w:color w:val="auto"/>
        </w:rPr>
      </w:pPr>
      <w:r>
        <w:rPr>
          <w:rFonts w:ascii="Arial" w:cs="Arial" w:eastAsia="Arial" w:hAnsi="Arial"/>
          <w:sz w:val="36"/>
          <w:szCs w:val="36"/>
          <w:b w:val="1"/>
          <w:bCs w:val="1"/>
          <w:color w:val="00AAE5"/>
        </w:rPr>
        <w:t>QUESTIONS AND ANSWERS ABOUT THE ANNUAL MEETING AND VOTING</w:t>
      </w:r>
    </w:p>
    <w:p>
      <w:pPr>
        <w:spacing w:after="0" w:line="66"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19, 2021, and at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 of the Annual Meeting</w:t>
      </w:r>
    </w:p>
    <w:p>
      <w:pPr>
        <w:spacing w:after="0" w:line="16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2021, and an advisory vote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Voting Rights and Attendance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Who is entitled to vote at the meeting?</w:t>
      </w:r>
    </w:p>
    <w:p>
      <w:pPr>
        <w:spacing w:after="0" w:line="17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board of directors has set March 24, 2021 as the record date for the annual meeting. If you were a stockholder of record at the close of business on March 24, 2021, you are entitled to vote at the meeting. As of the record date, 35,861,584 shares of common stock, representing all of our voting stock, were issued and outstanding and, therefore, eligible to vote at the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What are my voting rights?</w:t>
      </w:r>
    </w:p>
    <w:p>
      <w:pPr>
        <w:spacing w:after="0" w:line="17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Holders of our common stock are entitled to one vote per share. Therefore, a total of 35,861,584 votes are entitled to be cast at the meeting. There is no cumulative voting.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How many shares must be present to hold the meeting?</w:t>
      </w:r>
    </w:p>
    <w:p>
      <w:pPr>
        <w:spacing w:after="0" w:line="17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76" w:lineRule="exact"/>
        <w:rPr>
          <w:sz w:val="20"/>
          <w:szCs w:val="20"/>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present (virtually) and vote at the meeting;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What is the difference between a stockholder of record and a “street name” holder?</w:t>
      </w:r>
    </w:p>
    <w:p>
      <w:pPr>
        <w:spacing w:after="0" w:line="171"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How can I attend the meeting?</w:t>
      </w:r>
    </w:p>
    <w:p>
      <w:pPr>
        <w:spacing w:after="0" w:line="171" w:lineRule="exact"/>
        <w:rPr>
          <w:sz w:val="20"/>
          <w:szCs w:val="20"/>
          <w:color w:val="auto"/>
        </w:rPr>
      </w:pPr>
    </w:p>
    <w:p>
      <w:pPr>
        <w:jc w:val="both"/>
        <w:ind w:right="200" w:firstLine="589"/>
        <w:spacing w:after="0" w:line="311" w:lineRule="auto"/>
        <w:rPr>
          <w:sz w:val="20"/>
          <w:szCs w:val="20"/>
          <w:color w:val="auto"/>
        </w:rPr>
      </w:pPr>
      <w:r>
        <w:rPr>
          <w:rFonts w:ascii="Arial" w:cs="Arial" w:eastAsia="Arial" w:hAnsi="Arial"/>
          <w:sz w:val="16"/>
          <w:szCs w:val="16"/>
          <w:color w:val="auto"/>
        </w:rPr>
        <w:t>All of our stockholders are invited to attend the annual meeting virtually. The meeting is not being held in person due to public health and travel impacts of the coronavirus (COVID-19) pandemic. In addition, we believe that hosting the meeting online enables increased attendance and participation from locations around the world. The meeting has been designed to provide the same rights to participate as you would have at an in-person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3"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00AAE5"/>
        </w:rPr>
        <w:t>What do I need to attend the meeting?</w:t>
      </w:r>
    </w:p>
    <w:p>
      <w:pPr>
        <w:spacing w:after="0" w:line="252" w:lineRule="exact"/>
        <w:rPr>
          <w:sz w:val="20"/>
          <w:szCs w:val="20"/>
          <w:color w:val="auto"/>
        </w:rPr>
      </w:pPr>
    </w:p>
    <w:p>
      <w:pPr>
        <w:ind w:right="220" w:firstLine="540"/>
        <w:spacing w:after="0" w:line="301" w:lineRule="auto"/>
        <w:rPr>
          <w:sz w:val="20"/>
          <w:szCs w:val="20"/>
          <w:color w:val="auto"/>
        </w:rPr>
      </w:pPr>
      <w:r>
        <w:rPr>
          <w:rFonts w:ascii="Arial" w:cs="Arial" w:eastAsia="Arial" w:hAnsi="Arial"/>
          <w:sz w:val="16"/>
          <w:szCs w:val="16"/>
          <w:color w:val="auto"/>
        </w:rPr>
        <w:t>We will be hosting our meeting via live webcast. Stockholders can attend the meeting online at: www.virtualshareholdermeeting.com/SPSC2021. The webcast will begin at 8:00 a.m., Central Time. We encourage you to access the meeting prior to the start time. In order to participate in the meeting, you will need the 16-digit control number located on your Notice, on your proxy card or on the instructions that accompanied your proxy materials. A replay of the meeting will be publicly available on the Investor Relations page of our website for at least 30 days after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How can I submit a question at the meeting?</w:t>
      </w:r>
    </w:p>
    <w:p>
      <w:pPr>
        <w:spacing w:after="0" w:line="17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If you would like to submit a question at the meeting, you may type your question into the dialog box provided at any point during the virtual meeting (until the floor is closed to questions). In order to allow us to answer questions from as many stockholders as possible, we limit each stockholder to one question. Questions and answers may be grouped by topic and substantially similar questions may be answered at once. If we do not have time to answer all the appropriate questions that have been submitted, we expect to post any additional questions and our answers on the Investor Relations page of our website promptly following the meeting and retain them for 30 days after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What if I have technical difficulties or trouble accessing the meeting?</w:t>
      </w:r>
    </w:p>
    <w:p>
      <w:pPr>
        <w:spacing w:after="0" w:line="171"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If you encounter any technical difficulties with accessing the virtual meeting, please call the technical support number that will be posted on the meeting website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Notice and Proxy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What is a proxy?</w:t>
      </w:r>
    </w:p>
    <w:p>
      <w:pPr>
        <w:spacing w:after="0" w:line="17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2021 annual meeting of stockholders. These executive officers are Archie Black and Kimberly Nelson.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If I received a one-page Notice of Internet Availability of Proxy Materials, how can I receive a full set of printed proxy materials?</w:t>
      </w:r>
    </w:p>
    <w:p>
      <w:pPr>
        <w:spacing w:after="0" w:line="17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As permitted by SEC rules, we have elected to provide access to our proxy materials over the internet to record owners and any beneficial owners of our stock who have not previously requested printed proxy materials, which reduces our costs and the environmental impact of our annual meeting. The Notice of Availability contains instructions on how to request a printed set of proxy materials, which we will provide to stockholders upon request at no cost to the requesting stockholder within three business days after receiving the request. If you would like to request a printed set of proxy materials, please make your request on or before May 5, 2021 to facilitate timely delivery.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How do I submit my proxy?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117" w:lineRule="exact"/>
        <w:rPr>
          <w:sz w:val="20"/>
          <w:szCs w:val="20"/>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over the internet using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 the telephone by calling a toll-free number;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ind w:right="160" w:firstLine="589"/>
        <w:spacing w:after="0" w:line="273" w:lineRule="auto"/>
        <w:rPr>
          <w:sz w:val="20"/>
          <w:szCs w:val="20"/>
          <w:color w:val="auto"/>
        </w:rPr>
      </w:pPr>
      <w:r>
        <w:rPr>
          <w:rFonts w:ascii="Arial" w:cs="Arial" w:eastAsia="Arial" w:hAnsi="Arial"/>
          <w:sz w:val="17"/>
          <w:szCs w:val="17"/>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If you request the proxy materials by mail after receiving a Notice of Internet Availability of Proxy Material, you will receive a voting instruction form (not a proxy card) to use in directing the broker, bank, trust, or other nominee how to vote your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What does it mean if I receive more than one printed set of proxy materials?</w:t>
      </w:r>
    </w:p>
    <w:p>
      <w:pPr>
        <w:spacing w:after="0" w:line="171"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Who pays for the cost of proxy preparation and solicitation?</w:t>
      </w:r>
    </w:p>
    <w:p>
      <w:pPr>
        <w:spacing w:after="0" w:line="171" w:lineRule="exact"/>
        <w:rPr>
          <w:sz w:val="20"/>
          <w:szCs w:val="20"/>
          <w:color w:val="auto"/>
        </w:rPr>
      </w:pPr>
    </w:p>
    <w:p>
      <w:pPr>
        <w:jc w:val="both"/>
        <w:ind w:right="220" w:firstLine="589"/>
        <w:spacing w:after="0" w:line="279" w:lineRule="auto"/>
        <w:rPr>
          <w:sz w:val="20"/>
          <w:szCs w:val="20"/>
          <w:color w:val="auto"/>
        </w:rPr>
      </w:pPr>
      <w:r>
        <w:rPr>
          <w:rFonts w:ascii="Arial" w:cs="Arial" w:eastAsia="Arial" w:hAnsi="Arial"/>
          <w:sz w:val="17"/>
          <w:szCs w:val="17"/>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How do I vote?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“How to Vote” section earlier in this document for instructions on the different options on how to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How does the board of directors recommend that I vote?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board of directors recommends a vote:</w:t>
      </w:r>
    </w:p>
    <w:p>
      <w:pPr>
        <w:spacing w:after="0" w:line="113" w:lineRule="exact"/>
        <w:rPr>
          <w:sz w:val="20"/>
          <w:szCs w:val="20"/>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nominees for director;</w:t>
      </w:r>
    </w:p>
    <w:p>
      <w:pPr>
        <w:spacing w:after="0" w:line="117" w:lineRule="exact"/>
        <w:rPr>
          <w:rFonts w:ascii="Arial" w:cs="Arial" w:eastAsia="Arial" w:hAnsi="Arial"/>
          <w:sz w:val="18"/>
          <w:szCs w:val="18"/>
          <w:color w:val="auto"/>
        </w:rPr>
      </w:pPr>
    </w:p>
    <w:p>
      <w:pPr>
        <w:ind w:left="1020" w:right="240" w:hanging="432"/>
        <w:spacing w:after="0" w:line="28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KPMG as the independent auditor of SPS Commerce, Inc. for the year ending December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53"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advisory approval of the compensation of our named executive officers.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What if I do not specify how I want my shares voted?</w:t>
      </w:r>
    </w:p>
    <w:p>
      <w:pPr>
        <w:spacing w:after="0" w:line="17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58" w:lineRule="exact"/>
        <w:rPr>
          <w:sz w:val="20"/>
          <w:szCs w:val="20"/>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nominees for director;</w:t>
      </w:r>
    </w:p>
    <w:p>
      <w:pPr>
        <w:spacing w:after="0" w:line="117" w:lineRule="exact"/>
        <w:rPr>
          <w:rFonts w:ascii="Arial" w:cs="Arial" w:eastAsia="Arial" w:hAnsi="Arial"/>
          <w:sz w:val="18"/>
          <w:szCs w:val="18"/>
          <w:color w:val="auto"/>
        </w:rPr>
      </w:pPr>
    </w:p>
    <w:p>
      <w:pPr>
        <w:ind w:left="1020" w:right="240" w:hanging="432"/>
        <w:spacing w:after="0" w:line="28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KPMG as the independent auditor of SPS Commerce, Inc. for the year ending December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53"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advisory approval of the compensation of our named executive officers.</w:t>
      </w:r>
    </w:p>
    <w:p>
      <w:pPr>
        <w:spacing w:after="0" w:line="175"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5"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ind w:right="140"/>
        <w:spacing w:after="0" w:line="273" w:lineRule="auto"/>
        <w:rPr>
          <w:sz w:val="20"/>
          <w:szCs w:val="20"/>
          <w:color w:val="auto"/>
        </w:rPr>
      </w:pPr>
      <w:r>
        <w:rPr>
          <w:rFonts w:ascii="Arial" w:cs="Arial" w:eastAsia="Arial" w:hAnsi="Arial"/>
          <w:sz w:val="17"/>
          <w:szCs w:val="17"/>
          <w:color w:val="auto"/>
        </w:rPr>
        <w:t xml:space="preserve">street name holders. Other than the ratification of the selection of KPMG as our independent auditor for the year ending December 31, 2021, the rules do </w:t>
      </w:r>
      <w:r>
        <w:rPr>
          <w:rFonts w:ascii="Arial" w:cs="Arial" w:eastAsia="Arial" w:hAnsi="Arial"/>
          <w:sz w:val="17"/>
          <w:szCs w:val="17"/>
          <w:i w:val="1"/>
          <w:iCs w:val="1"/>
          <w:color w:val="auto"/>
        </w:rPr>
        <w:t xml:space="preserve">not </w:t>
      </w:r>
      <w:r>
        <w:rPr>
          <w:rFonts w:ascii="Arial" w:cs="Arial" w:eastAsia="Arial" w:hAnsi="Arial"/>
          <w:sz w:val="17"/>
          <w:szCs w:val="17"/>
          <w:color w:val="auto"/>
        </w:rPr>
        <w:t>permit member brokers to exercise voting discretion as to the uninstructed shares on any matter included in the notice of meeting. With respect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ratification of the selection of KPMG as our independent auditor for the year ending December 31, 2021,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Can I change my vote after submitting my proxy?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94" w:lineRule="exact"/>
        <w:rPr>
          <w:sz w:val="20"/>
          <w:szCs w:val="20"/>
          <w:color w:val="auto"/>
        </w:rPr>
      </w:pPr>
    </w:p>
    <w:p>
      <w:pPr>
        <w:ind w:left="1020" w:right="200" w:hanging="432"/>
        <w:spacing w:after="0" w:line="232" w:lineRule="auto"/>
        <w:tabs>
          <w:tab w:leader="none" w:pos="10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by submitting a later-dated proxy by telephone or the internet before 11:59 p.m. Eastern Time on May 18, 2021 for shares held directly and before 11:59 p.m. Eastern Time on May 16, 2021 for shares held in a Plan;</w:t>
      </w:r>
    </w:p>
    <w:p>
      <w:pPr>
        <w:spacing w:after="0" w:line="95" w:lineRule="exact"/>
        <w:rPr>
          <w:rFonts w:ascii="Arial" w:cs="Arial" w:eastAsia="Arial" w:hAnsi="Arial"/>
          <w:sz w:val="22"/>
          <w:szCs w:val="22"/>
          <w:color w:val="auto"/>
        </w:rPr>
      </w:pPr>
    </w:p>
    <w:p>
      <w:pPr>
        <w:ind w:left="1020" w:right="10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62"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voting at the virtual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Can I vote my shares at the meeting?</w:t>
      </w:r>
    </w:p>
    <w:p>
      <w:pPr>
        <w:spacing w:after="0" w:line="17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If you are a stockholder of record or beneficial owner of common stock as of the close of business on the record date, you may vote your shares during the virtual meeting by using the 16-digit control number on your Notice, your proxy card, or your voting instruction form, as applicable, on www.virtualshareholdermeeting.com/SPSC2021. Even if you currently plan to attend the meeting, we recommend that you submit your proxy as described above so your vote will be counted if you later decide not to attend the meeting. If you submit your vote by proxy and later decide to vote at the annual meeting, the vote you submit at the meeting will override your proxy vote.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What vote is required to approve each item of business included in the notice of meeting?</w:t>
      </w:r>
    </w:p>
    <w:p>
      <w:pPr>
        <w:spacing w:after="0" w:line="171" w:lineRule="exact"/>
        <w:rPr>
          <w:sz w:val="20"/>
          <w:szCs w:val="20"/>
          <w:color w:val="auto"/>
        </w:rPr>
      </w:pPr>
    </w:p>
    <w:p>
      <w:pPr>
        <w:ind w:right="320" w:firstLine="589"/>
        <w:spacing w:after="0" w:line="259" w:lineRule="auto"/>
        <w:rPr>
          <w:sz w:val="20"/>
          <w:szCs w:val="20"/>
          <w:color w:val="auto"/>
        </w:rPr>
      </w:pPr>
      <w:r>
        <w:rPr>
          <w:rFonts w:ascii="Arial" w:cs="Arial" w:eastAsia="Arial" w:hAnsi="Arial"/>
          <w:sz w:val="18"/>
          <w:szCs w:val="18"/>
          <w:color w:val="auto"/>
        </w:rPr>
        <w:t>A director nominee will be elected if the number of votes cast “FOR” the nominee exceeds the number of votes cast “AGAINST” the nominee. Any incumbent director who does not receive a greater number of votes “FOR” than “AGAINST” his or her reelection in an uncontested election shall tender his or her resignation to the board of directors, subject to acceptance by the board of directors. The board of directors will determine whether to accept or reject the offer to resign within 90 days of certification of the stockholder vote.</w:t>
      </w:r>
    </w:p>
    <w:p>
      <w:pPr>
        <w:spacing w:after="0" w:line="133"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at the meeting or represented by proxy and entitled to vote at the annual meeting is required to ratify the selection of our independent auditor.</w:t>
      </w:r>
    </w:p>
    <w:p>
      <w:pPr>
        <w:spacing w:after="0" w:line="116"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For the advisory vote to approve the executive compensation of our named executive officers, there is no minimum approval necessary for the proposal since it is an advisory vote; however, the board of directors will consider the results of the advisory vote when considering future decisions related to such proposals.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How are votes counted?</w:t>
      </w:r>
    </w:p>
    <w:p>
      <w:pPr>
        <w:spacing w:after="0" w:line="171" w:lineRule="exact"/>
        <w:rPr>
          <w:sz w:val="20"/>
          <w:szCs w:val="20"/>
          <w:color w:val="auto"/>
        </w:rPr>
      </w:pPr>
    </w:p>
    <w:p>
      <w:pPr>
        <w:jc w:val="both"/>
        <w:ind w:right="60" w:firstLine="589"/>
        <w:spacing w:after="0" w:line="311" w:lineRule="auto"/>
        <w:rPr>
          <w:sz w:val="20"/>
          <w:szCs w:val="20"/>
          <w:color w:val="auto"/>
        </w:rPr>
      </w:pPr>
      <w:r>
        <w:rPr>
          <w:rFonts w:ascii="Arial" w:cs="Arial" w:eastAsia="Arial" w:hAnsi="Arial"/>
          <w:sz w:val="16"/>
          <w:szCs w:val="16"/>
          <w:color w:val="auto"/>
        </w:rPr>
        <w:t>You may vote “FOR,” “AGAINST” OR “ABSTAIN” for each director nominee and on the other proposals. If you properly submit your proxy but abstain from voting for a director nominee or on these other proposals, your shares will be counted as present at the meeting for the purpose of determining a quorum and for the purpose of calculating the vote on the particular matter(s) with respect to which you abstained from voting. If you do not submit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057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3"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ind w:right="40"/>
        <w:spacing w:after="0" w:line="311" w:lineRule="auto"/>
        <w:rPr>
          <w:sz w:val="20"/>
          <w:szCs w:val="20"/>
          <w:color w:val="auto"/>
        </w:rPr>
      </w:pPr>
      <w:r>
        <w:rPr>
          <w:rFonts w:ascii="Arial" w:cs="Arial" w:eastAsia="Arial" w:hAnsi="Arial"/>
          <w:sz w:val="16"/>
          <w:szCs w:val="16"/>
          <w:color w:val="auto"/>
        </w:rPr>
        <w:t>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95"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If you abstain from voting for one or more of the director nominees or you do not vote your shares on this matter (whether by broker non-vote or otherwise), this will have no effect on the outcome of the vote. With respect to the proposal to ratify the selection of KPMG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and broker non-votes will have no effect on the advisory vote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7"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36"/>
          <w:szCs w:val="36"/>
          <w:b w:val="1"/>
          <w:bCs w:val="1"/>
          <w:color w:val="00AAE5"/>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The board of directors currently consists of eight directors and the board has set the number of directors that will constitute the board as of the annual meeting at seven. Our Amended and Restated Bylaws provide that each member of our board is elected annually by a majority of votes cast if the election is uncontested. All of our directors were elected by our stockholders at our 2020 annual meeting of stockholders, with the exception of Ms. Ward who was elected by the board to serve as a director in November 2020. Ms. Ward was initially identified as a potential candidate for the board by the Company’s Chief Financial Officer and referred to the Governance &amp; Nominating Committee for consideration as part of the committee’s search for a new director.</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are directors who currently serve on our board of directors and those directors nominated for election.</w:t>
      </w:r>
    </w:p>
    <w:p>
      <w:pPr>
        <w:spacing w:after="0" w:line="95"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2"/>
                <w:szCs w:val="12"/>
                <w:color w:val="auto"/>
              </w:rPr>
              <w:t>(1)</w:t>
            </w:r>
          </w:p>
        </w:tc>
        <w:tc>
          <w:tcPr>
            <w:tcW w:w="2300" w:type="dxa"/>
            <w:vAlign w:val="bottom"/>
            <w:gridSpan w:val="2"/>
          </w:tcPr>
          <w:p>
            <w:pPr>
              <w:ind w:left="86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Director Since</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Independent</w:t>
            </w:r>
          </w:p>
        </w:tc>
        <w:tc>
          <w:tcPr>
            <w:tcW w:w="2260" w:type="dxa"/>
            <w:vAlign w:val="bottom"/>
            <w:gridSpan w:val="2"/>
          </w:tcPr>
          <w:p>
            <w:pPr>
              <w:ind w:left="220"/>
              <w:spacing w:after="0"/>
              <w:rPr>
                <w:sz w:val="20"/>
                <w:szCs w:val="20"/>
                <w:color w:val="auto"/>
              </w:rPr>
            </w:pPr>
            <w:r>
              <w:rPr>
                <w:rFonts w:ascii="Arial" w:cs="Arial" w:eastAsia="Arial" w:hAnsi="Arial"/>
                <w:sz w:val="14"/>
                <w:szCs w:val="14"/>
                <w:b w:val="1"/>
                <w:bCs w:val="1"/>
                <w:color w:val="auto"/>
              </w:rPr>
              <w:t>Nominated for Election</w:t>
            </w:r>
            <w:r>
              <w:rPr>
                <w:rFonts w:ascii="Arial" w:cs="Arial" w:eastAsia="Arial" w:hAnsi="Arial"/>
                <w:sz w:val="12"/>
                <w:szCs w:val="12"/>
                <w:color w:val="auto"/>
              </w:rPr>
              <w:t>(2)</w:t>
            </w:r>
          </w:p>
        </w:tc>
      </w:tr>
      <w:tr>
        <w:trPr>
          <w:trHeight w:val="223"/>
        </w:trPr>
        <w:tc>
          <w:tcPr>
            <w:tcW w:w="20" w:type="dxa"/>
            <w:vAlign w:val="bottom"/>
          </w:tcPr>
          <w:p>
            <w:pPr>
              <w:spacing w:after="0"/>
              <w:rPr>
                <w:sz w:val="19"/>
                <w:szCs w:val="19"/>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Archie Black</w:t>
            </w:r>
          </w:p>
        </w:tc>
        <w:tc>
          <w:tcPr>
            <w:tcW w:w="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Chief Executive Officer</w:t>
            </w:r>
          </w:p>
        </w:tc>
        <w:tc>
          <w:tcPr>
            <w:tcW w:w="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No</w:t>
            </w:r>
          </w:p>
        </w:tc>
        <w:tc>
          <w:tcPr>
            <w:tcW w:w="60" w:type="dxa"/>
            <w:vAlign w:val="bottom"/>
          </w:tcPr>
          <w:p>
            <w:pPr>
              <w:spacing w:after="0"/>
              <w:rPr>
                <w:sz w:val="19"/>
                <w:szCs w:val="19"/>
                <w:color w:val="auto"/>
              </w:rPr>
            </w:pPr>
          </w:p>
        </w:tc>
        <w:tc>
          <w:tcPr>
            <w:tcW w:w="204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Ramsey</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Yes</w:t>
            </w:r>
          </w:p>
        </w:tc>
        <w:tc>
          <w:tcPr>
            <w:tcW w:w="2260" w:type="dxa"/>
            <w:vAlign w:val="bottom"/>
            <w:gridSpan w:val="2"/>
            <w:shd w:val="clear" w:color="auto" w:fill="CFF0FC"/>
          </w:tcPr>
          <w:p>
            <w:pPr>
              <w:ind w:left="1760"/>
              <w:spacing w:after="0"/>
              <w:rPr>
                <w:sz w:val="20"/>
                <w:szCs w:val="20"/>
                <w:color w:val="auto"/>
              </w:rPr>
            </w:pPr>
            <w:r>
              <w:rPr>
                <w:rFonts w:ascii="Arial" w:cs="Arial" w:eastAsia="Arial" w:hAnsi="Arial"/>
                <w:sz w:val="18"/>
                <w:szCs w:val="18"/>
                <w:color w:val="auto"/>
              </w:rPr>
              <w:t>Yes</w:t>
            </w:r>
          </w:p>
        </w:tc>
      </w:tr>
      <w:tr>
        <w:trPr>
          <w:trHeight w:val="230"/>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Marty Reaume</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Director</w:t>
            </w:r>
          </w:p>
        </w:tc>
        <w:tc>
          <w:tcPr>
            <w:tcW w:w="1140" w:type="dxa"/>
            <w:vAlign w:val="bottom"/>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Yes</w:t>
            </w:r>
          </w:p>
        </w:tc>
        <w:tc>
          <w:tcPr>
            <w:tcW w:w="2260" w:type="dxa"/>
            <w:vAlign w:val="bottom"/>
            <w:gridSpan w:val="2"/>
          </w:tcPr>
          <w:p>
            <w:pPr>
              <w:ind w:left="1760"/>
              <w:spacing w:after="0"/>
              <w:rPr>
                <w:sz w:val="20"/>
                <w:szCs w:val="20"/>
                <w:color w:val="auto"/>
              </w:rPr>
            </w:pPr>
            <w:r>
              <w:rPr>
                <w:rFonts w:ascii="Arial" w:cs="Arial" w:eastAsia="Arial" w:hAnsi="Arial"/>
                <w:sz w:val="18"/>
                <w:szCs w:val="18"/>
                <w:color w:val="auto"/>
              </w:rPr>
              <w:t>Yes</w:t>
            </w:r>
          </w:p>
        </w:tc>
      </w:tr>
      <w:tr>
        <w:trPr>
          <w:trHeight w:val="229"/>
        </w:trPr>
        <w:tc>
          <w:tcPr>
            <w:tcW w:w="20" w:type="dxa"/>
            <w:vAlign w:val="bottom"/>
          </w:tcPr>
          <w:p>
            <w:pPr>
              <w:spacing w:after="0"/>
              <w:rPr>
                <w:sz w:val="19"/>
                <w:szCs w:val="19"/>
                <w:color w:val="auto"/>
              </w:rPr>
            </w:pPr>
          </w:p>
        </w:tc>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Tami Reller</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Chair of the Board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Yes</w:t>
            </w:r>
          </w:p>
        </w:tc>
        <w:tc>
          <w:tcPr>
            <w:tcW w:w="2260" w:type="dxa"/>
            <w:vAlign w:val="bottom"/>
            <w:gridSpan w:val="2"/>
            <w:shd w:val="clear" w:color="auto" w:fill="CFF0FC"/>
          </w:tcPr>
          <w:p>
            <w:pPr>
              <w:ind w:left="1760"/>
              <w:spacing w:after="0"/>
              <w:rPr>
                <w:sz w:val="20"/>
                <w:szCs w:val="20"/>
                <w:color w:val="auto"/>
              </w:rPr>
            </w:pPr>
            <w:r>
              <w:rPr>
                <w:rFonts w:ascii="Arial" w:cs="Arial" w:eastAsia="Arial" w:hAnsi="Arial"/>
                <w:sz w:val="18"/>
                <w:szCs w:val="18"/>
                <w:color w:val="auto"/>
              </w:rPr>
              <w:t>Yes</w:t>
            </w:r>
          </w:p>
        </w:tc>
      </w:tr>
      <w:tr>
        <w:trPr>
          <w:trHeight w:val="229"/>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Philip Soran</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Director</w:t>
            </w:r>
          </w:p>
        </w:tc>
        <w:tc>
          <w:tcPr>
            <w:tcW w:w="1140" w:type="dxa"/>
            <w:vAlign w:val="bottom"/>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Yes</w:t>
            </w:r>
          </w:p>
        </w:tc>
        <w:tc>
          <w:tcPr>
            <w:tcW w:w="2260" w:type="dxa"/>
            <w:vAlign w:val="bottom"/>
            <w:gridSpan w:val="2"/>
          </w:tcPr>
          <w:p>
            <w:pPr>
              <w:ind w:left="1760"/>
              <w:spacing w:after="0"/>
              <w:rPr>
                <w:sz w:val="20"/>
                <w:szCs w:val="20"/>
                <w:color w:val="auto"/>
              </w:rPr>
            </w:pPr>
            <w:r>
              <w:rPr>
                <w:rFonts w:ascii="Arial" w:cs="Arial" w:eastAsia="Arial" w:hAnsi="Arial"/>
                <w:sz w:val="18"/>
                <w:szCs w:val="18"/>
                <w:color w:val="auto"/>
              </w:rPr>
              <w:t>Yes</w:t>
            </w:r>
          </w:p>
        </w:tc>
      </w:tr>
      <w:tr>
        <w:trPr>
          <w:trHeight w:val="230"/>
        </w:trPr>
        <w:tc>
          <w:tcPr>
            <w:tcW w:w="20" w:type="dxa"/>
            <w:vAlign w:val="bottom"/>
          </w:tcPr>
          <w:p>
            <w:pPr>
              <w:spacing w:after="0"/>
              <w:rPr>
                <w:sz w:val="19"/>
                <w:szCs w:val="19"/>
                <w:color w:val="auto"/>
              </w:rPr>
            </w:pPr>
          </w:p>
        </w:tc>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Anne Sempowski Ward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Yes</w:t>
            </w:r>
          </w:p>
        </w:tc>
        <w:tc>
          <w:tcPr>
            <w:tcW w:w="2260" w:type="dxa"/>
            <w:vAlign w:val="bottom"/>
            <w:gridSpan w:val="2"/>
            <w:shd w:val="clear" w:color="auto" w:fill="CFF0FC"/>
          </w:tcPr>
          <w:p>
            <w:pPr>
              <w:ind w:left="1760"/>
              <w:spacing w:after="0"/>
              <w:rPr>
                <w:sz w:val="20"/>
                <w:szCs w:val="20"/>
                <w:color w:val="auto"/>
              </w:rPr>
            </w:pPr>
            <w:r>
              <w:rPr>
                <w:rFonts w:ascii="Arial" w:cs="Arial" w:eastAsia="Arial" w:hAnsi="Arial"/>
                <w:sz w:val="18"/>
                <w:szCs w:val="18"/>
                <w:color w:val="auto"/>
              </w:rPr>
              <w:t>Yes</w:t>
            </w:r>
          </w:p>
        </w:tc>
      </w:tr>
      <w:tr>
        <w:trPr>
          <w:trHeight w:val="230"/>
        </w:trPr>
        <w:tc>
          <w:tcPr>
            <w:tcW w:w="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Sven Wehrwein</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Director</w:t>
            </w: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Yes</w:t>
            </w:r>
          </w:p>
        </w:tc>
        <w:tc>
          <w:tcPr>
            <w:tcW w:w="2260" w:type="dxa"/>
            <w:vAlign w:val="bottom"/>
            <w:gridSpan w:val="2"/>
          </w:tcPr>
          <w:p>
            <w:pPr>
              <w:ind w:left="1760"/>
              <w:spacing w:after="0"/>
              <w:rPr>
                <w:sz w:val="20"/>
                <w:szCs w:val="20"/>
                <w:color w:val="auto"/>
              </w:rPr>
            </w:pPr>
            <w:r>
              <w:rPr>
                <w:rFonts w:ascii="Arial" w:cs="Arial" w:eastAsia="Arial" w:hAnsi="Arial"/>
                <w:sz w:val="18"/>
                <w:szCs w:val="18"/>
                <w:color w:val="auto"/>
              </w:rPr>
              <w:t>Yes</w:t>
            </w:r>
          </w:p>
        </w:tc>
      </w:tr>
      <w:tr>
        <w:trPr>
          <w:trHeight w:val="242"/>
        </w:trPr>
        <w:tc>
          <w:tcPr>
            <w:tcW w:w="20" w:type="dxa"/>
            <w:vAlign w:val="bottom"/>
          </w:tcPr>
          <w:p>
            <w:pPr>
              <w:spacing w:after="0"/>
              <w:rPr>
                <w:sz w:val="21"/>
                <w:szCs w:val="21"/>
                <w:color w:val="auto"/>
              </w:rPr>
            </w:pPr>
          </w:p>
        </w:tc>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Martin Leestma</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21"/>
                <w:szCs w:val="21"/>
                <w:color w:val="auto"/>
              </w:rPr>
            </w:pPr>
          </w:p>
        </w:tc>
        <w:tc>
          <w:tcPr>
            <w:tcW w:w="2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Yes</w:t>
            </w:r>
          </w:p>
        </w:tc>
        <w:tc>
          <w:tcPr>
            <w:tcW w:w="2260" w:type="dxa"/>
            <w:vAlign w:val="bottom"/>
            <w:gridSpan w:val="2"/>
            <w:shd w:val="clear" w:color="auto" w:fill="CFF0FC"/>
          </w:tcPr>
          <w:p>
            <w:pPr>
              <w:ind w:left="1800"/>
              <w:spacing w:after="0"/>
              <w:rPr>
                <w:sz w:val="20"/>
                <w:szCs w:val="20"/>
                <w:color w:val="auto"/>
              </w:rPr>
            </w:pPr>
            <w:r>
              <w:rPr>
                <w:rFonts w:ascii="Arial" w:cs="Arial" w:eastAsia="Arial" w:hAnsi="Arial"/>
                <w:sz w:val="18"/>
                <w:szCs w:val="18"/>
                <w:color w:val="auto"/>
                <w:w w:val="94"/>
              </w:rPr>
              <w:t xml:space="preserve">No </w:t>
            </w:r>
            <w:r>
              <w:rPr>
                <w:rFonts w:ascii="Arial" w:cs="Arial" w:eastAsia="Arial" w:hAnsi="Arial"/>
                <w:sz w:val="15"/>
                <w:szCs w:val="15"/>
                <w:color w:val="auto"/>
                <w:w w:val="94"/>
              </w:rPr>
              <w:t>(3)</w:t>
            </w:r>
          </w:p>
        </w:tc>
      </w:tr>
    </w:tbl>
    <w:p>
      <w:pPr>
        <w:spacing w:after="0" w:line="148"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Age as of April 7, 2021</w:t>
      </w:r>
    </w:p>
    <w:p>
      <w:pPr>
        <w:spacing w:after="0" w:line="23" w:lineRule="exact"/>
        <w:rPr>
          <w:rFonts w:ascii="Arial" w:cs="Arial" w:eastAsia="Arial" w:hAnsi="Arial"/>
          <w:sz w:val="18"/>
          <w:szCs w:val="18"/>
          <w:color w:val="auto"/>
        </w:rPr>
      </w:pPr>
    </w:p>
    <w:p>
      <w:pPr>
        <w:ind w:left="880" w:right="720" w:hanging="440"/>
        <w:spacing w:after="0" w:line="250"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Nominated for election at the 2021 annual meeting for continued service on the board upon the recommendation of the Governance &amp; Nominating committee</w:t>
      </w:r>
    </w:p>
    <w:p>
      <w:pPr>
        <w:ind w:left="880" w:right="240" w:hanging="440"/>
        <w:spacing w:after="0" w:line="260"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Leestma has informed the board of directors of his intention to resign from the board effective the date of the 2021 annual meeting, May 19, 2021, and thus, is not nominated for election</w:t>
      </w:r>
    </w:p>
    <w:p>
      <w:pPr>
        <w:spacing w:after="0" w:line="131" w:lineRule="exact"/>
        <w:rPr>
          <w:sz w:val="20"/>
          <w:szCs w:val="20"/>
          <w:color w:val="auto"/>
        </w:rPr>
      </w:pPr>
    </w:p>
    <w:p>
      <w:pPr>
        <w:ind w:right="440" w:firstLine="589"/>
        <w:spacing w:after="0" w:line="311" w:lineRule="auto"/>
        <w:rPr>
          <w:sz w:val="20"/>
          <w:szCs w:val="20"/>
          <w:color w:val="auto"/>
        </w:rPr>
      </w:pPr>
      <w:r>
        <w:rPr>
          <w:rFonts w:ascii="Arial" w:cs="Arial" w:eastAsia="Arial" w:hAnsi="Arial"/>
          <w:sz w:val="16"/>
          <w:szCs w:val="16"/>
          <w:color w:val="auto"/>
        </w:rPr>
        <w:t>All nominated board members have agreed to serve as directors if elected. If, for any reason, any nominee becomes unable to serve before the annual meeting occurs, the persons named as proxies may vote your shares for a substitute nominee selected by our board of directors. The director nominees, if reelected, will serve until our 2022 annual meeting of stockholders or until their successors are elected and qualified.</w:t>
      </w:r>
    </w:p>
    <w:p>
      <w:pPr>
        <w:spacing w:after="0" w:line="158" w:lineRule="exact"/>
        <w:rPr>
          <w:sz w:val="20"/>
          <w:szCs w:val="20"/>
          <w:color w:val="auto"/>
        </w:rPr>
      </w:pPr>
    </w:p>
    <w:p>
      <w:pPr>
        <w:ind w:right="340" w:firstLine="589"/>
        <w:spacing w:after="0" w:line="282" w:lineRule="auto"/>
        <w:rPr>
          <w:sz w:val="20"/>
          <w:szCs w:val="20"/>
          <w:color w:val="auto"/>
        </w:rPr>
      </w:pPr>
      <w:r>
        <w:rPr>
          <w:rFonts w:ascii="Arial" w:cs="Arial" w:eastAsia="Arial" w:hAnsi="Arial"/>
          <w:sz w:val="18"/>
          <w:szCs w:val="18"/>
          <w:b w:val="1"/>
          <w:bCs w:val="1"/>
          <w:color w:val="auto"/>
        </w:rPr>
        <w:t>The board of directors recommends a vote FOR the election of each of the director nominees. Proxies will be voted FOR the election of each of the nominees unless otherwise specified.</w:t>
      </w:r>
    </w:p>
    <w:p>
      <w:pPr>
        <w:spacing w:after="0" w:line="112"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Set forth below is biographical information for each of the current and nominated directors. The following includes certain information regarding our directors’ individual experience, qualifications, attributes, and skills that led the board of directors to conclude that they should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20574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98" w:lineRule="exact"/>
        <w:rPr>
          <w:sz w:val="20"/>
          <w:szCs w:val="20"/>
          <w:color w:val="auto"/>
        </w:rPr>
      </w:pPr>
    </w:p>
    <w:p>
      <w:pPr>
        <w:ind w:left="480"/>
        <w:spacing w:after="0"/>
        <w:tabs>
          <w:tab w:leader="none" w:pos="546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AAE5"/>
        </w:rPr>
        <w:t>Archie Black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3" w:lineRule="exact"/>
        <w:rPr>
          <w:sz w:val="20"/>
          <w:szCs w:val="20"/>
          <w:color w:val="auto"/>
        </w:rPr>
      </w:pPr>
    </w:p>
    <w:p>
      <w:pPr>
        <w:ind w:left="1300" w:right="220" w:hanging="442"/>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SPS Commerce, Inc., President and Chief Executive Officer, 2001 – present, Senior Vice President and Chief Financial Officer, 1998 – 2001</w:t>
      </w: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Advisors, Inc., Senior Vice President and Chief Financial Officer, 1987 – 1998</w:t>
      </w:r>
    </w:p>
    <w:p>
      <w:pPr>
        <w:spacing w:after="0" w:line="211" w:lineRule="exact"/>
        <w:rPr>
          <w:sz w:val="20"/>
          <w:szCs w:val="20"/>
          <w:color w:val="auto"/>
        </w:rPr>
      </w:pPr>
    </w:p>
    <w:p>
      <w:pPr>
        <w:ind w:left="1740" w:right="6340" w:hanging="882"/>
        <w:spacing w:after="0" w:line="291" w:lineRule="auto"/>
        <w:tabs>
          <w:tab w:leader="none" w:pos="1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Price Waterhouse, Auditor, 1984 – 1987 </w:t>
      </w:r>
      <w:r>
        <w:rPr>
          <w:rFonts w:ascii="Arial" w:cs="Arial" w:eastAsia="Arial" w:hAnsi="Arial"/>
          <w:sz w:val="16"/>
          <w:szCs w:val="16"/>
          <w:i w:val="1"/>
          <w:iCs w:val="1"/>
          <w:color w:val="auto"/>
        </w:rPr>
        <w:t>International audit, tax, and consulting firm</w:t>
      </w: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Chair of the Board, Proto Labs, Inc.</w:t>
      </w:r>
    </w:p>
    <w:p>
      <w:pPr>
        <w:spacing w:after="0" w:line="211" w:lineRule="exact"/>
        <w:rPr>
          <w:sz w:val="20"/>
          <w:szCs w:val="20"/>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Director on the Minnesota Business Partnership</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7"/>
          <w:szCs w:val="17"/>
          <w:i w:val="1"/>
          <w:iCs w:val="1"/>
          <w:color w:val="auto"/>
        </w:rPr>
        <w:t>Group of over 100 senior executives of Minnesota’s largest employers that works on a range of Minnesota based policy issues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Nominee Qualifications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Extensive management, financial, and operational experience as well as his experience with our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AAE5"/>
        </w:rPr>
        <w:t>James Ramsey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3" w:lineRule="exact"/>
        <w:rPr>
          <w:sz w:val="20"/>
          <w:szCs w:val="20"/>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Vlocity Inc., Director, 2014 – 2020</w:t>
      </w:r>
    </w:p>
    <w:p>
      <w:pPr>
        <w:spacing w:after="0" w:line="211" w:lineRule="exact"/>
        <w:rPr>
          <w:sz w:val="20"/>
          <w:szCs w:val="20"/>
          <w:color w:val="auto"/>
        </w:rPr>
      </w:pPr>
    </w:p>
    <w:p>
      <w:pPr>
        <w:ind w:left="1740" w:right="3440" w:hanging="882"/>
        <w:spacing w:after="0" w:line="291" w:lineRule="auto"/>
        <w:tabs>
          <w:tab w:leader="none" w:pos="12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NetSuite Inc., 2003 – 2013, Executive Vice President of Worldwide Sales and Distribution </w:t>
      </w:r>
      <w:r>
        <w:rPr>
          <w:rFonts w:ascii="Arial" w:cs="Arial" w:eastAsia="Arial" w:hAnsi="Arial"/>
          <w:sz w:val="16"/>
          <w:szCs w:val="16"/>
          <w:i w:val="1"/>
          <w:iCs w:val="1"/>
          <w:color w:val="auto"/>
        </w:rPr>
        <w:t>Publicly traded provider of cloud-based business management software</w:t>
      </w: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Oracle Corporation, Various sales management roles, 1995 – 2003</w:t>
      </w:r>
    </w:p>
    <w:p>
      <w:pPr>
        <w:spacing w:after="0" w:line="211" w:lineRule="exact"/>
        <w:rPr>
          <w:sz w:val="20"/>
          <w:szCs w:val="20"/>
          <w:color w:val="auto"/>
        </w:rPr>
      </w:pPr>
    </w:p>
    <w:p>
      <w:pPr>
        <w:ind w:left="1740" w:right="6420" w:hanging="882"/>
        <w:spacing w:after="0" w:line="274" w:lineRule="auto"/>
        <w:tabs>
          <w:tab w:leader="none" w:pos="1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Director of Ambra Health (formerly DicomGrid) </w:t>
      </w:r>
      <w:r>
        <w:rPr>
          <w:rFonts w:ascii="Arial" w:cs="Arial" w:eastAsia="Arial" w:hAnsi="Arial"/>
          <w:sz w:val="17"/>
          <w:szCs w:val="17"/>
          <w:i w:val="1"/>
          <w:iCs w:val="1"/>
          <w:color w:val="auto"/>
        </w:rPr>
        <w:t>Medical software company</w:t>
      </w: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Served as a director of Flipgrid, Inc.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Education technology software company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Nominee Qualifications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Experience in software sales and in rapidly scaling sales organizations.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AAE5"/>
        </w:rPr>
        <w:t>Marty Reaume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3" w:lineRule="exact"/>
        <w:rPr>
          <w:sz w:val="20"/>
          <w:szCs w:val="20"/>
          <w:color w:val="auto"/>
        </w:rPr>
      </w:pPr>
    </w:p>
    <w:p>
      <w:pPr>
        <w:ind w:left="1740" w:right="5060" w:hanging="882"/>
        <w:spacing w:after="0" w:line="250"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SemperVirens Venture Capital, HR Venture Advisor, 2020 – present </w:t>
      </w:r>
      <w:r>
        <w:rPr>
          <w:rFonts w:ascii="Arial" w:cs="Arial" w:eastAsia="Arial" w:hAnsi="Arial"/>
          <w:sz w:val="18"/>
          <w:szCs w:val="18"/>
          <w:i w:val="1"/>
          <w:iCs w:val="1"/>
          <w:color w:val="auto"/>
        </w:rPr>
        <w:t>Early stage venture capital fund</w:t>
      </w: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Twilio Inc., Chief People Officer, 2017 – 2019</w:t>
      </w:r>
    </w:p>
    <w:p>
      <w:pPr>
        <w:spacing w:after="0" w:line="211" w:lineRule="exact"/>
        <w:rPr>
          <w:sz w:val="20"/>
          <w:szCs w:val="20"/>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Fitbit, Inc., Chief People Officer, 2015 – 2017</w:t>
      </w:r>
    </w:p>
    <w:p>
      <w:pPr>
        <w:spacing w:after="0" w:line="225" w:lineRule="exact"/>
        <w:rPr>
          <w:sz w:val="20"/>
          <w:szCs w:val="20"/>
          <w:color w:val="auto"/>
        </w:rPr>
      </w:pPr>
    </w:p>
    <w:p>
      <w:pPr>
        <w:ind w:left="1740" w:right="4100" w:hanging="882"/>
        <w:spacing w:after="0" w:line="291" w:lineRule="auto"/>
        <w:tabs>
          <w:tab w:leader="none" w:pos="12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NetSuite, Inc., Chief People Officer and Head of Human Resources, 2006 – 2014 </w:t>
      </w:r>
      <w:r>
        <w:rPr>
          <w:rFonts w:ascii="Arial" w:cs="Arial" w:eastAsia="Arial" w:hAnsi="Arial"/>
          <w:sz w:val="16"/>
          <w:szCs w:val="16"/>
          <w:i w:val="1"/>
          <w:iCs w:val="1"/>
          <w:color w:val="auto"/>
        </w:rPr>
        <w:t>Publicly traded provider of cloud-based business management software</w:t>
      </w: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 of Ambra Health (formerly DicomGrid)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Medical software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Nominee Qualifications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Strong human resources, talent acquisition and talent development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574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5"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00AAE5"/>
        </w:rPr>
        <w:t>Tami Reller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3" w:lineRule="exact"/>
        <w:rPr>
          <w:sz w:val="20"/>
          <w:szCs w:val="20"/>
          <w:color w:val="auto"/>
        </w:rPr>
      </w:pPr>
    </w:p>
    <w:p>
      <w:pPr>
        <w:ind w:left="1740" w:right="2180" w:hanging="882"/>
        <w:spacing w:after="0" w:line="250"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UnitedHealth Group, Executive Vice President and Chief Marketing and Experience Officer, 2017 – present </w:t>
      </w:r>
      <w:r>
        <w:rPr>
          <w:rFonts w:ascii="Arial" w:cs="Arial" w:eastAsia="Arial" w:hAnsi="Arial"/>
          <w:sz w:val="18"/>
          <w:szCs w:val="18"/>
          <w:i w:val="1"/>
          <w:iCs w:val="1"/>
          <w:color w:val="auto"/>
        </w:rPr>
        <w:t>Publicly traded health benefits and service platform</w:t>
      </w:r>
    </w:p>
    <w:p>
      <w:pPr>
        <w:ind w:left="1740" w:right="2240" w:hanging="882"/>
        <w:spacing w:after="0" w:line="250"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Optum, Chief Growth Officer, Chief Financial Officer, 2016 – 2017; Chief Marketing Officer, 2014 – 2016 </w:t>
      </w:r>
      <w:r>
        <w:rPr>
          <w:rFonts w:ascii="Arial" w:cs="Arial" w:eastAsia="Arial" w:hAnsi="Arial"/>
          <w:sz w:val="18"/>
          <w:szCs w:val="18"/>
          <w:i w:val="1"/>
          <w:iCs w:val="1"/>
          <w:color w:val="auto"/>
        </w:rPr>
        <w:t>Part of UnitedHealth Group, pharmacy benefit manager</w:t>
      </w:r>
    </w:p>
    <w:p>
      <w:pPr>
        <w:ind w:left="1300" w:right="40" w:hanging="442"/>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Microsoft Corporation, 2001 – 2014, several executive roles including Executive Vice President of Marketing, Divisional Chief Financial Officer and Divisional Chief Marketing Officer</w:t>
      </w:r>
    </w:p>
    <w:p>
      <w:pPr>
        <w:ind w:left="1740"/>
        <w:spacing w:after="0"/>
        <w:rPr>
          <w:rFonts w:ascii="Arial" w:cs="Arial" w:eastAsia="Arial" w:hAnsi="Arial"/>
          <w:sz w:val="18"/>
          <w:szCs w:val="18"/>
          <w:color w:val="auto"/>
        </w:rPr>
      </w:pPr>
      <w:r>
        <w:rPr>
          <w:rFonts w:ascii="Arial" w:cs="Arial" w:eastAsia="Arial" w:hAnsi="Arial"/>
          <w:sz w:val="18"/>
          <w:szCs w:val="18"/>
          <w:i w:val="1"/>
          <w:iCs w:val="1"/>
          <w:color w:val="auto"/>
        </w:rPr>
        <w:t>Publicly traded software and technology company</w:t>
      </w:r>
    </w:p>
    <w:p>
      <w:pPr>
        <w:spacing w:after="0" w:line="9"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 Plains Software, Chief Financial Officer, 1999 – 2001</w:t>
      </w:r>
    </w:p>
    <w:p>
      <w:pPr>
        <w:spacing w:after="0" w:line="211" w:lineRule="exact"/>
        <w:rPr>
          <w:sz w:val="20"/>
          <w:szCs w:val="20"/>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 of Avalara</w:t>
      </w:r>
    </w:p>
    <w:p>
      <w:pPr>
        <w:spacing w:after="0" w:line="225" w:lineRule="exact"/>
        <w:rPr>
          <w:sz w:val="20"/>
          <w:szCs w:val="20"/>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Chair of our board, 2018 – present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Nominee Qualifications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Extensive experience managing software companies, financial understanding and auditing review, and general business knowledge.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AAE5"/>
        </w:rPr>
        <w:t>Philip Soran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3" w:lineRule="exact"/>
        <w:rPr>
          <w:sz w:val="20"/>
          <w:szCs w:val="20"/>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Piper Sandler Companies, Lead Director, 2013 – present</w:t>
      </w:r>
    </w:p>
    <w:p>
      <w:pPr>
        <w:spacing w:after="0" w:line="211" w:lineRule="exact"/>
        <w:rPr>
          <w:sz w:val="20"/>
          <w:szCs w:val="20"/>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Flipgrid, Inc., Executive Chairman, 2015 – 2018</w:t>
      </w:r>
    </w:p>
    <w:p>
      <w:pPr>
        <w:spacing w:after="0" w:line="225" w:lineRule="exact"/>
        <w:rPr>
          <w:sz w:val="20"/>
          <w:szCs w:val="20"/>
          <w:color w:val="auto"/>
        </w:rPr>
      </w:pPr>
    </w:p>
    <w:p>
      <w:pPr>
        <w:ind w:left="1740" w:right="4220" w:hanging="882"/>
        <w:spacing w:after="0" w:line="258"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Compellent Technologies, Inc., President/Chief Executive Officer, 2002 – 2012 </w:t>
      </w:r>
      <w:r>
        <w:rPr>
          <w:rFonts w:ascii="Arial" w:cs="Arial" w:eastAsia="Arial" w:hAnsi="Arial"/>
          <w:sz w:val="18"/>
          <w:szCs w:val="18"/>
          <w:i w:val="1"/>
          <w:iCs w:val="1"/>
          <w:color w:val="auto"/>
        </w:rPr>
        <w:t>Co-founded publicly traded software company</w:t>
      </w:r>
    </w:p>
    <w:p>
      <w:pPr>
        <w:spacing w:after="0" w:line="1"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Xiotech, President/Chief Executive Officer, 1995 – 2001</w:t>
      </w:r>
    </w:p>
    <w:p>
      <w:pPr>
        <w:spacing w:after="0" w:line="211" w:lineRule="exact"/>
        <w:rPr>
          <w:sz w:val="20"/>
          <w:szCs w:val="20"/>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w:t>
      </w:r>
    </w:p>
    <w:p>
      <w:pPr>
        <w:spacing w:after="0" w:line="23" w:lineRule="exact"/>
        <w:rPr>
          <w:rFonts w:ascii="Arial" w:cs="Arial" w:eastAsia="Arial" w:hAnsi="Arial"/>
          <w:sz w:val="18"/>
          <w:szCs w:val="18"/>
          <w:color w:val="auto"/>
        </w:rPr>
      </w:pPr>
    </w:p>
    <w:p>
      <w:pPr>
        <w:ind w:left="1300" w:right="386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Claros Technologies, Inc.,</w:t>
      </w:r>
      <w:r>
        <w:rPr>
          <w:rFonts w:ascii="Courier New" w:cs="Courier New" w:eastAsia="Courier New" w:hAnsi="Courier New"/>
          <w:sz w:val="18"/>
          <w:szCs w:val="18"/>
          <w:color w:val="auto"/>
        </w:rPr>
        <w:t xml:space="preserve"> </w:t>
      </w:r>
      <w:r>
        <w:rPr>
          <w:rFonts w:ascii="Arial" w:cs="Arial" w:eastAsia="Arial" w:hAnsi="Arial"/>
          <w:sz w:val="18"/>
          <w:szCs w:val="18"/>
          <w:i w:val="1"/>
          <w:iCs w:val="1"/>
          <w:color w:val="auto"/>
        </w:rPr>
        <w:t>an advanced materials and environmental company</w:t>
      </w:r>
      <w:r>
        <w:rPr>
          <w:rFonts w:ascii="Courier New" w:cs="Courier New" w:eastAsia="Courier New" w:hAnsi="Courier New"/>
          <w:sz w:val="18"/>
          <w:szCs w:val="18"/>
          <w:color w:val="auto"/>
        </w:rPr>
        <w:t xml:space="preserve"> o </w:t>
      </w:r>
      <w:r>
        <w:rPr>
          <w:rFonts w:ascii="Arial" w:cs="Arial" w:eastAsia="Arial" w:hAnsi="Arial"/>
          <w:sz w:val="18"/>
          <w:szCs w:val="18"/>
          <w:color w:val="auto"/>
        </w:rPr>
        <w:t>Foodsby,</w:t>
      </w:r>
      <w:r>
        <w:rPr>
          <w:rFonts w:ascii="Courier New" w:cs="Courier New" w:eastAsia="Courier New" w:hAnsi="Courier New"/>
          <w:sz w:val="18"/>
          <w:szCs w:val="18"/>
          <w:color w:val="auto"/>
        </w:rPr>
        <w:t xml:space="preserve"> </w:t>
      </w:r>
      <w:r>
        <w:rPr>
          <w:rFonts w:ascii="Arial" w:cs="Arial" w:eastAsia="Arial" w:hAnsi="Arial"/>
          <w:sz w:val="18"/>
          <w:szCs w:val="18"/>
          <w:i w:val="1"/>
          <w:iCs w:val="1"/>
          <w:color w:val="auto"/>
        </w:rPr>
        <w:t>a food delivery service</w:t>
      </w:r>
    </w:p>
    <w:p>
      <w:pPr>
        <w:spacing w:after="0" w:line="1" w:lineRule="exact"/>
        <w:rPr>
          <w:rFonts w:ascii="Arial" w:cs="Arial" w:eastAsia="Arial" w:hAnsi="Arial"/>
          <w:sz w:val="18"/>
          <w:szCs w:val="18"/>
          <w:color w:val="auto"/>
        </w:rPr>
      </w:pPr>
    </w:p>
    <w:p>
      <w:pPr>
        <w:ind w:left="130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Spineology Inc.,</w:t>
      </w:r>
      <w:r>
        <w:rPr>
          <w:rFonts w:ascii="Courier New" w:cs="Courier New" w:eastAsia="Courier New" w:hAnsi="Courier New"/>
          <w:sz w:val="18"/>
          <w:szCs w:val="18"/>
          <w:color w:val="auto"/>
        </w:rPr>
        <w:t xml:space="preserve"> </w:t>
      </w:r>
      <w:r>
        <w:rPr>
          <w:rFonts w:ascii="Arial" w:cs="Arial" w:eastAsia="Arial" w:hAnsi="Arial"/>
          <w:sz w:val="18"/>
          <w:szCs w:val="18"/>
          <w:i w:val="1"/>
          <w:iCs w:val="1"/>
          <w:color w:val="auto"/>
        </w:rPr>
        <w:t>a medical technology company</w:t>
      </w: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Served as a director of Hutchinson Technology Inc.</w:t>
      </w:r>
    </w:p>
    <w:p>
      <w:pPr>
        <w:spacing w:after="0" w:line="211" w:lineRule="exact"/>
        <w:rPr>
          <w:sz w:val="20"/>
          <w:szCs w:val="20"/>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Served as Chair of our board, 2014 –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Nominee Qualifications</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Experience as a chief executive officer of a publicly traded company, service on a variety of public and private technology-related company boards, and experience in founding and building technology companies as well as corporate vision and operational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20574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00AAE5"/>
        </w:rPr>
        <w:t>Anne Sempowski Ward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3" w:lineRule="exact"/>
        <w:rPr>
          <w:sz w:val="20"/>
          <w:szCs w:val="20"/>
          <w:color w:val="auto"/>
        </w:rPr>
      </w:pPr>
    </w:p>
    <w:p>
      <w:pPr>
        <w:ind w:left="1740" w:right="5880" w:hanging="882"/>
        <w:spacing w:after="0" w:line="250"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CURiO Brands, Chief Executive Officer, 2012 – present </w:t>
      </w:r>
      <w:r>
        <w:rPr>
          <w:rFonts w:ascii="Arial" w:cs="Arial" w:eastAsia="Arial" w:hAnsi="Arial"/>
          <w:sz w:val="18"/>
          <w:szCs w:val="18"/>
          <w:i w:val="1"/>
          <w:iCs w:val="1"/>
          <w:color w:val="auto"/>
        </w:rPr>
        <w:t>Consumer goods provider</w:t>
      </w:r>
    </w:p>
    <w:p>
      <w:pPr>
        <w:ind w:left="1740" w:right="5460" w:hanging="882"/>
        <w:spacing w:after="0" w:line="250"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FORWARD Group, Chief Executive Officer, 2010 – 2012 </w:t>
      </w:r>
      <w:r>
        <w:rPr>
          <w:rFonts w:ascii="Arial" w:cs="Arial" w:eastAsia="Arial" w:hAnsi="Arial"/>
          <w:sz w:val="18"/>
          <w:szCs w:val="18"/>
          <w:i w:val="1"/>
          <w:iCs w:val="1"/>
          <w:color w:val="auto"/>
        </w:rPr>
        <w:t>Co-founded business consulting group</w:t>
      </w:r>
    </w:p>
    <w:p>
      <w:pPr>
        <w:ind w:left="1740" w:right="4120" w:hanging="882"/>
        <w:spacing w:after="0" w:line="250"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Johnson Publishing Company, President &amp; Chief Operating Officer, 2007 – 2010 </w:t>
      </w:r>
      <w:r>
        <w:rPr>
          <w:rFonts w:ascii="Arial" w:cs="Arial" w:eastAsia="Arial" w:hAnsi="Arial"/>
          <w:sz w:val="18"/>
          <w:szCs w:val="18"/>
          <w:i w:val="1"/>
          <w:iCs w:val="1"/>
          <w:color w:val="auto"/>
        </w:rPr>
        <w:t>Media and beauty company</w:t>
      </w: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Coca-Cola Company, Assistant Vice President, 2006 – 2007</w:t>
      </w:r>
    </w:p>
    <w:p>
      <w:pPr>
        <w:spacing w:after="0" w:line="211" w:lineRule="exact"/>
        <w:rPr>
          <w:sz w:val="20"/>
          <w:szCs w:val="20"/>
          <w:color w:val="auto"/>
        </w:rPr>
      </w:pPr>
    </w:p>
    <w:p>
      <w:pPr>
        <w:jc w:val="right"/>
        <w:ind w:left="1740" w:right="5500" w:hanging="882"/>
        <w:spacing w:after="0" w:line="291" w:lineRule="auto"/>
        <w:tabs>
          <w:tab w:leader="none" w:pos="12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Procter &amp; Gamble, Associate Marking Director, 1994 – 2006 </w:t>
      </w:r>
      <w:r>
        <w:rPr>
          <w:rFonts w:ascii="Arial" w:cs="Arial" w:eastAsia="Arial" w:hAnsi="Arial"/>
          <w:sz w:val="16"/>
          <w:szCs w:val="16"/>
          <w:i w:val="1"/>
          <w:iCs w:val="1"/>
          <w:color w:val="auto"/>
        </w:rPr>
        <w:t>Publicly traded multinational consumer goods provider</w:t>
      </w: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w:t>
      </w:r>
    </w:p>
    <w:p>
      <w:pPr>
        <w:spacing w:after="0" w:line="9" w:lineRule="exact"/>
        <w:rPr>
          <w:rFonts w:ascii="Arial" w:cs="Arial" w:eastAsia="Arial" w:hAnsi="Arial"/>
          <w:sz w:val="18"/>
          <w:szCs w:val="18"/>
          <w:color w:val="auto"/>
        </w:rPr>
      </w:pPr>
    </w:p>
    <w:p>
      <w:pPr>
        <w:ind w:left="1300" w:right="5120"/>
        <w:spacing w:after="0" w:line="283"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Spectrum Brands,</w:t>
      </w:r>
      <w:r>
        <w:rPr>
          <w:rFonts w:ascii="Courier New" w:cs="Courier New" w:eastAsia="Courier New" w:hAnsi="Courier New"/>
          <w:sz w:val="16"/>
          <w:szCs w:val="16"/>
          <w:color w:val="auto"/>
        </w:rPr>
        <w:t xml:space="preserve"> </w:t>
      </w:r>
      <w:r>
        <w:rPr>
          <w:rFonts w:ascii="Arial" w:cs="Arial" w:eastAsia="Arial" w:hAnsi="Arial"/>
          <w:sz w:val="16"/>
          <w:szCs w:val="16"/>
          <w:i w:val="1"/>
          <w:iCs w:val="1"/>
          <w:color w:val="auto"/>
        </w:rPr>
        <w:t>publicly traded consumer goods provider</w:t>
      </w:r>
      <w:r>
        <w:rPr>
          <w:rFonts w:ascii="Courier New" w:cs="Courier New" w:eastAsia="Courier New" w:hAnsi="Courier New"/>
          <w:sz w:val="16"/>
          <w:szCs w:val="16"/>
          <w:color w:val="auto"/>
        </w:rPr>
        <w:t xml:space="preserve"> o </w:t>
      </w:r>
      <w:r>
        <w:rPr>
          <w:rFonts w:ascii="Arial" w:cs="Arial" w:eastAsia="Arial" w:hAnsi="Arial"/>
          <w:sz w:val="16"/>
          <w:szCs w:val="16"/>
          <w:color w:val="auto"/>
        </w:rPr>
        <w:t>Vanda Pharmaceuticals,</w:t>
      </w:r>
      <w:r>
        <w:rPr>
          <w:rFonts w:ascii="Courier New" w:cs="Courier New" w:eastAsia="Courier New" w:hAnsi="Courier New"/>
          <w:sz w:val="16"/>
          <w:szCs w:val="16"/>
          <w:color w:val="auto"/>
        </w:rPr>
        <w:t xml:space="preserve"> </w:t>
      </w:r>
      <w:r>
        <w:rPr>
          <w:rFonts w:ascii="Arial" w:cs="Arial" w:eastAsia="Arial" w:hAnsi="Arial"/>
          <w:sz w:val="16"/>
          <w:szCs w:val="16"/>
          <w:i w:val="1"/>
          <w:iCs w:val="1"/>
          <w:color w:val="auto"/>
        </w:rPr>
        <w:t>publicly traded biopharma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Nominee Qualifications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Experience as a chief executive officer and brand builder in the high-growth consumer and retail environment.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AAE5"/>
        </w:rPr>
        <w:t>Sven Wehrwein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23" w:lineRule="exact"/>
        <w:rPr>
          <w:sz w:val="20"/>
          <w:szCs w:val="20"/>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financial consultant to emerging companies, 1999 – present</w:t>
      </w:r>
    </w:p>
    <w:p>
      <w:pPr>
        <w:spacing w:after="0" w:line="9" w:lineRule="exact"/>
        <w:rPr>
          <w:rFonts w:ascii="Arial" w:cs="Arial" w:eastAsia="Arial" w:hAnsi="Arial"/>
          <w:sz w:val="18"/>
          <w:szCs w:val="18"/>
          <w:color w:val="auto"/>
        </w:rPr>
      </w:pPr>
    </w:p>
    <w:p>
      <w:pPr>
        <w:ind w:left="1300" w:right="760" w:hanging="442"/>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 35 years in accounting and finance roles as a certified public accountant (inactive), investment banker to emerging growth companies, chief financial officer, and audit committee chair</w:t>
      </w: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w:t>
      </w:r>
    </w:p>
    <w:p>
      <w:pPr>
        <w:spacing w:after="0" w:line="9" w:lineRule="exact"/>
        <w:rPr>
          <w:rFonts w:ascii="Arial" w:cs="Arial" w:eastAsia="Arial" w:hAnsi="Arial"/>
          <w:sz w:val="18"/>
          <w:szCs w:val="18"/>
          <w:color w:val="auto"/>
        </w:rPr>
      </w:pPr>
    </w:p>
    <w:p>
      <w:pPr>
        <w:ind w:left="130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Atricure, Inc.,</w:t>
      </w:r>
      <w:r>
        <w:rPr>
          <w:rFonts w:ascii="Courier New" w:cs="Courier New" w:eastAsia="Courier New" w:hAnsi="Courier New"/>
          <w:sz w:val="18"/>
          <w:szCs w:val="18"/>
          <w:color w:val="auto"/>
        </w:rPr>
        <w:t xml:space="preserve"> </w:t>
      </w:r>
      <w:r>
        <w:rPr>
          <w:rFonts w:ascii="Arial" w:cs="Arial" w:eastAsia="Arial" w:hAnsi="Arial"/>
          <w:sz w:val="18"/>
          <w:szCs w:val="18"/>
          <w:i w:val="1"/>
          <w:iCs w:val="1"/>
          <w:color w:val="auto"/>
        </w:rPr>
        <w:t>publicly traded medical device company</w:t>
      </w:r>
    </w:p>
    <w:p>
      <w:pPr>
        <w:ind w:left="130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Proto Labs, Inc.,</w:t>
      </w:r>
      <w:r>
        <w:rPr>
          <w:rFonts w:ascii="Courier New" w:cs="Courier New" w:eastAsia="Courier New" w:hAnsi="Courier New"/>
          <w:sz w:val="18"/>
          <w:szCs w:val="18"/>
          <w:color w:val="auto"/>
        </w:rPr>
        <w:t xml:space="preserve"> </w:t>
      </w:r>
      <w:r>
        <w:rPr>
          <w:rFonts w:ascii="Arial" w:cs="Arial" w:eastAsia="Arial" w:hAnsi="Arial"/>
          <w:sz w:val="18"/>
          <w:szCs w:val="18"/>
          <w:i w:val="1"/>
          <w:iCs w:val="1"/>
          <w:color w:val="auto"/>
        </w:rPr>
        <w:t>publicly traded internet-enabled manufacturer of custom parts</w:t>
      </w:r>
    </w:p>
    <w:p>
      <w:pPr>
        <w:ind w:left="1300" w:right="5320" w:hanging="442"/>
        <w:spacing w:after="0" w:line="241" w:lineRule="auto"/>
        <w:tabs>
          <w:tab w:leader="none" w:pos="12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Served as a director of the following publicly traded companies: </w:t>
      </w:r>
      <w:r>
        <w:rPr>
          <w:rFonts w:ascii="Courier New" w:cs="Courier New" w:eastAsia="Courier New" w:hAnsi="Courier New"/>
          <w:sz w:val="18"/>
          <w:szCs w:val="18"/>
          <w:color w:val="auto"/>
        </w:rPr>
        <w:t xml:space="preserve">o </w:t>
      </w:r>
      <w:r>
        <w:rPr>
          <w:rFonts w:ascii="Arial" w:cs="Arial" w:eastAsia="Arial" w:hAnsi="Arial"/>
          <w:sz w:val="18"/>
          <w:szCs w:val="18"/>
          <w:color w:val="auto"/>
        </w:rPr>
        <w:t>Cogentix Medical, Inc., 2006 – 2016</w:t>
      </w:r>
    </w:p>
    <w:p>
      <w:pPr>
        <w:ind w:left="1300" w:right="622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Compellent Technologies, Inc., 2007 – 2011</w:t>
      </w:r>
      <w:r>
        <w:rPr>
          <w:rFonts w:ascii="Courier New" w:cs="Courier New" w:eastAsia="Courier New" w:hAnsi="Courier New"/>
          <w:sz w:val="18"/>
          <w:szCs w:val="18"/>
          <w:color w:val="auto"/>
        </w:rPr>
        <w:t xml:space="preserve"> o </w:t>
      </w:r>
      <w:r>
        <w:rPr>
          <w:rFonts w:ascii="Arial" w:cs="Arial" w:eastAsia="Arial" w:hAnsi="Arial"/>
          <w:sz w:val="18"/>
          <w:szCs w:val="18"/>
          <w:color w:val="auto"/>
        </w:rPr>
        <w:t>Image Sensing Systems, Inc., 2006 – 2012</w:t>
      </w:r>
      <w:r>
        <w:rPr>
          <w:rFonts w:ascii="Courier New" w:cs="Courier New" w:eastAsia="Courier New" w:hAnsi="Courier New"/>
          <w:sz w:val="18"/>
          <w:szCs w:val="18"/>
          <w:color w:val="auto"/>
        </w:rPr>
        <w:t xml:space="preserve"> o </w:t>
      </w:r>
      <w:r>
        <w:rPr>
          <w:rFonts w:ascii="Arial" w:cs="Arial" w:eastAsia="Arial" w:hAnsi="Arial"/>
          <w:sz w:val="18"/>
          <w:szCs w:val="18"/>
          <w:color w:val="auto"/>
        </w:rPr>
        <w:t>Synovis Life Technologies, Inc., 2004 – 2012</w:t>
      </w:r>
      <w:r>
        <w:rPr>
          <w:rFonts w:ascii="Courier New" w:cs="Courier New" w:eastAsia="Courier New" w:hAnsi="Courier New"/>
          <w:sz w:val="18"/>
          <w:szCs w:val="18"/>
          <w:color w:val="auto"/>
        </w:rPr>
        <w:t xml:space="preserve"> o </w:t>
      </w:r>
      <w:r>
        <w:rPr>
          <w:rFonts w:ascii="Arial" w:cs="Arial" w:eastAsia="Arial" w:hAnsi="Arial"/>
          <w:sz w:val="18"/>
          <w:szCs w:val="18"/>
          <w:color w:val="auto"/>
        </w:rPr>
        <w:t>Vital Images, Inc., 1997 – 2011</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Nominee Qualifications</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Capabilities in financial understanding, strategic planning, and auditing expertise, given his experiences in investment banking and in financial leadership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20574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6" w:name="page17"/>
    <w:bookmarkEnd w:id="16"/>
    <w:p>
      <w:pPr>
        <w:jc w:val="center"/>
        <w:ind w:left="340" w:right="240"/>
        <w:spacing w:after="0" w:line="280" w:lineRule="auto"/>
        <w:rPr>
          <w:sz w:val="20"/>
          <w:szCs w:val="20"/>
          <w:color w:val="auto"/>
        </w:rPr>
      </w:pPr>
      <w:r>
        <w:rPr>
          <w:rFonts w:ascii="Arial" w:cs="Arial" w:eastAsia="Arial" w:hAnsi="Arial"/>
          <w:sz w:val="36"/>
          <w:szCs w:val="36"/>
          <w:b w:val="1"/>
          <w:bCs w:val="1"/>
          <w:color w:val="00AAE5"/>
        </w:rPr>
        <w:t>INFORMATION REGARDING THE BOARD OF DIRECTORS AND CORPORATE GOVERNANCE</w:t>
      </w:r>
    </w:p>
    <w:p>
      <w:pPr>
        <w:spacing w:after="0" w:line="66"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 xml:space="preserve">The board of directors conducts its business through meetings of the board established standing committees.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Our Corporate Governance Guidelines are also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161"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Tami Reller, a non-employee independent director, has served as chair of our board of directors since 2018, while Archie Black serves as our President and Chief Executive Officer. Separating these positions allows our Chief Executive Officer to focus on our day-to-day business, while allowing the chair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board chair. Our Corporate Governance Guidelines require our board chair and Chief Executive Officer positions to be separate because the board of directors believes that having separate positions and having an independent director serve as chair of the board is the appropriate leadership structure for us and demonstrates our commitment to good corporate governance.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The board of directors has established an Audit Committee, a Compensation &amp; Talent Committee, a Governance &amp; Nominating Committee and a Finance &amp; Strategy Committee. The following sets forth the membership of each of our committees as of March 24,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40" w:type="dxa"/>
            <w:vAlign w:val="bottom"/>
            <w:tcBorders>
              <w:bottom w:val="single" w:sz="8" w:color="00AAE5"/>
            </w:tcBorders>
          </w:tcPr>
          <w:p>
            <w:pPr>
              <w:spacing w:after="0"/>
              <w:rPr>
                <w:sz w:val="16"/>
                <w:szCs w:val="16"/>
                <w:color w:val="auto"/>
              </w:rPr>
            </w:pPr>
          </w:p>
        </w:tc>
        <w:tc>
          <w:tcPr>
            <w:tcW w:w="1820" w:type="dxa"/>
            <w:vAlign w:val="bottom"/>
            <w:tcBorders>
              <w:bottom w:val="single" w:sz="8" w:color="00AAE5"/>
            </w:tcBorders>
          </w:tcPr>
          <w:p>
            <w:pPr>
              <w:spacing w:after="0"/>
              <w:rPr>
                <w:sz w:val="16"/>
                <w:szCs w:val="16"/>
                <w:color w:val="auto"/>
              </w:rPr>
            </w:pPr>
          </w:p>
        </w:tc>
        <w:tc>
          <w:tcPr>
            <w:tcW w:w="2360" w:type="dxa"/>
            <w:vAlign w:val="bottom"/>
            <w:tcBorders>
              <w:bottom w:val="single" w:sz="8" w:color="00AAE5"/>
            </w:tcBorders>
          </w:tcPr>
          <w:p>
            <w:pPr>
              <w:ind w:left="160"/>
              <w:spacing w:after="0"/>
              <w:rPr>
                <w:sz w:val="20"/>
                <w:szCs w:val="20"/>
                <w:color w:val="auto"/>
              </w:rPr>
            </w:pPr>
            <w:r>
              <w:rPr>
                <w:rFonts w:ascii="Arial" w:cs="Arial" w:eastAsia="Arial" w:hAnsi="Arial"/>
                <w:sz w:val="14"/>
                <w:szCs w:val="14"/>
                <w:color w:val="auto"/>
              </w:rPr>
              <w:t>COMMITTEES</w:t>
            </w:r>
          </w:p>
        </w:tc>
        <w:tc>
          <w:tcPr>
            <w:tcW w:w="1580" w:type="dxa"/>
            <w:vAlign w:val="bottom"/>
            <w:tcBorders>
              <w:bottom w:val="single" w:sz="8" w:color="00AAE5"/>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20" w:type="dxa"/>
            <w:vAlign w:val="bottom"/>
            <w:vMerge w:val="restart"/>
          </w:tcPr>
          <w:p>
            <w:pPr>
              <w:spacing w:after="0"/>
              <w:rPr>
                <w:sz w:val="20"/>
                <w:szCs w:val="20"/>
                <w:color w:val="auto"/>
              </w:rPr>
            </w:pPr>
            <w:r>
              <w:rPr>
                <w:rFonts w:ascii="Arial" w:cs="Arial" w:eastAsia="Arial" w:hAnsi="Arial"/>
                <w:sz w:val="14"/>
                <w:szCs w:val="14"/>
                <w:color w:val="auto"/>
              </w:rPr>
              <w:t>DIRECTOR</w:t>
            </w:r>
            <w:r>
              <w:rPr>
                <w:rFonts w:ascii="Arial" w:cs="Arial" w:eastAsia="Arial" w:hAnsi="Arial"/>
                <w:sz w:val="12"/>
                <w:szCs w:val="12"/>
                <w:color w:val="auto"/>
              </w:rPr>
              <w:t>(1)</w:t>
            </w:r>
          </w:p>
        </w:tc>
        <w:tc>
          <w:tcPr>
            <w:tcW w:w="3340" w:type="dxa"/>
            <w:vAlign w:val="bottom"/>
          </w:tcPr>
          <w:p>
            <w:pPr>
              <w:spacing w:after="0"/>
              <w:rPr>
                <w:sz w:val="11"/>
                <w:szCs w:val="11"/>
                <w:color w:val="auto"/>
              </w:rPr>
            </w:pPr>
          </w:p>
        </w:tc>
        <w:tc>
          <w:tcPr>
            <w:tcW w:w="840" w:type="dxa"/>
            <w:vAlign w:val="bottom"/>
            <w:vMerge w:val="restart"/>
          </w:tcPr>
          <w:p>
            <w:pPr>
              <w:ind w:left="220"/>
              <w:spacing w:after="0"/>
              <w:rPr>
                <w:sz w:val="20"/>
                <w:szCs w:val="20"/>
                <w:color w:val="auto"/>
              </w:rPr>
            </w:pPr>
            <w:r>
              <w:rPr>
                <w:rFonts w:ascii="Arial" w:cs="Arial" w:eastAsia="Arial" w:hAnsi="Arial"/>
                <w:sz w:val="14"/>
                <w:szCs w:val="14"/>
                <w:color w:val="00AAE5"/>
              </w:rPr>
              <w:t>Audit</w:t>
            </w:r>
          </w:p>
        </w:tc>
        <w:tc>
          <w:tcPr>
            <w:tcW w:w="1820" w:type="dxa"/>
            <w:vAlign w:val="bottom"/>
            <w:vMerge w:val="restart"/>
          </w:tcPr>
          <w:p>
            <w:pPr>
              <w:ind w:left="280"/>
              <w:spacing w:after="0"/>
              <w:rPr>
                <w:sz w:val="20"/>
                <w:szCs w:val="20"/>
                <w:color w:val="auto"/>
              </w:rPr>
            </w:pPr>
            <w:r>
              <w:rPr>
                <w:rFonts w:ascii="Arial" w:cs="Arial" w:eastAsia="Arial" w:hAnsi="Arial"/>
                <w:sz w:val="14"/>
                <w:szCs w:val="14"/>
                <w:color w:val="00AAE5"/>
              </w:rPr>
              <w:t>Compensation &amp; Talent</w:t>
            </w:r>
          </w:p>
        </w:tc>
        <w:tc>
          <w:tcPr>
            <w:tcW w:w="2360" w:type="dxa"/>
            <w:vAlign w:val="bottom"/>
            <w:vMerge w:val="restart"/>
          </w:tcPr>
          <w:p>
            <w:pPr>
              <w:ind w:left="400"/>
              <w:spacing w:after="0"/>
              <w:rPr>
                <w:sz w:val="20"/>
                <w:szCs w:val="20"/>
                <w:color w:val="auto"/>
              </w:rPr>
            </w:pPr>
            <w:r>
              <w:rPr>
                <w:rFonts w:ascii="Arial" w:cs="Arial" w:eastAsia="Arial" w:hAnsi="Arial"/>
                <w:sz w:val="14"/>
                <w:szCs w:val="14"/>
                <w:color w:val="00AAE5"/>
              </w:rPr>
              <w:t>Governance &amp; Nominating</w:t>
            </w:r>
          </w:p>
        </w:tc>
        <w:tc>
          <w:tcPr>
            <w:tcW w:w="1580" w:type="dxa"/>
            <w:vAlign w:val="bottom"/>
          </w:tcPr>
          <w:p>
            <w:pPr>
              <w:jc w:val="center"/>
              <w:ind w:right="152"/>
              <w:spacing w:after="0" w:line="129" w:lineRule="exact"/>
              <w:rPr>
                <w:sz w:val="20"/>
                <w:szCs w:val="20"/>
                <w:color w:val="auto"/>
              </w:rPr>
            </w:pPr>
            <w:r>
              <w:rPr>
                <w:rFonts w:ascii="Arial" w:cs="Arial" w:eastAsia="Arial" w:hAnsi="Arial"/>
                <w:sz w:val="14"/>
                <w:szCs w:val="14"/>
                <w:color w:val="00AAE5"/>
                <w:w w:val="95"/>
              </w:rPr>
              <w:t>Finance &amp;</w:t>
            </w:r>
          </w:p>
        </w:tc>
        <w:tc>
          <w:tcPr>
            <w:tcW w:w="0" w:type="dxa"/>
            <w:vAlign w:val="bottom"/>
          </w:tcPr>
          <w:p>
            <w:pPr>
              <w:spacing w:after="0"/>
              <w:rPr>
                <w:sz w:val="1"/>
                <w:szCs w:val="1"/>
                <w:color w:val="auto"/>
              </w:rPr>
            </w:pPr>
          </w:p>
        </w:tc>
      </w:tr>
      <w:tr>
        <w:trPr>
          <w:trHeight w:val="167"/>
        </w:trPr>
        <w:tc>
          <w:tcPr>
            <w:tcW w:w="1120" w:type="dxa"/>
            <w:vAlign w:val="bottom"/>
            <w:tcBorders>
              <w:bottom w:val="single" w:sz="8" w:color="00AAE5"/>
            </w:tcBorders>
            <w:vMerge w:val="continue"/>
          </w:tcPr>
          <w:p>
            <w:pPr>
              <w:spacing w:after="0"/>
              <w:rPr>
                <w:sz w:val="14"/>
                <w:szCs w:val="14"/>
                <w:color w:val="auto"/>
              </w:rPr>
            </w:pPr>
          </w:p>
        </w:tc>
        <w:tc>
          <w:tcPr>
            <w:tcW w:w="3340" w:type="dxa"/>
            <w:vAlign w:val="bottom"/>
            <w:tcBorders>
              <w:bottom w:val="single" w:sz="8" w:color="00AAE5"/>
            </w:tcBorders>
          </w:tcPr>
          <w:p>
            <w:pPr>
              <w:spacing w:after="0"/>
              <w:rPr>
                <w:sz w:val="14"/>
                <w:szCs w:val="14"/>
                <w:color w:val="auto"/>
              </w:rPr>
            </w:pPr>
          </w:p>
        </w:tc>
        <w:tc>
          <w:tcPr>
            <w:tcW w:w="840" w:type="dxa"/>
            <w:vAlign w:val="bottom"/>
            <w:tcBorders>
              <w:bottom w:val="single" w:sz="8" w:color="00AAE5"/>
            </w:tcBorders>
            <w:vMerge w:val="continue"/>
          </w:tcPr>
          <w:p>
            <w:pPr>
              <w:spacing w:after="0"/>
              <w:rPr>
                <w:sz w:val="14"/>
                <w:szCs w:val="14"/>
                <w:color w:val="auto"/>
              </w:rPr>
            </w:pPr>
          </w:p>
        </w:tc>
        <w:tc>
          <w:tcPr>
            <w:tcW w:w="1820" w:type="dxa"/>
            <w:vAlign w:val="bottom"/>
            <w:tcBorders>
              <w:bottom w:val="single" w:sz="8" w:color="00AAE5"/>
            </w:tcBorders>
            <w:vMerge w:val="continue"/>
          </w:tcPr>
          <w:p>
            <w:pPr>
              <w:spacing w:after="0"/>
              <w:rPr>
                <w:sz w:val="14"/>
                <w:szCs w:val="14"/>
                <w:color w:val="auto"/>
              </w:rPr>
            </w:pPr>
          </w:p>
        </w:tc>
        <w:tc>
          <w:tcPr>
            <w:tcW w:w="2360" w:type="dxa"/>
            <w:vAlign w:val="bottom"/>
            <w:tcBorders>
              <w:bottom w:val="single" w:sz="8" w:color="00AAE5"/>
            </w:tcBorders>
            <w:vMerge w:val="continue"/>
          </w:tcPr>
          <w:p>
            <w:pPr>
              <w:spacing w:after="0"/>
              <w:rPr>
                <w:sz w:val="14"/>
                <w:szCs w:val="14"/>
                <w:color w:val="auto"/>
              </w:rPr>
            </w:pPr>
          </w:p>
        </w:tc>
        <w:tc>
          <w:tcPr>
            <w:tcW w:w="1580" w:type="dxa"/>
            <w:vAlign w:val="bottom"/>
            <w:tcBorders>
              <w:bottom w:val="single" w:sz="8" w:color="00AAE5"/>
            </w:tcBorders>
          </w:tcPr>
          <w:p>
            <w:pPr>
              <w:jc w:val="center"/>
              <w:ind w:right="112"/>
              <w:spacing w:after="0"/>
              <w:rPr>
                <w:sz w:val="20"/>
                <w:szCs w:val="20"/>
                <w:color w:val="auto"/>
              </w:rPr>
            </w:pPr>
            <w:r>
              <w:rPr>
                <w:rFonts w:ascii="Arial" w:cs="Arial" w:eastAsia="Arial" w:hAnsi="Arial"/>
                <w:sz w:val="14"/>
                <w:szCs w:val="14"/>
                <w:color w:val="00AAE5"/>
                <w:w w:val="91"/>
              </w:rPr>
              <w:t>Strategy</w:t>
            </w:r>
          </w:p>
        </w:tc>
        <w:tc>
          <w:tcPr>
            <w:tcW w:w="0" w:type="dxa"/>
            <w:vAlign w:val="bottom"/>
          </w:tcPr>
          <w:p>
            <w:pPr>
              <w:spacing w:after="0"/>
              <w:rPr>
                <w:sz w:val="1"/>
                <w:szCs w:val="1"/>
                <w:color w:val="auto"/>
              </w:rPr>
            </w:pPr>
          </w:p>
        </w:tc>
      </w:tr>
      <w:tr>
        <w:trPr>
          <w:trHeight w:val="179"/>
        </w:trPr>
        <w:tc>
          <w:tcPr>
            <w:tcW w:w="112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Archie Black</w:t>
            </w:r>
          </w:p>
        </w:tc>
        <w:tc>
          <w:tcPr>
            <w:tcW w:w="3340" w:type="dxa"/>
            <w:vAlign w:val="bottom"/>
            <w:tcBorders>
              <w:bottom w:val="single" w:sz="8" w:color="7C7C7C"/>
            </w:tcBorders>
          </w:tcPr>
          <w:p>
            <w:pPr>
              <w:spacing w:after="0"/>
              <w:rPr>
                <w:sz w:val="15"/>
                <w:szCs w:val="15"/>
                <w:color w:val="auto"/>
              </w:rPr>
            </w:pPr>
          </w:p>
        </w:tc>
        <w:tc>
          <w:tcPr>
            <w:tcW w:w="840" w:type="dxa"/>
            <w:vAlign w:val="bottom"/>
            <w:tcBorders>
              <w:bottom w:val="single" w:sz="8" w:color="7C7C7C"/>
            </w:tcBorders>
          </w:tcPr>
          <w:p>
            <w:pPr>
              <w:spacing w:after="0"/>
              <w:rPr>
                <w:sz w:val="15"/>
                <w:szCs w:val="15"/>
                <w:color w:val="auto"/>
              </w:rPr>
            </w:pPr>
          </w:p>
        </w:tc>
        <w:tc>
          <w:tcPr>
            <w:tcW w:w="1820" w:type="dxa"/>
            <w:vAlign w:val="bottom"/>
            <w:tcBorders>
              <w:bottom w:val="single" w:sz="8" w:color="7C7C7C"/>
            </w:tcBorders>
          </w:tcPr>
          <w:p>
            <w:pPr>
              <w:spacing w:after="0"/>
              <w:rPr>
                <w:sz w:val="15"/>
                <w:szCs w:val="15"/>
                <w:color w:val="auto"/>
              </w:rPr>
            </w:pPr>
          </w:p>
        </w:tc>
        <w:tc>
          <w:tcPr>
            <w:tcW w:w="2360" w:type="dxa"/>
            <w:vAlign w:val="bottom"/>
            <w:tcBorders>
              <w:bottom w:val="single" w:sz="8" w:color="7C7C7C"/>
            </w:tcBorders>
          </w:tcPr>
          <w:p>
            <w:pPr>
              <w:spacing w:after="0"/>
              <w:rPr>
                <w:sz w:val="15"/>
                <w:szCs w:val="15"/>
                <w:color w:val="auto"/>
              </w:rPr>
            </w:pPr>
          </w:p>
        </w:tc>
        <w:tc>
          <w:tcPr>
            <w:tcW w:w="1580" w:type="dxa"/>
            <w:vAlign w:val="bottom"/>
            <w:tcBorders>
              <w:bottom w:val="single" w:sz="8" w:color="7C7C7C"/>
            </w:tcBorders>
          </w:tcPr>
          <w:p>
            <w:pPr>
              <w:jc w:val="right"/>
              <w:ind w:right="67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7"/>
        </w:trPr>
        <w:tc>
          <w:tcPr>
            <w:tcW w:w="112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w w:val="98"/>
              </w:rPr>
              <w:t>Martin Leestma</w:t>
            </w:r>
            <w:r>
              <w:rPr>
                <w:rFonts w:ascii="Arial" w:cs="Arial" w:eastAsia="Arial" w:hAnsi="Arial"/>
                <w:sz w:val="12"/>
                <w:szCs w:val="12"/>
                <w:color w:val="auto"/>
                <w:w w:val="98"/>
              </w:rPr>
              <w:t>(3)</w:t>
            </w:r>
          </w:p>
        </w:tc>
        <w:tc>
          <w:tcPr>
            <w:tcW w:w="3340" w:type="dxa"/>
            <w:vAlign w:val="bottom"/>
            <w:tcBorders>
              <w:bottom w:val="single" w:sz="8" w:color="7C7C7C"/>
            </w:tcBorders>
          </w:tcPr>
          <w:p>
            <w:pPr>
              <w:spacing w:after="0"/>
              <w:rPr>
                <w:sz w:val="17"/>
                <w:szCs w:val="17"/>
                <w:color w:val="auto"/>
              </w:rPr>
            </w:pPr>
          </w:p>
        </w:tc>
        <w:tc>
          <w:tcPr>
            <w:tcW w:w="840" w:type="dxa"/>
            <w:vAlign w:val="bottom"/>
            <w:tcBorders>
              <w:bottom w:val="single" w:sz="8" w:color="7C7C7C"/>
            </w:tcBorders>
          </w:tcPr>
          <w:p>
            <w:pPr>
              <w:spacing w:after="0"/>
              <w:rPr>
                <w:sz w:val="17"/>
                <w:szCs w:val="17"/>
                <w:color w:val="auto"/>
              </w:rPr>
            </w:pPr>
          </w:p>
        </w:tc>
        <w:tc>
          <w:tcPr>
            <w:tcW w:w="1820" w:type="dxa"/>
            <w:vAlign w:val="bottom"/>
            <w:tcBorders>
              <w:bottom w:val="single" w:sz="8" w:color="7C7C7C"/>
            </w:tcBorders>
          </w:tcPr>
          <w:p>
            <w:pPr>
              <w:spacing w:after="0"/>
              <w:rPr>
                <w:sz w:val="17"/>
                <w:szCs w:val="17"/>
                <w:color w:val="auto"/>
              </w:rPr>
            </w:pPr>
          </w:p>
        </w:tc>
        <w:tc>
          <w:tcPr>
            <w:tcW w:w="2360" w:type="dxa"/>
            <w:vAlign w:val="bottom"/>
            <w:tcBorders>
              <w:bottom w:val="single" w:sz="8" w:color="7C7C7C"/>
            </w:tcBorders>
          </w:tcPr>
          <w:p>
            <w:pPr>
              <w:spacing w:after="0"/>
              <w:rPr>
                <w:sz w:val="17"/>
                <w:szCs w:val="17"/>
                <w:color w:val="auto"/>
              </w:rPr>
            </w:pPr>
          </w:p>
        </w:tc>
        <w:tc>
          <w:tcPr>
            <w:tcW w:w="1580" w:type="dxa"/>
            <w:vAlign w:val="bottom"/>
            <w:tcBorders>
              <w:bottom w:val="single" w:sz="8" w:color="7C7C7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James Ramsey</w:t>
            </w:r>
          </w:p>
        </w:tc>
        <w:tc>
          <w:tcPr>
            <w:tcW w:w="3340" w:type="dxa"/>
            <w:vAlign w:val="bottom"/>
            <w:tcBorders>
              <w:bottom w:val="single" w:sz="8" w:color="7C7C7C"/>
            </w:tcBorders>
          </w:tcPr>
          <w:p>
            <w:pPr>
              <w:spacing w:after="0"/>
              <w:rPr>
                <w:sz w:val="18"/>
                <w:szCs w:val="18"/>
                <w:color w:val="auto"/>
              </w:rPr>
            </w:pPr>
          </w:p>
        </w:tc>
        <w:tc>
          <w:tcPr>
            <w:tcW w:w="840" w:type="dxa"/>
            <w:vAlign w:val="bottom"/>
            <w:tcBorders>
              <w:bottom w:val="single" w:sz="8" w:color="7C7C7C"/>
            </w:tcBorders>
          </w:tcPr>
          <w:p>
            <w:pPr>
              <w:spacing w:after="0"/>
              <w:rPr>
                <w:sz w:val="18"/>
                <w:szCs w:val="18"/>
                <w:color w:val="auto"/>
              </w:rPr>
            </w:pPr>
          </w:p>
        </w:tc>
        <w:tc>
          <w:tcPr>
            <w:tcW w:w="1820" w:type="dxa"/>
            <w:vAlign w:val="bottom"/>
            <w:tcBorders>
              <w:bottom w:val="single" w:sz="8" w:color="7C7C7C"/>
            </w:tcBorders>
          </w:tcPr>
          <w:p>
            <w:pPr>
              <w:spacing w:after="0"/>
              <w:rPr>
                <w:sz w:val="18"/>
                <w:szCs w:val="18"/>
                <w:color w:val="auto"/>
              </w:rPr>
            </w:pPr>
          </w:p>
        </w:tc>
        <w:tc>
          <w:tcPr>
            <w:tcW w:w="2360" w:type="dxa"/>
            <w:vAlign w:val="bottom"/>
            <w:tcBorders>
              <w:bottom w:val="single" w:sz="8" w:color="7C7C7C"/>
            </w:tcBorders>
          </w:tcPr>
          <w:p>
            <w:pPr>
              <w:spacing w:after="0"/>
              <w:rPr>
                <w:sz w:val="18"/>
                <w:szCs w:val="18"/>
                <w:color w:val="auto"/>
              </w:rPr>
            </w:pPr>
          </w:p>
        </w:tc>
        <w:tc>
          <w:tcPr>
            <w:tcW w:w="1580" w:type="dxa"/>
            <w:vAlign w:val="bottom"/>
            <w:tcBorders>
              <w:bottom w:val="single" w:sz="8" w:color="7C7C7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Marty Reaume</w:t>
            </w:r>
          </w:p>
        </w:tc>
        <w:tc>
          <w:tcPr>
            <w:tcW w:w="3340" w:type="dxa"/>
            <w:vAlign w:val="bottom"/>
            <w:tcBorders>
              <w:bottom w:val="single" w:sz="8" w:color="7C7C7C"/>
            </w:tcBorders>
          </w:tcPr>
          <w:p>
            <w:pPr>
              <w:spacing w:after="0"/>
              <w:rPr>
                <w:sz w:val="18"/>
                <w:szCs w:val="18"/>
                <w:color w:val="auto"/>
              </w:rPr>
            </w:pPr>
          </w:p>
        </w:tc>
        <w:tc>
          <w:tcPr>
            <w:tcW w:w="840" w:type="dxa"/>
            <w:vAlign w:val="bottom"/>
            <w:tcBorders>
              <w:bottom w:val="single" w:sz="8" w:color="7C7C7C"/>
            </w:tcBorders>
          </w:tcPr>
          <w:p>
            <w:pPr>
              <w:spacing w:after="0"/>
              <w:rPr>
                <w:sz w:val="18"/>
                <w:szCs w:val="18"/>
                <w:color w:val="auto"/>
              </w:rPr>
            </w:pPr>
          </w:p>
        </w:tc>
        <w:tc>
          <w:tcPr>
            <w:tcW w:w="1820" w:type="dxa"/>
            <w:vAlign w:val="bottom"/>
            <w:tcBorders>
              <w:bottom w:val="single" w:sz="8" w:color="7C7C7C"/>
            </w:tcBorders>
          </w:tcPr>
          <w:p>
            <w:pPr>
              <w:spacing w:after="0"/>
              <w:rPr>
                <w:sz w:val="18"/>
                <w:szCs w:val="18"/>
                <w:color w:val="auto"/>
              </w:rPr>
            </w:pPr>
          </w:p>
        </w:tc>
        <w:tc>
          <w:tcPr>
            <w:tcW w:w="2360" w:type="dxa"/>
            <w:vAlign w:val="bottom"/>
            <w:tcBorders>
              <w:bottom w:val="single" w:sz="8" w:color="7C7C7C"/>
            </w:tcBorders>
          </w:tcPr>
          <w:p>
            <w:pPr>
              <w:spacing w:after="0"/>
              <w:rPr>
                <w:sz w:val="18"/>
                <w:szCs w:val="18"/>
                <w:color w:val="auto"/>
              </w:rPr>
            </w:pPr>
          </w:p>
        </w:tc>
        <w:tc>
          <w:tcPr>
            <w:tcW w:w="1580" w:type="dxa"/>
            <w:vAlign w:val="bottom"/>
            <w:tcBorders>
              <w:bottom w:val="single" w:sz="8" w:color="7C7C7C"/>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12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Tami Reller</w:t>
            </w:r>
          </w:p>
        </w:tc>
        <w:tc>
          <w:tcPr>
            <w:tcW w:w="3340" w:type="dxa"/>
            <w:vAlign w:val="bottom"/>
            <w:tcBorders>
              <w:bottom w:val="single" w:sz="8" w:color="7C7C7C"/>
            </w:tcBorders>
          </w:tcPr>
          <w:p>
            <w:pPr>
              <w:spacing w:after="0"/>
              <w:rPr>
                <w:sz w:val="16"/>
                <w:szCs w:val="16"/>
                <w:color w:val="auto"/>
              </w:rPr>
            </w:pPr>
          </w:p>
        </w:tc>
        <w:tc>
          <w:tcPr>
            <w:tcW w:w="840" w:type="dxa"/>
            <w:vAlign w:val="bottom"/>
            <w:tcBorders>
              <w:bottom w:val="single" w:sz="8" w:color="7C7C7C"/>
            </w:tcBorders>
          </w:tcPr>
          <w:p>
            <w:pPr>
              <w:spacing w:after="0"/>
              <w:rPr>
                <w:sz w:val="16"/>
                <w:szCs w:val="16"/>
                <w:color w:val="auto"/>
              </w:rPr>
            </w:pPr>
          </w:p>
        </w:tc>
        <w:tc>
          <w:tcPr>
            <w:tcW w:w="1820" w:type="dxa"/>
            <w:vAlign w:val="bottom"/>
            <w:tcBorders>
              <w:bottom w:val="single" w:sz="8" w:color="7C7C7C"/>
            </w:tcBorders>
          </w:tcPr>
          <w:p>
            <w:pPr>
              <w:spacing w:after="0"/>
              <w:rPr>
                <w:sz w:val="16"/>
                <w:szCs w:val="16"/>
                <w:color w:val="auto"/>
              </w:rPr>
            </w:pPr>
          </w:p>
        </w:tc>
        <w:tc>
          <w:tcPr>
            <w:tcW w:w="2360" w:type="dxa"/>
            <w:vAlign w:val="bottom"/>
            <w:tcBorders>
              <w:bottom w:val="single" w:sz="8" w:color="7C7C7C"/>
            </w:tcBorders>
          </w:tcPr>
          <w:p>
            <w:pPr>
              <w:spacing w:after="0"/>
              <w:rPr>
                <w:sz w:val="16"/>
                <w:szCs w:val="16"/>
                <w:color w:val="auto"/>
              </w:rPr>
            </w:pPr>
          </w:p>
        </w:tc>
        <w:tc>
          <w:tcPr>
            <w:tcW w:w="1580" w:type="dxa"/>
            <w:vAlign w:val="bottom"/>
            <w:tcBorders>
              <w:bottom w:val="single" w:sz="8" w:color="7C7C7C"/>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Borders>
              <w:bottom w:val="single" w:sz="8" w:color="7C7C7C"/>
            </w:tcBorders>
          </w:tcPr>
          <w:p>
            <w:pPr>
              <w:spacing w:after="0"/>
              <w:rPr>
                <w:sz w:val="20"/>
                <w:szCs w:val="20"/>
                <w:color w:val="auto"/>
              </w:rPr>
            </w:pPr>
            <w:r>
              <w:rPr>
                <w:rFonts w:ascii="Arial" w:cs="Arial" w:eastAsia="Arial" w:hAnsi="Arial"/>
                <w:sz w:val="14"/>
                <w:szCs w:val="14"/>
                <w:color w:val="auto"/>
              </w:rPr>
              <w:t>Philip Soran</w:t>
            </w:r>
          </w:p>
        </w:tc>
        <w:tc>
          <w:tcPr>
            <w:tcW w:w="3340" w:type="dxa"/>
            <w:vAlign w:val="bottom"/>
            <w:tcBorders>
              <w:bottom w:val="single" w:sz="8" w:color="7C7C7C"/>
            </w:tcBorders>
          </w:tcPr>
          <w:p>
            <w:pPr>
              <w:spacing w:after="0"/>
              <w:rPr>
                <w:sz w:val="16"/>
                <w:szCs w:val="16"/>
                <w:color w:val="auto"/>
              </w:rPr>
            </w:pPr>
          </w:p>
        </w:tc>
        <w:tc>
          <w:tcPr>
            <w:tcW w:w="840" w:type="dxa"/>
            <w:vAlign w:val="bottom"/>
            <w:tcBorders>
              <w:bottom w:val="single" w:sz="8" w:color="7C7C7C"/>
            </w:tcBorders>
          </w:tcPr>
          <w:p>
            <w:pPr>
              <w:spacing w:after="0"/>
              <w:rPr>
                <w:sz w:val="16"/>
                <w:szCs w:val="16"/>
                <w:color w:val="auto"/>
              </w:rPr>
            </w:pPr>
          </w:p>
        </w:tc>
        <w:tc>
          <w:tcPr>
            <w:tcW w:w="1820" w:type="dxa"/>
            <w:vAlign w:val="bottom"/>
            <w:tcBorders>
              <w:bottom w:val="single" w:sz="8" w:color="7C7C7C"/>
            </w:tcBorders>
          </w:tcPr>
          <w:p>
            <w:pPr>
              <w:spacing w:after="0"/>
              <w:rPr>
                <w:sz w:val="16"/>
                <w:szCs w:val="16"/>
                <w:color w:val="auto"/>
              </w:rPr>
            </w:pPr>
          </w:p>
        </w:tc>
        <w:tc>
          <w:tcPr>
            <w:tcW w:w="2360" w:type="dxa"/>
            <w:vAlign w:val="bottom"/>
            <w:tcBorders>
              <w:bottom w:val="single" w:sz="8" w:color="7C7C7C"/>
            </w:tcBorders>
          </w:tcPr>
          <w:p>
            <w:pPr>
              <w:spacing w:after="0"/>
              <w:rPr>
                <w:sz w:val="16"/>
                <w:szCs w:val="16"/>
                <w:color w:val="auto"/>
              </w:rPr>
            </w:pPr>
          </w:p>
        </w:tc>
        <w:tc>
          <w:tcPr>
            <w:tcW w:w="1580" w:type="dxa"/>
            <w:vAlign w:val="bottom"/>
            <w:tcBorders>
              <w:bottom w:val="single" w:sz="8" w:color="7C7C7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Borders>
              <w:bottom w:val="single" w:sz="8" w:color="00AAE5"/>
            </w:tcBorders>
          </w:tcPr>
          <w:p>
            <w:pPr>
              <w:spacing w:after="0"/>
              <w:rPr>
                <w:sz w:val="20"/>
                <w:szCs w:val="20"/>
                <w:color w:val="auto"/>
              </w:rPr>
            </w:pPr>
            <w:r>
              <w:rPr>
                <w:rFonts w:ascii="Arial" w:cs="Arial" w:eastAsia="Arial" w:hAnsi="Arial"/>
                <w:sz w:val="14"/>
                <w:szCs w:val="14"/>
                <w:color w:val="auto"/>
              </w:rPr>
              <w:t>Sven Wehrwein</w:t>
            </w:r>
          </w:p>
        </w:tc>
        <w:tc>
          <w:tcPr>
            <w:tcW w:w="3340" w:type="dxa"/>
            <w:vAlign w:val="bottom"/>
            <w:tcBorders>
              <w:bottom w:val="single" w:sz="8" w:color="00AAE5"/>
            </w:tcBorders>
          </w:tcPr>
          <w:p>
            <w:pPr>
              <w:spacing w:after="0"/>
              <w:rPr>
                <w:sz w:val="15"/>
                <w:szCs w:val="15"/>
                <w:color w:val="auto"/>
              </w:rPr>
            </w:pPr>
          </w:p>
        </w:tc>
        <w:tc>
          <w:tcPr>
            <w:tcW w:w="840" w:type="dxa"/>
            <w:vAlign w:val="bottom"/>
            <w:tcBorders>
              <w:bottom w:val="single" w:sz="8" w:color="00AAE5"/>
            </w:tcBorders>
          </w:tcPr>
          <w:p>
            <w:pPr>
              <w:spacing w:after="0"/>
              <w:rPr>
                <w:sz w:val="15"/>
                <w:szCs w:val="15"/>
                <w:color w:val="auto"/>
              </w:rPr>
            </w:pPr>
          </w:p>
        </w:tc>
        <w:tc>
          <w:tcPr>
            <w:tcW w:w="1820" w:type="dxa"/>
            <w:vAlign w:val="bottom"/>
            <w:tcBorders>
              <w:bottom w:val="single" w:sz="8" w:color="00AAE5"/>
            </w:tcBorders>
          </w:tcPr>
          <w:p>
            <w:pPr>
              <w:spacing w:after="0"/>
              <w:rPr>
                <w:sz w:val="15"/>
                <w:szCs w:val="15"/>
                <w:color w:val="auto"/>
              </w:rPr>
            </w:pPr>
          </w:p>
        </w:tc>
        <w:tc>
          <w:tcPr>
            <w:tcW w:w="2360" w:type="dxa"/>
            <w:vAlign w:val="bottom"/>
            <w:tcBorders>
              <w:bottom w:val="single" w:sz="8" w:color="00AAE5"/>
            </w:tcBorders>
          </w:tcPr>
          <w:p>
            <w:pPr>
              <w:spacing w:after="0"/>
              <w:rPr>
                <w:sz w:val="15"/>
                <w:szCs w:val="15"/>
                <w:color w:val="auto"/>
              </w:rPr>
            </w:pPr>
          </w:p>
        </w:tc>
        <w:tc>
          <w:tcPr>
            <w:tcW w:w="1580" w:type="dxa"/>
            <w:vAlign w:val="bottom"/>
            <w:tcBorders>
              <w:bottom w:val="single" w:sz="8" w:color="00AAE5"/>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560"/>
              <w:spacing w:after="0"/>
              <w:rPr>
                <w:sz w:val="20"/>
                <w:szCs w:val="20"/>
                <w:color w:val="auto"/>
              </w:rPr>
            </w:pPr>
            <w:r>
              <w:rPr>
                <w:rFonts w:ascii="Arial" w:cs="Arial" w:eastAsia="Arial" w:hAnsi="Arial"/>
                <w:sz w:val="14"/>
                <w:szCs w:val="14"/>
                <w:color w:val="auto"/>
              </w:rPr>
              <w:t>Chair</w:t>
            </w:r>
          </w:p>
        </w:tc>
        <w:tc>
          <w:tcPr>
            <w:tcW w:w="4180" w:type="dxa"/>
            <w:vAlign w:val="bottom"/>
            <w:gridSpan w:val="2"/>
          </w:tcPr>
          <w:p>
            <w:pPr>
              <w:ind w:left="60"/>
              <w:spacing w:after="0"/>
              <w:rPr>
                <w:sz w:val="20"/>
                <w:szCs w:val="20"/>
                <w:color w:val="auto"/>
              </w:rPr>
            </w:pPr>
            <w:r>
              <w:rPr>
                <w:rFonts w:ascii="Arial" w:cs="Arial" w:eastAsia="Arial" w:hAnsi="Arial"/>
                <w:sz w:val="14"/>
                <w:szCs w:val="14"/>
                <w:color w:val="auto"/>
              </w:rPr>
              <w:t>Member</w:t>
            </w:r>
          </w:p>
        </w:tc>
        <w:tc>
          <w:tcPr>
            <w:tcW w:w="18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-1115060</wp:posOffset>
            </wp:positionV>
            <wp:extent cx="6858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-986155</wp:posOffset>
            </wp:positionV>
            <wp:extent cx="6858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-943610</wp:posOffset>
            </wp:positionV>
            <wp:extent cx="51435"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946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-840105</wp:posOffset>
            </wp:positionV>
            <wp:extent cx="6858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-814705</wp:posOffset>
            </wp:positionV>
            <wp:extent cx="51435"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9398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-668655</wp:posOffset>
            </wp:positionV>
            <wp:extent cx="51435"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9398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-694690</wp:posOffset>
            </wp:positionV>
            <wp:extent cx="6858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-548640</wp:posOffset>
            </wp:positionV>
            <wp:extent cx="3454400" cy="377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54400" cy="3771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-120015</wp:posOffset>
            </wp:positionV>
            <wp:extent cx="51435"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9398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-146050</wp:posOffset>
            </wp:positionV>
            <wp:extent cx="6858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53" w:lineRule="exact"/>
        <w:rPr>
          <w:sz w:val="20"/>
          <w:szCs w:val="20"/>
          <w:color w:val="auto"/>
        </w:rPr>
      </w:pPr>
    </w:p>
    <w:p>
      <w:pPr>
        <w:ind w:left="880" w:right="200" w:hanging="440"/>
        <w:spacing w:after="0" w:line="25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Ms. Ward is not a member of any committees as of March 24, 2021. Pending election at the 2021 annual meeting, she will become a member on the Audit and Governance &amp; Nominating Committees.</w:t>
      </w:r>
    </w:p>
    <w:p>
      <w:pPr>
        <w:spacing w:after="0" w:line="1" w:lineRule="exact"/>
        <w:rPr>
          <w:rFonts w:ascii="Arial" w:cs="Arial" w:eastAsia="Arial" w:hAnsi="Arial"/>
          <w:sz w:val="18"/>
          <w:szCs w:val="18"/>
          <w:color w:val="auto"/>
        </w:rPr>
      </w:pPr>
    </w:p>
    <w:p>
      <w:pPr>
        <w:ind w:left="880" w:right="460" w:hanging="440"/>
        <w:spacing w:after="0" w:line="250"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Black is an ex-officio member of the Finance &amp; Strategy Committee. As an ex-officio member, Mr. Black has a standing invitation to attend each committee meeting but does not count for quorum purposes or vote on committee matters.</w:t>
      </w:r>
    </w:p>
    <w:p>
      <w:pPr>
        <w:ind w:left="880" w:right="240" w:hanging="440"/>
        <w:spacing w:after="0" w:line="323"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Leestma has informed the board of directors of his intention to resign from the board effective the date of the 2021 annual meeting, May 19, 2021, and therefore will also resign from his membership on both the Finance &amp; Strategy and Audit Committees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20574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primary responsibilities of each board committee are discussed in turn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Audit Committee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Among other matters, our Audit Committee:</w:t>
      </w:r>
    </w:p>
    <w:p>
      <w:pPr>
        <w:spacing w:after="0" w:line="117" w:lineRule="exact"/>
        <w:rPr>
          <w:sz w:val="20"/>
          <w:szCs w:val="20"/>
          <w:color w:val="auto"/>
        </w:rPr>
      </w:pPr>
    </w:p>
    <w:p>
      <w:pPr>
        <w:ind w:left="1020" w:right="240" w:hanging="432"/>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62" w:lineRule="exact"/>
        <w:rPr>
          <w:rFonts w:ascii="Arial" w:cs="Arial" w:eastAsia="Arial" w:hAnsi="Arial"/>
          <w:sz w:val="18"/>
          <w:szCs w:val="18"/>
          <w:color w:val="auto"/>
        </w:rPr>
      </w:pPr>
    </w:p>
    <w:p>
      <w:pPr>
        <w:ind w:left="1020" w:right="40" w:hanging="432"/>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75" w:lineRule="exact"/>
        <w:rPr>
          <w:rFonts w:ascii="Arial" w:cs="Arial" w:eastAsia="Arial" w:hAnsi="Arial"/>
          <w:sz w:val="18"/>
          <w:szCs w:val="18"/>
          <w:color w:val="auto"/>
        </w:rPr>
      </w:pPr>
    </w:p>
    <w:p>
      <w:pPr>
        <w:ind w:left="1020" w:right="220" w:hanging="432"/>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15" w:lineRule="exact"/>
        <w:rPr>
          <w:rFonts w:ascii="Arial" w:cs="Arial" w:eastAsia="Arial" w:hAnsi="Arial"/>
          <w:sz w:val="16"/>
          <w:szCs w:val="16"/>
          <w:color w:val="auto"/>
        </w:rPr>
      </w:pPr>
    </w:p>
    <w:p>
      <w:pPr>
        <w:ind w:left="1020" w:hanging="43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oversees our investment policy;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prepares the Audit Committee report that SEC rules require to be included in our annual proxy statement.</w:t>
      </w:r>
    </w:p>
    <w:p>
      <w:pPr>
        <w:spacing w:after="0" w:line="171"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Global Market. Our board of directors has determined that Mr. Wehrwein is an Audit Committee financial expert, as defined under the applicable rules of the SEC. Each member of our Audit Committee satisfies the Nasdaq Global Market independence standards and the independence standards of Rule 10A-3(b)(1) of the Securities Exchange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Compensation &amp; Talent Committee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Among other matters, our Compensation &amp; Talent Committee:</w:t>
      </w:r>
    </w:p>
    <w:p>
      <w:pPr>
        <w:spacing w:after="0" w:line="117" w:lineRule="exact"/>
        <w:rPr>
          <w:sz w:val="20"/>
          <w:szCs w:val="20"/>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reviews and approves, on an annual basis, the goals, and objectives relevant to our executive officer’s compensation;</w:t>
      </w:r>
    </w:p>
    <w:p>
      <w:pPr>
        <w:spacing w:after="0" w:line="117" w:lineRule="exact"/>
        <w:rPr>
          <w:rFonts w:ascii="Arial" w:cs="Arial" w:eastAsia="Arial" w:hAnsi="Arial"/>
          <w:sz w:val="18"/>
          <w:szCs w:val="18"/>
          <w:color w:val="auto"/>
        </w:rPr>
      </w:pPr>
    </w:p>
    <w:p>
      <w:pPr>
        <w:ind w:left="1020" w:right="240" w:hanging="432"/>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 and approves our Chief Executive Officer and other executive officers’ annual compensation, including salary, bonus, incentive and equity-based compensation, based on a review of executive officer performance evaluations, a review of peer company compensation programs, and external consultations;</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administers the issuance of stock options and other awards under our 2010 Equity Incentive Plan; and</w:t>
      </w:r>
    </w:p>
    <w:p>
      <w:pPr>
        <w:spacing w:after="0" w:line="117" w:lineRule="exact"/>
        <w:rPr>
          <w:rFonts w:ascii="Arial" w:cs="Arial" w:eastAsia="Arial" w:hAnsi="Arial"/>
          <w:sz w:val="18"/>
          <w:szCs w:val="18"/>
          <w:color w:val="auto"/>
        </w:rPr>
      </w:pPr>
    </w:p>
    <w:p>
      <w:pPr>
        <w:ind w:left="1020" w:right="10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periodically reviews the compensation paid to our non-employee directors and recommends any adjustments in director compensation to our board of directors.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2021, the committee expanded its responsibilities to include its oversight of the talent programs and initiatives impacting our people.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Governance &amp; Nominating Committee</w:t>
      </w:r>
    </w:p>
    <w:p>
      <w:pPr>
        <w:spacing w:after="0" w:line="171" w:lineRule="exact"/>
        <w:rPr>
          <w:sz w:val="20"/>
          <w:szCs w:val="20"/>
          <w:color w:val="auto"/>
        </w:rPr>
      </w:pPr>
    </w:p>
    <w:p>
      <w:pPr>
        <w:ind w:right="140" w:firstLine="589"/>
        <w:spacing w:after="0" w:line="308" w:lineRule="auto"/>
        <w:rPr>
          <w:sz w:val="20"/>
          <w:szCs w:val="20"/>
          <w:color w:val="auto"/>
        </w:rPr>
      </w:pPr>
      <w:r>
        <w:rPr>
          <w:rFonts w:ascii="Arial" w:cs="Arial" w:eastAsia="Arial" w:hAnsi="Arial"/>
          <w:sz w:val="17"/>
          <w:szCs w:val="17"/>
          <w:color w:val="auto"/>
        </w:rPr>
        <w:t>Our Governance &amp; Nominating Committee identifies individuals qualified to become members of the board of directors, recommends individuals to the board for nomination as members of the board and board committees and oversees the evaluation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Finance &amp; Strategy Committee</w:t>
      </w:r>
    </w:p>
    <w:p>
      <w:pPr>
        <w:spacing w:after="0" w:line="17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Finance &amp; Strategy Committee assists the board of directors in matters involving certain finance and strategic matters, including reviewing and monitoring the management of capital, reviewing dividend and share repurchase policies and practices, and reviewing proposed merger, recapitalization, financing and other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t>Meeting Attendance</w:t>
      </w:r>
    </w:p>
    <w:p>
      <w:pPr>
        <w:spacing w:after="0" w:line="161" w:lineRule="exact"/>
        <w:rPr>
          <w:sz w:val="20"/>
          <w:szCs w:val="20"/>
          <w:color w:val="auto"/>
        </w:rPr>
      </w:pPr>
    </w:p>
    <w:p>
      <w:pPr>
        <w:ind w:right="40" w:firstLine="589"/>
        <w:spacing w:after="0" w:line="274" w:lineRule="auto"/>
        <w:rPr>
          <w:sz w:val="20"/>
          <w:szCs w:val="20"/>
          <w:color w:val="auto"/>
        </w:rPr>
      </w:pPr>
      <w:r>
        <w:rPr>
          <w:rFonts w:ascii="Arial" w:cs="Arial" w:eastAsia="Arial" w:hAnsi="Arial"/>
          <w:sz w:val="17"/>
          <w:szCs w:val="17"/>
          <w:color w:val="auto"/>
        </w:rPr>
        <w:t>Our Corporate Governance Guidelines provide that our directors are expected to attend meetings of the board of directors and of the committees on which they serve, as well as our annual meeting of stockholders. Our board of directors held the following meetings during 2020.</w:t>
      </w:r>
    </w:p>
    <w:tbl>
      <w:tblPr>
        <w:tblLayout w:type="fixed"/>
        <w:tblInd w:w="1140" w:type="dxa"/>
        <w:tblCellMar>
          <w:top w:w="0" w:type="dxa"/>
          <w:left w:w="0" w:type="dxa"/>
          <w:bottom w:w="0" w:type="dxa"/>
          <w:right w:w="0" w:type="dxa"/>
        </w:tblCellMar>
      </w:tblPr>
      <w:tr>
        <w:trPr>
          <w:trHeight w:val="229"/>
        </w:trPr>
        <w:tc>
          <w:tcPr>
            <w:tcW w:w="5060" w:type="dxa"/>
            <w:vAlign w:val="bottom"/>
            <w:gridSpan w:val="2"/>
          </w:tcPr>
          <w:p>
            <w:pPr>
              <w:ind w:left="1960"/>
              <w:spacing w:after="0"/>
              <w:rPr>
                <w:sz w:val="20"/>
                <w:szCs w:val="20"/>
                <w:color w:val="auto"/>
              </w:rPr>
            </w:pPr>
            <w:r>
              <w:rPr>
                <w:rFonts w:ascii="Arial" w:cs="Arial" w:eastAsia="Arial" w:hAnsi="Arial"/>
                <w:sz w:val="18"/>
                <w:szCs w:val="18"/>
                <w:color w:val="auto"/>
              </w:rPr>
              <w:t>Committee</w:t>
            </w:r>
          </w:p>
        </w:tc>
        <w:tc>
          <w:tcPr>
            <w:tcW w:w="3920" w:type="dxa"/>
            <w:vAlign w:val="bottom"/>
            <w:gridSpan w:val="2"/>
          </w:tcPr>
          <w:p>
            <w:pPr>
              <w:ind w:left="1440"/>
              <w:spacing w:after="0"/>
              <w:rPr>
                <w:sz w:val="20"/>
                <w:szCs w:val="20"/>
                <w:color w:val="auto"/>
              </w:rPr>
            </w:pPr>
            <w:r>
              <w:rPr>
                <w:rFonts w:ascii="Arial" w:cs="Arial" w:eastAsia="Arial" w:hAnsi="Arial"/>
                <w:sz w:val="18"/>
                <w:szCs w:val="18"/>
                <w:color w:val="auto"/>
              </w:rPr>
              <w:t>Meetings (#)</w:t>
            </w:r>
          </w:p>
        </w:tc>
      </w:tr>
      <w:tr>
        <w:trPr>
          <w:trHeight w:val="223"/>
        </w:trPr>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Audit</w:t>
            </w:r>
          </w:p>
        </w:tc>
        <w:tc>
          <w:tcPr>
            <w:tcW w:w="340" w:type="dxa"/>
            <w:vAlign w:val="bottom"/>
            <w:tcBorders>
              <w:top w:val="single" w:sz="8" w:color="CFF0FC"/>
            </w:tcBorders>
            <w:shd w:val="clear" w:color="auto" w:fill="CFF0FC"/>
          </w:tcPr>
          <w:p>
            <w:pPr>
              <w:spacing w:after="0"/>
              <w:rPr>
                <w:sz w:val="19"/>
                <w:szCs w:val="19"/>
                <w:color w:val="auto"/>
              </w:rPr>
            </w:pPr>
          </w:p>
        </w:tc>
        <w:tc>
          <w:tcPr>
            <w:tcW w:w="3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Compensation &amp; Talent</w:t>
            </w:r>
          </w:p>
        </w:tc>
        <w:tc>
          <w:tcPr>
            <w:tcW w:w="3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Governance &amp; Nominating</w:t>
            </w:r>
          </w:p>
        </w:tc>
        <w:tc>
          <w:tcPr>
            <w:tcW w:w="3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Finance &amp; Strategy</w:t>
            </w:r>
          </w:p>
        </w:tc>
        <w:tc>
          <w:tcPr>
            <w:tcW w:w="3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 Board of Directors</w:t>
            </w:r>
          </w:p>
        </w:tc>
        <w:tc>
          <w:tcPr>
            <w:tcW w:w="3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bl>
    <w:p>
      <w:pPr>
        <w:spacing w:after="0" w:line="148"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Each of our directors attended at least 75% of the meetings of the board of directors and the committees on which he or she served during 2020, and each of our directors whose service would be continuing after the meeting, attended our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Involvement in Risk Oversight</w:t>
      </w:r>
    </w:p>
    <w:p>
      <w:pPr>
        <w:spacing w:after="0" w:line="16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management is responsible for identifying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identifying or managing our various risks. The Audit Committee is primarily responsible for monitoring management’s responsibility in the area of financial risk oversight and the board of directors is primarily responsible for monitoring management’s responsibility in our other areas of risk management. Accordingly, management regularly reported to the Audit Committee and the board of directors on risk management during 2020.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&amp; Talent Committee is charged with reviewing and discussing with management whether our compensation arrangements are administered consistent with effective internal controls and sound risk management. The board of directors believes this division of responsibilities provides an effective and efficient approach for addressing risk management.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Procedures for Contacting the Company, including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Throughout this proxy statement, we identify reasons stockholders may need or wish to contact the Company. All of those communications should be directed to the title of the person indicated at the address below.</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Stockholders who wish to communicate with the board of directors may do so by writing to the board or a particular director in care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Company. Communications should be addressed to:</w:t>
      </w:r>
    </w:p>
    <w:p>
      <w:pPr>
        <w:spacing w:after="0" w:line="10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333 South Seventh Street, Suite 1000</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Minneapolis, Minnesota 55402</w:t>
      </w:r>
    </w:p>
    <w:p>
      <w:pPr>
        <w:spacing w:after="0" w:line="15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All communications addressed to the board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574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2"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t>Director Independence</w:t>
      </w:r>
    </w:p>
    <w:p>
      <w:pPr>
        <w:spacing w:after="0" w:line="16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As required under the Nasdaq Global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Global Market, as in effect from time to time.</w:t>
      </w:r>
    </w:p>
    <w:p>
      <w:pPr>
        <w:spacing w:after="0" w:line="133"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assessing Ms. Ward’s independence, the board of directors considered that Ms. Ward is the Chief Executive Officer of a company that purchases services in the ordinary course of business from our Company. The board considered that Ms. Ward is not personally involved in the relationship between her employer and our Company, the contract was at terms commensurate with other customers, and contract amount is overall insignificant for each company, including representing less than 1% of our revenue.</w:t>
      </w:r>
    </w:p>
    <w:p>
      <w:pPr>
        <w:spacing w:after="0" w:line="133"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our Company’s directors are independent directors within the meaning of the applicable listing standards of the Nasdaq Global Market, except for Mr. Black, our current President and Chief Executive Officer.</w:t>
      </w:r>
    </w:p>
    <w:p>
      <w:pPr>
        <w:spacing w:after="0" w:line="133"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As required under the Nasdaq Global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Global Market rules and regulations.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Hedging, Pledging and Other Restricted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Our directors, consistent with all of our employees and Section 16 officers, are prohibited from engaging in the following transactions with respect to our securities:</w:t>
      </w:r>
    </w:p>
    <w:p>
      <w:pPr>
        <w:spacing w:after="0" w:line="116" w:lineRule="exact"/>
        <w:rPr>
          <w:sz w:val="20"/>
          <w:szCs w:val="20"/>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Purchasing our securities on margin, or otherwise pledging our securities;</w:t>
      </w:r>
    </w:p>
    <w:p>
      <w:pPr>
        <w:spacing w:after="0" w:line="23"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 sales of our securities (selling securities not owned at the time of sale);</w:t>
      </w:r>
    </w:p>
    <w:p>
      <w:pPr>
        <w:spacing w:after="0" w:line="9"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Buying or selling put or call options or other derivative securities based on our securities;</w:t>
      </w:r>
    </w:p>
    <w:p>
      <w:pPr>
        <w:spacing w:after="0" w:line="9" w:lineRule="exact"/>
        <w:rPr>
          <w:rFonts w:ascii="Arial" w:cs="Arial" w:eastAsia="Arial" w:hAnsi="Arial"/>
          <w:sz w:val="18"/>
          <w:szCs w:val="18"/>
          <w:color w:val="auto"/>
        </w:rPr>
      </w:pPr>
    </w:p>
    <w:p>
      <w:pPr>
        <w:ind w:left="1020" w:right="120" w:hanging="432"/>
        <w:spacing w:after="0" w:line="250"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Purchasing any financial instruments (including prepaid variable forward contracts, equity swaps, zero cost collars and exchange funds) that are designed to hedge or offset any decrease in the market value of our securities; and</w:t>
      </w:r>
    </w:p>
    <w:p>
      <w:pPr>
        <w:ind w:left="1020" w:right="460" w:hanging="432"/>
        <w:spacing w:after="0" w:line="260"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Engaging in limit orders or other pre-arranged transactions that execute automatically, except for “same-day” limit orders and approved 10b5-1 plans.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Procedures for Selecting and Nominating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Stockholders may directly nominate a person for election to our board of directors by complying with the procedures set forth in Article II, Section 2.4(a)(2) of our bylaws, and with the rules and regulations of the SEC.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(February 18, 2022), nor earlier than the 120th day (January 19, 2022),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25"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Your notice also must set forth the following information for you and any beneficial owner on whose behalf you make a nomination: (i) the name and address of the stockholder, as they appear on our books; (ii) the class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ind w:right="40"/>
        <w:spacing w:after="0" w:line="293" w:lineRule="auto"/>
        <w:rPr>
          <w:sz w:val="20"/>
          <w:szCs w:val="20"/>
          <w:color w:val="auto"/>
        </w:rPr>
      </w:pPr>
      <w:r>
        <w:rPr>
          <w:rFonts w:ascii="Arial" w:cs="Arial" w:eastAsia="Arial" w:hAnsi="Arial"/>
          <w:sz w:val="16"/>
          <w:szCs w:val="16"/>
          <w:color w:val="auto"/>
        </w:rPr>
        <w:t>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at the meeting, or by proxy thereto,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10"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&amp;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We are committed to inclusiveness and as such, when searching for director nominees, the Governance</w:t>
      </w:r>
    </w:p>
    <w:p>
      <w:pPr>
        <w:spacing w:after="0" w:line="1" w:lineRule="exact"/>
        <w:rPr>
          <w:sz w:val="20"/>
          <w:szCs w:val="20"/>
          <w:color w:val="auto"/>
        </w:rPr>
      </w:pPr>
    </w:p>
    <w:p>
      <w:pPr>
        <w:jc w:val="both"/>
        <w:ind w:right="40" w:firstLine="8"/>
        <w:spacing w:after="0" w:line="255"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Nominating Committee endeavors to include highly qualified diverse candidates (including gender, race, and ethnicity)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136"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Governance &amp; Nominating Committee will consider director candidates recommended by stockholders in the same manner that it considers all director candidates. Stockholders who wish to suggest qualified candidates should write to the Company at the address listed above, to the attention of our Chief Financial Officer, stating in detail the characteristics that make the candidate a suitable person to serve on our board of directors in light of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161"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of directors. The Compensation &amp; Talent Committee periodically reviews the compensation arrangements for our non-employee directors and makes recommendations to our board of directors. In May 2020, the Compensation &amp; Talent Committee, with the advice of its compensation consultant, conducted a review of our director compensation program. This review analyzed the structure and the overall level and mix of compensation delivered by our director compensation program as compared to our peer group. Following this review, the compensation &amp; talent committee recommended, and the board approved, changes to our director compensation program as described below.</w:t>
      </w:r>
    </w:p>
    <w:p>
      <w:pPr>
        <w:spacing w:after="0" w:line="112"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 xml:space="preserve">For 2020, our director compensation program provided that each non-employee director receives a total grant of $170,000 (consistent with the 2019 program). The compensation is split equally ($85,000) between stock options and at the election of the director, restricted stock and/or deferred stock units. The components are granted on the date of the annual meeting of stockholders, calculated as the grant date fair value of the option computed in accordance with Financial Accounting Standards Board Accounting Standards Codification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Topic 718”). All grants vest in four equal installments on the last day of each fiscal quarter with the first vesting date occurring on June 30, 2020, provided the recipient remains a member of the board as of the vesting date. Stock options have an exercise price equal to the fair market value of our common stock on the date of grant. Deferred stock units must be retained until completion of the director’s service on the board, and upon completion of such service, convert into an equal number of shares of our common stock. A director may defer receipt of the shares for up to ten years after completion of service.</w:t>
      </w:r>
    </w:p>
    <w:p>
      <w:pPr>
        <w:spacing w:after="0" w:line="111" w:lineRule="exact"/>
        <w:rPr>
          <w:sz w:val="20"/>
          <w:szCs w:val="20"/>
          <w:color w:val="auto"/>
        </w:rPr>
      </w:pPr>
    </w:p>
    <w:p>
      <w:pPr>
        <w:ind w:right="40" w:firstLine="589"/>
        <w:spacing w:after="0" w:line="308" w:lineRule="auto"/>
        <w:rPr>
          <w:sz w:val="20"/>
          <w:szCs w:val="20"/>
          <w:color w:val="auto"/>
        </w:rPr>
      </w:pPr>
      <w:r>
        <w:rPr>
          <w:rFonts w:ascii="Arial" w:cs="Arial" w:eastAsia="Arial" w:hAnsi="Arial"/>
          <w:sz w:val="17"/>
          <w:szCs w:val="17"/>
          <w:color w:val="auto"/>
        </w:rPr>
        <w:t>Additionally, each new non-employee director also receives an initial stock option grant to purchase up to $170,000 of shares of our common stock in connection with initial appointment to the board, to be granted following the release of earnings for the quarter in which appointment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0574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0"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ind w:right="420" w:firstLine="589"/>
        <w:spacing w:after="0" w:line="258" w:lineRule="auto"/>
        <w:rPr>
          <w:sz w:val="20"/>
          <w:szCs w:val="20"/>
          <w:color w:val="auto"/>
        </w:rPr>
      </w:pPr>
      <w:r>
        <w:rPr>
          <w:rFonts w:ascii="Arial" w:cs="Arial" w:eastAsia="Arial" w:hAnsi="Arial"/>
          <w:sz w:val="18"/>
          <w:szCs w:val="18"/>
          <w:color w:val="auto"/>
        </w:rPr>
        <w:t>Non-employee directors receive cash fees in addition to the equity awards described above. In 2020, each non-employee director was paid the following cash retainers for roles served:</w:t>
      </w:r>
    </w:p>
    <w:tbl>
      <w:tblPr>
        <w:tblLayout w:type="fixed"/>
        <w:tblInd w:w="1140" w:type="dxa"/>
        <w:tblCellMar>
          <w:top w:w="0" w:type="dxa"/>
          <w:left w:w="0" w:type="dxa"/>
          <w:bottom w:w="0" w:type="dxa"/>
          <w:right w:w="0" w:type="dxa"/>
        </w:tblCellMar>
      </w:tblPr>
      <w:tr>
        <w:trPr>
          <w:trHeight w:val="141"/>
        </w:trPr>
        <w:tc>
          <w:tcPr>
            <w:tcW w:w="436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Membership</w:t>
            </w:r>
          </w:p>
        </w:tc>
        <w:tc>
          <w:tcPr>
            <w:tcW w:w="2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Chairperson Annual Cash Fee</w:t>
            </w:r>
            <w:r>
              <w:rPr>
                <w:rFonts w:ascii="Arial" w:cs="Arial" w:eastAsia="Arial" w:hAnsi="Arial"/>
                <w:sz w:val="12"/>
                <w:szCs w:val="12"/>
                <w:b w:val="1"/>
                <w:bCs w:val="1"/>
                <w:color w:val="auto"/>
              </w:rPr>
              <w:t>(1)</w:t>
            </w:r>
          </w:p>
        </w:tc>
        <w:tc>
          <w:tcPr>
            <w:tcW w:w="2080" w:type="dxa"/>
            <w:vAlign w:val="bottom"/>
            <w:gridSpan w:val="3"/>
          </w:tcPr>
          <w:p>
            <w:pPr>
              <w:ind w:left="120"/>
              <w:spacing w:after="0" w:line="141" w:lineRule="exact"/>
              <w:rPr>
                <w:sz w:val="20"/>
                <w:szCs w:val="20"/>
                <w:color w:val="auto"/>
              </w:rPr>
            </w:pPr>
            <w:r>
              <w:rPr>
                <w:rFonts w:ascii="Arial" w:cs="Arial" w:eastAsia="Arial" w:hAnsi="Arial"/>
                <w:sz w:val="14"/>
                <w:szCs w:val="14"/>
                <w:b w:val="1"/>
                <w:bCs w:val="1"/>
                <w:color w:val="auto"/>
              </w:rPr>
              <w:t>Non-Chair Member Annual</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 Fee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Board of Directors</w:t>
            </w:r>
          </w:p>
        </w:tc>
        <w:tc>
          <w:tcPr>
            <w:tcW w:w="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73"/>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61,000</w:t>
            </w:r>
          </w:p>
        </w:tc>
        <w:tc>
          <w:tcPr>
            <w:tcW w:w="3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Audit Committee</w:t>
            </w:r>
          </w:p>
        </w:tc>
        <w:tc>
          <w:tcPr>
            <w:tcW w:w="1000" w:type="dxa"/>
            <w:vAlign w:val="bottom"/>
          </w:tcPr>
          <w:p>
            <w:pPr>
              <w:jc w:val="right"/>
              <w:ind w:right="57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Compensation &amp; Talent Committee</w:t>
            </w:r>
          </w:p>
        </w:tc>
        <w:tc>
          <w:tcPr>
            <w:tcW w:w="1000" w:type="dxa"/>
            <w:vAlign w:val="bottom"/>
            <w:shd w:val="clear" w:color="auto" w:fill="CFF0FC"/>
          </w:tcPr>
          <w:p>
            <w:pPr>
              <w:jc w:val="right"/>
              <w:ind w:right="57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Governance &amp; Nominating Committee</w:t>
            </w:r>
          </w:p>
        </w:tc>
        <w:tc>
          <w:tcPr>
            <w:tcW w:w="1000" w:type="dxa"/>
            <w:vAlign w:val="bottom"/>
          </w:tcPr>
          <w:p>
            <w:pPr>
              <w:jc w:val="right"/>
              <w:ind w:right="57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7,500</w:t>
            </w:r>
          </w:p>
        </w:tc>
        <w:tc>
          <w:tcPr>
            <w:tcW w:w="36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&amp; Strategy Committee</w:t>
            </w:r>
          </w:p>
        </w:tc>
        <w:tc>
          <w:tcPr>
            <w:tcW w:w="1000" w:type="dxa"/>
            <w:vAlign w:val="bottom"/>
            <w:shd w:val="clear" w:color="auto" w:fill="CFF0FC"/>
          </w:tcPr>
          <w:p>
            <w:pPr>
              <w:jc w:val="right"/>
              <w:ind w:right="57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740" w:hanging="436"/>
        <w:spacing w:after="0"/>
        <w:tabs>
          <w:tab w:leader="none" w:pos="1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Directors receive pro-rata cash compensation for partial year membership(s)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also reimbursed our non-employee directors for out-of-pocket expenses incurred in connection with attending our board and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meetings.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sets forth the compensation provided to our non-employee directors during 2020.</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00AAE5"/>
        </w:rPr>
        <w:t>2020 Director Compensation Table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Earned or Paid in Cash</w:t>
            </w: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rPr>
              <w:t>Stock Awards</w:t>
            </w:r>
          </w:p>
        </w:tc>
        <w:tc>
          <w:tcPr>
            <w:tcW w:w="2220" w:type="dxa"/>
            <w:vAlign w:val="bottom"/>
            <w:gridSpan w:val="2"/>
          </w:tcPr>
          <w:p>
            <w:pPr>
              <w:ind w:left="420"/>
              <w:spacing w:after="0"/>
              <w:rPr>
                <w:sz w:val="20"/>
                <w:szCs w:val="20"/>
                <w:color w:val="auto"/>
              </w:rPr>
            </w:pPr>
            <w:r>
              <w:rPr>
                <w:rFonts w:ascii="Arial" w:cs="Arial" w:eastAsia="Arial" w:hAnsi="Arial"/>
                <w:sz w:val="14"/>
                <w:szCs w:val="14"/>
                <w:b w:val="1"/>
                <w:bCs w:val="1"/>
                <w:color w:val="auto"/>
              </w:rPr>
              <w:t>Option Awards</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r>
      <w:tr>
        <w:trPr>
          <w:trHeight w:val="243"/>
        </w:trPr>
        <w:tc>
          <w:tcPr>
            <w:tcW w:w="3240" w:type="dxa"/>
            <w:vAlign w:val="bottom"/>
            <w:gridSpan w:val="2"/>
          </w:tcPr>
          <w:p>
            <w:pPr>
              <w:ind w:left="120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900" w:type="dxa"/>
            <w:vAlign w:val="bottom"/>
          </w:tcPr>
          <w:p>
            <w:pPr>
              <w:jc w:val="right"/>
              <w:ind w:right="79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1"/>
                <w:szCs w:val="21"/>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color w:val="auto"/>
              </w:rPr>
              <w:t>(2)</w:t>
            </w:r>
          </w:p>
        </w:tc>
        <w:tc>
          <w:tcPr>
            <w:tcW w:w="440" w:type="dxa"/>
            <w:vAlign w:val="bottom"/>
          </w:tcPr>
          <w:p>
            <w:pPr>
              <w:spacing w:after="0"/>
              <w:rPr>
                <w:sz w:val="21"/>
                <w:szCs w:val="21"/>
                <w:color w:val="auto"/>
              </w:rPr>
            </w:pPr>
          </w:p>
        </w:tc>
        <w:tc>
          <w:tcPr>
            <w:tcW w:w="178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color w:val="auto"/>
              </w:rPr>
              <w:t>(2)</w:t>
            </w:r>
          </w:p>
        </w:tc>
        <w:tc>
          <w:tcPr>
            <w:tcW w:w="440" w:type="dxa"/>
            <w:vAlign w:val="bottom"/>
          </w:tcPr>
          <w:p>
            <w:pPr>
              <w:spacing w:after="0"/>
              <w:rPr>
                <w:sz w:val="21"/>
                <w:szCs w:val="21"/>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r>
      <w:tr>
        <w:trPr>
          <w:trHeight w:val="26"/>
        </w:trPr>
        <w:tc>
          <w:tcPr>
            <w:tcW w:w="2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Martin Leestma</w:t>
            </w:r>
          </w:p>
        </w:tc>
        <w:tc>
          <w:tcPr>
            <w:tcW w:w="3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49,000</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84,960</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84,997</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218,957</w:t>
            </w:r>
          </w:p>
        </w:tc>
        <w:tc>
          <w:tcPr>
            <w:tcW w:w="120" w:type="dxa"/>
            <w:vAlign w:val="bottom"/>
          </w:tcPr>
          <w:p>
            <w:pPr>
              <w:spacing w:after="0"/>
              <w:rPr>
                <w:sz w:val="19"/>
                <w:szCs w:val="19"/>
                <w:color w:val="auto"/>
              </w:rPr>
            </w:pPr>
          </w:p>
        </w:tc>
      </w:tr>
      <w:tr>
        <w:trPr>
          <w:trHeight w:val="229"/>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Ramsey</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43,500</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84,960</w:t>
            </w:r>
          </w:p>
        </w:tc>
        <w:tc>
          <w:tcPr>
            <w:tcW w:w="4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84,997</w:t>
            </w:r>
          </w:p>
        </w:tc>
        <w:tc>
          <w:tcPr>
            <w:tcW w:w="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213,457</w:t>
            </w:r>
          </w:p>
        </w:tc>
        <w:tc>
          <w:tcPr>
            <w:tcW w:w="120" w:type="dxa"/>
            <w:vAlign w:val="bottom"/>
            <w:shd w:val="clear" w:color="auto" w:fill="CFF0FC"/>
          </w:tcPr>
          <w:p>
            <w:pPr>
              <w:spacing w:after="0"/>
              <w:rPr>
                <w:sz w:val="19"/>
                <w:szCs w:val="19"/>
                <w:color w:val="auto"/>
              </w:rPr>
            </w:pPr>
          </w:p>
        </w:tc>
      </w:tr>
      <w:tr>
        <w:trPr>
          <w:trHeight w:val="229"/>
        </w:trPr>
        <w:tc>
          <w:tcPr>
            <w:tcW w:w="3240" w:type="dxa"/>
            <w:vAlign w:val="bottom"/>
            <w:gridSpan w:val="2"/>
          </w:tcPr>
          <w:p>
            <w:pPr>
              <w:spacing w:after="0"/>
              <w:rPr>
                <w:sz w:val="20"/>
                <w:szCs w:val="20"/>
                <w:color w:val="auto"/>
              </w:rPr>
            </w:pPr>
            <w:r>
              <w:rPr>
                <w:rFonts w:ascii="Arial" w:cs="Arial" w:eastAsia="Arial" w:hAnsi="Arial"/>
                <w:sz w:val="18"/>
                <w:szCs w:val="18"/>
                <w:color w:val="auto"/>
              </w:rPr>
              <w:t>Marty Reaume</w:t>
            </w:r>
          </w:p>
        </w:tc>
        <w:tc>
          <w:tcPr>
            <w:tcW w:w="1900" w:type="dxa"/>
            <w:vAlign w:val="bottom"/>
          </w:tcPr>
          <w:p>
            <w:pPr>
              <w:jc w:val="right"/>
              <w:spacing w:after="0"/>
              <w:rPr>
                <w:sz w:val="20"/>
                <w:szCs w:val="20"/>
                <w:color w:val="auto"/>
              </w:rPr>
            </w:pPr>
            <w:r>
              <w:rPr>
                <w:rFonts w:ascii="Arial" w:cs="Arial" w:eastAsia="Arial" w:hAnsi="Arial"/>
                <w:sz w:val="18"/>
                <w:szCs w:val="18"/>
                <w:color w:val="auto"/>
              </w:rPr>
              <w:t>42,962</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84,960</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84,997</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212,919</w:t>
            </w:r>
          </w:p>
        </w:tc>
        <w:tc>
          <w:tcPr>
            <w:tcW w:w="120" w:type="dxa"/>
            <w:vAlign w:val="bottom"/>
          </w:tcPr>
          <w:p>
            <w:pPr>
              <w:spacing w:after="0"/>
              <w:rPr>
                <w:sz w:val="19"/>
                <w:szCs w:val="19"/>
                <w:color w:val="auto"/>
              </w:rPr>
            </w:pP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Tami Reller</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66,000</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84,960</w:t>
            </w:r>
          </w:p>
        </w:tc>
        <w:tc>
          <w:tcPr>
            <w:tcW w:w="4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84,997</w:t>
            </w:r>
          </w:p>
        </w:tc>
        <w:tc>
          <w:tcPr>
            <w:tcW w:w="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235,957</w:t>
            </w:r>
          </w:p>
        </w:tc>
        <w:tc>
          <w:tcPr>
            <w:tcW w:w="120" w:type="dxa"/>
            <w:vAlign w:val="bottom"/>
            <w:shd w:val="clear" w:color="auto" w:fill="CFF0FC"/>
          </w:tcPr>
          <w:p>
            <w:pPr>
              <w:spacing w:after="0"/>
              <w:rPr>
                <w:sz w:val="19"/>
                <w:szCs w:val="19"/>
                <w:color w:val="auto"/>
              </w:rPr>
            </w:pPr>
          </w:p>
        </w:tc>
      </w:tr>
      <w:tr>
        <w:trPr>
          <w:trHeight w:val="229"/>
        </w:trPr>
        <w:tc>
          <w:tcPr>
            <w:tcW w:w="3240" w:type="dxa"/>
            <w:vAlign w:val="bottom"/>
            <w:gridSpan w:val="2"/>
          </w:tcPr>
          <w:p>
            <w:pPr>
              <w:spacing w:after="0"/>
              <w:rPr>
                <w:sz w:val="20"/>
                <w:szCs w:val="20"/>
                <w:color w:val="auto"/>
              </w:rPr>
            </w:pPr>
            <w:r>
              <w:rPr>
                <w:rFonts w:ascii="Arial" w:cs="Arial" w:eastAsia="Arial" w:hAnsi="Arial"/>
                <w:sz w:val="18"/>
                <w:szCs w:val="18"/>
                <w:color w:val="auto"/>
              </w:rPr>
              <w:t>Philip Soran</w:t>
            </w:r>
          </w:p>
        </w:tc>
        <w:tc>
          <w:tcPr>
            <w:tcW w:w="1900" w:type="dxa"/>
            <w:vAlign w:val="bottom"/>
          </w:tcPr>
          <w:p>
            <w:pPr>
              <w:jc w:val="right"/>
              <w:spacing w:after="0"/>
              <w:rPr>
                <w:sz w:val="20"/>
                <w:szCs w:val="20"/>
                <w:color w:val="auto"/>
              </w:rPr>
            </w:pPr>
            <w:r>
              <w:rPr>
                <w:rFonts w:ascii="Arial" w:cs="Arial" w:eastAsia="Arial" w:hAnsi="Arial"/>
                <w:sz w:val="18"/>
                <w:szCs w:val="18"/>
                <w:color w:val="auto"/>
              </w:rPr>
              <w:t>53,038</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84,960</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84,997</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222,995</w:t>
            </w:r>
          </w:p>
        </w:tc>
        <w:tc>
          <w:tcPr>
            <w:tcW w:w="120" w:type="dxa"/>
            <w:vAlign w:val="bottom"/>
          </w:tcPr>
          <w:p>
            <w:pPr>
              <w:spacing w:after="0"/>
              <w:rPr>
                <w:sz w:val="19"/>
                <w:szCs w:val="19"/>
                <w:color w:val="auto"/>
              </w:rPr>
            </w:pP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Anne Sempowski Ward</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w:t>
            </w:r>
          </w:p>
        </w:tc>
        <w:tc>
          <w:tcPr>
            <w:tcW w:w="120" w:type="dxa"/>
            <w:vAlign w:val="bottom"/>
            <w:shd w:val="clear" w:color="auto" w:fill="CFF0FC"/>
          </w:tcPr>
          <w:p>
            <w:pPr>
              <w:spacing w:after="0"/>
              <w:rPr>
                <w:sz w:val="19"/>
                <w:szCs w:val="19"/>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Sven Wehrwein</w:t>
            </w:r>
          </w:p>
        </w:tc>
        <w:tc>
          <w:tcPr>
            <w:tcW w:w="1900" w:type="dxa"/>
            <w:vAlign w:val="bottom"/>
          </w:tcPr>
          <w:p>
            <w:pPr>
              <w:jc w:val="right"/>
              <w:spacing w:after="0"/>
              <w:rPr>
                <w:sz w:val="20"/>
                <w:szCs w:val="20"/>
                <w:color w:val="auto"/>
              </w:rPr>
            </w:pPr>
            <w:r>
              <w:rPr>
                <w:rFonts w:ascii="Arial" w:cs="Arial" w:eastAsia="Arial" w:hAnsi="Arial"/>
                <w:sz w:val="18"/>
                <w:szCs w:val="18"/>
                <w:color w:val="auto"/>
              </w:rPr>
              <w:t>55,000</w:t>
            </w: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84,960</w:t>
            </w:r>
          </w:p>
        </w:tc>
        <w:tc>
          <w:tcPr>
            <w:tcW w:w="4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84,997</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224,957</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1300" w:right="440" w:hanging="442"/>
        <w:spacing w:after="0" w:line="258"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Black did not receive any separate compensation for his service as a director. His compensation for serving as our President and Chief Executive Officer is set forth under the “2020 Summary Compensation Table.”</w:t>
      </w:r>
    </w:p>
    <w:p>
      <w:pPr>
        <w:spacing w:after="0" w:line="1" w:lineRule="exact"/>
        <w:rPr>
          <w:rFonts w:ascii="Arial" w:cs="Arial" w:eastAsia="Arial" w:hAnsi="Arial"/>
          <w:sz w:val="18"/>
          <w:szCs w:val="18"/>
          <w:color w:val="auto"/>
        </w:rPr>
      </w:pPr>
    </w:p>
    <w:p>
      <w:pPr>
        <w:ind w:left="1300" w:hanging="442"/>
        <w:spacing w:after="0" w:line="25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grant date fair value of the stock and option awards granted during the year computed in accordance with ASC Topic 718. For a discussion of the relevant assumptions used to determine the valuation of our option awards for financial reporting purposes, refer to Note L to the Notes to Consolidated Financial Statements included in our Annual Report on Form 10-K filed with the SEC on February 23, 2021.</w:t>
      </w:r>
    </w:p>
    <w:p>
      <w:pPr>
        <w:spacing w:after="0" w:line="139"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Under our stock ownership guidelines, we require our non-employee directors to own shares of our common stock (excluding unvested equity awards but including vested in-the-money options and vested restricted stock units) having a fair market value equal to five times the directors’ annual base cash retainer ($155,000 for 2020). Non-employee directors must comply with the stock ownership guidelines within five years of their appointment to the board of directors. Until a non-employee director has achieved compliance with the ownership guidelines, the director must retain 50% of the net shares acquired upon exercise, vesting or settlement of any equity award. As of March 24, 2021, all of our non-employee directors had met the stock ownership requirement or had served as a director for less than five years since the ownership guidelines took effect.</w:t>
      </w:r>
    </w:p>
    <w:p>
      <w:pPr>
        <w:spacing w:after="0" w:line="124"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As of December 31, 2020, the directors held shares of unvested restricted stock, options to purchase shares of our common stock, and vested options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3"/>
          </w:tcPr>
          <w:p>
            <w:pPr>
              <w:ind w:left="3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3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Unvested Restricted Stock</w:t>
            </w:r>
          </w:p>
        </w:tc>
        <w:tc>
          <w:tcPr>
            <w:tcW w:w="202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Total Outstanding</w:t>
            </w:r>
          </w:p>
        </w:tc>
        <w:tc>
          <w:tcPr>
            <w:tcW w:w="3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Number of Outstanding Options that Were</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33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57"/>
        </w:trPr>
        <w:tc>
          <w:tcPr>
            <w:tcW w:w="3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3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900" w:type="dxa"/>
            <w:vAlign w:val="bottom"/>
            <w:gridSpan w:val="2"/>
          </w:tcPr>
          <w:p>
            <w:pPr>
              <w:ind w:left="1660"/>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jc w:val="right"/>
              <w:ind w:right="65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680" w:type="dxa"/>
            <w:vAlign w:val="bottom"/>
          </w:tcPr>
          <w:p>
            <w:pPr>
              <w:jc w:val="right"/>
              <w:ind w:right="67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Leestma</w:t>
            </w:r>
          </w:p>
        </w:tc>
        <w:tc>
          <w:tcPr>
            <w:tcW w:w="24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29,682</w:t>
            </w:r>
          </w:p>
        </w:tc>
        <w:tc>
          <w:tcPr>
            <w:tcW w:w="340" w:type="dxa"/>
            <w:vAlign w:val="bottom"/>
          </w:tcPr>
          <w:p>
            <w:pPr>
              <w:spacing w:after="0"/>
              <w:rPr>
                <w:sz w:val="19"/>
                <w:szCs w:val="19"/>
                <w:color w:val="auto"/>
              </w:rPr>
            </w:pPr>
          </w:p>
        </w:tc>
        <w:tc>
          <w:tcPr>
            <w:tcW w:w="3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Ramsey</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51,610</w:t>
            </w:r>
          </w:p>
        </w:tc>
        <w:tc>
          <w:tcPr>
            <w:tcW w:w="340" w:type="dxa"/>
            <w:vAlign w:val="bottom"/>
            <w:shd w:val="clear" w:color="auto" w:fill="CFF0FC"/>
          </w:tcPr>
          <w:p>
            <w:pPr>
              <w:spacing w:after="0"/>
              <w:rPr>
                <w:sz w:val="19"/>
                <w:szCs w:val="19"/>
                <w:color w:val="auto"/>
              </w:rPr>
            </w:pPr>
          </w:p>
        </w:tc>
        <w:tc>
          <w:tcPr>
            <w:tcW w:w="3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Marty Reaume</w:t>
            </w:r>
          </w:p>
        </w:tc>
        <w:tc>
          <w:tcPr>
            <w:tcW w:w="1660" w:type="dxa"/>
            <w:vAlign w:val="bottom"/>
          </w:tcPr>
          <w:p>
            <w:pPr>
              <w:jc w:val="right"/>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26,660</w:t>
            </w:r>
          </w:p>
        </w:tc>
        <w:tc>
          <w:tcPr>
            <w:tcW w:w="3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24,160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Tami Reller</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42,824</w:t>
            </w:r>
          </w:p>
        </w:tc>
        <w:tc>
          <w:tcPr>
            <w:tcW w:w="340" w:type="dxa"/>
            <w:vAlign w:val="bottom"/>
            <w:shd w:val="clear" w:color="auto" w:fill="CFF0FC"/>
          </w:tcPr>
          <w:p>
            <w:pPr>
              <w:spacing w:after="0"/>
              <w:rPr>
                <w:sz w:val="19"/>
                <w:szCs w:val="19"/>
                <w:color w:val="auto"/>
              </w:rPr>
            </w:pPr>
          </w:p>
        </w:tc>
        <w:tc>
          <w:tcPr>
            <w:tcW w:w="3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Philip Soran</w:t>
            </w:r>
          </w:p>
        </w:tc>
        <w:tc>
          <w:tcPr>
            <w:tcW w:w="1660" w:type="dxa"/>
            <w:vAlign w:val="bottom"/>
          </w:tcPr>
          <w:p>
            <w:pPr>
              <w:jc w:val="right"/>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34,188</w:t>
            </w:r>
          </w:p>
        </w:tc>
        <w:tc>
          <w:tcPr>
            <w:tcW w:w="3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33,054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Anne Sempowski Ward</w:t>
            </w:r>
          </w:p>
        </w:tc>
        <w:tc>
          <w:tcPr>
            <w:tcW w:w="2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Sven Wehrwein</w:t>
            </w:r>
          </w:p>
        </w:tc>
        <w:tc>
          <w:tcPr>
            <w:tcW w:w="1660" w:type="dxa"/>
            <w:vAlign w:val="bottom"/>
          </w:tcPr>
          <w:p>
            <w:pPr>
              <w:jc w:val="right"/>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23,682</w:t>
            </w:r>
          </w:p>
        </w:tc>
        <w:tc>
          <w:tcPr>
            <w:tcW w:w="340" w:type="dxa"/>
            <w:vAlign w:val="bottom"/>
          </w:tcPr>
          <w:p>
            <w:pPr>
              <w:spacing w:after="0"/>
              <w:rPr>
                <w:sz w:val="20"/>
                <w:szCs w:val="20"/>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22,548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3900" w:type="dxa"/>
            <w:vAlign w:val="bottom"/>
            <w:gridSpan w:val="2"/>
          </w:tcPr>
          <w:p>
            <w:pPr>
              <w:ind w:left="480"/>
              <w:spacing w:after="0"/>
              <w:rPr>
                <w:sz w:val="20"/>
                <w:szCs w:val="20"/>
                <w:color w:val="auto"/>
              </w:rPr>
            </w:pPr>
            <w:r>
              <w:rPr>
                <w:rFonts w:ascii="Arial" w:cs="Arial" w:eastAsia="Arial" w:hAnsi="Arial"/>
                <w:sz w:val="14"/>
                <w:szCs w:val="14"/>
                <w:b w:val="1"/>
                <w:bCs w:val="1"/>
                <w:color w:val="auto"/>
              </w:rPr>
              <w:t>SPS COMMERCE, INC.</w:t>
            </w:r>
          </w:p>
        </w:tc>
        <w:tc>
          <w:tcPr>
            <w:tcW w:w="2020" w:type="dxa"/>
            <w:vAlign w:val="bottom"/>
            <w:gridSpan w:val="2"/>
          </w:tcPr>
          <w:p>
            <w:pPr>
              <w:jc w:val="right"/>
              <w:ind w:right="320"/>
              <w:spacing w:after="0"/>
              <w:rPr>
                <w:sz w:val="20"/>
                <w:szCs w:val="20"/>
                <w:color w:val="auto"/>
              </w:rPr>
            </w:pPr>
            <w:r>
              <w:rPr>
                <w:rFonts w:ascii="Arial" w:cs="Arial" w:eastAsia="Arial" w:hAnsi="Arial"/>
                <w:sz w:val="14"/>
                <w:szCs w:val="14"/>
                <w:color w:val="auto"/>
              </w:rPr>
              <w:t>19</w:t>
            </w: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3"/>
          </w:tcPr>
          <w:p>
            <w:pPr>
              <w:ind w:left="300"/>
              <w:spacing w:after="0"/>
              <w:rPr>
                <w:sz w:val="20"/>
                <w:szCs w:val="20"/>
                <w:color w:val="auto"/>
              </w:rPr>
            </w:pPr>
            <w:r>
              <w:rPr>
                <w:rFonts w:ascii="Arial" w:cs="Arial" w:eastAsia="Arial" w:hAnsi="Arial"/>
                <w:sz w:val="13"/>
                <w:szCs w:val="13"/>
                <w:b w:val="1"/>
                <w:bCs w:val="1"/>
                <w:color w:val="auto"/>
                <w:w w:val="87"/>
              </w:rPr>
              <w:t>Proxy Statement for the Year Ended December 31, 2020</w:t>
            </w:r>
          </w:p>
        </w:tc>
        <w:tc>
          <w:tcPr>
            <w:tcW w:w="0" w:type="dxa"/>
            <w:vAlign w:val="bottom"/>
          </w:tcPr>
          <w:p>
            <w:pPr>
              <w:spacing w:after="0"/>
              <w:rPr>
                <w:sz w:val="1"/>
                <w:szCs w:val="1"/>
                <w:color w:val="auto"/>
              </w:rPr>
            </w:pPr>
          </w:p>
        </w:tc>
      </w:tr>
      <w:tr>
        <w:trPr>
          <w:trHeight w:val="600"/>
        </w:trPr>
        <w:tc>
          <w:tcPr>
            <w:tcW w:w="3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20574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657" w:right="319" w:bottom="1440" w:gutter="0" w:footer="0" w:header="0"/>
        </w:sectPr>
      </w:pPr>
    </w:p>
    <w:bookmarkStart w:id="23" w:name="page24"/>
    <w:bookmarkEnd w:id="23"/>
    <w:p>
      <w:pPr>
        <w:ind w:left="3100"/>
        <w:spacing w:after="0"/>
        <w:rPr>
          <w:sz w:val="20"/>
          <w:szCs w:val="20"/>
          <w:color w:val="auto"/>
        </w:rPr>
      </w:pPr>
      <w:r>
        <w:rPr>
          <w:rFonts w:ascii="Arial" w:cs="Arial" w:eastAsia="Arial" w:hAnsi="Arial"/>
          <w:sz w:val="36"/>
          <w:szCs w:val="36"/>
          <w:b w:val="1"/>
          <w:bCs w:val="1"/>
          <w:color w:val="00AAE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Named Executive Officers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named executive officers for 2020 were the following (unchanged from 2019):</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5960" w:type="dxa"/>
            <w:vAlign w:val="bottom"/>
          </w:tcPr>
          <w:p>
            <w:pPr>
              <w:jc w:val="center"/>
              <w:spacing w:after="0"/>
              <w:rPr>
                <w:sz w:val="20"/>
                <w:szCs w:val="20"/>
                <w:color w:val="auto"/>
              </w:rPr>
            </w:pPr>
            <w:r>
              <w:rPr>
                <w:rFonts w:ascii="Arial" w:cs="Arial" w:eastAsia="Arial" w:hAnsi="Arial"/>
                <w:sz w:val="14"/>
                <w:szCs w:val="14"/>
                <w:b w:val="1"/>
                <w:bCs w:val="1"/>
                <w:color w:val="auto"/>
                <w:w w:val="92"/>
              </w:rPr>
              <w:t>Role</w:t>
            </w:r>
          </w:p>
        </w:tc>
      </w:tr>
      <w:tr>
        <w:trPr>
          <w:trHeight w:val="223"/>
        </w:trPr>
        <w:tc>
          <w:tcPr>
            <w:tcW w:w="20" w:type="dxa"/>
            <w:vAlign w:val="bottom"/>
          </w:tcPr>
          <w:p>
            <w:pPr>
              <w:spacing w:after="0"/>
              <w:rPr>
                <w:sz w:val="19"/>
                <w:szCs w:val="19"/>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Archie Black</w:t>
            </w:r>
          </w:p>
        </w:tc>
        <w:tc>
          <w:tcPr>
            <w:tcW w:w="420" w:type="dxa"/>
            <w:vAlign w:val="bottom"/>
          </w:tcPr>
          <w:p>
            <w:pPr>
              <w:spacing w:after="0"/>
              <w:rPr>
                <w:sz w:val="19"/>
                <w:szCs w:val="19"/>
                <w:color w:val="auto"/>
              </w:rPr>
            </w:pPr>
          </w:p>
        </w:tc>
        <w:tc>
          <w:tcPr>
            <w:tcW w:w="5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29"/>
        </w:trPr>
        <w:tc>
          <w:tcPr>
            <w:tcW w:w="20" w:type="dxa"/>
            <w:vAlign w:val="bottom"/>
          </w:tcPr>
          <w:p>
            <w:pPr>
              <w:spacing w:after="0"/>
              <w:rPr>
                <w:sz w:val="19"/>
                <w:szCs w:val="19"/>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Kimberly Nelson</w:t>
            </w:r>
          </w:p>
        </w:tc>
        <w:tc>
          <w:tcPr>
            <w:tcW w:w="5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James Frome</w:t>
            </w:r>
          </w:p>
        </w:tc>
        <w:tc>
          <w:tcPr>
            <w:tcW w:w="596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Operating Officer</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Executive Summary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2020, the Compensation &amp; Talent Committee took the following actions with respect to the compensation of our named executive officers:</w:t>
      </w:r>
    </w:p>
    <w:p>
      <w:pPr>
        <w:spacing w:after="0" w:line="129" w:lineRule="exact"/>
        <w:rPr>
          <w:sz w:val="20"/>
          <w:szCs w:val="20"/>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base salary by an average of 6% in comparison to 2019;</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formula-based target incentive plan bonus opportunity by an average of 21% in comparison to 2019;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approved equity award packages comprised of the following components:</w:t>
      </w:r>
    </w:p>
    <w:p>
      <w:pPr>
        <w:spacing w:after="0" w:line="117" w:lineRule="exact"/>
        <w:rPr>
          <w:sz w:val="20"/>
          <w:szCs w:val="20"/>
          <w:color w:val="auto"/>
        </w:rPr>
      </w:pPr>
    </w:p>
    <w:p>
      <w:pPr>
        <w:ind w:left="2160" w:right="40" w:hanging="438"/>
        <w:spacing w:after="0" w:line="234" w:lineRule="auto"/>
        <w:tabs>
          <w:tab w:leader="none" w:pos="2160" w:val="left"/>
        </w:tabs>
        <w:numPr>
          <w:ilvl w:val="0"/>
          <w:numId w:val="44"/>
        </w:numPr>
        <w:rPr>
          <w:rFonts w:ascii="Courier New" w:cs="Courier New" w:eastAsia="Courier New" w:hAnsi="Courier New"/>
          <w:sz w:val="22"/>
          <w:szCs w:val="22"/>
          <w:color w:val="auto"/>
        </w:rPr>
      </w:pPr>
      <w:r>
        <w:rPr>
          <w:rFonts w:ascii="Arial" w:cs="Arial" w:eastAsia="Arial" w:hAnsi="Arial"/>
          <w:sz w:val="18"/>
          <w:szCs w:val="18"/>
          <w:color w:val="auto"/>
        </w:rPr>
        <w:t>performance stock unit awards (“PSUs”) that are earned and vest over a three-year period based on a comparison of our stock performance relative to that of the Russell 2000; and</w:t>
      </w:r>
    </w:p>
    <w:p>
      <w:pPr>
        <w:spacing w:after="0" w:line="76" w:lineRule="exact"/>
        <w:rPr>
          <w:rFonts w:ascii="Courier New" w:cs="Courier New" w:eastAsia="Courier New" w:hAnsi="Courier New"/>
          <w:sz w:val="22"/>
          <w:szCs w:val="22"/>
          <w:color w:val="auto"/>
        </w:rPr>
      </w:pPr>
    </w:p>
    <w:p>
      <w:pPr>
        <w:ind w:left="2160" w:hanging="438"/>
        <w:spacing w:after="0"/>
        <w:tabs>
          <w:tab w:leader="none" w:pos="2160" w:val="left"/>
        </w:tabs>
        <w:numPr>
          <w:ilvl w:val="0"/>
          <w:numId w:val="44"/>
        </w:numPr>
        <w:rPr>
          <w:rFonts w:ascii="Courier New" w:cs="Courier New" w:eastAsia="Courier New" w:hAnsi="Courier New"/>
          <w:sz w:val="22"/>
          <w:szCs w:val="22"/>
          <w:color w:val="auto"/>
        </w:rPr>
      </w:pPr>
      <w:r>
        <w:rPr>
          <w:rFonts w:ascii="Arial" w:cs="Arial" w:eastAsia="Arial" w:hAnsi="Arial"/>
          <w:sz w:val="18"/>
          <w:szCs w:val="18"/>
          <w:color w:val="auto"/>
        </w:rPr>
        <w:t>restricted stock unit (“RSUs”) that generally vest over a four-year period</w:t>
      </w:r>
    </w:p>
    <w:p>
      <w:pPr>
        <w:spacing w:after="0" w:line="175"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See the chart below for the proportion of fixed and at-risk components of named executive officer compensation during 2020, including a further breakout of what components made up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133985</wp:posOffset>
            </wp:positionV>
            <wp:extent cx="3917315" cy="2468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17315" cy="2468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3023235</wp:posOffset>
            </wp:positionV>
            <wp:extent cx="20574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00AAE5"/>
        </w:rPr>
        <w:t>Compensation Objectives and Process</w:t>
      </w:r>
    </w:p>
    <w:p>
      <w:pPr>
        <w:spacing w:after="0" w:line="171"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Historically and in 2020, our Compensation &amp; Talent Committee (referred to in this Compensation Discussion and Analysis section as the “Committee”) has determined all elements of compensation for our named executive officers. Generally, prior to making its compensation determinations, our Chief Executive Officer provides his review of our other named executive officers to the Committee. Our Committee engages Compensia, Inc., a national independent compensation consultant, to help evaluate our compensation philosophy and provide guidance in administering our compensation program. Our Committee has determined that Compensia is independent and the services provided by Compensia do not raise any conflict of interests.</w:t>
      </w:r>
    </w:p>
    <w:p>
      <w:pPr>
        <w:spacing w:after="0" w:line="107" w:lineRule="exact"/>
        <w:rPr>
          <w:sz w:val="20"/>
          <w:szCs w:val="20"/>
          <w:color w:val="auto"/>
        </w:rPr>
      </w:pPr>
    </w:p>
    <w:p>
      <w:pPr>
        <w:ind w:right="280" w:firstLine="589"/>
        <w:spacing w:after="0" w:line="311" w:lineRule="auto"/>
        <w:rPr>
          <w:sz w:val="20"/>
          <w:szCs w:val="20"/>
          <w:color w:val="auto"/>
        </w:rPr>
      </w:pPr>
      <w:r>
        <w:rPr>
          <w:rFonts w:ascii="Arial" w:cs="Arial" w:eastAsia="Arial" w:hAnsi="Arial"/>
          <w:sz w:val="16"/>
          <w:szCs w:val="16"/>
          <w:color w:val="auto"/>
        </w:rPr>
        <w:t>We set the compensation of our executive officers, including our named executive officers, based on their ability to create sustainable long-term stockholder value in a cost-effective manner. Our executive compensation philosophy is to align executive compensation decisions with our desired business direction, strategy, and performance. The primary objectives and priorities of our executive compensation program are the following:</w:t>
      </w:r>
    </w:p>
    <w:p>
      <w:pPr>
        <w:spacing w:after="0" w:line="41" w:lineRule="exact"/>
        <w:rPr>
          <w:sz w:val="20"/>
          <w:szCs w:val="20"/>
          <w:color w:val="auto"/>
        </w:rPr>
      </w:pPr>
    </w:p>
    <w:p>
      <w:pPr>
        <w:ind w:left="1020" w:right="460" w:hanging="43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Emphasize at-risk (variable) compensation that is tied to our financial and stock price performance in an effort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and reward superior individual and collective performance;</w:t>
      </w:r>
    </w:p>
    <w:p>
      <w:pPr>
        <w:spacing w:after="0" w:line="62" w:lineRule="exact"/>
        <w:rPr>
          <w:rFonts w:ascii="Arial" w:cs="Arial" w:eastAsia="Arial" w:hAnsi="Arial"/>
          <w:sz w:val="18"/>
          <w:szCs w:val="18"/>
          <w:color w:val="auto"/>
        </w:rPr>
      </w:pPr>
    </w:p>
    <w:p>
      <w:pPr>
        <w:ind w:left="1020" w:right="500" w:hanging="432"/>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Stockholder Alignment</w:t>
      </w:r>
      <w:r>
        <w:rPr>
          <w:rFonts w:ascii="Arial" w:cs="Arial" w:eastAsia="Arial" w:hAnsi="Arial"/>
          <w:sz w:val="16"/>
          <w:szCs w:val="16"/>
          <w:color w:val="auto"/>
        </w:rPr>
        <w:t>: Link our executives’ incentive goals with the interests of our stockholders, provide equity-based forms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establish specific stock ownership guidelines for employees in key management positions throughout our Company;</w:t>
      </w:r>
    </w:p>
    <w:p>
      <w:pPr>
        <w:spacing w:after="0" w:line="15" w:lineRule="exact"/>
        <w:rPr>
          <w:rFonts w:ascii="Arial" w:cs="Arial" w:eastAsia="Arial" w:hAnsi="Arial"/>
          <w:sz w:val="16"/>
          <w:szCs w:val="16"/>
          <w:color w:val="auto"/>
        </w:rPr>
      </w:pPr>
    </w:p>
    <w:p>
      <w:pPr>
        <w:ind w:left="1020" w:right="360" w:hanging="432"/>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Long-Term Success</w:t>
      </w:r>
      <w:r>
        <w:rPr>
          <w:rFonts w:ascii="Arial" w:cs="Arial" w:eastAsia="Arial" w:hAnsi="Arial"/>
          <w:sz w:val="18"/>
          <w:szCs w:val="18"/>
          <w:color w:val="auto"/>
        </w:rPr>
        <w:t>: Support and reward our executives for consistent performance over time and achievement of our long-term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goals;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Attraction and Retention</w:t>
      </w:r>
      <w:r>
        <w:rPr>
          <w:rFonts w:ascii="Arial" w:cs="Arial" w:eastAsia="Arial" w:hAnsi="Arial"/>
          <w:sz w:val="16"/>
          <w:szCs w:val="16"/>
          <w:color w:val="auto"/>
        </w:rPr>
        <w:t>: Attract and retain highly qualified executives whose abilities are critical to our success and competitive advantage.</w:t>
      </w:r>
    </w:p>
    <w:p>
      <w:pPr>
        <w:spacing w:after="0" w:line="194"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To achieve these objectives, we have designed an executive compensation program that is significantly weighted towards long-term goals. This approach aids us in the retention of executive officers and assures that the interests of our executive officers and stockholders are aligned. We provide compensation to our named executive officers through a combination of base salary, incentive compensation and equity awards (RSUs and PSUs under our 2010 Equity Incentive Plan).While our program emphasizes at-risk, performance and equity-based compensation as compared to fixed compensation (base salary), we do not have specific policies governing the allocation of the target total direct compensation opportunity among its various components or overall amounts.</w:t>
      </w:r>
    </w:p>
    <w:p>
      <w:pPr>
        <w:spacing w:after="0" w:line="138" w:lineRule="exact"/>
        <w:rPr>
          <w:sz w:val="20"/>
          <w:szCs w:val="20"/>
          <w:color w:val="auto"/>
        </w:rPr>
      </w:pPr>
    </w:p>
    <w:p>
      <w:pPr>
        <w:ind w:right="40" w:firstLine="540"/>
        <w:spacing w:after="0" w:line="311" w:lineRule="auto"/>
        <w:rPr>
          <w:sz w:val="20"/>
          <w:szCs w:val="20"/>
          <w:color w:val="auto"/>
        </w:rPr>
      </w:pPr>
      <w:r>
        <w:rPr>
          <w:rFonts w:ascii="Arial" w:cs="Arial" w:eastAsia="Arial" w:hAnsi="Arial"/>
          <w:sz w:val="16"/>
          <w:szCs w:val="16"/>
          <w:color w:val="auto"/>
        </w:rPr>
        <w:t>While we have identified particular compensation objectives that each element of executive compensation serves, our compensation program is designed to be flexible and complementary and to collectively serve all of the executive compensation objectives described above. Accordingly, we believe that as a part of our overall executive compensation policy, each individual element, to a greater or lesser extent, serves each of our objectives.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Say-on-Pay</w:t>
      </w:r>
    </w:p>
    <w:p>
      <w:pPr>
        <w:spacing w:after="0" w:line="171"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Our Committee considers the results of the stockholders’ advisory vote on the compensation of our named executive officers. At our 2020 Annual Meeting of Stockholders, our say-on-pay proposal received “FOR” votes that represented approximately 94.6% of the shares voted on this proposal. The Committee considered the results of the say-on-pay vote when evaluating our compensation practices and policies and when setting the compensation of our named executive officers for 2020 and decided not to make any significant changes to our executive compensation program. The Committee believes that the significant support for the prior year say-on-pay proposal demonstrates stockholders’ support of our compensation program, policies, and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Policies and Practices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maintained the following compensation policies and practices in 2020:</w:t>
      </w:r>
    </w:p>
    <w:p>
      <w:pPr>
        <w:spacing w:after="0" w:line="117" w:lineRule="exact"/>
        <w:rPr>
          <w:sz w:val="20"/>
          <w:szCs w:val="20"/>
          <w:color w:val="auto"/>
        </w:rPr>
      </w:pPr>
    </w:p>
    <w:p>
      <w:pPr>
        <w:ind w:left="1020" w:right="440" w:hanging="432"/>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 Tax Gross-Up Provisions</w:t>
      </w:r>
      <w:r>
        <w:rPr>
          <w:rFonts w:ascii="Arial" w:cs="Arial" w:eastAsia="Arial" w:hAnsi="Arial"/>
          <w:sz w:val="18"/>
          <w:szCs w:val="18"/>
          <w:color w:val="auto"/>
        </w:rPr>
        <w:t>. Our named executive officers are not entitled to any tax gross-up treatment on any severance or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benefits.</w:t>
      </w:r>
    </w:p>
    <w:p>
      <w:pPr>
        <w:spacing w:after="0" w:line="62" w:lineRule="exact"/>
        <w:rPr>
          <w:rFonts w:ascii="Arial" w:cs="Arial" w:eastAsia="Arial" w:hAnsi="Arial"/>
          <w:sz w:val="18"/>
          <w:szCs w:val="18"/>
          <w:color w:val="auto"/>
        </w:rPr>
      </w:pPr>
    </w:p>
    <w:p>
      <w:pPr>
        <w:ind w:left="1020" w:hanging="432"/>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Compensation Programs Create No Excessive Risk</w:t>
      </w:r>
      <w:r>
        <w:rPr>
          <w:rFonts w:ascii="Arial" w:cs="Arial" w:eastAsia="Arial" w:hAnsi="Arial"/>
          <w:sz w:val="18"/>
          <w:szCs w:val="18"/>
          <w:color w:val="auto"/>
        </w:rPr>
        <w:t>. Our compensation programs are reviewed regularly by our Committee, which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our compensation programs do not create inappropriate or excessive risk that is likely to have a material adverse effect on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ind w:left="1020" w:right="80" w:hanging="432"/>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Independent Compensation Consultant Engaged</w:t>
      </w:r>
      <w:r>
        <w:rPr>
          <w:rFonts w:ascii="Arial" w:cs="Arial" w:eastAsia="Arial" w:hAnsi="Arial"/>
          <w:sz w:val="18"/>
          <w:szCs w:val="18"/>
          <w:color w:val="auto"/>
        </w:rPr>
        <w:t>. Our Committee engaged an independent compensation consultant, Compensia, to assist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with determining compensation for our named executive officers as well as provide the committee with market data and guidance on best practices.</w:t>
      </w:r>
    </w:p>
    <w:p>
      <w:pPr>
        <w:spacing w:after="0" w:line="75" w:lineRule="exact"/>
        <w:rPr>
          <w:rFonts w:ascii="Arial" w:cs="Arial" w:eastAsia="Arial" w:hAnsi="Arial"/>
          <w:sz w:val="18"/>
          <w:szCs w:val="18"/>
          <w:color w:val="auto"/>
        </w:rPr>
      </w:pPr>
    </w:p>
    <w:p>
      <w:pPr>
        <w:ind w:left="1020" w:right="60" w:hanging="432"/>
        <w:spacing w:after="0" w:line="25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Hedging Transactions Prohibited</w:t>
      </w:r>
      <w:r>
        <w:rPr>
          <w:rFonts w:ascii="Arial" w:cs="Arial" w:eastAsia="Arial" w:hAnsi="Arial"/>
          <w:sz w:val="18"/>
          <w:szCs w:val="18"/>
          <w:color w:val="auto"/>
        </w:rPr>
        <w:t>. Our insider trading policy prohibits our employees, including directors and executive officers, from</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in the following with respect to our securities: purchasing on margin, pledging or hedging, short sales, buying or selling put or call options or other derivative securities, purchasing financial instruments that are designed to hedge or offset any decrease in market value or engage in limit orders or other pre-arranged transactions that execute automatically except for ‘same-day’ limit orders and approved 10b5-1 plans.</w:t>
      </w:r>
    </w:p>
    <w:p>
      <w:pPr>
        <w:spacing w:after="0" w:line="79" w:lineRule="exact"/>
        <w:rPr>
          <w:rFonts w:ascii="Arial" w:cs="Arial" w:eastAsia="Arial" w:hAnsi="Arial"/>
          <w:sz w:val="18"/>
          <w:szCs w:val="18"/>
          <w:color w:val="auto"/>
        </w:rPr>
      </w:pPr>
    </w:p>
    <w:p>
      <w:pPr>
        <w:ind w:left="1020" w:right="200" w:hanging="432"/>
        <w:spacing w:after="0" w:line="34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Compensation is Performance-Based</w:t>
      </w:r>
      <w:r>
        <w:rPr>
          <w:rFonts w:ascii="Arial" w:cs="Arial" w:eastAsia="Arial" w:hAnsi="Arial"/>
          <w:sz w:val="16"/>
          <w:szCs w:val="16"/>
          <w:color w:val="auto"/>
        </w:rPr>
        <w:t>. Our executive compensation program is designed so that a significant portion of compensation is “at</w:t>
      </w:r>
      <w:r>
        <w:rPr>
          <w:rFonts w:ascii="Arial" w:cs="Arial" w:eastAsia="Arial" w:hAnsi="Arial"/>
          <w:sz w:val="16"/>
          <w:szCs w:val="16"/>
          <w:i w:val="1"/>
          <w:iCs w:val="1"/>
          <w:color w:val="auto"/>
        </w:rPr>
        <w:t xml:space="preserve"> </w:t>
      </w:r>
      <w:r>
        <w:rPr>
          <w:rFonts w:ascii="Arial" w:cs="Arial" w:eastAsia="Arial" w:hAnsi="Arial"/>
          <w:sz w:val="16"/>
          <w:szCs w:val="16"/>
          <w:color w:val="auto"/>
        </w:rPr>
        <w:t>risk” based on corporate performance, as well as equity-based, to align the interest of our named executive officers and our stockholders.</w:t>
      </w:r>
    </w:p>
    <w:p>
      <w:pPr>
        <w:spacing w:after="0" w:line="15" w:lineRule="exact"/>
        <w:rPr>
          <w:rFonts w:ascii="Arial" w:cs="Arial" w:eastAsia="Arial" w:hAnsi="Arial"/>
          <w:sz w:val="16"/>
          <w:szCs w:val="16"/>
          <w:color w:val="auto"/>
        </w:rPr>
      </w:pPr>
    </w:p>
    <w:p>
      <w:pPr>
        <w:ind w:left="1020" w:right="34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Multi-Year Performance Periods for Equity Awards</w:t>
      </w:r>
      <w:r>
        <w:rPr>
          <w:rFonts w:ascii="Arial" w:cs="Arial" w:eastAsia="Arial" w:hAnsi="Arial"/>
          <w:sz w:val="18"/>
          <w:szCs w:val="18"/>
          <w:color w:val="auto"/>
        </w:rPr>
        <w:t>. The annual equity awards granted to our named executive officers vest or are earned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three to four year periods, consistent with market practice and our retention objectives.</w:t>
      </w:r>
    </w:p>
    <w:p>
      <w:pPr>
        <w:spacing w:after="0" w:line="62" w:lineRule="exact"/>
        <w:rPr>
          <w:rFonts w:ascii="Arial" w:cs="Arial" w:eastAsia="Arial" w:hAnsi="Arial"/>
          <w:sz w:val="18"/>
          <w:szCs w:val="18"/>
          <w:color w:val="auto"/>
        </w:rPr>
      </w:pPr>
    </w:p>
    <w:p>
      <w:pPr>
        <w:ind w:left="1020" w:right="140" w:hanging="432"/>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Stock Ownership Guidelines</w:t>
      </w:r>
      <w:r>
        <w:rPr>
          <w:rFonts w:ascii="Arial" w:cs="Arial" w:eastAsia="Arial" w:hAnsi="Arial"/>
          <w:sz w:val="18"/>
          <w:szCs w:val="18"/>
          <w:color w:val="auto"/>
        </w:rPr>
        <w:t>. We maintain stock ownership guidelines which require our Chief Executive Officer to beneficially own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with a value equal to at least three times his base salary and our other executive officers to beneficially own shares of our common stock with a value equal to at least one times his or her base salary.</w:t>
      </w:r>
    </w:p>
    <w:p>
      <w:pPr>
        <w:spacing w:after="0" w:line="75"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No Perquisites</w:t>
      </w:r>
      <w:r>
        <w:rPr>
          <w:rFonts w:ascii="Arial" w:cs="Arial" w:eastAsia="Arial" w:hAnsi="Arial"/>
          <w:sz w:val="18"/>
          <w:szCs w:val="18"/>
          <w:color w:val="auto"/>
        </w:rPr>
        <w:t>. We do not provide perquisites or other personal benefits to our named executive officers beyond what is provided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w:t>
      </w:r>
    </w:p>
    <w:p>
      <w:pPr>
        <w:sectPr>
          <w:pgSz w:w="11900" w:h="16838" w:orient="portrait"/>
          <w:cols w:equalWidth="0" w:num="1">
            <w:col w:w="11240"/>
          </w:cols>
          <w:pgMar w:left="320" w:top="463" w:right="339" w:bottom="1440" w:gutter="0" w:footer="0" w:header="0"/>
        </w:sectPr>
      </w:pP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AAE5"/>
        </w:rPr>
        <w:t>Peer Group</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Clawback Policy</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require reimbursement or forfeiture of all or a portion of any incentive compensation awarded to an executive when (i)</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required to prepare an accounting restatement due to material noncompliance with financial reporting requirements and the executive’s award, vesting, or payment of an award would have been smaller given the restated financial information or (ii) there is misconduct resulting in either a violation of the law or of Company policy that has caused significant financial or reputational harm to the Company and either the executive committed the misconduct directly or failed in his or her responsibility to manage or monitor the applicable conduct or controls.</w:t>
      </w:r>
    </w:p>
    <w:p>
      <w:pPr>
        <w:spacing w:after="0" w:line="581" w:lineRule="exact"/>
        <w:rPr>
          <w:sz w:val="20"/>
          <w:szCs w:val="20"/>
          <w:color w:val="auto"/>
        </w:rPr>
      </w:pPr>
    </w:p>
    <w:p>
      <w:pPr>
        <w:sectPr>
          <w:pgSz w:w="11900" w:h="16838" w:orient="portrait"/>
          <w:cols w:equalWidth="0" w:num="2">
            <w:col w:w="880" w:space="140"/>
            <w:col w:w="10220"/>
          </w:cols>
          <w:pgMar w:left="320" w:top="463" w:right="339" w:bottom="1440" w:gutter="0" w:footer="0" w:header="0"/>
          <w:type w:val="continuous"/>
        </w:sectPr>
      </w:pPr>
    </w:p>
    <w:p>
      <w:pPr>
        <w:ind w:right="240" w:firstLine="589"/>
        <w:spacing w:after="0" w:line="259" w:lineRule="auto"/>
        <w:rPr>
          <w:sz w:val="20"/>
          <w:szCs w:val="20"/>
          <w:color w:val="auto"/>
        </w:rPr>
      </w:pPr>
      <w:r>
        <w:rPr>
          <w:rFonts w:ascii="Arial" w:cs="Arial" w:eastAsia="Arial" w:hAnsi="Arial"/>
          <w:sz w:val="18"/>
          <w:szCs w:val="18"/>
          <w:color w:val="auto"/>
        </w:rPr>
        <w:t>Our Committee determines executive compensation, in part, by reference to the compensation information for the executives of a peer group of comparable companies. For 2020, our Committee reviewed an updated version of the formal compensation study and executive compensation market assessment prepared in 2019 by Compensia. The competitive market data used in the Compensia study was gathered from our compensation peer group, which consisted of the following US-based technology companies of similar size:</w:t>
      </w:r>
    </w:p>
    <w:p>
      <w:pPr>
        <w:spacing w:after="0" w:line="200"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2U</w:t>
            </w:r>
          </w:p>
        </w:tc>
        <w:tc>
          <w:tcPr>
            <w:tcW w:w="3840" w:type="dxa"/>
            <w:vAlign w:val="bottom"/>
          </w:tcPr>
          <w:p>
            <w:pPr>
              <w:ind w:left="800"/>
              <w:spacing w:after="0"/>
              <w:rPr>
                <w:sz w:val="20"/>
                <w:szCs w:val="20"/>
                <w:color w:val="auto"/>
              </w:rPr>
            </w:pPr>
            <w:r>
              <w:rPr>
                <w:rFonts w:ascii="Arial" w:cs="Arial" w:eastAsia="Arial" w:hAnsi="Arial"/>
                <w:sz w:val="18"/>
                <w:szCs w:val="18"/>
                <w:color w:val="auto"/>
              </w:rPr>
              <w:t>Model N</w:t>
            </w: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8x8</w:t>
            </w:r>
          </w:p>
        </w:tc>
        <w:tc>
          <w:tcPr>
            <w:tcW w:w="3840" w:type="dxa"/>
            <w:vAlign w:val="bottom"/>
            <w:shd w:val="clear" w:color="auto" w:fill="CFF0FC"/>
          </w:tcPr>
          <w:p>
            <w:pPr>
              <w:ind w:left="800"/>
              <w:spacing w:after="0"/>
              <w:rPr>
                <w:sz w:val="20"/>
                <w:szCs w:val="20"/>
                <w:color w:val="auto"/>
              </w:rPr>
            </w:pPr>
            <w:r>
              <w:rPr>
                <w:rFonts w:ascii="Arial" w:cs="Arial" w:eastAsia="Arial" w:hAnsi="Arial"/>
                <w:sz w:val="18"/>
                <w:szCs w:val="18"/>
                <w:color w:val="auto"/>
              </w:rPr>
              <w:t>Monotype Imaging Holdings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Appian</w:t>
            </w:r>
          </w:p>
        </w:tc>
        <w:tc>
          <w:tcPr>
            <w:tcW w:w="3840" w:type="dxa"/>
            <w:vAlign w:val="bottom"/>
          </w:tcPr>
          <w:p>
            <w:pPr>
              <w:ind w:left="800"/>
              <w:spacing w:after="0"/>
              <w:rPr>
                <w:sz w:val="20"/>
                <w:szCs w:val="20"/>
                <w:color w:val="auto"/>
              </w:rPr>
            </w:pPr>
            <w:r>
              <w:rPr>
                <w:rFonts w:ascii="Arial" w:cs="Arial" w:eastAsia="Arial" w:hAnsi="Arial"/>
                <w:sz w:val="18"/>
                <w:szCs w:val="18"/>
                <w:color w:val="auto"/>
              </w:rPr>
              <w:t>Paylocity Holdings</w:t>
            </w: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Benefitfocus</w:t>
            </w:r>
          </w:p>
        </w:tc>
        <w:tc>
          <w:tcPr>
            <w:tcW w:w="3840" w:type="dxa"/>
            <w:vAlign w:val="bottom"/>
            <w:shd w:val="clear" w:color="auto" w:fill="CFF0FC"/>
          </w:tcPr>
          <w:p>
            <w:pPr>
              <w:ind w:left="800"/>
              <w:spacing w:after="0"/>
              <w:rPr>
                <w:sz w:val="20"/>
                <w:szCs w:val="20"/>
                <w:color w:val="auto"/>
              </w:rPr>
            </w:pPr>
            <w:r>
              <w:rPr>
                <w:rFonts w:ascii="Arial" w:cs="Arial" w:eastAsia="Arial" w:hAnsi="Arial"/>
                <w:sz w:val="18"/>
                <w:szCs w:val="18"/>
                <w:color w:val="auto"/>
              </w:rPr>
              <w:t>PROS Holdings</w:t>
            </w:r>
          </w:p>
        </w:tc>
      </w:tr>
      <w:tr>
        <w:trPr>
          <w:trHeight w:val="229"/>
        </w:trPr>
        <w:tc>
          <w:tcPr>
            <w:tcW w:w="1780" w:type="dxa"/>
            <w:vAlign w:val="bottom"/>
          </w:tcPr>
          <w:p>
            <w:pPr>
              <w:spacing w:after="0"/>
              <w:rPr>
                <w:sz w:val="20"/>
                <w:szCs w:val="20"/>
                <w:color w:val="auto"/>
              </w:rPr>
            </w:pPr>
            <w:r>
              <w:rPr>
                <w:rFonts w:ascii="Arial" w:cs="Arial" w:eastAsia="Arial" w:hAnsi="Arial"/>
                <w:sz w:val="18"/>
                <w:szCs w:val="18"/>
                <w:color w:val="auto"/>
              </w:rPr>
              <w:t>Carbonite</w:t>
            </w:r>
          </w:p>
        </w:tc>
        <w:tc>
          <w:tcPr>
            <w:tcW w:w="3840" w:type="dxa"/>
            <w:vAlign w:val="bottom"/>
          </w:tcPr>
          <w:p>
            <w:pPr>
              <w:ind w:left="800"/>
              <w:spacing w:after="0"/>
              <w:rPr>
                <w:sz w:val="20"/>
                <w:szCs w:val="20"/>
                <w:color w:val="auto"/>
              </w:rPr>
            </w:pPr>
            <w:r>
              <w:rPr>
                <w:rFonts w:ascii="Arial" w:cs="Arial" w:eastAsia="Arial" w:hAnsi="Arial"/>
                <w:sz w:val="18"/>
                <w:szCs w:val="18"/>
                <w:color w:val="auto"/>
              </w:rPr>
              <w:t>Q2 Holdings</w:t>
            </w: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Five9</w:t>
            </w:r>
          </w:p>
        </w:tc>
        <w:tc>
          <w:tcPr>
            <w:tcW w:w="3840" w:type="dxa"/>
            <w:vAlign w:val="bottom"/>
            <w:shd w:val="clear" w:color="auto" w:fill="CFF0FC"/>
          </w:tcPr>
          <w:p>
            <w:pPr>
              <w:ind w:left="800"/>
              <w:spacing w:after="0"/>
              <w:rPr>
                <w:sz w:val="20"/>
                <w:szCs w:val="20"/>
                <w:color w:val="auto"/>
              </w:rPr>
            </w:pPr>
            <w:r>
              <w:rPr>
                <w:rFonts w:ascii="Arial" w:cs="Arial" w:eastAsia="Arial" w:hAnsi="Arial"/>
                <w:sz w:val="18"/>
                <w:szCs w:val="18"/>
                <w:color w:val="auto"/>
              </w:rPr>
              <w:t>Qualys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HealthStream</w:t>
            </w:r>
          </w:p>
        </w:tc>
        <w:tc>
          <w:tcPr>
            <w:tcW w:w="3840" w:type="dxa"/>
            <w:vAlign w:val="bottom"/>
          </w:tcPr>
          <w:p>
            <w:pPr>
              <w:ind w:left="800"/>
              <w:spacing w:after="0"/>
              <w:rPr>
                <w:sz w:val="20"/>
                <w:szCs w:val="20"/>
                <w:color w:val="auto"/>
              </w:rPr>
            </w:pPr>
            <w:r>
              <w:rPr>
                <w:rFonts w:ascii="Arial" w:cs="Arial" w:eastAsia="Arial" w:hAnsi="Arial"/>
                <w:sz w:val="18"/>
                <w:szCs w:val="18"/>
                <w:color w:val="auto"/>
              </w:rPr>
              <w:t>Rapid7</w:t>
            </w:r>
          </w:p>
        </w:tc>
      </w:tr>
      <w:tr>
        <w:trPr>
          <w:trHeight w:val="230"/>
        </w:trPr>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Instructure</w:t>
            </w:r>
          </w:p>
        </w:tc>
        <w:tc>
          <w:tcPr>
            <w:tcW w:w="3840" w:type="dxa"/>
            <w:vAlign w:val="bottom"/>
            <w:shd w:val="clear" w:color="auto" w:fill="CFF0FC"/>
          </w:tcPr>
          <w:p>
            <w:pPr>
              <w:ind w:left="800"/>
              <w:spacing w:after="0"/>
              <w:rPr>
                <w:sz w:val="20"/>
                <w:szCs w:val="20"/>
                <w:color w:val="auto"/>
              </w:rPr>
            </w:pPr>
            <w:r>
              <w:rPr>
                <w:rFonts w:ascii="Arial" w:cs="Arial" w:eastAsia="Arial" w:hAnsi="Arial"/>
                <w:sz w:val="18"/>
                <w:szCs w:val="18"/>
                <w:color w:val="auto"/>
              </w:rPr>
              <w:t>Varonis Systems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LivePerson</w:t>
            </w:r>
          </w:p>
        </w:tc>
        <w:tc>
          <w:tcPr>
            <w:tcW w:w="3840" w:type="dxa"/>
            <w:vAlign w:val="bottom"/>
          </w:tcPr>
          <w:p>
            <w:pPr>
              <w:ind w:left="800"/>
              <w:spacing w:after="0"/>
              <w:rPr>
                <w:sz w:val="20"/>
                <w:szCs w:val="20"/>
                <w:color w:val="auto"/>
              </w:rPr>
            </w:pPr>
            <w:r>
              <w:rPr>
                <w:rFonts w:ascii="Arial" w:cs="Arial" w:eastAsia="Arial" w:hAnsi="Arial"/>
                <w:sz w:val="18"/>
                <w:szCs w:val="18"/>
                <w:color w:val="auto"/>
              </w:rPr>
              <w:t>Workiva</w:t>
            </w:r>
          </w:p>
        </w:tc>
      </w:tr>
    </w:tbl>
    <w:p>
      <w:pPr>
        <w:spacing w:after="0" w:line="201"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In comparison to the prior year peers, we replaced three companies. We removed Apptio, Imperva, and MINDBODY, because they had been acquired and are no longer publicly traded. We added 2U, Appian, and Instructure because they met our selection criteria, including being software companies with trailing four quarter revenue between 50% and 200% of our trailing four quarter revenue and the market capitalization range of between 33% and 300% of our market capitalization at the time of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74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1"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26" w:name="page27"/>
    <w:bookmarkEnd w:id="26"/>
    <w:p>
      <w:pPr>
        <w:ind w:right="440" w:firstLine="589"/>
        <w:spacing w:after="0" w:line="277" w:lineRule="auto"/>
        <w:rPr>
          <w:sz w:val="20"/>
          <w:szCs w:val="20"/>
          <w:color w:val="auto"/>
        </w:rPr>
      </w:pPr>
      <w:r>
        <w:rPr>
          <w:rFonts w:ascii="Arial" w:cs="Arial" w:eastAsia="Arial" w:hAnsi="Arial"/>
          <w:sz w:val="18"/>
          <w:szCs w:val="18"/>
          <w:color w:val="auto"/>
        </w:rPr>
        <w:t>Data from the compensation peer group is valuable to the Committee because it provides insight into competitive pay practices for each of the elements of total compensation as well as confirms the reasonableness of its compensation decisions.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Factors Considered in Compensation Deliberations</w:t>
      </w:r>
    </w:p>
    <w:p>
      <w:pPr>
        <w:spacing w:after="0" w:line="117" w:lineRule="exact"/>
        <w:rPr>
          <w:sz w:val="20"/>
          <w:szCs w:val="20"/>
          <w:color w:val="auto"/>
        </w:rPr>
      </w:pPr>
    </w:p>
    <w:p>
      <w:pPr>
        <w:jc w:val="both"/>
        <w:ind w:right="360" w:firstLine="864"/>
        <w:spacing w:after="0" w:line="279" w:lineRule="auto"/>
        <w:rPr>
          <w:sz w:val="20"/>
          <w:szCs w:val="20"/>
          <w:color w:val="auto"/>
        </w:rPr>
      </w:pPr>
      <w:r>
        <w:rPr>
          <w:rFonts w:ascii="Arial" w:cs="Arial" w:eastAsia="Arial" w:hAnsi="Arial"/>
          <w:sz w:val="17"/>
          <w:szCs w:val="17"/>
          <w:color w:val="auto"/>
        </w:rPr>
        <w:t>The Committee does not use a single method or measure in setting or approving the target total direct compensation opportunities for each individual compensation element for our named executive officers, nor is the weighting of any one factor on the determination of pay components and levels quantifiable in comparison to the other factors. The factors below, which the Committee considers when selecting and setting the amount of each compensation element for our named executive officers provide a framework for its compensation decision-making:</w:t>
      </w:r>
    </w:p>
    <w:p>
      <w:pPr>
        <w:spacing w:after="0" w:line="63" w:lineRule="exact"/>
        <w:rPr>
          <w:sz w:val="20"/>
          <w:szCs w:val="20"/>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executive compensation program objectives;</w:t>
      </w:r>
    </w:p>
    <w:p>
      <w:pPr>
        <w:spacing w:after="0" w:line="23"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performance against the financial and operational goals and objectives established by the Committee and our board of directors;</w:t>
      </w:r>
    </w:p>
    <w:p>
      <w:pPr>
        <w:spacing w:after="0" w:line="20" w:lineRule="exact"/>
        <w:rPr>
          <w:rFonts w:ascii="Arial" w:cs="Arial" w:eastAsia="Arial" w:hAnsi="Arial"/>
          <w:sz w:val="17"/>
          <w:szCs w:val="17"/>
          <w:color w:val="auto"/>
        </w:rPr>
      </w:pPr>
    </w:p>
    <w:p>
      <w:pPr>
        <w:ind w:left="1020" w:right="180" w:hanging="432"/>
        <w:spacing w:after="0" w:line="250"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named executive officer’s qualifications, knowledge, skills, experience, and tenure relative to other similarly-situated executives at the companies in our compensation peer group;</w:t>
      </w:r>
    </w:p>
    <w:p>
      <w:pPr>
        <w:ind w:left="1020" w:right="680" w:hanging="432"/>
        <w:spacing w:after="0" w:line="250"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each executive officer’s role and responsibilities compared to other similarly situated executives at the companies in our compensation peer group;</w:t>
      </w:r>
    </w:p>
    <w:p>
      <w:pPr>
        <w:ind w:left="1020" w:right="360" w:hanging="432"/>
        <w:spacing w:after="0" w:line="250"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 performance of each named executive officer, based on an assessment of his or her contributions to our overall performance and ability to lead his or her business unit or function and work as part of a team;</w:t>
      </w: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of each named executive officer to contribute to our long-term financial, operational, and strategic objectives;</w:t>
      </w:r>
    </w:p>
    <w:p>
      <w:pPr>
        <w:spacing w:after="0" w:line="9" w:lineRule="exact"/>
        <w:rPr>
          <w:rFonts w:ascii="Arial" w:cs="Arial" w:eastAsia="Arial" w:hAnsi="Arial"/>
          <w:sz w:val="18"/>
          <w:szCs w:val="18"/>
          <w:color w:val="auto"/>
        </w:rPr>
      </w:pPr>
    </w:p>
    <w:p>
      <w:pPr>
        <w:ind w:left="1020" w:right="360" w:hanging="432"/>
        <w:spacing w:after="0" w:line="250"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Chief Executive Officer’s compensation relative to that of our other executive officers, and compensation parity among our executive officers;</w:t>
      </w: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financial performance relative to our peers;</w:t>
      </w:r>
    </w:p>
    <w:p>
      <w:pPr>
        <w:spacing w:after="0" w:line="9" w:lineRule="exact"/>
        <w:rPr>
          <w:rFonts w:ascii="Arial" w:cs="Arial" w:eastAsia="Arial" w:hAnsi="Arial"/>
          <w:sz w:val="18"/>
          <w:szCs w:val="18"/>
          <w:color w:val="auto"/>
        </w:rPr>
      </w:pPr>
    </w:p>
    <w:p>
      <w:pPr>
        <w:ind w:left="1020" w:right="80" w:hanging="432"/>
        <w:spacing w:after="0" w:line="250"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positioning of each executive officer’s compensation in a ranking of peer company compensation levels based on an analysis of competitive market data;</w:t>
      </w:r>
    </w:p>
    <w:p>
      <w:pPr>
        <w:ind w:left="1020" w:right="380" w:hanging="432"/>
        <w:spacing w:after="0" w:line="250"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long-term incentive compensation, the value of any outstanding vested and unvested equity awards held by each of our executive officers, including the equity awards and other long-term compensation opportunities granted to each executive officer in prior years; and</w:t>
      </w:r>
    </w:p>
    <w:p>
      <w:pPr>
        <w:spacing w:after="0" w:line="1"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recommendations provided by our Chief Executive Officer regarding the compensation of our executive officers, as described above.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These factors provide the framework for decision-making by the Committee with respect to the compensation of each of our named executive officers.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Base Salary</w:t>
      </w:r>
    </w:p>
    <w:p>
      <w:pPr>
        <w:spacing w:after="0" w:line="171"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Base salaries are used to recognize the experience, skills, knowledge, and responsibilities required of all our employees, including our named executive officers. Initially at the time of their hire, base salaries for each of our named executive officers were established based on arm’s-length negotiations between us and the executive. Our Committee reviews the base salaries of our named executive officers annually at the beginning of each year. When negotiating or reviewing base salaries, the Committee considers market competitiveness based on their experience, the executive’s expected future contribution to our success and the relative base salaries and responsibilities of our other executives.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5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4"/>
                <w:szCs w:val="14"/>
                <w:color w:val="auto"/>
              </w:rPr>
            </w:pPr>
          </w:p>
        </w:tc>
        <w:tc>
          <w:tcPr>
            <w:tcW w:w="1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 Base Salary ($)</w:t>
            </w:r>
          </w:p>
        </w:tc>
        <w:tc>
          <w:tcPr>
            <w:tcW w:w="480" w:type="dxa"/>
            <w:vAlign w:val="bottom"/>
          </w:tcPr>
          <w:p>
            <w:pPr>
              <w:spacing w:after="0"/>
              <w:rPr>
                <w:sz w:val="14"/>
                <w:szCs w:val="14"/>
                <w:color w:val="auto"/>
              </w:rPr>
            </w:pPr>
          </w:p>
        </w:tc>
        <w:tc>
          <w:tcPr>
            <w:tcW w:w="19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 Base Salary ($)</w:t>
            </w:r>
          </w:p>
        </w:tc>
        <w:tc>
          <w:tcPr>
            <w:tcW w:w="480" w:type="dxa"/>
            <w:vAlign w:val="bottom"/>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Increase</w:t>
            </w:r>
          </w:p>
        </w:tc>
        <w:tc>
          <w:tcPr>
            <w:tcW w:w="1320" w:type="dxa"/>
            <w:vAlign w:val="bottom"/>
            <w:gridSpan w:val="2"/>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Archie Black</w:t>
            </w:r>
          </w:p>
        </w:tc>
        <w:tc>
          <w:tcPr>
            <w:tcW w:w="4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523,000</w:t>
            </w: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495,000</w:t>
            </w:r>
          </w:p>
        </w:tc>
        <w:tc>
          <w:tcPr>
            <w:tcW w:w="4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Kimberly Nelson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374,000</w:t>
            </w:r>
          </w:p>
        </w:tc>
        <w:tc>
          <w:tcPr>
            <w:tcW w:w="4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4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James Frome</w:t>
            </w:r>
          </w:p>
        </w:tc>
        <w:tc>
          <w:tcPr>
            <w:tcW w:w="1880" w:type="dxa"/>
            <w:vAlign w:val="bottom"/>
          </w:tcPr>
          <w:p>
            <w:pPr>
              <w:jc w:val="right"/>
              <w:spacing w:after="0"/>
              <w:rPr>
                <w:sz w:val="20"/>
                <w:szCs w:val="20"/>
                <w:color w:val="auto"/>
              </w:rPr>
            </w:pPr>
            <w:r>
              <w:rPr>
                <w:rFonts w:ascii="Arial" w:cs="Arial" w:eastAsia="Arial" w:hAnsi="Arial"/>
                <w:sz w:val="18"/>
                <w:szCs w:val="18"/>
                <w:color w:val="auto"/>
              </w:rPr>
              <w:t>374,000</w:t>
            </w:r>
          </w:p>
        </w:tc>
        <w:tc>
          <w:tcPr>
            <w:tcW w:w="4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360,000</w:t>
            </w:r>
          </w:p>
        </w:tc>
        <w:tc>
          <w:tcPr>
            <w:tcW w:w="4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20"/>
                <w:szCs w:val="20"/>
                <w:color w:val="auto"/>
              </w:rPr>
            </w:pPr>
          </w:p>
        </w:tc>
      </w:tr>
      <w:tr>
        <w:trPr>
          <w:trHeight w:val="581"/>
        </w:trPr>
        <w:tc>
          <w:tcPr>
            <w:tcW w:w="4100" w:type="dxa"/>
            <w:vAlign w:val="bottom"/>
            <w:gridSpan w:val="3"/>
          </w:tcPr>
          <w:p>
            <w:pPr>
              <w:ind w:left="480"/>
              <w:spacing w:after="0"/>
              <w:rPr>
                <w:sz w:val="20"/>
                <w:szCs w:val="20"/>
                <w:color w:val="auto"/>
              </w:rPr>
            </w:pPr>
            <w:r>
              <w:rPr>
                <w:rFonts w:ascii="Arial" w:cs="Arial" w:eastAsia="Arial" w:hAnsi="Arial"/>
                <w:sz w:val="14"/>
                <w:szCs w:val="14"/>
                <w:b w:val="1"/>
                <w:bCs w:val="1"/>
                <w:color w:val="auto"/>
              </w:rPr>
              <w:t>SPS COMMERCE, INC.</w:t>
            </w:r>
          </w:p>
        </w:tc>
        <w:tc>
          <w:tcPr>
            <w:tcW w:w="1880" w:type="dxa"/>
            <w:vAlign w:val="bottom"/>
          </w:tcPr>
          <w:p>
            <w:pPr>
              <w:jc w:val="right"/>
              <w:ind w:right="297"/>
              <w:spacing w:after="0"/>
              <w:rPr>
                <w:sz w:val="20"/>
                <w:szCs w:val="20"/>
                <w:color w:val="auto"/>
              </w:rPr>
            </w:pPr>
            <w:r>
              <w:rPr>
                <w:rFonts w:ascii="Arial" w:cs="Arial" w:eastAsia="Arial" w:hAnsi="Arial"/>
                <w:sz w:val="14"/>
                <w:szCs w:val="14"/>
                <w:color w:val="auto"/>
              </w:rPr>
              <w:t>23</w:t>
            </w:r>
          </w:p>
        </w:tc>
        <w:tc>
          <w:tcPr>
            <w:tcW w:w="480" w:type="dxa"/>
            <w:vAlign w:val="bottom"/>
          </w:tcPr>
          <w:p>
            <w:pPr>
              <w:spacing w:after="0"/>
              <w:rPr>
                <w:sz w:val="24"/>
                <w:szCs w:val="24"/>
                <w:color w:val="auto"/>
              </w:rPr>
            </w:pPr>
          </w:p>
        </w:tc>
        <w:tc>
          <w:tcPr>
            <w:tcW w:w="4800" w:type="dxa"/>
            <w:vAlign w:val="bottom"/>
            <w:gridSpan w:val="5"/>
          </w:tcPr>
          <w:p>
            <w:pPr>
              <w:ind w:left="1780"/>
              <w:spacing w:after="0"/>
              <w:rPr>
                <w:sz w:val="20"/>
                <w:szCs w:val="20"/>
                <w:color w:val="auto"/>
              </w:rPr>
            </w:pPr>
            <w:r>
              <w:rPr>
                <w:rFonts w:ascii="Arial" w:cs="Arial" w:eastAsia="Arial" w:hAnsi="Arial"/>
                <w:sz w:val="13"/>
                <w:szCs w:val="13"/>
                <w:b w:val="1"/>
                <w:bCs w:val="1"/>
                <w:color w:val="auto"/>
                <w:w w:val="87"/>
              </w:rPr>
              <w:t>Proxy Statement for the Year Ended December 31, 2020</w:t>
            </w:r>
          </w:p>
        </w:tc>
      </w:tr>
      <w:tr>
        <w:trPr>
          <w:trHeight w:val="600"/>
        </w:trPr>
        <w:tc>
          <w:tcPr>
            <w:tcW w:w="11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20574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00AAE5"/>
        </w:rPr>
        <w:t>Management Incentive Plan</w:t>
      </w:r>
    </w:p>
    <w:p>
      <w:pPr>
        <w:spacing w:after="0" w:line="17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named executive officers participate in our management incentive plan, which provides them with an opportunity to receive a formula-based cash bonus. The formula-based bonus is intended to motivate our executives to achieve specific financial goals that will drive the growth and success of our business.</w:t>
      </w:r>
    </w:p>
    <w:p>
      <w:pPr>
        <w:spacing w:after="0" w:line="130"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formula-based bonus is based on a target bonus opportunity for each named executive officer established by the Committee at the beginning of each year. The Committee established the target bonus opportunity at an amount it believes is necessary to provide a competitive overall compensation package in light of each named executive officer’s base salary and to motivate our executives to achieve an aggressive level of growth. The amount of the formula-based bonus, if any, actually paid to executives after the end of the year is determined by a matrix approved by the Committee that takes into account our revenues and earnings before interest, taxes, depreciation and amortization and stock-based compensation, and other adjustments (“Adjusted EBITDA”).</w:t>
      </w:r>
      <w:r>
        <w:rPr>
          <w:rFonts w:ascii="Arial" w:cs="Arial" w:eastAsia="Arial" w:hAnsi="Arial"/>
          <w:sz w:val="15"/>
          <w:szCs w:val="15"/>
          <w:color w:val="auto"/>
        </w:rPr>
        <w:t>{A}</w:t>
      </w:r>
    </w:p>
    <w:p>
      <w:pPr>
        <w:spacing w:after="0" w:line="138"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The formula-based bonus is based in part on revenues because, given the scalability of our current core business, the Committee believes revenue growth has the most significant impact on our financial results. The Committee also believes formula-based bonuses should be based in part on Adjusted EBITDA, because Adjusted EBITDA is a useful measure of our operating performance.</w:t>
      </w:r>
    </w:p>
    <w:p>
      <w:pPr>
        <w:spacing w:after="0" w:line="130"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matrix approved for 2020 provided that each executive would receive a percentage of his or her target formula-based bonus, between zero and 190%, based on our actual revenues and Adjusted EBITDA performance for the year.</w:t>
      </w:r>
    </w:p>
    <w:p>
      <w:pPr>
        <w:spacing w:after="0" w:line="116"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Committee had the discretion to adjust the pre-established thresholds for revenues and Adjusted EBITDA in the event we completed any acquisitions during the year. The Committee exercised such discretion for 2020 and adjusted thresholds for both revenue and Adjusted EBITDA to account for the impact of the D Masons Software, LLC (“Data Masons”) acquisition.</w:t>
      </w:r>
    </w:p>
    <w:p>
      <w:pPr>
        <w:spacing w:after="0" w:line="130"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The Committee approved the intervals for the matrix with the intent that achieving 100% of an executive’s target bonus will be a difficult but achievable goal in light of the prior year’s results of operations and anticipated growth for 2020. As a result of 2020 operating results, the formula-based bonus for each named executive officer was determined to be earned at 74% of the target amount. See below for the summary of the incentive factor thresholds, actual results, and corresponding payouts for 2020:</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Incentive Factors</w:t>
            </w:r>
          </w:p>
        </w:tc>
        <w:tc>
          <w:tcPr>
            <w:tcW w:w="140" w:type="dxa"/>
            <w:vAlign w:val="bottom"/>
          </w:tcPr>
          <w:p>
            <w:pPr>
              <w:spacing w:after="0"/>
              <w:rPr>
                <w:sz w:val="14"/>
                <w:szCs w:val="14"/>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Minimum Incentive</w:t>
            </w:r>
          </w:p>
        </w:tc>
        <w:tc>
          <w:tcPr>
            <w:tcW w:w="220" w:type="dxa"/>
            <w:vAlign w:val="bottom"/>
          </w:tcPr>
          <w:p>
            <w:pPr>
              <w:spacing w:after="0"/>
              <w:rPr>
                <w:sz w:val="14"/>
                <w:szCs w:val="14"/>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Target Incentive Threshold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Maximum Incentive</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Actual Results</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 xml:space="preserve">Threshold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Threshold</w:t>
            </w: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311,300,000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316,100,000</w:t>
            </w: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320,900,000</w:t>
            </w:r>
          </w:p>
        </w:tc>
        <w:tc>
          <w:tcPr>
            <w:tcW w:w="5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312,600,000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85,800,000</w:t>
            </w:r>
          </w:p>
        </w:tc>
        <w:tc>
          <w:tcPr>
            <w:tcW w:w="3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85,800,000</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91,800,000</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87,000,000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820" w:type="dxa"/>
            <w:vAlign w:val="bottom"/>
            <w:gridSpan w:val="2"/>
          </w:tcPr>
          <w:p>
            <w:pPr>
              <w:ind w:left="1040"/>
              <w:spacing w:after="0"/>
              <w:rPr>
                <w:sz w:val="20"/>
                <w:szCs w:val="20"/>
                <w:color w:val="auto"/>
              </w:rPr>
            </w:pPr>
            <w:r>
              <w:rPr>
                <w:rFonts w:ascii="Arial" w:cs="Arial" w:eastAsia="Arial" w:hAnsi="Arial"/>
                <w:sz w:val="14"/>
                <w:szCs w:val="14"/>
                <w:b w:val="1"/>
                <w:bCs w:val="1"/>
                <w:color w:val="auto"/>
              </w:rPr>
              <w:t>Party</w:t>
            </w:r>
          </w:p>
        </w:tc>
        <w:tc>
          <w:tcPr>
            <w:tcW w:w="140" w:type="dxa"/>
            <w:vAlign w:val="bottom"/>
          </w:tcPr>
          <w:p>
            <w:pPr>
              <w:spacing w:after="0"/>
              <w:rPr>
                <w:sz w:val="24"/>
                <w:szCs w:val="24"/>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 xml:space="preserve">Minimum Incentive </w:t>
            </w:r>
            <w:r>
              <w:rPr>
                <w:rFonts w:ascii="Arial" w:cs="Arial" w:eastAsia="Arial" w:hAnsi="Arial"/>
                <w:sz w:val="12"/>
                <w:szCs w:val="12"/>
                <w:b w:val="1"/>
                <w:bCs w:val="1"/>
                <w:color w:val="auto"/>
                <w:w w:val="95"/>
              </w:rPr>
              <w:t>(1)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Target Incentive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Maximum Incentive</w:t>
            </w:r>
          </w:p>
        </w:tc>
        <w:tc>
          <w:tcPr>
            <w:tcW w:w="14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Earned Incentive</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Black</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313,800</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523,000</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993,700</w:t>
            </w:r>
          </w:p>
        </w:tc>
        <w:tc>
          <w:tcPr>
            <w:tcW w:w="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387,020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Kimberly Nelson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168,600</w:t>
            </w:r>
          </w:p>
        </w:tc>
        <w:tc>
          <w:tcPr>
            <w:tcW w:w="360" w:type="dxa"/>
            <w:vAlign w:val="bottom"/>
          </w:tcPr>
          <w:p>
            <w:pPr>
              <w:spacing w:after="0"/>
              <w:rPr>
                <w:sz w:val="19"/>
                <w:szCs w:val="19"/>
                <w:color w:val="auto"/>
              </w:rPr>
            </w:pPr>
          </w:p>
        </w:tc>
        <w:tc>
          <w:tcPr>
            <w:tcW w:w="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281,000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533,900</w:t>
            </w:r>
          </w:p>
        </w:tc>
        <w:tc>
          <w:tcPr>
            <w:tcW w:w="5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207,940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Frome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224,400</w:t>
            </w:r>
          </w:p>
        </w:tc>
        <w:tc>
          <w:tcPr>
            <w:tcW w:w="3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374,000</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710,600</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820" w:type="dxa"/>
            <w:vAlign w:val="bottom"/>
            <w:gridSpan w:val="2"/>
          </w:tcPr>
          <w:p>
            <w:pPr>
              <w:spacing w:after="0"/>
              <w:rPr>
                <w:sz w:val="20"/>
                <w:szCs w:val="20"/>
                <w:color w:val="auto"/>
              </w:rPr>
            </w:pPr>
            <w:r>
              <w:rPr>
                <w:rFonts w:ascii="Arial" w:cs="Arial" w:eastAsia="Arial" w:hAnsi="Arial"/>
                <w:sz w:val="18"/>
                <w:szCs w:val="18"/>
                <w:color w:val="auto"/>
              </w:rPr>
              <w:t>Proportion of Target</w:t>
            </w:r>
          </w:p>
        </w:tc>
        <w:tc>
          <w:tcPr>
            <w:tcW w:w="140" w:type="dxa"/>
            <w:vAlign w:val="bottom"/>
          </w:tcPr>
          <w:p>
            <w:pPr>
              <w:spacing w:after="0"/>
              <w:rPr>
                <w:sz w:val="24"/>
                <w:szCs w:val="24"/>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either the minimum revenue or Adjusted EBITDA threshold was not achieved, zero incentive would have been earned.</w:t>
      </w:r>
    </w:p>
    <w:p>
      <w:pPr>
        <w:spacing w:after="0" w:line="213" w:lineRule="exact"/>
        <w:rPr>
          <w:sz w:val="20"/>
          <w:szCs w:val="20"/>
          <w:color w:val="auto"/>
        </w:rPr>
      </w:pPr>
    </w:p>
    <w:p>
      <w:pPr>
        <w:ind w:right="580"/>
        <w:spacing w:after="0" w:line="200" w:lineRule="auto"/>
        <w:rPr>
          <w:sz w:val="20"/>
          <w:szCs w:val="20"/>
          <w:color w:val="auto"/>
        </w:rPr>
      </w:pPr>
      <w:r>
        <w:rPr>
          <w:rFonts w:ascii="Arial" w:cs="Arial" w:eastAsia="Arial" w:hAnsi="Arial"/>
          <w:sz w:val="27"/>
          <w:szCs w:val="27"/>
          <w:color w:val="auto"/>
          <w:vertAlign w:val="superscript"/>
        </w:rPr>
        <w:t>{A}</w:t>
      </w:r>
      <w:r>
        <w:rPr>
          <w:rFonts w:ascii="Arial" w:cs="Arial" w:eastAsia="Arial" w:hAnsi="Arial"/>
          <w:sz w:val="16"/>
          <w:szCs w:val="16"/>
          <w:i w:val="1"/>
          <w:iCs w:val="1"/>
          <w:color w:val="auto"/>
        </w:rPr>
        <w:t xml:space="preserve"> 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00AAE5"/>
        </w:rPr>
        <w:t>Equity Awards</w:t>
      </w:r>
    </w:p>
    <w:p>
      <w:pPr>
        <w:spacing w:after="0" w:line="171"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Historically, we have granted our named executive officers equity awards. These equity awards reflect the pay levels our Committee believed were appropriate relative to the market data, each executive’s individual performance, and maintaining an overall competitive compensation package. We believe equity awards are an important element of compensation because they provide our executives a potential ownership interest in our Company, which helps align their interests with those of other stockholders. In the future, we anticipate that equity compensation will remain a significant part of our executive compensation program and will continue to be granted on an annual basis to ensure a continued unvested equity component to the executive compensation package. When determining the size of the equity award for our named executive officers, our Committee considers the executive’s position and responsibilities, the equity holdings of our other executives, competitive market data, Chief Executive Officer recommendations, and the anticipated future contribution the executive will make to our success. See below for the change in mix of equity awards types granted to our named executive officers.</w:t>
      </w:r>
    </w:p>
    <w:p>
      <w:pPr>
        <w:spacing w:after="0" w:line="36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89"/>
              </w:rPr>
              <w:t>2020 Average Equity</w:t>
            </w:r>
          </w:p>
        </w:tc>
        <w:tc>
          <w:tcPr>
            <w:tcW w:w="240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90"/>
              </w:rPr>
              <w:t>2019 Average Equity</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90"/>
              </w:rPr>
              <w:t>Award Package</w:t>
            </w:r>
          </w:p>
        </w:tc>
        <w:tc>
          <w:tcPr>
            <w:tcW w:w="240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90"/>
              </w:rPr>
              <w:t>Award Package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5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Equity Award Type</w:t>
            </w:r>
          </w:p>
        </w:tc>
        <w:tc>
          <w:tcPr>
            <w:tcW w:w="3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Proportion</w:t>
            </w:r>
          </w:p>
        </w:tc>
        <w:tc>
          <w:tcPr>
            <w:tcW w:w="5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Proportion</w:t>
            </w:r>
          </w:p>
        </w:tc>
        <w:tc>
          <w:tcPr>
            <w:tcW w:w="580" w:type="dxa"/>
            <w:vAlign w:val="bottom"/>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PSUs</w:t>
            </w:r>
          </w:p>
        </w:tc>
        <w:tc>
          <w:tcPr>
            <w:tcW w:w="380" w:type="dxa"/>
            <w:vAlign w:val="bottom"/>
          </w:tcPr>
          <w:p>
            <w:pPr>
              <w:spacing w:after="0"/>
              <w:rPr>
                <w:sz w:val="19"/>
                <w:szCs w:val="19"/>
                <w:color w:val="auto"/>
              </w:rPr>
            </w:pPr>
          </w:p>
        </w:tc>
        <w:tc>
          <w:tcPr>
            <w:tcW w:w="1840" w:type="dxa"/>
            <w:vAlign w:val="bottom"/>
          </w:tcPr>
          <w:p>
            <w:pPr>
              <w:ind w:left="1640"/>
              <w:spacing w:after="0"/>
              <w:rPr>
                <w:sz w:val="20"/>
                <w:szCs w:val="20"/>
                <w:color w:val="auto"/>
              </w:rPr>
            </w:pPr>
            <w:r>
              <w:rPr>
                <w:rFonts w:ascii="Arial" w:cs="Arial" w:eastAsia="Arial" w:hAnsi="Arial"/>
                <w:sz w:val="18"/>
                <w:szCs w:val="18"/>
                <w:color w:val="auto"/>
                <w:w w:val="89"/>
              </w:rPr>
              <w:t>56</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w w:val="74"/>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w w:val="74"/>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229"/>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RSUs</w:t>
            </w:r>
          </w:p>
        </w:tc>
        <w:tc>
          <w:tcPr>
            <w:tcW w:w="2420" w:type="dxa"/>
            <w:vAlign w:val="bottom"/>
            <w:gridSpan w:val="2"/>
            <w:shd w:val="clear" w:color="auto" w:fill="CFF0FC"/>
          </w:tcPr>
          <w:p>
            <w:pPr>
              <w:ind w:left="1640"/>
              <w:spacing w:after="0"/>
              <w:rPr>
                <w:sz w:val="20"/>
                <w:szCs w:val="20"/>
                <w:color w:val="auto"/>
              </w:rPr>
            </w:pPr>
            <w:r>
              <w:rPr>
                <w:rFonts w:ascii="Arial" w:cs="Arial" w:eastAsia="Arial" w:hAnsi="Arial"/>
                <w:sz w:val="18"/>
                <w:szCs w:val="18"/>
                <w:color w:val="auto"/>
              </w:rPr>
              <w:t>44%</w:t>
            </w:r>
          </w:p>
        </w:tc>
        <w:tc>
          <w:tcPr>
            <w:tcW w:w="240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242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35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bl>
    <w:p>
      <w:pPr>
        <w:spacing w:after="0" w:line="14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vesting of granted equity awards in the event of a termination or change in control is described in more detail below under “Potential Payments Upon Termination or Change in Control.”</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RSUs</w:t>
      </w:r>
    </w:p>
    <w:p>
      <w:pPr>
        <w:spacing w:after="0" w:line="171"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RSUs generally vest over four years and provide a strong retention component to the compensation program as they require the executives to maintain continuous employment with us in order for the awards to vest.</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PSUs</w:t>
      </w:r>
    </w:p>
    <w:p>
      <w:pPr>
        <w:spacing w:after="0" w:line="17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PSUs are earned over a three-year performance period depending on the Company’s performance during such performance period and the award recipient’s continued employment. We believe PSUs further align our executives’ interests with those of our stockholders because the executives profit from PSUs only if certain performance goals are achieved. The PSUs awarded in 2018, 2019, and 2020 are earned contingent upon successful attainment of pre-determined total shareholder return (“TSR”) targets, relative to Russell 2000 companies (the “Index”) over the course of the performance period. The Index was selected because it is a major, broad index of stocks of which we are a component and many members are similar in size to SPS. The three-year period was designed to provide a long term performance period to align management compensation with long term stockholder returns. The following table sets forth the TSR targets for PSUs granted to our named executive officers in 2020:</w:t>
      </w:r>
    </w:p>
    <w:p>
      <w:pPr>
        <w:sectPr>
          <w:pgSz w:w="11900" w:h="16838" w:orient="portrait"/>
          <w:cols w:equalWidth="0" w:num="1">
            <w:col w:w="11240"/>
          </w:cols>
          <w:pgMar w:left="320" w:top="355" w:right="339" w:bottom="1440" w:gutter="0" w:footer="0" w:header="0"/>
        </w:sectPr>
      </w:pPr>
    </w:p>
    <w:p>
      <w:pPr>
        <w:spacing w:after="0" w:line="389"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Company TSR as Compared to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wp:posOffset>
            </wp:positionV>
            <wp:extent cx="521208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 w:lineRule="exact"/>
        <w:rPr>
          <w:sz w:val="20"/>
          <w:szCs w:val="20"/>
          <w:color w:val="auto"/>
        </w:rPr>
      </w:pPr>
    </w:p>
    <w:p>
      <w:pPr>
        <w:ind w:left="1520" w:right="1400"/>
        <w:spacing w:after="0" w:line="282" w:lineRule="auto"/>
        <w:rPr>
          <w:sz w:val="20"/>
          <w:szCs w:val="20"/>
          <w:color w:val="auto"/>
        </w:rPr>
      </w:pPr>
      <w:r>
        <w:rPr>
          <w:rFonts w:ascii="Arial" w:cs="Arial" w:eastAsia="Arial" w:hAnsi="Arial"/>
          <w:sz w:val="18"/>
          <w:szCs w:val="18"/>
          <w:color w:val="auto"/>
        </w:rPr>
        <w:t>Company TSR is more than 10% less than Index TSR Company TSR is 10% less than Index TSR Company TSR is equal to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-144780</wp:posOffset>
            </wp:positionV>
            <wp:extent cx="521208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Company TSR is 5% greater than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wp:posOffset>
            </wp:positionV>
            <wp:extent cx="521208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Company TSR is 30% greater than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680"/>
        <w:spacing w:after="0"/>
        <w:rPr>
          <w:sz w:val="20"/>
          <w:szCs w:val="20"/>
          <w:color w:val="auto"/>
        </w:rPr>
      </w:pPr>
      <w:r>
        <w:rPr>
          <w:rFonts w:ascii="Arial" w:cs="Arial" w:eastAsia="Arial" w:hAnsi="Arial"/>
          <w:sz w:val="15"/>
          <w:szCs w:val="15"/>
          <w:b w:val="1"/>
          <w:bCs w:val="1"/>
          <w:color w:val="auto"/>
        </w:rPr>
        <w:t>Percentage of Target PSUs</w:t>
      </w:r>
    </w:p>
    <w:p>
      <w:pPr>
        <w:spacing w:after="0" w:line="62"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Earned</w:t>
      </w:r>
    </w:p>
    <w:p>
      <w:pPr>
        <w:spacing w:after="0" w:line="9"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0%</w:t>
      </w:r>
    </w:p>
    <w:p>
      <w:pPr>
        <w:spacing w:after="0" w:line="35"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40% (threshold)</w:t>
      </w:r>
    </w:p>
    <w:p>
      <w:pPr>
        <w:spacing w:after="0" w:line="50"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80%</w:t>
      </w:r>
    </w:p>
    <w:p>
      <w:pPr>
        <w:spacing w:after="0" w:line="23"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100% (target)</w:t>
      </w:r>
    </w:p>
    <w:p>
      <w:pPr>
        <w:spacing w:after="0" w:line="23"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200% (maximum)</w:t>
      </w:r>
    </w:p>
    <w:p>
      <w:pPr>
        <w:spacing w:after="0" w:line="213" w:lineRule="exact"/>
        <w:rPr>
          <w:sz w:val="20"/>
          <w:szCs w:val="20"/>
          <w:color w:val="auto"/>
        </w:rPr>
      </w:pPr>
    </w:p>
    <w:p>
      <w:pPr>
        <w:sectPr>
          <w:pgSz w:w="11900" w:h="16838" w:orient="portrait"/>
          <w:cols w:equalWidth="0" w:num="2">
            <w:col w:w="6800" w:space="720"/>
            <w:col w:w="3720"/>
          </w:cols>
          <w:pgMar w:left="320" w:top="355" w:right="339" w:bottom="1440" w:gutter="0" w:footer="0" w:header="0"/>
          <w:type w:val="continuous"/>
        </w:sectPr>
      </w:pPr>
    </w:p>
    <w:p>
      <w:pPr>
        <w:spacing w:after="0" w:line="218"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29" w:name="page30"/>
    <w:bookmarkEnd w:id="29"/>
    <w:p>
      <w:pPr>
        <w:jc w:val="both"/>
        <w:ind w:left="600" w:right="220"/>
        <w:spacing w:after="0" w:line="263" w:lineRule="auto"/>
        <w:rPr>
          <w:sz w:val="20"/>
          <w:szCs w:val="20"/>
          <w:color w:val="auto"/>
        </w:rPr>
      </w:pPr>
      <w:r>
        <w:rPr>
          <w:rFonts w:ascii="Arial" w:cs="Arial" w:eastAsia="Arial" w:hAnsi="Arial"/>
          <w:sz w:val="18"/>
          <w:szCs w:val="18"/>
          <w:color w:val="auto"/>
        </w:rPr>
        <w:t>If the Company’s TSR is greater than the Index TSR but is negative, the percentage of PSUs earned is capped at 100%. If the comparison of the Company’s TSR against Index TSR falls between the levels specified in the above table, the corresponding PSUs earned will be determined by a linear interpolation.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Previous Grant Certification</w:t>
      </w:r>
    </w:p>
    <w:p>
      <w:pPr>
        <w:spacing w:after="0" w:line="171"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In 2021, the Committee certified results for 2018 – 2020 performance period for PSUs granted in 2018. Based on Company TSR achieved relative to the Index TSR, the maximum threshold was achieved and the maximum shares vested in 2021. See below for the calculation of the earned PSUs.</w:t>
      </w:r>
    </w:p>
    <w:tbl>
      <w:tblPr>
        <w:tblLayout w:type="fixed"/>
        <w:tblInd w:w="1140" w:type="dxa"/>
        <w:tblCellMar>
          <w:top w:w="0" w:type="dxa"/>
          <w:left w:w="0" w:type="dxa"/>
          <w:bottom w:w="0" w:type="dxa"/>
          <w:right w:w="0" w:type="dxa"/>
        </w:tblCellMar>
      </w:tblPr>
      <w:tr>
        <w:trPr>
          <w:trHeight w:val="211"/>
        </w:trPr>
        <w:tc>
          <w:tcPr>
            <w:tcW w:w="6280" w:type="dxa"/>
            <w:vAlign w:val="bottom"/>
          </w:tcPr>
          <w:p>
            <w:pPr>
              <w:spacing w:after="0"/>
              <w:rPr>
                <w:sz w:val="18"/>
                <w:szCs w:val="18"/>
                <w:color w:val="auto"/>
              </w:rPr>
            </w:pPr>
          </w:p>
        </w:tc>
        <w:tc>
          <w:tcPr>
            <w:tcW w:w="27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Percent of Target PSUs</w:t>
            </w:r>
          </w:p>
        </w:tc>
      </w:t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Company TSR as Compared to Index TSR</w:t>
            </w:r>
          </w:p>
        </w:tc>
        <w:tc>
          <w:tcPr>
            <w:tcW w:w="27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Earned</w:t>
            </w:r>
          </w:p>
        </w:tc>
      </w:tr>
      <w:tr>
        <w:trPr>
          <w:trHeight w:val="223"/>
        </w:trPr>
        <w:tc>
          <w:tcPr>
            <w:tcW w:w="6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Company TSR is less than Index TSR</w:t>
            </w:r>
          </w:p>
        </w:tc>
        <w:tc>
          <w:tcPr>
            <w:tcW w:w="2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Company TSR is equal to Index TSR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Company TSR is 5 percentage points greater than Index TSR</w:t>
            </w:r>
          </w:p>
        </w:tc>
        <w:tc>
          <w:tcPr>
            <w:tcW w:w="2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Company TSR is 25 percentage points greater than Index TSR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628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Borders>
              <w:bottom w:val="single" w:sz="8" w:color="auto"/>
            </w:tcBorders>
          </w:tcPr>
          <w:p>
            <w:pPr>
              <w:ind w:left="3120"/>
              <w:spacing w:after="0"/>
              <w:rPr>
                <w:sz w:val="20"/>
                <w:szCs w:val="20"/>
                <w:color w:val="auto"/>
              </w:rPr>
            </w:pPr>
            <w:r>
              <w:rPr>
                <w:rFonts w:ascii="Arial" w:cs="Arial" w:eastAsia="Arial" w:hAnsi="Arial"/>
                <w:sz w:val="18"/>
                <w:szCs w:val="18"/>
                <w:b w:val="1"/>
                <w:bCs w:val="1"/>
                <w:color w:val="auto"/>
              </w:rPr>
              <w:t>Performance Period: 2018 – 2020</w:t>
            </w:r>
          </w:p>
        </w:tc>
        <w:tc>
          <w:tcPr>
            <w:tcW w:w="25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Company TSR</w:t>
            </w: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Index TSR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Company TSR in excess of Index TSR</w:t>
            </w:r>
          </w:p>
        </w:tc>
        <w:tc>
          <w:tcPr>
            <w:tcW w:w="2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Percent of Target PSUs Earned</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(maximum) 200%</w:t>
            </w:r>
          </w:p>
        </w:tc>
      </w:tr>
    </w:tbl>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earned but unvested shares are included in the “Outstanding Equity Awards at Fiscal Year-End” Table.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Stock Ownership Guidelines</w:t>
      </w:r>
    </w:p>
    <w:p>
      <w:pPr>
        <w:spacing w:after="0" w:line="17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Under our stock ownership guidelines, our Chief Executive Officer is required to beneficially own shares of our common stock with a value equal to at least three times his annual base salary, and our other executive officers are required to beneficially own shares of our common stock with a value equal to at least one times his or her annual base salary. A named executive officer has five years from the date he or she becomes subject to the ownership guidelines to achieve compliance with the guidelines. Until an executive officer has achieved compliance with the ownership guidelines, the executive must retain 50% of the net shares acquired upon exercise, vesting or settlement of any equity award. Each of our executive officers were in compliance with our stock ownership guidelines as of March 24,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Other Compensation</w:t>
      </w:r>
    </w:p>
    <w:p>
      <w:pPr>
        <w:spacing w:after="0" w:line="17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401(k) plan. Pursuant to our 401(k) plan, employees may elect to reduce their current compensation by up to the statutorily prescribed annual limit and to have the amount of this reduction contributed to our 401(k) plan. In 2020, our 401(k) plan provided that we would match eligible employees’ 401(k) contributions equal to 50% of the employee’s elective deferrals, up to the first 6% of the employee’s pre-tax compensation for each pay period, payable half in cash and half in shares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Severance and Change in Control Benefits</w:t>
      </w:r>
    </w:p>
    <w:p>
      <w:pPr>
        <w:spacing w:after="0" w:line="171"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We have entered into employment agreements with each of our named executive officers that require us to provide certain payments and benefits to them in the event of a termination of employment and/or a change in control of the Company. We believe that these payments and benefits are necessary to attract and retain our executives to join our Company and that they are in the best interests of the Company and our stockholders because they help assure us that we will have the continued dedication and objectivity of our executives, notwithstanding the possibility or occurrence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0574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1"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AAE5"/>
        </w:rPr>
        <w:t>Tax Implications</w:t>
      </w:r>
    </w:p>
    <w:p>
      <w:pPr>
        <w:spacing w:after="0" w:line="171"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Under Section 162(m) of the Internal Revenue Code (the “Code”) compensation paid to our named executive officers in excess of $1 million is not deductible. The Committee believes that stockholder interests are best served if its discretion and flexibility in structuring and awarding compensation is not restricted, even though some compensation awards result in non-deductible compensation expenses to the Company. Also, our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definitive proxy statement and incorporated by reference in the Company’s Annual Report on Form 10-K.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&amp; Talent Committee of the Board of Directors of 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Marty Reaume, </w:t>
      </w:r>
      <w:r>
        <w:rPr>
          <w:rFonts w:ascii="Arial" w:cs="Arial" w:eastAsia="Arial" w:hAnsi="Arial"/>
          <w:sz w:val="18"/>
          <w:szCs w:val="18"/>
          <w:i w:val="1"/>
          <w:iCs w:val="1"/>
          <w:color w:val="auto"/>
        </w:rPr>
        <w:t>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Philip Soran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0574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2020, 2019, and 2018: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8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Plan</w:t>
            </w: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6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 ($)</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 ($)</w:t>
            </w:r>
          </w:p>
        </w:tc>
        <w:tc>
          <w:tcPr>
            <w:tcW w:w="11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 ($)</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2"/>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color w:val="auto"/>
              </w:rPr>
              <w:t>(1)</w:t>
            </w:r>
          </w:p>
        </w:tc>
        <w:tc>
          <w:tcPr>
            <w:tcW w:w="2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color w:val="auto"/>
                <w:w w:val="95"/>
              </w:rPr>
              <w:t>(1)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2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Black</w:t>
            </w:r>
          </w:p>
        </w:tc>
        <w:tc>
          <w:tcPr>
            <w:tcW w:w="1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523,000</w:t>
            </w:r>
          </w:p>
        </w:tc>
        <w:tc>
          <w:tcPr>
            <w:tcW w:w="2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3,892,234</w:t>
            </w: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9"/>
              </w:rPr>
              <w:t>387,020</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8,550</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4,810,804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Chief Executive Officer and</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495,000</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2,015,896</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600,024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542,900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President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495,000</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2,527,729</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599,984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890,000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Kimberly Nelson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374,000</w:t>
            </w:r>
          </w:p>
        </w:tc>
        <w:tc>
          <w:tcPr>
            <w:tcW w:w="26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1,658,387</w:t>
            </w: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ind w:left="300"/>
              <w:spacing w:after="0"/>
              <w:rPr>
                <w:sz w:val="20"/>
                <w:szCs w:val="20"/>
                <w:color w:val="auto"/>
              </w:rPr>
            </w:pPr>
            <w:r>
              <w:rPr>
                <w:rFonts w:ascii="Arial" w:cs="Arial" w:eastAsia="Arial" w:hAnsi="Arial"/>
                <w:sz w:val="18"/>
                <w:szCs w:val="18"/>
                <w:color w:val="auto"/>
                <w:w w:val="89"/>
              </w:rPr>
              <w:t>207,940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8,550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2,248,877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345,000</w:t>
            </w:r>
          </w:p>
        </w:tc>
        <w:tc>
          <w:tcPr>
            <w:tcW w:w="26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1,028,762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306,259</w:t>
            </w:r>
          </w:p>
        </w:tc>
        <w:tc>
          <w:tcPr>
            <w:tcW w:w="26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w w:val="89"/>
              </w:rPr>
              <w:t>317,200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2,005,621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345,000</w:t>
            </w:r>
          </w:p>
        </w:tc>
        <w:tc>
          <w:tcPr>
            <w:tcW w:w="26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1,007,943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306,245</w:t>
            </w:r>
          </w:p>
        </w:tc>
        <w:tc>
          <w:tcPr>
            <w:tcW w:w="26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w w:val="89"/>
              </w:rPr>
              <w:t>520,000</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2,186,248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James Frome</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374,000</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1,658,387</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276,760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Executive Vice President and</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1,175,712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329,400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Chief Operating Officer</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1,151,927</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349,981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540,000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40" w:right="20" w:hanging="432"/>
        <w:spacing w:after="0" w:line="259"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ASC Topic 718. For a discussion of the relevant assumptions used to determine the valuation of our stock option awards for financial reporting purposes, refer to Note L to the Notes to Consolidated Financial Statements included in our Annual Report on Form 10-K filed on February 23, 2021. The grant date fair value of the stock-based awards granted in 2020 are as follows:</w:t>
      </w: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RSUs ($)</w:t>
            </w:r>
          </w:p>
        </w:tc>
        <w:tc>
          <w:tcPr>
            <w:tcW w:w="1520" w:type="dxa"/>
            <w:vAlign w:val="bottom"/>
            <w:gridSpan w:val="2"/>
          </w:tcPr>
          <w:p>
            <w:pPr>
              <w:ind w:left="620"/>
              <w:spacing w:after="0"/>
              <w:rPr>
                <w:sz w:val="20"/>
                <w:szCs w:val="20"/>
                <w:color w:val="auto"/>
              </w:rPr>
            </w:pPr>
            <w:r>
              <w:rPr>
                <w:rFonts w:ascii="Arial" w:cs="Arial" w:eastAsia="Arial" w:hAnsi="Arial"/>
                <w:sz w:val="14"/>
                <w:szCs w:val="14"/>
                <w:b w:val="1"/>
                <w:bCs w:val="1"/>
                <w:color w:val="auto"/>
              </w:rPr>
              <w:t>PSUs ($)</w:t>
            </w:r>
          </w:p>
        </w:tc>
        <w:tc>
          <w:tcPr>
            <w:tcW w:w="1560" w:type="dxa"/>
            <w:vAlign w:val="bottom"/>
            <w:gridSpan w:val="2"/>
          </w:tcPr>
          <w:p>
            <w:pPr>
              <w:ind w:left="640"/>
              <w:spacing w:after="0"/>
              <w:rPr>
                <w:sz w:val="20"/>
                <w:szCs w:val="20"/>
                <w:color w:val="auto"/>
              </w:rPr>
            </w:pPr>
            <w:r>
              <w:rPr>
                <w:rFonts w:ascii="Arial" w:cs="Arial" w:eastAsia="Arial" w:hAnsi="Arial"/>
                <w:sz w:val="14"/>
                <w:szCs w:val="14"/>
                <w:b w:val="1"/>
                <w:bCs w:val="1"/>
                <w:color w:val="auto"/>
              </w:rPr>
              <w:t>Total ($)</w:t>
            </w:r>
          </w:p>
        </w:tc>
      </w:tr>
      <w:tr>
        <w:trPr>
          <w:trHeight w:val="223"/>
        </w:trPr>
        <w:tc>
          <w:tcPr>
            <w:tcW w:w="2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Black</w:t>
            </w:r>
          </w:p>
        </w:tc>
        <w:tc>
          <w:tcPr>
            <w:tcW w:w="3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1,515,994</w:t>
            </w:r>
          </w:p>
        </w:tc>
        <w:tc>
          <w:tcPr>
            <w:tcW w:w="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2,376,240</w:t>
            </w:r>
          </w:p>
        </w:tc>
        <w:tc>
          <w:tcPr>
            <w:tcW w:w="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3,892,234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color w:val="auto"/>
              </w:rPr>
              <w:t>Kimberly Nelson</w:t>
            </w:r>
          </w:p>
        </w:tc>
        <w:tc>
          <w:tcPr>
            <w:tcW w:w="1140" w:type="dxa"/>
            <w:vAlign w:val="bottom"/>
          </w:tcPr>
          <w:p>
            <w:pPr>
              <w:jc w:val="right"/>
              <w:spacing w:after="0"/>
              <w:rPr>
                <w:sz w:val="20"/>
                <w:szCs w:val="20"/>
                <w:color w:val="auto"/>
              </w:rPr>
            </w:pPr>
            <w:r>
              <w:rPr>
                <w:rFonts w:ascii="Arial" w:cs="Arial" w:eastAsia="Arial" w:hAnsi="Arial"/>
                <w:sz w:val="18"/>
                <w:szCs w:val="18"/>
                <w:color w:val="auto"/>
              </w:rPr>
              <w:t>810,956</w:t>
            </w:r>
          </w:p>
        </w:tc>
        <w:tc>
          <w:tcPr>
            <w:tcW w:w="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847,431</w:t>
            </w:r>
          </w:p>
        </w:tc>
        <w:tc>
          <w:tcPr>
            <w:tcW w:w="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1,658,387</w:t>
            </w:r>
          </w:p>
        </w:tc>
        <w:tc>
          <w:tcPr>
            <w:tcW w:w="80" w:type="dxa"/>
            <w:vAlign w:val="bottom"/>
          </w:tcPr>
          <w:p>
            <w:pPr>
              <w:spacing w:after="0"/>
              <w:rPr>
                <w:sz w:val="19"/>
                <w:szCs w:val="19"/>
                <w:color w:val="auto"/>
              </w:rPr>
            </w:pPr>
          </w:p>
        </w:tc>
      </w:tr>
      <w:tr>
        <w:trPr>
          <w:trHeight w:val="230"/>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Frome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810,956</w:t>
            </w:r>
          </w:p>
        </w:tc>
        <w:tc>
          <w:tcPr>
            <w:tcW w:w="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847,431</w:t>
            </w:r>
          </w:p>
        </w:tc>
        <w:tc>
          <w:tcPr>
            <w:tcW w:w="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1,658,387</w:t>
            </w:r>
          </w:p>
        </w:tc>
        <w:tc>
          <w:tcPr>
            <w:tcW w:w="8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matching contributions under our 401(k) plan.</w:t>
      </w:r>
    </w:p>
    <w:p>
      <w:pPr>
        <w:spacing w:after="0" w:line="131" w:lineRule="exact"/>
        <w:rPr>
          <w:sz w:val="20"/>
          <w:szCs w:val="20"/>
          <w:color w:val="auto"/>
        </w:rPr>
      </w:pPr>
    </w:p>
    <w:p>
      <w:pPr>
        <w:ind w:left="440" w:right="240" w:hanging="432"/>
        <w:spacing w:after="0" w:line="277"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the “Compensation Discussion and Analysis” above for a description of our executive compensation criteria necessary for an understanding of the information disclosed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0574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2020 Grants of Plan-Based Awards Table</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2020.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40" w:type="dxa"/>
            <w:vAlign w:val="bottom"/>
            <w:gridSpan w:val="6"/>
          </w:tcPr>
          <w:p>
            <w:pPr>
              <w:jc w:val="center"/>
              <w:ind w:right="260"/>
              <w:spacing w:after="0"/>
              <w:rPr>
                <w:sz w:val="20"/>
                <w:szCs w:val="20"/>
                <w:color w:val="auto"/>
              </w:rPr>
            </w:pPr>
            <w:r>
              <w:rPr>
                <w:rFonts w:ascii="Arial" w:cs="Arial" w:eastAsia="Arial" w:hAnsi="Arial"/>
                <w:sz w:val="11"/>
                <w:szCs w:val="11"/>
                <w:b w:val="1"/>
                <w:bCs w:val="1"/>
                <w:color w:val="auto"/>
                <w:w w:val="90"/>
              </w:rPr>
              <w:t>Estimated Future Payouts Under Non-Equity</w:t>
            </w:r>
          </w:p>
        </w:tc>
        <w:tc>
          <w:tcPr>
            <w:tcW w:w="2660" w:type="dxa"/>
            <w:vAlign w:val="bottom"/>
            <w:gridSpan w:val="6"/>
          </w:tcPr>
          <w:p>
            <w:pPr>
              <w:jc w:val="center"/>
              <w:ind w:right="260"/>
              <w:spacing w:after="0"/>
              <w:rPr>
                <w:sz w:val="20"/>
                <w:szCs w:val="20"/>
                <w:color w:val="auto"/>
              </w:rPr>
            </w:pPr>
            <w:r>
              <w:rPr>
                <w:rFonts w:ascii="Arial" w:cs="Arial" w:eastAsia="Arial" w:hAnsi="Arial"/>
                <w:sz w:val="11"/>
                <w:szCs w:val="11"/>
                <w:b w:val="1"/>
                <w:bCs w:val="1"/>
                <w:color w:val="auto"/>
                <w:w w:val="89"/>
              </w:rPr>
              <w:t>Estimated Future Payouts Under Equity Incentive</w:t>
            </w: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9"/>
              </w:rPr>
              <w:t>Incentive Plan Awards</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Plan Awards</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5"/>
        </w:trPr>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gridSpan w:val="2"/>
          </w:tcPr>
          <w:p>
            <w:pPr>
              <w:jc w:val="center"/>
              <w:ind w:right="280"/>
              <w:spacing w:after="0" w:line="115" w:lineRule="exact"/>
              <w:rPr>
                <w:sz w:val="20"/>
                <w:szCs w:val="20"/>
                <w:color w:val="auto"/>
              </w:rPr>
            </w:pPr>
            <w:r>
              <w:rPr>
                <w:rFonts w:ascii="Arial" w:cs="Arial" w:eastAsia="Arial" w:hAnsi="Arial"/>
                <w:sz w:val="11"/>
                <w:szCs w:val="11"/>
                <w:b w:val="1"/>
                <w:bCs w:val="1"/>
                <w:color w:val="auto"/>
                <w:w w:val="91"/>
              </w:rPr>
              <w:t>All Other Stock Award:</w:t>
            </w:r>
          </w:p>
        </w:tc>
        <w:tc>
          <w:tcPr>
            <w:tcW w:w="11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93"/>
              </w:rPr>
              <w:t>Grant Date Fair</w:t>
            </w:r>
          </w:p>
        </w:tc>
      </w:tr>
      <w:tr>
        <w:trPr>
          <w:trHeight w:val="121"/>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Approval</w:t>
            </w: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7"/>
              </w:rPr>
              <w:t>Threshold</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Maximum</w:t>
            </w:r>
          </w:p>
        </w:tc>
        <w:tc>
          <w:tcPr>
            <w:tcW w:w="64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Threshold</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8"/>
              </w:rPr>
              <w:t>Number of Shares</w:t>
            </w:r>
          </w:p>
        </w:tc>
        <w:tc>
          <w:tcPr>
            <w:tcW w:w="11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Value of Stock</w:t>
            </w:r>
          </w:p>
        </w:tc>
      </w:tr>
      <w:tr>
        <w:trPr>
          <w:trHeight w:val="135"/>
        </w:trPr>
        <w:tc>
          <w:tcPr>
            <w:tcW w:w="1480" w:type="dxa"/>
            <w:vAlign w:val="bottom"/>
          </w:tcPr>
          <w:p>
            <w:pPr>
              <w:ind w:left="600"/>
              <w:spacing w:after="0"/>
              <w:rPr>
                <w:sz w:val="20"/>
                <w:szCs w:val="20"/>
                <w:color w:val="auto"/>
              </w:rPr>
            </w:pPr>
            <w:r>
              <w:rPr>
                <w:rFonts w:ascii="Arial" w:cs="Arial" w:eastAsia="Arial" w:hAnsi="Arial"/>
                <w:sz w:val="11"/>
                <w:szCs w:val="11"/>
                <w:b w:val="1"/>
                <w:bCs w:val="1"/>
                <w:color w:val="auto"/>
              </w:rPr>
              <w:t>Name</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92"/>
              </w:rPr>
              <w:t>Grant Date</w:t>
            </w:r>
            <w:r>
              <w:rPr>
                <w:rFonts w:ascii="Arial" w:cs="Arial" w:eastAsia="Arial" w:hAnsi="Arial"/>
                <w:sz w:val="9"/>
                <w:szCs w:val="9"/>
                <w:color w:val="auto"/>
                <w:w w:val="92"/>
              </w:rPr>
              <w:t>(1)</w:t>
            </w:r>
          </w:p>
        </w:tc>
        <w:tc>
          <w:tcPr>
            <w:tcW w:w="16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Date</w:t>
            </w:r>
            <w:r>
              <w:rPr>
                <w:rFonts w:ascii="Arial" w:cs="Arial" w:eastAsia="Arial" w:hAnsi="Arial"/>
                <w:sz w:val="9"/>
                <w:szCs w:val="9"/>
                <w:color w:val="auto"/>
                <w:w w:val="91"/>
              </w:rPr>
              <w:t>(1)</w:t>
            </w:r>
          </w:p>
        </w:tc>
        <w:tc>
          <w:tcPr>
            <w:tcW w:w="64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Target ($)</w:t>
            </w:r>
          </w:p>
        </w:tc>
        <w:tc>
          <w:tcPr>
            <w:tcW w:w="64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1"/>
                <w:szCs w:val="11"/>
                <w:color w:val="auto"/>
              </w:rPr>
            </w:pPr>
          </w:p>
        </w:tc>
        <w:tc>
          <w:tcPr>
            <w:tcW w:w="64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Target ($)</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Maximum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w:t>
            </w:r>
          </w:p>
        </w:tc>
        <w:tc>
          <w:tcPr>
            <w:tcW w:w="14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of Stock of Units (#)</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Awards ($)</w:t>
            </w:r>
            <w:r>
              <w:rPr>
                <w:rFonts w:ascii="Arial" w:cs="Arial" w:eastAsia="Arial" w:hAnsi="Arial"/>
                <w:sz w:val="9"/>
                <w:szCs w:val="9"/>
                <w:color w:val="auto"/>
                <w:w w:val="92"/>
              </w:rPr>
              <w:t>(2)</w:t>
            </w:r>
          </w:p>
        </w:tc>
      </w:tr>
      <w:tr>
        <w:trPr>
          <w:trHeight w:val="128"/>
        </w:trPr>
        <w:tc>
          <w:tcPr>
            <w:tcW w:w="1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Archie Black</w:t>
            </w: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14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Annual Cash Bonus </w:t>
            </w:r>
            <w:r>
              <w:rPr>
                <w:rFonts w:ascii="Arial" w:cs="Arial" w:eastAsia="Arial" w:hAnsi="Arial"/>
                <w:sz w:val="9"/>
                <w:szCs w:val="9"/>
                <w:color w:val="auto"/>
              </w:rPr>
              <w:t>(3)</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313,800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523,000</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993,700</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14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PSU Award </w:t>
            </w:r>
            <w:r>
              <w:rPr>
                <w:rFonts w:ascii="Arial" w:cs="Arial" w:eastAsia="Arial" w:hAnsi="Arial"/>
                <w:sz w:val="9"/>
                <w:szCs w:val="9"/>
                <w:color w:val="auto"/>
              </w:rPr>
              <w:t>(4)</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2/21/2020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16,170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40,426</w:t>
            </w: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80,852</w:t>
            </w:r>
          </w:p>
        </w:tc>
        <w:tc>
          <w:tcPr>
            <w:tcW w:w="26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2,376,240</w:t>
            </w:r>
          </w:p>
        </w:tc>
        <w:tc>
          <w:tcPr>
            <w:tcW w:w="100" w:type="dxa"/>
            <w:vAlign w:val="bottom"/>
            <w:shd w:val="clear" w:color="auto" w:fill="CFF0FC"/>
          </w:tcPr>
          <w:p>
            <w:pPr>
              <w:spacing w:after="0"/>
              <w:rPr>
                <w:sz w:val="11"/>
                <w:szCs w:val="11"/>
                <w:color w:val="auto"/>
              </w:rPr>
            </w:pPr>
          </w:p>
        </w:tc>
      </w:tr>
      <w:tr>
        <w:trPr>
          <w:trHeight w:val="135"/>
        </w:trPr>
        <w:tc>
          <w:tcPr>
            <w:tcW w:w="14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RSU Award </w:t>
            </w:r>
            <w:r>
              <w:rPr>
                <w:rFonts w:ascii="Arial" w:cs="Arial" w:eastAsia="Arial" w:hAnsi="Arial"/>
                <w:sz w:val="9"/>
                <w:szCs w:val="9"/>
                <w:color w:val="auto"/>
              </w:rPr>
              <w:t>(5)</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2/21/2020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26,951</w:t>
            </w: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1,515,994</w:t>
            </w:r>
          </w:p>
        </w:tc>
        <w:tc>
          <w:tcPr>
            <w:tcW w:w="100" w:type="dxa"/>
            <w:vAlign w:val="bottom"/>
            <w:shd w:val="clear" w:color="auto" w:fill="CFF0FC"/>
          </w:tcPr>
          <w:p>
            <w:pPr>
              <w:spacing w:after="0"/>
              <w:rPr>
                <w:sz w:val="11"/>
                <w:szCs w:val="11"/>
                <w:color w:val="auto"/>
              </w:rPr>
            </w:pPr>
          </w:p>
        </w:tc>
      </w:tr>
      <w:tr>
        <w:trPr>
          <w:trHeight w:val="139"/>
        </w:trPr>
        <w:tc>
          <w:tcPr>
            <w:tcW w:w="1480" w:type="dxa"/>
            <w:vAlign w:val="bottom"/>
          </w:tcPr>
          <w:p>
            <w:pPr>
              <w:spacing w:after="0"/>
              <w:rPr>
                <w:sz w:val="20"/>
                <w:szCs w:val="20"/>
                <w:color w:val="auto"/>
              </w:rPr>
            </w:pPr>
            <w:r>
              <w:rPr>
                <w:rFonts w:ascii="Arial" w:cs="Arial" w:eastAsia="Arial" w:hAnsi="Arial"/>
                <w:sz w:val="11"/>
                <w:szCs w:val="11"/>
                <w:b w:val="1"/>
                <w:bCs w:val="1"/>
                <w:color w:val="auto"/>
              </w:rPr>
              <w:t>Kimberly Nelson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480" w:type="dxa"/>
            <w:vAlign w:val="bottom"/>
          </w:tcPr>
          <w:p>
            <w:pPr>
              <w:ind w:left="140"/>
              <w:spacing w:after="0"/>
              <w:rPr>
                <w:sz w:val="20"/>
                <w:szCs w:val="20"/>
                <w:color w:val="auto"/>
              </w:rPr>
            </w:pPr>
            <w:r>
              <w:rPr>
                <w:rFonts w:ascii="Arial" w:cs="Arial" w:eastAsia="Arial" w:hAnsi="Arial"/>
                <w:sz w:val="11"/>
                <w:szCs w:val="11"/>
                <w:color w:val="auto"/>
              </w:rPr>
              <w:t xml:space="preserve">Annual Cash Bonus </w:t>
            </w:r>
            <w:r>
              <w:rPr>
                <w:rFonts w:ascii="Arial" w:cs="Arial" w:eastAsia="Arial" w:hAnsi="Arial"/>
                <w:sz w:val="9"/>
                <w:szCs w:val="9"/>
                <w:color w:val="auto"/>
              </w:rPr>
              <w:t>(3)</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168,600</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281,000</w:t>
            </w: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533,900</w:t>
            </w: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1480" w:type="dxa"/>
            <w:vAlign w:val="bottom"/>
          </w:tcPr>
          <w:p>
            <w:pPr>
              <w:ind w:left="140"/>
              <w:spacing w:after="0"/>
              <w:rPr>
                <w:sz w:val="20"/>
                <w:szCs w:val="20"/>
                <w:color w:val="auto"/>
              </w:rPr>
            </w:pPr>
            <w:r>
              <w:rPr>
                <w:rFonts w:ascii="Arial" w:cs="Arial" w:eastAsia="Arial" w:hAnsi="Arial"/>
                <w:sz w:val="11"/>
                <w:szCs w:val="11"/>
                <w:color w:val="auto"/>
              </w:rPr>
              <w:t>PSU Award</w:t>
            </w:r>
            <w:r>
              <w:rPr>
                <w:rFonts w:ascii="Arial" w:cs="Arial" w:eastAsia="Arial" w:hAnsi="Arial"/>
                <w:sz w:val="9"/>
                <w:szCs w:val="9"/>
                <w:color w:val="auto"/>
              </w:rPr>
              <w:t>(4)</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2/21/2020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5,767</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14,417</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28,834</w:t>
            </w:r>
          </w:p>
        </w:tc>
        <w:tc>
          <w:tcPr>
            <w:tcW w:w="260" w:type="dxa"/>
            <w:vAlign w:val="bottom"/>
          </w:tcPr>
          <w:p>
            <w:pPr>
              <w:spacing w:after="0"/>
              <w:rPr>
                <w:sz w:val="11"/>
                <w:szCs w:val="1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847,431</w:t>
            </w:r>
          </w:p>
        </w:tc>
        <w:tc>
          <w:tcPr>
            <w:tcW w:w="100" w:type="dxa"/>
            <w:vAlign w:val="bottom"/>
          </w:tcPr>
          <w:p>
            <w:pPr>
              <w:spacing w:after="0"/>
              <w:rPr>
                <w:sz w:val="11"/>
                <w:szCs w:val="11"/>
                <w:color w:val="auto"/>
              </w:rPr>
            </w:pPr>
          </w:p>
        </w:tc>
      </w:tr>
      <w:tr>
        <w:trPr>
          <w:trHeight w:val="131"/>
        </w:trPr>
        <w:tc>
          <w:tcPr>
            <w:tcW w:w="1480" w:type="dxa"/>
            <w:vAlign w:val="bottom"/>
          </w:tcPr>
          <w:p>
            <w:pPr>
              <w:ind w:left="140"/>
              <w:spacing w:after="0"/>
              <w:rPr>
                <w:sz w:val="20"/>
                <w:szCs w:val="20"/>
                <w:color w:val="auto"/>
              </w:rPr>
            </w:pPr>
            <w:r>
              <w:rPr>
                <w:rFonts w:ascii="Arial" w:cs="Arial" w:eastAsia="Arial" w:hAnsi="Arial"/>
                <w:sz w:val="11"/>
                <w:szCs w:val="11"/>
                <w:color w:val="auto"/>
              </w:rPr>
              <w:t>RSU Award</w:t>
            </w:r>
            <w:r>
              <w:rPr>
                <w:rFonts w:ascii="Arial" w:cs="Arial" w:eastAsia="Arial" w:hAnsi="Arial"/>
                <w:sz w:val="9"/>
                <w:szCs w:val="9"/>
                <w:color w:val="auto"/>
              </w:rPr>
              <w:t>(5)</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2/21/2020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14,417</w:t>
            </w: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810,956</w:t>
            </w:r>
          </w:p>
        </w:tc>
        <w:tc>
          <w:tcPr>
            <w:tcW w:w="100" w:type="dxa"/>
            <w:vAlign w:val="bottom"/>
          </w:tcPr>
          <w:p>
            <w:pPr>
              <w:spacing w:after="0"/>
              <w:rPr>
                <w:sz w:val="11"/>
                <w:szCs w:val="11"/>
                <w:color w:val="auto"/>
              </w:rPr>
            </w:pPr>
          </w:p>
        </w:tc>
      </w:tr>
      <w:tr>
        <w:trPr>
          <w:trHeight w:val="135"/>
        </w:trPr>
        <w:tc>
          <w:tcPr>
            <w:tcW w:w="14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James Frome</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14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Annual Cash Bonus</w:t>
            </w:r>
            <w:r>
              <w:rPr>
                <w:rFonts w:ascii="Arial" w:cs="Arial" w:eastAsia="Arial" w:hAnsi="Arial"/>
                <w:sz w:val="9"/>
                <w:szCs w:val="9"/>
                <w:color w:val="auto"/>
              </w:rPr>
              <w:t>(3)</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224,400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374,000</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710,600</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14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PSU Award</w:t>
            </w:r>
            <w:r>
              <w:rPr>
                <w:rFonts w:ascii="Arial" w:cs="Arial" w:eastAsia="Arial" w:hAnsi="Arial"/>
                <w:sz w:val="9"/>
                <w:szCs w:val="9"/>
                <w:color w:val="auto"/>
              </w:rPr>
              <w:t>(4)</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2/21/2020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5,767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14,417</w:t>
            </w: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28,834</w:t>
            </w:r>
          </w:p>
        </w:tc>
        <w:tc>
          <w:tcPr>
            <w:tcW w:w="26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847,431</w:t>
            </w:r>
          </w:p>
        </w:tc>
        <w:tc>
          <w:tcPr>
            <w:tcW w:w="100" w:type="dxa"/>
            <w:vAlign w:val="bottom"/>
            <w:shd w:val="clear" w:color="auto" w:fill="CFF0FC"/>
          </w:tcPr>
          <w:p>
            <w:pPr>
              <w:spacing w:after="0"/>
              <w:rPr>
                <w:sz w:val="11"/>
                <w:szCs w:val="11"/>
                <w:color w:val="auto"/>
              </w:rPr>
            </w:pPr>
          </w:p>
        </w:tc>
      </w:tr>
      <w:tr>
        <w:trPr>
          <w:trHeight w:val="135"/>
        </w:trPr>
        <w:tc>
          <w:tcPr>
            <w:tcW w:w="14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RSU Award</w:t>
            </w:r>
            <w:r>
              <w:rPr>
                <w:rFonts w:ascii="Arial" w:cs="Arial" w:eastAsia="Arial" w:hAnsi="Arial"/>
                <w:sz w:val="9"/>
                <w:szCs w:val="9"/>
                <w:color w:val="auto"/>
              </w:rPr>
              <w:t>(5)</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2/21/2020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1/31/2020</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14,417</w:t>
            </w: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810,956</w:t>
            </w:r>
          </w:p>
        </w:tc>
        <w:tc>
          <w:tcPr>
            <w:tcW w:w="100" w:type="dxa"/>
            <w:vAlign w:val="bottom"/>
            <w:shd w:val="clear" w:color="auto" w:fill="CFF0FC"/>
          </w:tcPr>
          <w:p>
            <w:pPr>
              <w:spacing w:after="0"/>
              <w:rPr>
                <w:sz w:val="11"/>
                <w:szCs w:val="11"/>
                <w:color w:val="auto"/>
              </w:rPr>
            </w:pPr>
          </w:p>
        </w:tc>
      </w:tr>
    </w:tbl>
    <w:p>
      <w:pPr>
        <w:spacing w:after="0" w:line="269"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Granted under our 2010 Equity Incentive Plan.</w:t>
      </w:r>
    </w:p>
    <w:p>
      <w:pPr>
        <w:spacing w:after="0" w:line="130" w:lineRule="exact"/>
        <w:rPr>
          <w:rFonts w:ascii="Arial" w:cs="Arial" w:eastAsia="Arial" w:hAnsi="Arial"/>
          <w:sz w:val="18"/>
          <w:szCs w:val="18"/>
          <w:color w:val="auto"/>
        </w:rPr>
      </w:pPr>
    </w:p>
    <w:p>
      <w:pPr>
        <w:jc w:val="both"/>
        <w:ind w:left="440" w:hanging="432"/>
        <w:spacing w:after="0" w:line="286" w:lineRule="auto"/>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grant date fair value of each RSU award was computed in accordance with ASC Topic 718 based on the closing stock price on the grant date. For a discussion of the relevant assumptions used to determine the valuation for financial reporting purposes, refer to Note L to the Notes to Consolidated Financial Statements included in our Annual Report on Form 10-K filed with the SEC on February 23, 2021.</w:t>
      </w:r>
    </w:p>
    <w:p>
      <w:pPr>
        <w:spacing w:after="0" w:line="57" w:lineRule="exact"/>
        <w:rPr>
          <w:rFonts w:ascii="Arial" w:cs="Arial" w:eastAsia="Arial" w:hAnsi="Arial"/>
          <w:sz w:val="17"/>
          <w:szCs w:val="17"/>
          <w:color w:val="auto"/>
        </w:rPr>
      </w:pPr>
    </w:p>
    <w:p>
      <w:pPr>
        <w:ind w:left="440" w:right="60" w:hanging="432"/>
        <w:spacing w:after="0" w:line="263"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represent estimated payouts of annual case incentives granted under our 2020 Management Incentive Plan. The amount each executive will receive is based on actual revenues and Adjusted EBITDA for the year. The actual cash incentive bonus earned in connection with the 2020 awards are reported in the 2020 Summary Compensation Table.</w:t>
      </w:r>
    </w:p>
    <w:p>
      <w:pPr>
        <w:spacing w:after="0" w:line="75" w:lineRule="exact"/>
        <w:rPr>
          <w:rFonts w:ascii="Arial" w:cs="Arial" w:eastAsia="Arial" w:hAnsi="Arial"/>
          <w:sz w:val="18"/>
          <w:szCs w:val="18"/>
          <w:color w:val="auto"/>
        </w:rPr>
      </w:pPr>
    </w:p>
    <w:p>
      <w:pPr>
        <w:ind w:left="440" w:right="440" w:hanging="432"/>
        <w:spacing w:after="0" w:line="311" w:lineRule="auto"/>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represent the number of PSUs that may be earned under our 2010 Equity Incentive Plan at threshold, target, and maximum levels. The PSUs will be paid out in shares of our common stock. The number of PSUs that the executive officer will receive will be determined at the conclusion of the 2020 – 2022 performance period and will be dependent upon the Company’s achievement of TSR targets.</w:t>
      </w:r>
    </w:p>
    <w:p>
      <w:pPr>
        <w:spacing w:after="0" w:line="40" w:lineRule="exact"/>
        <w:rPr>
          <w:rFonts w:ascii="Arial" w:cs="Arial" w:eastAsia="Arial" w:hAnsi="Arial"/>
          <w:sz w:val="16"/>
          <w:szCs w:val="16"/>
          <w:color w:val="auto"/>
        </w:rPr>
      </w:pPr>
    </w:p>
    <w:p>
      <w:pPr>
        <w:ind w:left="440" w:right="740" w:hanging="432"/>
        <w:spacing w:after="0" w:line="277"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units vested as to one-fourth of the underlying units/shares on the one year anniversary of the grant date, with the remaining underlying units/shares vesting in 36 equal monthly installments on the 21</w:t>
      </w:r>
      <w:r>
        <w:rPr>
          <w:rFonts w:ascii="Arial" w:cs="Arial" w:eastAsia="Arial" w:hAnsi="Arial"/>
          <w:sz w:val="15"/>
          <w:szCs w:val="15"/>
          <w:color w:val="auto"/>
        </w:rPr>
        <w:t>st</w:t>
      </w:r>
      <w:r>
        <w:rPr>
          <w:rFonts w:ascii="Arial" w:cs="Arial" w:eastAsia="Arial" w:hAnsi="Arial"/>
          <w:sz w:val="18"/>
          <w:szCs w:val="18"/>
          <w:color w:val="auto"/>
        </w:rPr>
        <w:t xml:space="preserve"> day of each month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Outstanding Equity Awards at Fiscal Year-End Table</w:t>
      </w:r>
    </w:p>
    <w:p>
      <w:pPr>
        <w:spacing w:after="0" w:line="161" w:lineRule="exact"/>
        <w:rPr>
          <w:sz w:val="20"/>
          <w:szCs w:val="20"/>
          <w:color w:val="auto"/>
        </w:rPr>
      </w:pPr>
    </w:p>
    <w:p>
      <w:pPr>
        <w:jc w:val="both"/>
        <w:ind w:right="1020" w:firstLine="589"/>
        <w:spacing w:after="0" w:line="326" w:lineRule="auto"/>
        <w:rPr>
          <w:sz w:val="20"/>
          <w:szCs w:val="20"/>
          <w:color w:val="auto"/>
        </w:rPr>
      </w:pPr>
      <w:r>
        <w:rPr>
          <w:rFonts w:ascii="Arial" w:cs="Arial" w:eastAsia="Arial" w:hAnsi="Arial"/>
          <w:sz w:val="16"/>
          <w:szCs w:val="16"/>
          <w:color w:val="auto"/>
        </w:rPr>
        <w:t>The following table sets forth certain information regarding the outstanding equity awards held by our named executive officers as of December 31, 2020. The unit, share, and per share amounts included in the table reflect our two-for-one stock split effective August 22, 2019.</w:t>
      </w:r>
    </w:p>
    <w:tbl>
      <w:tblPr>
        <w:tblLayout w:type="fixed"/>
        <w:tblInd w:w="0" w:type="dxa"/>
        <w:tblCellMar>
          <w:top w:w="0" w:type="dxa"/>
          <w:left w:w="0" w:type="dxa"/>
          <w:bottom w:w="0" w:type="dxa"/>
          <w:right w:w="0" w:type="dxa"/>
        </w:tblCellMar>
      </w:tblPr>
      <w:tr>
        <w:trPr>
          <w:trHeight w:val="140"/>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440"/>
              <w:spacing w:after="0"/>
              <w:rPr>
                <w:sz w:val="20"/>
                <w:szCs w:val="20"/>
                <w:color w:val="auto"/>
              </w:rPr>
            </w:pPr>
            <w:r>
              <w:rPr>
                <w:rFonts w:ascii="Arial" w:cs="Arial" w:eastAsia="Arial" w:hAnsi="Arial"/>
                <w:sz w:val="11"/>
                <w:szCs w:val="11"/>
                <w:b w:val="1"/>
                <w:bCs w:val="1"/>
                <w:color w:val="auto"/>
                <w:w w:val="89"/>
              </w:rPr>
              <w:t>Option Awards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500"/>
              <w:spacing w:after="0"/>
              <w:rPr>
                <w:sz w:val="20"/>
                <w:szCs w:val="20"/>
                <w:color w:val="auto"/>
              </w:rPr>
            </w:pPr>
            <w:r>
              <w:rPr>
                <w:rFonts w:ascii="Arial" w:cs="Arial" w:eastAsia="Arial" w:hAnsi="Arial"/>
                <w:sz w:val="11"/>
                <w:szCs w:val="11"/>
                <w:b w:val="1"/>
                <w:bCs w:val="1"/>
                <w:color w:val="auto"/>
                <w:w w:val="90"/>
              </w:rPr>
              <w:t>Stock Awards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9"/>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3"/>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1180" w:type="dxa"/>
            <w:vAlign w:val="bottom"/>
            <w:gridSpan w:val="2"/>
          </w:tcPr>
          <w:p>
            <w:pPr>
              <w:spacing w:after="0"/>
              <w:rPr>
                <w:sz w:val="4"/>
                <w:szCs w:val="4"/>
                <w:color w:val="auto"/>
              </w:rPr>
            </w:pPr>
          </w:p>
        </w:tc>
      </w:tr>
      <w:tr>
        <w:trPr>
          <w:trHeight w:val="115"/>
        </w:trPr>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left="46"/>
              <w:spacing w:after="0" w:line="115"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3"/>
          </w:tcPr>
          <w:p>
            <w:pPr>
              <w:jc w:val="center"/>
              <w:ind w:right="140"/>
              <w:spacing w:after="0" w:line="115" w:lineRule="exact"/>
              <w:rPr>
                <w:sz w:val="20"/>
                <w:szCs w:val="20"/>
                <w:color w:val="auto"/>
              </w:rPr>
            </w:pPr>
            <w:r>
              <w:rPr>
                <w:rFonts w:ascii="Arial" w:cs="Arial" w:eastAsia="Arial" w:hAnsi="Arial"/>
                <w:sz w:val="11"/>
                <w:szCs w:val="11"/>
                <w:b w:val="1"/>
                <w:bCs w:val="1"/>
                <w:color w:val="auto"/>
                <w:w w:val="90"/>
              </w:rPr>
              <w:t>Number of</w:t>
            </w: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jc w:val="center"/>
              <w:ind w:right="20"/>
              <w:spacing w:after="0" w:line="115" w:lineRule="exact"/>
              <w:rPr>
                <w:sz w:val="20"/>
                <w:szCs w:val="20"/>
                <w:color w:val="auto"/>
              </w:rPr>
            </w:pPr>
            <w:r>
              <w:rPr>
                <w:rFonts w:ascii="Arial" w:cs="Arial" w:eastAsia="Arial" w:hAnsi="Arial"/>
                <w:sz w:val="11"/>
                <w:szCs w:val="11"/>
                <w:b w:val="1"/>
                <w:bCs w:val="1"/>
                <w:color w:val="auto"/>
                <w:w w:val="92"/>
              </w:rPr>
              <w:t>Equity Incentive</w:t>
            </w:r>
          </w:p>
        </w:tc>
        <w:tc>
          <w:tcPr>
            <w:tcW w:w="1080" w:type="dxa"/>
            <w:vAlign w:val="bottom"/>
            <w:tcBorders>
              <w:top w:val="single" w:sz="8" w:color="auto"/>
            </w:tcBorders>
          </w:tcPr>
          <w:p>
            <w:pPr>
              <w:jc w:val="center"/>
              <w:ind w:left="26"/>
              <w:spacing w:after="0" w:line="115" w:lineRule="exact"/>
              <w:rPr>
                <w:sz w:val="20"/>
                <w:szCs w:val="20"/>
                <w:color w:val="auto"/>
              </w:rPr>
            </w:pPr>
            <w:r>
              <w:rPr>
                <w:rFonts w:ascii="Arial" w:cs="Arial" w:eastAsia="Arial" w:hAnsi="Arial"/>
                <w:sz w:val="11"/>
                <w:szCs w:val="11"/>
                <w:b w:val="1"/>
                <w:bCs w:val="1"/>
                <w:color w:val="auto"/>
                <w:w w:val="90"/>
              </w:rPr>
              <w:t>Equity Incentive</w:t>
            </w:r>
          </w:p>
        </w:tc>
        <w:tc>
          <w:tcPr>
            <w:tcW w:w="100" w:type="dxa"/>
            <w:vAlign w:val="bottom"/>
          </w:tcPr>
          <w:p>
            <w:pPr>
              <w:spacing w:after="0"/>
              <w:rPr>
                <w:sz w:val="9"/>
                <w:szCs w:val="9"/>
                <w:color w:val="auto"/>
              </w:rPr>
            </w:pPr>
          </w:p>
        </w:tc>
      </w:tr>
      <w:tr>
        <w:trPr>
          <w:trHeight w:val="121"/>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Securities</w:t>
            </w:r>
          </w:p>
        </w:tc>
        <w:tc>
          <w:tcPr>
            <w:tcW w:w="100" w:type="dxa"/>
            <w:vAlign w:val="bottom"/>
          </w:tcPr>
          <w:p>
            <w:pPr>
              <w:spacing w:after="0"/>
              <w:rPr>
                <w:sz w:val="10"/>
                <w:szCs w:val="10"/>
                <w:color w:val="auto"/>
              </w:rPr>
            </w:pPr>
          </w:p>
        </w:tc>
        <w:tc>
          <w:tcPr>
            <w:tcW w:w="11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3"/>
              </w:rPr>
              <w:t>Securities</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118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1"/>
              </w:rPr>
              <w:t>Plan Awards:</w:t>
            </w:r>
          </w:p>
        </w:tc>
      </w:tr>
      <w:tr>
        <w:trPr>
          <w:trHeight w:val="122"/>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0"/>
              </w:rPr>
              <w:t>Underlying</w:t>
            </w:r>
          </w:p>
        </w:tc>
        <w:tc>
          <w:tcPr>
            <w:tcW w:w="100" w:type="dxa"/>
            <w:vAlign w:val="bottom"/>
          </w:tcPr>
          <w:p>
            <w:pPr>
              <w:spacing w:after="0"/>
              <w:rPr>
                <w:sz w:val="10"/>
                <w:szCs w:val="10"/>
                <w:color w:val="auto"/>
              </w:rPr>
            </w:pPr>
          </w:p>
        </w:tc>
        <w:tc>
          <w:tcPr>
            <w:tcW w:w="11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Number of Shares</w:t>
            </w:r>
          </w:p>
        </w:tc>
        <w:tc>
          <w:tcPr>
            <w:tcW w:w="11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Market Value of</w:t>
            </w:r>
          </w:p>
        </w:tc>
        <w:tc>
          <w:tcPr>
            <w:tcW w:w="116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18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3"/>
              </w:rPr>
              <w:t>Market Value of</w:t>
            </w:r>
          </w:p>
        </w:tc>
      </w:tr>
      <w:tr>
        <w:trPr>
          <w:trHeight w:val="122"/>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00" w:type="dxa"/>
            <w:vAlign w:val="bottom"/>
          </w:tcPr>
          <w:p>
            <w:pPr>
              <w:spacing w:after="0"/>
              <w:rPr>
                <w:sz w:val="10"/>
                <w:szCs w:val="10"/>
                <w:color w:val="auto"/>
              </w:rPr>
            </w:pPr>
          </w:p>
        </w:tc>
        <w:tc>
          <w:tcPr>
            <w:tcW w:w="11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or Units of Stock</w:t>
            </w:r>
          </w:p>
        </w:tc>
        <w:tc>
          <w:tcPr>
            <w:tcW w:w="11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Shares or Units of</w:t>
            </w:r>
          </w:p>
        </w:tc>
        <w:tc>
          <w:tcPr>
            <w:tcW w:w="116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6"/>
              </w:rPr>
              <w:t>Unearned Shares</w:t>
            </w:r>
          </w:p>
        </w:tc>
        <w:tc>
          <w:tcPr>
            <w:tcW w:w="118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7"/>
              </w:rPr>
              <w:t>Unearned Shares or</w:t>
            </w:r>
          </w:p>
        </w:tc>
      </w:tr>
      <w:tr>
        <w:trPr>
          <w:trHeight w:val="122"/>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89"/>
              </w:rPr>
              <w:t>Options (#)</w:t>
            </w:r>
          </w:p>
        </w:tc>
        <w:tc>
          <w:tcPr>
            <w:tcW w:w="100" w:type="dxa"/>
            <w:vAlign w:val="bottom"/>
          </w:tcPr>
          <w:p>
            <w:pPr>
              <w:spacing w:after="0"/>
              <w:rPr>
                <w:sz w:val="10"/>
                <w:szCs w:val="10"/>
                <w:color w:val="auto"/>
              </w:rPr>
            </w:pPr>
          </w:p>
        </w:tc>
        <w:tc>
          <w:tcPr>
            <w:tcW w:w="11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Options (#)</w:t>
            </w:r>
          </w:p>
        </w:tc>
        <w:tc>
          <w:tcPr>
            <w:tcW w:w="9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Option Exercise</w:t>
            </w:r>
          </w:p>
        </w:tc>
        <w:tc>
          <w:tcPr>
            <w:tcW w:w="132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Option Expiration</w:t>
            </w:r>
          </w:p>
        </w:tc>
        <w:tc>
          <w:tcPr>
            <w:tcW w:w="740" w:type="dxa"/>
            <w:vAlign w:val="bottom"/>
          </w:tcPr>
          <w:p>
            <w:pPr>
              <w:spacing w:after="0"/>
              <w:rPr>
                <w:sz w:val="10"/>
                <w:szCs w:val="10"/>
                <w:color w:val="auto"/>
              </w:rPr>
            </w:pPr>
          </w:p>
        </w:tc>
        <w:tc>
          <w:tcPr>
            <w:tcW w:w="10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that Have Not</w:t>
            </w:r>
          </w:p>
        </w:tc>
        <w:tc>
          <w:tcPr>
            <w:tcW w:w="11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Stock that Have Not</w:t>
            </w:r>
          </w:p>
        </w:tc>
        <w:tc>
          <w:tcPr>
            <w:tcW w:w="116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1"/>
              </w:rPr>
              <w:t>or Units that Have</w:t>
            </w:r>
          </w:p>
        </w:tc>
        <w:tc>
          <w:tcPr>
            <w:tcW w:w="118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Units that Have Not</w:t>
            </w:r>
          </w:p>
        </w:tc>
      </w:tr>
      <w:tr>
        <w:trPr>
          <w:trHeight w:val="135"/>
        </w:trPr>
        <w:tc>
          <w:tcPr>
            <w:tcW w:w="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Grant Date</w:t>
            </w:r>
          </w:p>
        </w:tc>
        <w:tc>
          <w:tcPr>
            <w:tcW w:w="84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87"/>
              </w:rPr>
              <w:t xml:space="preserve">Exercisable </w:t>
            </w:r>
            <w:r>
              <w:rPr>
                <w:rFonts w:ascii="Arial" w:cs="Arial" w:eastAsia="Arial" w:hAnsi="Arial"/>
                <w:sz w:val="9"/>
                <w:szCs w:val="9"/>
                <w:b w:val="1"/>
                <w:bCs w:val="1"/>
                <w:color w:val="auto"/>
                <w:w w:val="87"/>
              </w:rPr>
              <w:t>(1)</w:t>
            </w:r>
          </w:p>
        </w:tc>
        <w:tc>
          <w:tcPr>
            <w:tcW w:w="100" w:type="dxa"/>
            <w:vAlign w:val="bottom"/>
            <w:tcBorders>
              <w:bottom w:val="single" w:sz="8" w:color="CFF0FC"/>
            </w:tcBorders>
          </w:tcPr>
          <w:p>
            <w:pPr>
              <w:spacing w:after="0"/>
              <w:rPr>
                <w:sz w:val="11"/>
                <w:szCs w:val="11"/>
                <w:color w:val="auto"/>
              </w:rPr>
            </w:pPr>
          </w:p>
        </w:tc>
        <w:tc>
          <w:tcPr>
            <w:tcW w:w="94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85"/>
              </w:rPr>
              <w:t xml:space="preserve">Unexercisable </w:t>
            </w:r>
            <w:r>
              <w:rPr>
                <w:rFonts w:ascii="Arial" w:cs="Arial" w:eastAsia="Arial" w:hAnsi="Arial"/>
                <w:sz w:val="9"/>
                <w:szCs w:val="9"/>
                <w:b w:val="1"/>
                <w:bCs w:val="1"/>
                <w:color w:val="auto"/>
                <w:w w:val="85"/>
              </w:rPr>
              <w:t>(1)</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Price ($/Sh)</w:t>
            </w:r>
          </w:p>
        </w:tc>
        <w:tc>
          <w:tcPr>
            <w:tcW w:w="10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Date</w:t>
            </w:r>
          </w:p>
        </w:tc>
        <w:tc>
          <w:tcPr>
            <w:tcW w:w="18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Grant Date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Vested (#)</w:t>
            </w:r>
            <w:r>
              <w:rPr>
                <w:rFonts w:ascii="Arial" w:cs="Arial" w:eastAsia="Arial" w:hAnsi="Arial"/>
                <w:sz w:val="9"/>
                <w:szCs w:val="9"/>
                <w:b w:val="1"/>
                <w:bCs w:val="1"/>
                <w:color w:val="auto"/>
                <w:w w:val="88"/>
              </w:rPr>
              <w:t>(2)</w:t>
            </w:r>
          </w:p>
        </w:tc>
        <w:tc>
          <w:tcPr>
            <w:tcW w:w="100" w:type="dxa"/>
            <w:vAlign w:val="bottom"/>
            <w:tcBorders>
              <w:bottom w:val="single" w:sz="8" w:color="CFF0FC"/>
            </w:tcBorders>
          </w:tcPr>
          <w:p>
            <w:pPr>
              <w:spacing w:after="0"/>
              <w:rPr>
                <w:sz w:val="11"/>
                <w:szCs w:val="11"/>
                <w:color w:val="auto"/>
              </w:rPr>
            </w:pPr>
          </w:p>
        </w:tc>
        <w:tc>
          <w:tcPr>
            <w:tcW w:w="108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91"/>
              </w:rPr>
              <w:t>Vested (#)</w:t>
            </w:r>
            <w:r>
              <w:rPr>
                <w:rFonts w:ascii="Arial" w:cs="Arial" w:eastAsia="Arial" w:hAnsi="Arial"/>
                <w:sz w:val="9"/>
                <w:szCs w:val="9"/>
                <w:b w:val="1"/>
                <w:bCs w:val="1"/>
                <w:color w:val="auto"/>
                <w:w w:val="91"/>
              </w:rPr>
              <w:t>(3)</w:t>
            </w:r>
          </w:p>
        </w:tc>
        <w:tc>
          <w:tcPr>
            <w:tcW w:w="10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89"/>
              </w:rPr>
              <w:t>Not Vested (#)</w:t>
            </w:r>
            <w:r>
              <w:rPr>
                <w:rFonts w:ascii="Arial" w:cs="Arial" w:eastAsia="Arial" w:hAnsi="Arial"/>
                <w:sz w:val="9"/>
                <w:szCs w:val="9"/>
                <w:color w:val="auto"/>
                <w:w w:val="89"/>
              </w:rPr>
              <w:t>(4)</w:t>
            </w:r>
          </w:p>
        </w:tc>
        <w:tc>
          <w:tcPr>
            <w:tcW w:w="120" w:type="dxa"/>
            <w:vAlign w:val="bottom"/>
            <w:tcBorders>
              <w:bottom w:val="single" w:sz="8" w:color="CFF0FC"/>
            </w:tcBorders>
          </w:tcPr>
          <w:p>
            <w:pPr>
              <w:spacing w:after="0"/>
              <w:rPr>
                <w:sz w:val="11"/>
                <w:szCs w:val="11"/>
                <w:color w:val="auto"/>
              </w:rPr>
            </w:pPr>
          </w:p>
        </w:tc>
        <w:tc>
          <w:tcPr>
            <w:tcW w:w="108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88"/>
              </w:rPr>
              <w:t>Vested ($)</w:t>
            </w:r>
            <w:r>
              <w:rPr>
                <w:rFonts w:ascii="Arial" w:cs="Arial" w:eastAsia="Arial" w:hAnsi="Arial"/>
                <w:sz w:val="9"/>
                <w:szCs w:val="9"/>
                <w:color w:val="auto"/>
                <w:w w:val="88"/>
              </w:rPr>
              <w:t>(3)</w:t>
            </w:r>
          </w:p>
        </w:tc>
        <w:tc>
          <w:tcPr>
            <w:tcW w:w="100" w:type="dxa"/>
            <w:vAlign w:val="bottom"/>
            <w:tcBorders>
              <w:bottom w:val="single" w:sz="8" w:color="CFF0FC"/>
            </w:tcBorders>
          </w:tcPr>
          <w:p>
            <w:pPr>
              <w:spacing w:after="0"/>
              <w:rPr>
                <w:sz w:val="11"/>
                <w:szCs w:val="11"/>
                <w:color w:val="auto"/>
              </w:rPr>
            </w:pPr>
          </w:p>
        </w:tc>
      </w:tr>
      <w:tr>
        <w:trPr>
          <w:trHeight w:val="128"/>
        </w:trPr>
        <w:tc>
          <w:tcPr>
            <w:tcW w:w="860" w:type="dxa"/>
            <w:vAlign w:val="bottom"/>
            <w:shd w:val="clear" w:color="auto" w:fill="CFF0FC"/>
          </w:tcPr>
          <w:p>
            <w:pPr>
              <w:spacing w:after="0"/>
              <w:rPr>
                <w:sz w:val="20"/>
                <w:szCs w:val="20"/>
                <w:color w:val="auto"/>
              </w:rPr>
            </w:pPr>
            <w:r>
              <w:rPr>
                <w:rFonts w:ascii="Arial" w:cs="Arial" w:eastAsia="Arial" w:hAnsi="Arial"/>
                <w:sz w:val="11"/>
                <w:szCs w:val="11"/>
                <w:color w:val="auto"/>
              </w:rPr>
              <w:t>Archie Black</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2/14/2017</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47,772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3,280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27.85</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2/14/2024</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2/14/2017</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2,246</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243,893</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2/13/2018</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45,806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18,862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27.34</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2/13/2025</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2/13/2018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43,890</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4,766,015</w:t>
            </w:r>
          </w:p>
        </w:tc>
        <w:tc>
          <w:tcPr>
            <w:tcW w:w="100" w:type="dxa"/>
            <w:vAlign w:val="bottom"/>
            <w:shd w:val="clear" w:color="auto" w:fill="CFF0FC"/>
          </w:tcPr>
          <w:p>
            <w:pPr>
              <w:spacing w:after="0"/>
              <w:rPr>
                <w:sz w:val="11"/>
                <w:szCs w:val="11"/>
                <w:color w:val="auto"/>
              </w:rPr>
            </w:pP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2/19/2019</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15,804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18,678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54.54</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2/19/2026</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5/3/2018</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6,402</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695,193</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8/2/2018</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6,402</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695,193</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2/19/2019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22,004</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2,389,414</w:t>
            </w:r>
          </w:p>
        </w:tc>
        <w:tc>
          <w:tcPr>
            <w:tcW w:w="100" w:type="dxa"/>
            <w:vAlign w:val="bottom"/>
            <w:shd w:val="clear" w:color="auto" w:fill="CFF0FC"/>
          </w:tcPr>
          <w:p>
            <w:pPr>
              <w:spacing w:after="0"/>
              <w:rPr>
                <w:sz w:val="11"/>
                <w:szCs w:val="11"/>
                <w:color w:val="auto"/>
              </w:rPr>
            </w:pP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2/19/2019</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11,920</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1,294,393</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2/21/2020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80,852</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8,779,719</w:t>
            </w:r>
          </w:p>
        </w:tc>
        <w:tc>
          <w:tcPr>
            <w:tcW w:w="100" w:type="dxa"/>
            <w:vAlign w:val="bottom"/>
            <w:shd w:val="clear" w:color="auto" w:fill="CFF0FC"/>
          </w:tcPr>
          <w:p>
            <w:pPr>
              <w:spacing w:after="0"/>
              <w:rPr>
                <w:sz w:val="11"/>
                <w:szCs w:val="11"/>
                <w:color w:val="auto"/>
              </w:rPr>
            </w:pP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2/21/2020</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26,951</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2,926,609</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860" w:type="dxa"/>
            <w:vAlign w:val="bottom"/>
          </w:tcPr>
          <w:p>
            <w:pPr>
              <w:spacing w:after="0"/>
              <w:rPr>
                <w:sz w:val="20"/>
                <w:szCs w:val="20"/>
                <w:color w:val="auto"/>
              </w:rPr>
            </w:pPr>
            <w:r>
              <w:rPr>
                <w:rFonts w:ascii="Arial" w:cs="Arial" w:eastAsia="Arial" w:hAnsi="Arial"/>
                <w:sz w:val="11"/>
                <w:szCs w:val="11"/>
                <w:color w:val="auto"/>
              </w:rPr>
              <w:t>Kimberly Nelson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2/5/2016</w:t>
            </w:r>
          </w:p>
        </w:tc>
        <w:tc>
          <w:tcPr>
            <w:tcW w:w="840" w:type="dxa"/>
            <w:vAlign w:val="bottom"/>
          </w:tcPr>
          <w:p>
            <w:pPr>
              <w:jc w:val="right"/>
              <w:spacing w:after="0"/>
              <w:rPr>
                <w:sz w:val="20"/>
                <w:szCs w:val="20"/>
                <w:color w:val="auto"/>
              </w:rPr>
            </w:pPr>
            <w:r>
              <w:rPr>
                <w:rFonts w:ascii="Arial" w:cs="Arial" w:eastAsia="Arial" w:hAnsi="Arial"/>
                <w:sz w:val="11"/>
                <w:szCs w:val="11"/>
                <w:color w:val="auto"/>
              </w:rPr>
              <w:t>68,416</w:t>
            </w:r>
          </w:p>
        </w:tc>
        <w:tc>
          <w:tcPr>
            <w:tcW w:w="100" w:type="dxa"/>
            <w:vAlign w:val="bottom"/>
          </w:tcPr>
          <w:p>
            <w:pPr>
              <w:spacing w:after="0"/>
              <w:rPr>
                <w:sz w:val="12"/>
                <w:szCs w:val="1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24.04</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2/5/2023</w:t>
            </w:r>
          </w:p>
        </w:tc>
        <w:tc>
          <w:tcPr>
            <w:tcW w:w="18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2/14/2017</w:t>
            </w:r>
          </w:p>
        </w:tc>
        <w:tc>
          <w:tcPr>
            <w:tcW w:w="940" w:type="dxa"/>
            <w:vAlign w:val="bottom"/>
          </w:tcPr>
          <w:p>
            <w:pPr>
              <w:jc w:val="right"/>
              <w:spacing w:after="0"/>
              <w:rPr>
                <w:sz w:val="20"/>
                <w:szCs w:val="20"/>
                <w:color w:val="auto"/>
              </w:rPr>
            </w:pPr>
            <w:r>
              <w:rPr>
                <w:rFonts w:ascii="Arial" w:cs="Arial" w:eastAsia="Arial" w:hAnsi="Arial"/>
                <w:sz w:val="11"/>
                <w:szCs w:val="11"/>
                <w:color w:val="auto"/>
              </w:rPr>
              <w:t>918</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99,686</w:t>
            </w:r>
          </w:p>
        </w:tc>
        <w:tc>
          <w:tcPr>
            <w:tcW w:w="1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2/14/2017</w:t>
            </w:r>
          </w:p>
        </w:tc>
        <w:tc>
          <w:tcPr>
            <w:tcW w:w="840" w:type="dxa"/>
            <w:vAlign w:val="bottom"/>
          </w:tcPr>
          <w:p>
            <w:pPr>
              <w:jc w:val="right"/>
              <w:spacing w:after="0"/>
              <w:rPr>
                <w:sz w:val="20"/>
                <w:szCs w:val="20"/>
                <w:color w:val="auto"/>
              </w:rPr>
            </w:pPr>
            <w:r>
              <w:rPr>
                <w:rFonts w:ascii="Arial" w:cs="Arial" w:eastAsia="Arial" w:hAnsi="Arial"/>
                <w:sz w:val="11"/>
                <w:szCs w:val="11"/>
                <w:color w:val="auto"/>
              </w:rPr>
              <w:t>30,790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1,340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27.85</w:t>
            </w: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2/14/2024</w:t>
            </w:r>
          </w:p>
        </w:tc>
        <w:tc>
          <w:tcPr>
            <w:tcW w:w="18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2/13/2018</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22,402</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2,432,633</w:t>
            </w:r>
          </w:p>
        </w:tc>
        <w:tc>
          <w:tcPr>
            <w:tcW w:w="10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2/13/2018</w:t>
            </w:r>
          </w:p>
        </w:tc>
        <w:tc>
          <w:tcPr>
            <w:tcW w:w="840" w:type="dxa"/>
            <w:vAlign w:val="bottom"/>
          </w:tcPr>
          <w:p>
            <w:pPr>
              <w:jc w:val="right"/>
              <w:spacing w:after="0"/>
              <w:rPr>
                <w:sz w:val="20"/>
                <w:szCs w:val="20"/>
                <w:color w:val="auto"/>
              </w:rPr>
            </w:pPr>
            <w:r>
              <w:rPr>
                <w:rFonts w:ascii="Arial" w:cs="Arial" w:eastAsia="Arial" w:hAnsi="Arial"/>
                <w:sz w:val="11"/>
                <w:szCs w:val="11"/>
                <w:color w:val="auto"/>
              </w:rPr>
              <w:t>23,380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9,628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27.34</w:t>
            </w: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2/13/2025</w:t>
            </w:r>
          </w:p>
        </w:tc>
        <w:tc>
          <w:tcPr>
            <w:tcW w:w="18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2/13/2018</w:t>
            </w:r>
          </w:p>
        </w:tc>
        <w:tc>
          <w:tcPr>
            <w:tcW w:w="940" w:type="dxa"/>
            <w:vAlign w:val="bottom"/>
          </w:tcPr>
          <w:p>
            <w:pPr>
              <w:jc w:val="right"/>
              <w:spacing w:after="0"/>
              <w:rPr>
                <w:sz w:val="20"/>
                <w:szCs w:val="20"/>
                <w:color w:val="auto"/>
              </w:rPr>
            </w:pPr>
            <w:r>
              <w:rPr>
                <w:rFonts w:ascii="Arial" w:cs="Arial" w:eastAsia="Arial" w:hAnsi="Arial"/>
                <w:sz w:val="11"/>
                <w:szCs w:val="11"/>
                <w:color w:val="auto"/>
              </w:rPr>
              <w:t>6,534</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709,527</w:t>
            </w:r>
          </w:p>
        </w:tc>
        <w:tc>
          <w:tcPr>
            <w:tcW w:w="1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228"/>
        </w:trPr>
        <w:tc>
          <w:tcPr>
            <w:tcW w:w="8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2/19/2019</w:t>
            </w:r>
          </w:p>
        </w:tc>
        <w:tc>
          <w:tcPr>
            <w:tcW w:w="840" w:type="dxa"/>
            <w:vAlign w:val="bottom"/>
          </w:tcPr>
          <w:p>
            <w:pPr>
              <w:jc w:val="right"/>
              <w:spacing w:after="0"/>
              <w:rPr>
                <w:sz w:val="20"/>
                <w:szCs w:val="20"/>
                <w:color w:val="auto"/>
              </w:rPr>
            </w:pPr>
            <w:r>
              <w:rPr>
                <w:rFonts w:ascii="Arial" w:cs="Arial" w:eastAsia="Arial" w:hAnsi="Arial"/>
                <w:sz w:val="11"/>
                <w:szCs w:val="11"/>
                <w:color w:val="auto"/>
              </w:rPr>
              <w:t>8,066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9,534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54.54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2/19/2026</w:t>
            </w:r>
          </w:p>
        </w:tc>
        <w:tc>
          <w:tcPr>
            <w:tcW w:w="180" w:type="dxa"/>
            <w:vAlign w:val="bottom"/>
          </w:tcPr>
          <w:p>
            <w:pPr>
              <w:spacing w:after="0"/>
              <w:rPr>
                <w:sz w:val="19"/>
                <w:szCs w:val="19"/>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2/19/2019</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11,228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1,219,249</w:t>
            </w:r>
          </w:p>
        </w:tc>
        <w:tc>
          <w:tcPr>
            <w:tcW w:w="100" w:type="dxa"/>
            <w:vAlign w:val="bottom"/>
          </w:tcPr>
          <w:p>
            <w:pPr>
              <w:spacing w:after="0"/>
              <w:rPr>
                <w:sz w:val="19"/>
                <w:szCs w:val="19"/>
                <w:color w:val="auto"/>
              </w:rPr>
            </w:pPr>
          </w:p>
        </w:tc>
      </w:tr>
      <w:tr>
        <w:trPr>
          <w:trHeight w:val="136"/>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2/19/2019</w:t>
            </w:r>
          </w:p>
        </w:tc>
        <w:tc>
          <w:tcPr>
            <w:tcW w:w="940" w:type="dxa"/>
            <w:vAlign w:val="bottom"/>
          </w:tcPr>
          <w:p>
            <w:pPr>
              <w:jc w:val="right"/>
              <w:spacing w:after="0"/>
              <w:rPr>
                <w:sz w:val="20"/>
                <w:szCs w:val="20"/>
                <w:color w:val="auto"/>
              </w:rPr>
            </w:pPr>
            <w:r>
              <w:rPr>
                <w:rFonts w:ascii="Arial" w:cs="Arial" w:eastAsia="Arial" w:hAnsi="Arial"/>
                <w:sz w:val="11"/>
                <w:szCs w:val="11"/>
                <w:color w:val="auto"/>
              </w:rPr>
              <w:t>6,084</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660,662</w:t>
            </w:r>
          </w:p>
        </w:tc>
        <w:tc>
          <w:tcPr>
            <w:tcW w:w="1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230"/>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2/21/2020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28,834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3,131,084</w:t>
            </w:r>
          </w:p>
        </w:tc>
        <w:tc>
          <w:tcPr>
            <w:tcW w:w="100" w:type="dxa"/>
            <w:vAlign w:val="bottom"/>
          </w:tcPr>
          <w:p>
            <w:pPr>
              <w:spacing w:after="0"/>
              <w:rPr>
                <w:sz w:val="19"/>
                <w:szCs w:val="19"/>
                <w:color w:val="auto"/>
              </w:rPr>
            </w:pPr>
          </w:p>
        </w:tc>
      </w:tr>
      <w:tr>
        <w:trPr>
          <w:trHeight w:val="224"/>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2/21/2020</w:t>
            </w:r>
          </w:p>
        </w:tc>
        <w:tc>
          <w:tcPr>
            <w:tcW w:w="940" w:type="dxa"/>
            <w:vAlign w:val="bottom"/>
          </w:tcPr>
          <w:p>
            <w:pPr>
              <w:jc w:val="right"/>
              <w:spacing w:after="0"/>
              <w:rPr>
                <w:sz w:val="20"/>
                <w:szCs w:val="20"/>
                <w:color w:val="auto"/>
              </w:rPr>
            </w:pPr>
            <w:r>
              <w:rPr>
                <w:rFonts w:ascii="Arial" w:cs="Arial" w:eastAsia="Arial" w:hAnsi="Arial"/>
                <w:sz w:val="11"/>
                <w:szCs w:val="11"/>
                <w:color w:val="auto"/>
              </w:rPr>
              <w:t>14,417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1,565,542</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20"/>
                <w:szCs w:val="20"/>
                <w:color w:val="auto"/>
              </w:rPr>
            </w:pPr>
            <w:r>
              <w:rPr>
                <w:rFonts w:ascii="Arial" w:cs="Arial" w:eastAsia="Arial" w:hAnsi="Arial"/>
                <w:sz w:val="11"/>
                <w:szCs w:val="11"/>
                <w:color w:val="auto"/>
              </w:rPr>
              <w:t>James Frome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2/14/2017</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4,762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1,362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27.85</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2/14/2024</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2/14/2017</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932</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101,206</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2/13/2018</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11,004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27.34</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2/13/2025</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2/13/2018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25,602</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2,780,121</w:t>
            </w:r>
          </w:p>
        </w:tc>
        <w:tc>
          <w:tcPr>
            <w:tcW w:w="100" w:type="dxa"/>
            <w:vAlign w:val="bottom"/>
            <w:shd w:val="clear" w:color="auto" w:fill="CFF0FC"/>
          </w:tcPr>
          <w:p>
            <w:pPr>
              <w:spacing w:after="0"/>
              <w:rPr>
                <w:sz w:val="11"/>
                <w:szCs w:val="11"/>
                <w:color w:val="auto"/>
              </w:rPr>
            </w:pP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2/19/2019</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10,896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54.54</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2/19/2026</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2/13/2018</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7,468</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810,950</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2/19/2019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12,832</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1,393,427</w:t>
            </w:r>
          </w:p>
        </w:tc>
        <w:tc>
          <w:tcPr>
            <w:tcW w:w="100" w:type="dxa"/>
            <w:vAlign w:val="bottom"/>
            <w:shd w:val="clear" w:color="auto" w:fill="CFF0FC"/>
          </w:tcPr>
          <w:p>
            <w:pPr>
              <w:spacing w:after="0"/>
              <w:rPr>
                <w:sz w:val="11"/>
                <w:szCs w:val="11"/>
                <w:color w:val="auto"/>
              </w:rPr>
            </w:pP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2/19/2019</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6,952</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754,918</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2/21/2020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28,834</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3,131,084</w:t>
            </w:r>
          </w:p>
        </w:tc>
        <w:tc>
          <w:tcPr>
            <w:tcW w:w="100" w:type="dxa"/>
            <w:vAlign w:val="bottom"/>
            <w:shd w:val="clear" w:color="auto" w:fill="CFF0FC"/>
          </w:tcPr>
          <w:p>
            <w:pPr>
              <w:spacing w:after="0"/>
              <w:rPr>
                <w:sz w:val="11"/>
                <w:szCs w:val="11"/>
                <w:color w:val="auto"/>
              </w:rPr>
            </w:pPr>
          </w:p>
        </w:tc>
      </w:tr>
      <w:tr>
        <w:trPr>
          <w:trHeight w:val="135"/>
        </w:trPr>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2/21/2020</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14,417</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1,565,542</w:t>
            </w: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bl>
    <w:p>
      <w:pPr>
        <w:spacing w:after="0" w:line="202" w:lineRule="exact"/>
        <w:rPr>
          <w:sz w:val="20"/>
          <w:szCs w:val="20"/>
          <w:color w:val="auto"/>
        </w:rPr>
      </w:pPr>
    </w:p>
    <w:p>
      <w:pPr>
        <w:ind w:left="440" w:right="320" w:hanging="432"/>
        <w:spacing w:after="0" w:line="277"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Options vest as to one-fourth of the shares on the first anniversary of their grant date. The remaining shares vest in a series of 36 successive equal monthly installments upon completion of each additional month of service thereafter.</w:t>
      </w:r>
    </w:p>
    <w:p>
      <w:pPr>
        <w:spacing w:after="0" w:line="62" w:lineRule="exact"/>
        <w:rPr>
          <w:rFonts w:ascii="Arial" w:cs="Arial" w:eastAsia="Arial" w:hAnsi="Arial"/>
          <w:sz w:val="18"/>
          <w:szCs w:val="18"/>
          <w:color w:val="auto"/>
        </w:rPr>
      </w:pPr>
    </w:p>
    <w:p>
      <w:pPr>
        <w:ind w:left="440" w:right="120" w:hanging="432"/>
        <w:spacing w:after="0" w:line="277"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RSUs vest as to one-fourth of the units in February of the year following their grant date. The remaining underlying units vest in a series of 36 equal monthly installments upon completion of each additional month of service thereafter.</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Dollar values are calculated using the year end closing sale price of a share of our common stock on the Nasdaq Global Market, which was $108.59.</w:t>
      </w:r>
    </w:p>
    <w:p>
      <w:pPr>
        <w:spacing w:after="0" w:line="140" w:lineRule="exact"/>
        <w:rPr>
          <w:rFonts w:ascii="Arial" w:cs="Arial" w:eastAsia="Arial" w:hAnsi="Arial"/>
          <w:sz w:val="16"/>
          <w:szCs w:val="16"/>
          <w:color w:val="auto"/>
        </w:rPr>
      </w:pPr>
    </w:p>
    <w:p>
      <w:pPr>
        <w:ind w:left="440" w:right="120" w:hanging="432"/>
        <w:spacing w:after="0" w:line="296" w:lineRule="auto"/>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PSUs granted in 2018, 2019, and 2020 are earned in accordance with the successful attainment of pre-determined TSR targets relative to the Index over a three-year performance period ending in 2020, 2021, and 2022, respectively, and vest in the year subsequent to the end of the performance period upon certification by the compensation committee. The PSUs granted in 2019 and 2020 are reported at the maximum number of units due to the performance targets from grant date to December 31, 2020 exceeding the maximum performance levels. The PSUs granted in 2018 are reported at the maximum number of units due to the attainment of the maximum number of units over the completed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20574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2020 Options Exercised and Stock Vested Table</w:t>
      </w:r>
    </w:p>
    <w:p>
      <w:pPr>
        <w:spacing w:after="0" w:line="161" w:lineRule="exact"/>
        <w:rPr>
          <w:sz w:val="20"/>
          <w:szCs w:val="20"/>
          <w:color w:val="auto"/>
        </w:rPr>
      </w:pPr>
    </w:p>
    <w:p>
      <w:pPr>
        <w:ind w:right="60" w:firstLine="589"/>
        <w:spacing w:after="0" w:line="276" w:lineRule="auto"/>
        <w:rPr>
          <w:sz w:val="20"/>
          <w:szCs w:val="20"/>
          <w:color w:val="auto"/>
        </w:rPr>
      </w:pPr>
      <w:r>
        <w:rPr>
          <w:rFonts w:ascii="Arial" w:cs="Arial" w:eastAsia="Arial" w:hAnsi="Arial"/>
          <w:sz w:val="18"/>
          <w:szCs w:val="18"/>
          <w:color w:val="auto"/>
        </w:rPr>
        <w:t>The following table sets forth certain information regarding stock awards vested and stock option exercises by our named executive officers during 2020. The unit and share amounts included in the table reflect our two-for-one stock split effective August 22,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820" w:type="dxa"/>
            <w:vAlign w:val="bottom"/>
            <w:gridSpan w:val="3"/>
          </w:tcPr>
          <w:p>
            <w:pPr>
              <w:ind w:left="1700"/>
              <w:spacing w:after="0"/>
              <w:rPr>
                <w:sz w:val="20"/>
                <w:szCs w:val="20"/>
                <w:color w:val="auto"/>
              </w:rPr>
            </w:pPr>
            <w:r>
              <w:rPr>
                <w:rFonts w:ascii="Arial" w:cs="Arial" w:eastAsia="Arial" w:hAnsi="Arial"/>
                <w:sz w:val="14"/>
                <w:szCs w:val="14"/>
                <w:b w:val="1"/>
                <w:bCs w:val="1"/>
                <w:color w:val="auto"/>
              </w:rPr>
              <w:t>Option Awards</w:t>
            </w: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40" w:type="dxa"/>
            <w:vAlign w:val="bottom"/>
            <w:gridSpan w:val="3"/>
          </w:tcPr>
          <w:p>
            <w:pPr>
              <w:ind w:left="1500"/>
              <w:spacing w:after="0"/>
              <w:rPr>
                <w:sz w:val="20"/>
                <w:szCs w:val="20"/>
                <w:color w:val="auto"/>
              </w:rPr>
            </w:pPr>
            <w:r>
              <w:rPr>
                <w:rFonts w:ascii="Arial" w:cs="Arial" w:eastAsia="Arial" w:hAnsi="Arial"/>
                <w:sz w:val="14"/>
                <w:szCs w:val="14"/>
                <w:b w:val="1"/>
                <w:bCs w:val="1"/>
                <w:color w:val="auto"/>
              </w:rPr>
              <w:t>Stock Awards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2820" w:type="dxa"/>
            <w:vAlign w:val="bottom"/>
            <w:gridSpan w:val="3"/>
          </w:tcPr>
          <w:p>
            <w:pPr>
              <w:spacing w:after="0"/>
              <w:rPr>
                <w:sz w:val="2"/>
                <w:szCs w:val="2"/>
                <w:color w:val="auto"/>
              </w:rPr>
            </w:pPr>
          </w:p>
        </w:tc>
        <w:tc>
          <w:tcPr>
            <w:tcW w:w="2000" w:type="dxa"/>
            <w:vAlign w:val="bottom"/>
            <w:gridSpan w:val="2"/>
          </w:tcPr>
          <w:p>
            <w:pPr>
              <w:spacing w:after="0"/>
              <w:rPr>
                <w:sz w:val="2"/>
                <w:szCs w:val="2"/>
                <w:color w:val="auto"/>
              </w:rPr>
            </w:pPr>
          </w:p>
        </w:tc>
        <w:tc>
          <w:tcPr>
            <w:tcW w:w="254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20" w:type="dxa"/>
            <w:vAlign w:val="bottom"/>
            <w:tcBorders>
              <w:top w:val="single" w:sz="8" w:color="auto"/>
            </w:tcBorders>
            <w:gridSpan w:val="3"/>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5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Value Realized</w:t>
            </w:r>
          </w:p>
        </w:tc>
        <w:tc>
          <w:tcPr>
            <w:tcW w:w="480" w:type="dxa"/>
            <w:vAlign w:val="bottom"/>
          </w:tcPr>
          <w:p>
            <w:pPr>
              <w:spacing w:after="0"/>
              <w:rPr>
                <w:sz w:val="11"/>
                <w:szCs w:val="11"/>
                <w:color w:val="auto"/>
              </w:rPr>
            </w:pPr>
          </w:p>
        </w:tc>
        <w:tc>
          <w:tcPr>
            <w:tcW w:w="2540" w:type="dxa"/>
            <w:vAlign w:val="bottom"/>
            <w:tcBorders>
              <w:top w:val="single" w:sz="8" w:color="auto"/>
            </w:tcBorders>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3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Value 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28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Acquired on Exercise (#)</w:t>
            </w:r>
          </w:p>
        </w:tc>
        <w:tc>
          <w:tcPr>
            <w:tcW w:w="2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on Exercise ($)</w:t>
            </w:r>
            <w:r>
              <w:rPr>
                <w:rFonts w:ascii="Arial" w:cs="Arial" w:eastAsia="Arial" w:hAnsi="Arial"/>
                <w:sz w:val="12"/>
                <w:szCs w:val="12"/>
                <w:color w:val="auto"/>
                <w:w w:val="90"/>
              </w:rPr>
              <w:t>(1)</w:t>
            </w:r>
          </w:p>
        </w:tc>
        <w:tc>
          <w:tcPr>
            <w:tcW w:w="25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Acquired on Vesting (#)</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on Vesting ($)</w:t>
            </w:r>
            <w:r>
              <w:rPr>
                <w:rFonts w:ascii="Arial" w:cs="Arial" w:eastAsia="Arial" w:hAnsi="Arial"/>
                <w:sz w:val="12"/>
                <w:szCs w:val="12"/>
                <w:color w:val="auto"/>
                <w:w w:val="91"/>
              </w:rPr>
              <w:t>(2)</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Black</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245,076</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11,095,657</w:t>
            </w:r>
          </w:p>
        </w:tc>
        <w:tc>
          <w:tcPr>
            <w:tcW w:w="48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36,644</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2,487,446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Kimberly Nelson</w:t>
            </w:r>
          </w:p>
        </w:tc>
        <w:tc>
          <w:tcPr>
            <w:tcW w:w="2280" w:type="dxa"/>
            <w:vAlign w:val="bottom"/>
          </w:tcPr>
          <w:p>
            <w:pPr>
              <w:jc w:val="right"/>
              <w:spacing w:after="0"/>
              <w:rPr>
                <w:sz w:val="20"/>
                <w:szCs w:val="20"/>
                <w:color w:val="auto"/>
              </w:rPr>
            </w:pPr>
            <w:r>
              <w:rPr>
                <w:rFonts w:ascii="Arial" w:cs="Arial" w:eastAsia="Arial" w:hAnsi="Arial"/>
                <w:sz w:val="18"/>
                <w:szCs w:val="18"/>
                <w:color w:val="auto"/>
              </w:rPr>
              <w:t>67,226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2,975,248</w:t>
            </w:r>
          </w:p>
        </w:tc>
        <w:tc>
          <w:tcPr>
            <w:tcW w:w="4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1,166,920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James Frome</w:t>
            </w: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172,578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6,247,845</w:t>
            </w:r>
          </w:p>
        </w:tc>
        <w:tc>
          <w:tcPr>
            <w:tcW w:w="4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right="120" w:hanging="432"/>
        <w:spacing w:after="0" w:line="277"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the aggregate value realized on exercise by multiplying (a) the difference between (i) the market price of our common stock on the exercise date and (ii) the per share exercise price, by (b) the number of shares of our common stock acquired on exercise.</w:t>
      </w:r>
    </w:p>
    <w:p>
      <w:pPr>
        <w:spacing w:after="0" w:line="62" w:lineRule="exact"/>
        <w:rPr>
          <w:rFonts w:ascii="Arial" w:cs="Arial" w:eastAsia="Arial" w:hAnsi="Arial"/>
          <w:sz w:val="18"/>
          <w:szCs w:val="18"/>
          <w:color w:val="auto"/>
        </w:rPr>
      </w:pPr>
    </w:p>
    <w:p>
      <w:pPr>
        <w:ind w:left="440" w:right="660" w:hanging="432"/>
        <w:spacing w:after="0" w:line="277"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the aggregate value realized by multiplying (a) the number of shares of our common stock vested by (b) the fair market value of our common stock of a share of our common stock on the vesting date.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w:t>
      </w:r>
    </w:p>
    <w:p>
      <w:pPr>
        <w:spacing w:after="0" w:line="16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February 2020, we entered into amended and restated executive severance and change in control agreements with our named executive officers. Additionally, we have confidentiality and non-competition agreements with each of these executive officers requiring the executive officers not to disclose our confidential information at any time. The agreements also require the executive officers not to compete with us or solicit our employees to engage in other employment during the term of their employment with us and for one year thereafter.</w:t>
      </w:r>
    </w:p>
    <w:p>
      <w:pPr>
        <w:spacing w:after="0" w:line="133"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employment agreements with our named executive officers address various termination of employment and change in control scenarios. Payment of amounts under these circumstances is subject to certain conditions and limitations, including that the executive officer must execute a release of claims against us. The terms of potential payments under these agreements upon a termination of employment or change in control are summarized below under “Potential Payments Upon Termination or Change-in-Control.”</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We have entered into various agreements that will require us to provide certain payments and benefits to our named executive officers in the event of certain specified termination of employment, including a termination of employment in connection with a change in control of the company. All payments and benefits noted below are conditional upon the execution of release and continued compliance with confidentiality agreements.</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these purposes, the following terms are defined</w:t>
      </w:r>
    </w:p>
    <w:p>
      <w:pPr>
        <w:spacing w:after="0" w:line="23" w:lineRule="exact"/>
        <w:rPr>
          <w:sz w:val="20"/>
          <w:szCs w:val="20"/>
          <w:color w:val="auto"/>
        </w:rPr>
      </w:pPr>
    </w:p>
    <w:p>
      <w:pPr>
        <w:ind w:left="1460" w:right="80" w:hanging="440"/>
        <w:spacing w:after="0" w:line="260"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in Control” includes (i) any person’s acquisition of beneficial ownership of 50% or more of our outstanding common stock; (ii) a failure to have a majority of our board of directors be people for whose election our board solicited proxies; (iii) approval by our stockholders of a reorganization, merger or consolidation, unless our stockholders immediately prior to the transaction own more than 50% of the voting power of the corporation resulting from the transaction; or (iv) approval by our stockholders of the disposition of all or substantially all of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574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2"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5" w:name="page36"/>
    <w:bookmarkEnd w:id="35"/>
    <w:p>
      <w:pPr>
        <w:ind w:left="1460" w:right="400" w:hanging="440"/>
        <w:spacing w:after="0" w:line="258"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in Control Period” means the period starting three months immediately before a Change in Control and continuing for 12 months immediately following a Change in Control.</w:t>
      </w:r>
    </w:p>
    <w:p>
      <w:pPr>
        <w:spacing w:after="0" w:line="1" w:lineRule="exact"/>
        <w:rPr>
          <w:rFonts w:ascii="Arial" w:cs="Arial" w:eastAsia="Arial" w:hAnsi="Arial"/>
          <w:sz w:val="18"/>
          <w:szCs w:val="18"/>
          <w:color w:val="auto"/>
        </w:rPr>
      </w:pPr>
    </w:p>
    <w:p>
      <w:pPr>
        <w:ind w:left="1460" w:right="180" w:hanging="440"/>
        <w:spacing w:after="0" w:line="281" w:lineRule="auto"/>
        <w:tabs>
          <w:tab w:leader="none" w:pos="1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“Cause” for termination exists upon (i) failure by the named executive officer to cure his or her material breach of the terms of a non-competition/non-solicitation agreement between us and the officer within 30 days of receipt of written notice of breach from us;</w:t>
      </w:r>
    </w:p>
    <w:p>
      <w:pPr>
        <w:spacing w:after="0" w:line="1" w:lineRule="exact"/>
        <w:rPr>
          <w:rFonts w:ascii="Arial" w:cs="Arial" w:eastAsia="Arial" w:hAnsi="Arial"/>
          <w:sz w:val="16"/>
          <w:szCs w:val="16"/>
          <w:color w:val="auto"/>
        </w:rPr>
      </w:pPr>
    </w:p>
    <w:p>
      <w:pPr>
        <w:ind w:left="1460" w:right="40"/>
        <w:spacing w:after="0" w:line="250" w:lineRule="auto"/>
        <w:rPr>
          <w:rFonts w:ascii="Arial" w:cs="Arial" w:eastAsia="Arial" w:hAnsi="Arial"/>
          <w:sz w:val="16"/>
          <w:szCs w:val="16"/>
          <w:color w:val="auto"/>
        </w:rPr>
      </w:pPr>
      <w:r>
        <w:rPr>
          <w:rFonts w:ascii="Arial" w:cs="Arial" w:eastAsia="Arial" w:hAnsi="Arial"/>
          <w:sz w:val="18"/>
          <w:szCs w:val="18"/>
          <w:color w:val="auto"/>
        </w:rPr>
        <w:t>(ii) gross negligence or willful misconduct by the officer; (iii) conviction of the officer of a crime involving moral turpitude or any felony; (iv) willful violation of instructions from our board of directors or Chief Executive Officer; or (v) fraud, embezzlement, theft or proven dishonesty against us.</w:t>
      </w:r>
    </w:p>
    <w:p>
      <w:pPr>
        <w:spacing w:after="0" w:line="1" w:lineRule="exact"/>
        <w:rPr>
          <w:rFonts w:ascii="Arial" w:cs="Arial" w:eastAsia="Arial" w:hAnsi="Arial"/>
          <w:sz w:val="16"/>
          <w:szCs w:val="16"/>
          <w:color w:val="auto"/>
        </w:rPr>
      </w:pPr>
    </w:p>
    <w:p>
      <w:pPr>
        <w:ind w:left="1460" w:right="20" w:hanging="440"/>
        <w:spacing w:after="0" w:line="271" w:lineRule="auto"/>
        <w:tabs>
          <w:tab w:leader="none" w:pos="1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“Good Reason” is defined to mean the occurrence of any of the following events, in each case without the named executive officer’s consent: (i) a reduction of 10% of more in Employee’s base salary or annual bonus opportunity, (ii) a material reduction in the named executive officer’s employment responsibilities, including a reduction in title or the Company no longer a reporting company under the Securities Exchange Act of 1934, (iii) a material reduction in the executive officer’s employment responsibilities, or (iii) a relocation of the executive officer’s primary work location by more than 30 miles.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Termination without Cause or Resignation for Good Reason Outside of Change in Control Period</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Mr. Black</w:t>
      </w:r>
    </w:p>
    <w:p>
      <w:pPr>
        <w:spacing w:after="0" w:line="171"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employment agreement with Mr. Black provides that if we terminate Mr. Black without cause, or if he terminates his employment with us for good reason, we will pay or provide to the executive officer:</w:t>
      </w:r>
    </w:p>
    <w:p>
      <w:pPr>
        <w:spacing w:after="0" w:line="62" w:lineRule="exact"/>
        <w:rPr>
          <w:sz w:val="20"/>
          <w:szCs w:val="20"/>
          <w:color w:val="auto"/>
        </w:rPr>
      </w:pPr>
    </w:p>
    <w:p>
      <w:pPr>
        <w:ind w:left="1020" w:hanging="432"/>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 months of then-current base salary over a 12-month period in accordance with our regular payroll practices;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 months of continued payment of health insurance premiums.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Other Named Executive Officers</w:t>
      </w:r>
    </w:p>
    <w:p>
      <w:pPr>
        <w:spacing w:after="0" w:line="171" w:lineRule="exact"/>
        <w:rPr>
          <w:sz w:val="20"/>
          <w:szCs w:val="20"/>
          <w:color w:val="auto"/>
        </w:rPr>
      </w:pPr>
    </w:p>
    <w:p>
      <w:pPr>
        <w:ind w:right="860" w:firstLine="589"/>
        <w:spacing w:after="0" w:line="277" w:lineRule="auto"/>
        <w:rPr>
          <w:sz w:val="20"/>
          <w:szCs w:val="20"/>
          <w:color w:val="auto"/>
        </w:rPr>
      </w:pPr>
      <w:r>
        <w:rPr>
          <w:rFonts w:ascii="Arial" w:cs="Arial" w:eastAsia="Arial" w:hAnsi="Arial"/>
          <w:sz w:val="18"/>
          <w:szCs w:val="18"/>
          <w:color w:val="auto"/>
        </w:rPr>
        <w:t>The employment agreements with each of our other named executive officers provide that if we terminate the named executive officer’s employment without cause, we will pay or provide to the executive officer:</w:t>
      </w:r>
    </w:p>
    <w:p>
      <w:pPr>
        <w:spacing w:after="0" w:line="62" w:lineRule="exact"/>
        <w:rPr>
          <w:sz w:val="20"/>
          <w:szCs w:val="20"/>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12 months of then-current base salary over a 12-month period in accordance with our normal payroll practices;</w:t>
      </w:r>
    </w:p>
    <w:p>
      <w:pPr>
        <w:spacing w:after="0" w:line="117" w:lineRule="exact"/>
        <w:rPr>
          <w:rFonts w:ascii="Arial" w:cs="Arial" w:eastAsia="Arial" w:hAnsi="Arial"/>
          <w:sz w:val="18"/>
          <w:szCs w:val="18"/>
          <w:color w:val="auto"/>
        </w:rPr>
      </w:pPr>
    </w:p>
    <w:p>
      <w:pPr>
        <w:ind w:left="1020" w:right="820" w:hanging="432"/>
        <w:spacing w:after="0" w:line="308" w:lineRule="auto"/>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38" w:lineRule="exact"/>
        <w:rPr>
          <w:rFonts w:ascii="Arial" w:cs="Arial" w:eastAsia="Arial" w:hAnsi="Arial"/>
          <w:sz w:val="17"/>
          <w:szCs w:val="17"/>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12 months of continued payment of health insurance premiums.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the executive officer resigns for good reason of the company, we will pay the executive officer:</w:t>
      </w:r>
    </w:p>
    <w:p>
      <w:pPr>
        <w:spacing w:after="0" w:line="117" w:lineRule="exact"/>
        <w:rPr>
          <w:sz w:val="20"/>
          <w:szCs w:val="20"/>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Six months of then-current base salary over a six-month period in accordance with our normal payroll practices; and</w:t>
      </w:r>
    </w:p>
    <w:p>
      <w:pPr>
        <w:spacing w:after="0" w:line="117" w:lineRule="exact"/>
        <w:rPr>
          <w:rFonts w:ascii="Arial" w:cs="Arial" w:eastAsia="Arial" w:hAnsi="Arial"/>
          <w:sz w:val="18"/>
          <w:szCs w:val="18"/>
          <w:color w:val="auto"/>
        </w:rPr>
      </w:pPr>
    </w:p>
    <w:p>
      <w:pPr>
        <w:ind w:left="1020" w:right="900" w:hanging="432"/>
        <w:spacing w:after="0" w:line="308" w:lineRule="auto"/>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lump-sum payment equal to 50% of his or her target annual cash incentive bonus for the fiscal year in which the termination of employment occurs (payable in a lump sum no later than 60 calendar days after the date of termination).</w:t>
      </w:r>
    </w:p>
    <w:p>
      <w:pPr>
        <w:spacing w:after="0" w:line="38" w:lineRule="exact"/>
        <w:rPr>
          <w:rFonts w:ascii="Arial" w:cs="Arial" w:eastAsia="Arial" w:hAnsi="Arial"/>
          <w:sz w:val="17"/>
          <w:szCs w:val="17"/>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Six months of continued payment of health insurance premiums.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Termination without Cause or Resignation for Good Reason Inside of Change in Control Period</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Mr. Black</w:t>
      </w:r>
    </w:p>
    <w:p>
      <w:pPr>
        <w:spacing w:after="0" w:line="17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employment agreement with Mr. Black provides that if we terminate Mr. Black without cause, or if he resigns from employment with us within the Change in Control Period for good reason, we will pay or provide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ind w:left="1020" w:hanging="432"/>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18 months of then-current base salary in accordance with our regular payroll practices;</w:t>
      </w:r>
    </w:p>
    <w:p>
      <w:pPr>
        <w:spacing w:after="0" w:line="117"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pro-rated portion of any target annual cash incentive bonus for the fiscal year in which the termination of employment occurs (payable in a lump sum no later than 60 calendar days after the date of termination);</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18 months of continued payment of health insurance premiums; and</w:t>
      </w:r>
    </w:p>
    <w:p>
      <w:pPr>
        <w:spacing w:after="0" w:line="117" w:lineRule="exact"/>
        <w:rPr>
          <w:rFonts w:ascii="Arial" w:cs="Arial" w:eastAsia="Arial" w:hAnsi="Arial"/>
          <w:sz w:val="18"/>
          <w:szCs w:val="18"/>
          <w:color w:val="auto"/>
        </w:rPr>
      </w:pPr>
    </w:p>
    <w:p>
      <w:pPr>
        <w:ind w:left="1020" w:right="20" w:hanging="432"/>
        <w:spacing w:after="0" w:line="263"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Full vesting of all non-performance based non-vested and outstanding equity awards at the termination date, at the later of (a) the employees release become irrevocable or (b) the date of the Change in Control. Performance based vesting equity awards (PSUs) vest in full at the target level.</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Other Named Executive Officers</w:t>
      </w:r>
    </w:p>
    <w:p>
      <w:pPr>
        <w:spacing w:after="0" w:line="17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employment agreements with each of our other named executive officers provide that if we terminate the named executive officer’s employment or the named executive resigns from employment within the Change in Control Period for good reason, we will pay or provide to the named executive officer:</w:t>
      </w:r>
    </w:p>
    <w:p>
      <w:pPr>
        <w:spacing w:after="0" w:line="76" w:lineRule="exact"/>
        <w:rPr>
          <w:sz w:val="20"/>
          <w:szCs w:val="20"/>
          <w:color w:val="auto"/>
        </w:rPr>
      </w:pPr>
    </w:p>
    <w:p>
      <w:pPr>
        <w:ind w:left="1020" w:hanging="432"/>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12 months of then-current base salary over a 12-month period in accordance with our normal payroll practices;</w:t>
      </w:r>
    </w:p>
    <w:p>
      <w:pPr>
        <w:spacing w:after="0" w:line="117" w:lineRule="exact"/>
        <w:rPr>
          <w:rFonts w:ascii="Arial" w:cs="Arial" w:eastAsia="Arial" w:hAnsi="Arial"/>
          <w:sz w:val="18"/>
          <w:szCs w:val="18"/>
          <w:color w:val="auto"/>
        </w:rPr>
      </w:pPr>
    </w:p>
    <w:p>
      <w:pPr>
        <w:ind w:left="1020" w:right="820" w:hanging="432"/>
        <w:spacing w:after="0" w:line="308" w:lineRule="auto"/>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lump-sum payment equal to 100% of his or her target annual cash incentive bonus for the fiscal year in which the termination of employment occurs (payable in a lump sum no later than 60 calendar days after the date of termination);</w:t>
      </w:r>
    </w:p>
    <w:p>
      <w:pPr>
        <w:spacing w:after="0" w:line="38" w:lineRule="exact"/>
        <w:rPr>
          <w:rFonts w:ascii="Arial" w:cs="Arial" w:eastAsia="Arial" w:hAnsi="Arial"/>
          <w:sz w:val="17"/>
          <w:szCs w:val="17"/>
          <w:color w:val="auto"/>
        </w:rPr>
      </w:pPr>
    </w:p>
    <w:p>
      <w:pPr>
        <w:ind w:left="1020" w:hanging="432"/>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12 months of continued payment of health insurance premiums; and</w:t>
      </w:r>
    </w:p>
    <w:p>
      <w:pPr>
        <w:spacing w:after="0" w:line="117" w:lineRule="exact"/>
        <w:rPr>
          <w:rFonts w:ascii="Arial" w:cs="Arial" w:eastAsia="Arial" w:hAnsi="Arial"/>
          <w:sz w:val="18"/>
          <w:szCs w:val="18"/>
          <w:color w:val="auto"/>
        </w:rPr>
      </w:pPr>
    </w:p>
    <w:p>
      <w:pPr>
        <w:ind w:left="1020" w:right="20" w:hanging="432"/>
        <w:spacing w:after="0" w:line="263"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Full vesting of all non-performance based non-vested and outstanding equity awards at the termination date, at the later of (a) the employees release become irrevocable or (b) the date of the Change in Control. Performance based vesting equity awards (PSUs) vest in full at the target level.</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Retirement</w:t>
      </w:r>
    </w:p>
    <w:p>
      <w:pPr>
        <w:spacing w:after="0" w:line="171" w:lineRule="exact"/>
        <w:rPr>
          <w:sz w:val="20"/>
          <w:szCs w:val="20"/>
          <w:color w:val="auto"/>
        </w:rPr>
      </w:pPr>
    </w:p>
    <w:p>
      <w:pPr>
        <w:ind w:right="200" w:firstLine="589"/>
        <w:spacing w:after="0" w:line="286" w:lineRule="auto"/>
        <w:rPr>
          <w:sz w:val="20"/>
          <w:szCs w:val="20"/>
          <w:color w:val="auto"/>
        </w:rPr>
      </w:pPr>
      <w:r>
        <w:rPr>
          <w:rFonts w:ascii="Arial" w:cs="Arial" w:eastAsia="Arial" w:hAnsi="Arial"/>
          <w:sz w:val="17"/>
          <w:szCs w:val="17"/>
          <w:color w:val="auto"/>
        </w:rPr>
        <w:t>Retirement provisions for the named executives in the agreement provide that if (a) the sum of the named executive’s age plus years of service as an employee of the company is 78 or greater, (b) the named executive provides the requisite six months’ notice regarding retirement and (c) the named executive continues to provide full-time services for the Company through the period prior to retirement, then upon retirement:</w:t>
      </w:r>
    </w:p>
    <w:p>
      <w:pPr>
        <w:spacing w:after="0" w:line="57" w:lineRule="exact"/>
        <w:rPr>
          <w:sz w:val="20"/>
          <w:szCs w:val="20"/>
          <w:color w:val="auto"/>
        </w:rPr>
      </w:pPr>
    </w:p>
    <w:p>
      <w:pPr>
        <w:ind w:left="1020" w:hanging="432"/>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unvested equity awards with solely a service based vesting condition will become fully vested;</w:t>
      </w:r>
    </w:p>
    <w:p>
      <w:pPr>
        <w:spacing w:after="0" w:line="117" w:lineRule="exact"/>
        <w:rPr>
          <w:rFonts w:ascii="Arial" w:cs="Arial" w:eastAsia="Arial" w:hAnsi="Arial"/>
          <w:sz w:val="18"/>
          <w:szCs w:val="18"/>
          <w:color w:val="auto"/>
        </w:rPr>
      </w:pPr>
    </w:p>
    <w:p>
      <w:pPr>
        <w:jc w:val="both"/>
        <w:ind w:left="1020" w:right="240" w:hanging="432"/>
        <w:spacing w:after="0" w:line="286" w:lineRule="auto"/>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outstanding equity award with a performance goal over a performance period vesting condition will continue to vest on each originally scheduled vesting date in an amount equal to the number of units subject to the awards that would otherwise have been determined to have been earned with continuous employment with the Company through the originally scheduled vesting dates; and</w:t>
      </w:r>
    </w:p>
    <w:p>
      <w:pPr>
        <w:spacing w:after="0" w:line="57" w:lineRule="exact"/>
        <w:rPr>
          <w:rFonts w:ascii="Arial" w:cs="Arial" w:eastAsia="Arial" w:hAnsi="Arial"/>
          <w:sz w:val="17"/>
          <w:szCs w:val="17"/>
          <w:color w:val="auto"/>
        </w:rPr>
      </w:pPr>
    </w:p>
    <w:p>
      <w:pPr>
        <w:ind w:left="1020" w:right="700" w:hanging="432"/>
        <w:spacing w:after="0" w:line="342" w:lineRule="auto"/>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Exclusive to Mr. Black, he shall receive a pro-rated portion of any target annual cash incentive bonus for the fiscal year in which the termination of employment occurs (payable in a lump sum no later than 60 calendar days after the date of termination).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Change in Control without Termination or Resignation</w:t>
      </w:r>
    </w:p>
    <w:p>
      <w:pPr>
        <w:spacing w:after="0" w:line="171"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Generally, option agreements and RSU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of the company that does not involve a merger, consolidation, share exchange or sale of all or substantially all of our company’s assets, the plan administrator,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0574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1"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33</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7" w:name="page38"/>
    <w:bookmarkEnd w:id="37"/>
    <w:p>
      <w:pPr>
        <w:jc w:val="both"/>
        <w:ind w:right="580"/>
        <w:spacing w:after="0" w:line="263" w:lineRule="auto"/>
        <w:rPr>
          <w:sz w:val="20"/>
          <w:szCs w:val="20"/>
          <w:color w:val="auto"/>
        </w:rPr>
      </w:pPr>
      <w:r>
        <w:rPr>
          <w:rFonts w:ascii="Arial" w:cs="Arial" w:eastAsia="Arial" w:hAnsi="Arial"/>
          <w:sz w:val="18"/>
          <w:szCs w:val="18"/>
          <w:color w:val="auto"/>
        </w:rPr>
        <w:t>may provide that any outstanding award will become fully vested and exercisable upon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30"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PSU agreements executed pursuant to our 2010 Equity Incentive Plan provide that in the event a change in control of the company occurs prior to the scheduled vesting date of a PSU award and the named executive continues serving until the date of the change in control, the applicable performance period will be truncated and will end as of the end of the company’s most recently completed fiscal quarter prior to the date of the change in control and the executive will be entitled to have vest as of the date of the change in control the number of PSUs that are determined to have been earned based on actual performance against the performance goal specified in the agreement over the truncated performance period. The PSU award agreements provide that the preceding determination of the number of PSUs to be paid out upon a change in control shall be deemed to satisfy any applicable change in control acceleration provisions contained in the executive officer’s employment or severance agreements.</w:t>
      </w:r>
    </w:p>
    <w:p>
      <w:pPr>
        <w:spacing w:after="0" w:line="112" w:lineRule="exact"/>
        <w:rPr>
          <w:sz w:val="20"/>
          <w:szCs w:val="20"/>
          <w:color w:val="auto"/>
        </w:rPr>
      </w:pPr>
    </w:p>
    <w:p>
      <w:pPr>
        <w:ind w:right="120" w:firstLine="589"/>
        <w:spacing w:after="0" w:line="284" w:lineRule="auto"/>
        <w:rPr>
          <w:sz w:val="20"/>
          <w:szCs w:val="20"/>
          <w:color w:val="auto"/>
        </w:rPr>
      </w:pPr>
      <w:r>
        <w:rPr>
          <w:rFonts w:ascii="Arial" w:cs="Arial" w:eastAsia="Arial" w:hAnsi="Arial"/>
          <w:sz w:val="16"/>
          <w:szCs w:val="16"/>
          <w:color w:val="auto"/>
        </w:rPr>
        <w:t>The following table lists the potential payments and benefits upon a termination of employment or change in control of the Company for our named executive officers. The tables assume the triggering event for the payments or provision of benefits occurred on December 31, 2020, the last day of our last completed fiscal year. Amounts in the table for the acceleration of unvested stock options are calculated based on the number of share of our common stock subject to accelerated stock options multiplied by the difference between the closing price for a share of our common stock on the Nasdaq Global Market on the last trading day of our last completed fiscal year, and the per share exercise price. The amounts in the table for the acceleration of RSUs and PSUs are determined by multiplying the number of accelerated units by the closing price for our common stock on December 31, 2020.</w:t>
      </w:r>
    </w:p>
    <w:tbl>
      <w:tblPr>
        <w:tblLayout w:type="fixed"/>
        <w:tblInd w:w="0" w:type="dxa"/>
        <w:tblCellMar>
          <w:top w:w="0" w:type="dxa"/>
          <w:left w:w="0" w:type="dxa"/>
          <w:bottom w:w="0" w:type="dxa"/>
          <w:right w:w="0" w:type="dxa"/>
        </w:tblCellMar>
      </w:tblPr>
      <w:tr>
        <w:trPr>
          <w:trHeight w:val="143"/>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5"/>
              </w:rPr>
              <w:t>Involuntary Termination</w:t>
            </w:r>
          </w:p>
        </w:tc>
        <w:tc>
          <w:tcPr>
            <w:tcW w:w="17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3"/>
              </w:rPr>
              <w:t>Resignation For</w:t>
            </w:r>
          </w:p>
        </w:tc>
        <w:tc>
          <w:tcPr>
            <w:tcW w:w="22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5"/>
              </w:rPr>
              <w:t>Involuntary Termination</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Change in Control</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Without Cause Outside of</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Good Reason Outside</w:t>
            </w:r>
          </w:p>
        </w:tc>
        <w:tc>
          <w:tcPr>
            <w:tcW w:w="2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Without Cause or Resignation</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Retirement ($)</w:t>
            </w:r>
          </w:p>
        </w:tc>
        <w:tc>
          <w:tcPr>
            <w:tcW w:w="1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the Change in Control</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of the Change in</w:t>
            </w:r>
          </w:p>
        </w:tc>
        <w:tc>
          <w:tcPr>
            <w:tcW w:w="2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For Good Reason During the</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(No termination 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Period ($)</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Control Period ($)</w:t>
            </w: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Change in Control Period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Resignation) ($)</w:t>
            </w:r>
          </w:p>
        </w:tc>
        <w:tc>
          <w:tcPr>
            <w:tcW w:w="0" w:type="dxa"/>
            <w:vAlign w:val="bottom"/>
          </w:tcPr>
          <w:p>
            <w:pPr>
              <w:spacing w:after="0"/>
              <w:rPr>
                <w:sz w:val="1"/>
                <w:szCs w:val="1"/>
                <w:color w:val="auto"/>
              </w:rPr>
            </w:pPr>
          </w:p>
        </w:tc>
      </w:tr>
      <w:tr>
        <w:trPr>
          <w:trHeight w:val="155"/>
        </w:trPr>
        <w:tc>
          <w:tcPr>
            <w:tcW w:w="2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Archie Black</w:t>
            </w:r>
          </w:p>
        </w:tc>
        <w:tc>
          <w:tcPr>
            <w:tcW w:w="4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7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Salary/Bonus</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523,000</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523,000</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523,000</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1,307,500</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 xml:space="preserve">Health Benefits </w:t>
            </w:r>
            <w:r>
              <w:rPr>
                <w:rFonts w:ascii="Arial" w:cs="Arial" w:eastAsia="Arial" w:hAnsi="Arial"/>
                <w:sz w:val="12"/>
                <w:szCs w:val="12"/>
                <w:color w:val="auto"/>
              </w:rPr>
              <w:t>(1)</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12,213</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12,213</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18,319</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Value of Accelerated RSUs</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5,855,281</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5,855,281</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5,855,281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Value of Accelerated Options</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2,806,911</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2,806,911</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2,806,911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 xml:space="preserve">Value of Accelerated PSUs </w:t>
            </w:r>
            <w:r>
              <w:rPr>
                <w:rFonts w:ascii="Arial" w:cs="Arial" w:eastAsia="Arial" w:hAnsi="Arial"/>
                <w:sz w:val="12"/>
                <w:szCs w:val="12"/>
                <w:color w:val="auto"/>
              </w:rPr>
              <w:t>(2)(3)</w:t>
            </w:r>
          </w:p>
        </w:tc>
        <w:tc>
          <w:tcPr>
            <w:tcW w:w="4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15,935,148</w:t>
            </w:r>
          </w:p>
        </w:tc>
        <w:tc>
          <w:tcPr>
            <w:tcW w:w="120" w:type="dxa"/>
            <w:vAlign w:val="bottom"/>
            <w:tcBorders>
              <w:bottom w:val="single" w:sz="8" w:color="CFF0FC"/>
            </w:tcBorders>
            <w:shd w:val="clear" w:color="auto" w:fill="CFF0FC"/>
          </w:tcPr>
          <w:p>
            <w:pPr>
              <w:spacing w:after="0"/>
              <w:rPr>
                <w:sz w:val="14"/>
                <w:szCs w:val="1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15,935,148</w:t>
            </w:r>
          </w:p>
        </w:tc>
        <w:tc>
          <w:tcPr>
            <w:tcW w:w="34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15,935,148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25,120,340</w:t>
            </w:r>
          </w:p>
        </w:tc>
        <w:tc>
          <w:tcPr>
            <w:tcW w:w="12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535,213</w:t>
            </w: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535,213</w:t>
            </w:r>
          </w:p>
        </w:tc>
        <w:tc>
          <w:tcPr>
            <w:tcW w:w="34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25,923,159</w:t>
            </w:r>
          </w:p>
        </w:tc>
        <w:tc>
          <w:tcPr>
            <w:tcW w:w="3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24,597,340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780" w:type="dxa"/>
            <w:vAlign w:val="bottom"/>
          </w:tcPr>
          <w:p>
            <w:pPr>
              <w:spacing w:after="0"/>
              <w:rPr>
                <w:sz w:val="20"/>
                <w:szCs w:val="20"/>
                <w:color w:val="auto"/>
              </w:rPr>
            </w:pPr>
            <w:r>
              <w:rPr>
                <w:rFonts w:ascii="Arial" w:cs="Arial" w:eastAsia="Arial" w:hAnsi="Arial"/>
                <w:sz w:val="14"/>
                <w:szCs w:val="14"/>
                <w:b w:val="1"/>
                <w:bCs w:val="1"/>
                <w:color w:val="auto"/>
              </w:rPr>
              <w:t>Kim Nelson</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rPr>
                <w:sz w:val="20"/>
                <w:szCs w:val="20"/>
                <w:color w:val="auto"/>
              </w:rPr>
            </w:pPr>
            <w:r>
              <w:rPr>
                <w:rFonts w:ascii="Arial" w:cs="Arial" w:eastAsia="Arial" w:hAnsi="Arial"/>
                <w:sz w:val="14"/>
                <w:szCs w:val="14"/>
                <w:color w:val="auto"/>
              </w:rPr>
              <w:t>Salary/Bonus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655,000</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327,500</w:t>
            </w:r>
          </w:p>
        </w:tc>
        <w:tc>
          <w:tcPr>
            <w:tcW w:w="3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655,000</w:t>
            </w: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rPr>
                <w:sz w:val="20"/>
                <w:szCs w:val="20"/>
                <w:color w:val="auto"/>
              </w:rPr>
            </w:pPr>
            <w:r>
              <w:rPr>
                <w:rFonts w:ascii="Arial" w:cs="Arial" w:eastAsia="Arial" w:hAnsi="Arial"/>
                <w:sz w:val="14"/>
                <w:szCs w:val="14"/>
                <w:color w:val="auto"/>
              </w:rPr>
              <w:t xml:space="preserve">Health Benefits </w:t>
            </w:r>
            <w:r>
              <w:rPr>
                <w:rFonts w:ascii="Arial" w:cs="Arial" w:eastAsia="Arial" w:hAnsi="Arial"/>
                <w:sz w:val="12"/>
                <w:szCs w:val="12"/>
                <w:color w:val="auto"/>
              </w:rPr>
              <w:t>(1)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12,213</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6,106</w:t>
            </w:r>
          </w:p>
        </w:tc>
        <w:tc>
          <w:tcPr>
            <w:tcW w:w="3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12,213</w:t>
            </w: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rPr>
                <w:sz w:val="20"/>
                <w:szCs w:val="20"/>
                <w:color w:val="auto"/>
              </w:rPr>
            </w:pPr>
            <w:r>
              <w:rPr>
                <w:rFonts w:ascii="Arial" w:cs="Arial" w:eastAsia="Arial" w:hAnsi="Arial"/>
                <w:sz w:val="14"/>
                <w:szCs w:val="14"/>
                <w:color w:val="auto"/>
              </w:rPr>
              <w:t>Value of Accelerated RSUs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3,035,416</w:t>
            </w: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3,035,416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rPr>
                <w:sz w:val="20"/>
                <w:szCs w:val="20"/>
                <w:color w:val="auto"/>
              </w:rPr>
            </w:pPr>
            <w:r>
              <w:rPr>
                <w:rFonts w:ascii="Arial" w:cs="Arial" w:eastAsia="Arial" w:hAnsi="Arial"/>
                <w:sz w:val="14"/>
                <w:szCs w:val="14"/>
                <w:color w:val="auto"/>
              </w:rPr>
              <w:t>Value of Accelerated Options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1,405,779</w:t>
            </w: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1,405,779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 xml:space="preserve">Value of Accelerated PSUs </w:t>
            </w:r>
            <w:r>
              <w:rPr>
                <w:rFonts w:ascii="Arial" w:cs="Arial" w:eastAsia="Arial" w:hAnsi="Arial"/>
                <w:sz w:val="12"/>
                <w:szCs w:val="12"/>
                <w:color w:val="auto"/>
              </w:rPr>
              <w:t>(2)(3)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6,782,966</w:t>
            </w: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6,782,966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667,213</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333,606</w:t>
            </w:r>
          </w:p>
        </w:tc>
        <w:tc>
          <w:tcPr>
            <w:tcW w:w="340" w:type="dxa"/>
            <w:vAlign w:val="bottom"/>
          </w:tcPr>
          <w:p>
            <w:pPr>
              <w:spacing w:after="0"/>
              <w:rPr>
                <w:sz w:val="15"/>
                <w:szCs w:val="15"/>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11,891,374</w:t>
            </w:r>
          </w:p>
        </w:tc>
        <w:tc>
          <w:tcPr>
            <w:tcW w:w="34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11,224,161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Jim Frome</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Salary/Bonus</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748,000</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374,000</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748,000</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 xml:space="preserve">Health Benefits </w:t>
            </w:r>
            <w:r>
              <w:rPr>
                <w:rFonts w:ascii="Arial" w:cs="Arial" w:eastAsia="Arial" w:hAnsi="Arial"/>
                <w:sz w:val="12"/>
                <w:szCs w:val="12"/>
                <w:color w:val="auto"/>
              </w:rPr>
              <w:t>(1)</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12,213</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6,106</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12,213</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Value of Accelerated RSUs</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3,232,616</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3,232,616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Value of Accelerated Options</w:t>
            </w: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1,592,972</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 xml:space="preserve">Value of Accelerated PSUs </w:t>
            </w:r>
            <w:r>
              <w:rPr>
                <w:rFonts w:ascii="Arial" w:cs="Arial" w:eastAsia="Arial" w:hAnsi="Arial"/>
                <w:sz w:val="12"/>
                <w:szCs w:val="12"/>
                <w:color w:val="auto"/>
              </w:rPr>
              <w:t>(2)(3)</w:t>
            </w:r>
          </w:p>
        </w:tc>
        <w:tc>
          <w:tcPr>
            <w:tcW w:w="4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7,304,632</w:t>
            </w:r>
          </w:p>
        </w:tc>
        <w:tc>
          <w:tcPr>
            <w:tcW w:w="34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7,304,632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760,213</w:t>
            </w: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380,106</w:t>
            </w:r>
          </w:p>
        </w:tc>
        <w:tc>
          <w:tcPr>
            <w:tcW w:w="34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12,890,432</w:t>
            </w:r>
          </w:p>
        </w:tc>
        <w:tc>
          <w:tcPr>
            <w:tcW w:w="3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12,130,220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amounts for health benefits were determined via employer paid health and dental benefits incurred in 2020 for the named executive.</w:t>
      </w:r>
    </w:p>
    <w:p>
      <w:pPr>
        <w:spacing w:after="0" w:line="142" w:lineRule="exact"/>
        <w:rPr>
          <w:rFonts w:ascii="Arial" w:cs="Arial" w:eastAsia="Arial" w:hAnsi="Arial"/>
          <w:sz w:val="17"/>
          <w:szCs w:val="17"/>
          <w:color w:val="auto"/>
        </w:rPr>
      </w:pPr>
    </w:p>
    <w:p>
      <w:pPr>
        <w:ind w:left="440" w:right="100" w:hanging="432"/>
        <w:spacing w:after="0" w:line="311" w:lineRule="auto"/>
        <w:tabs>
          <w:tab w:leader="none" w:pos="4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Upon retirement, outstanding PSUs will continue to vest on each originally scheduled vesting date in an amount equal to the number of units subject to the awards that would otherwise have been determined to have been earned if the grantee remained continuously employed by the Company through the originally scheduled vesting dates. Because these performance determinations cannot be made until after December 31, 2020,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0574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3"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t>amount included in the Retirement column reflects the value of estimated performance level at December 31, 2020.</w:t>
      </w:r>
    </w:p>
    <w:p>
      <w:pPr>
        <w:spacing w:after="0" w:line="117" w:lineRule="exact"/>
        <w:rPr>
          <w:sz w:val="20"/>
          <w:szCs w:val="20"/>
          <w:color w:val="auto"/>
        </w:rPr>
      </w:pPr>
    </w:p>
    <w:p>
      <w:pPr>
        <w:ind w:left="440" w:right="40" w:hanging="432"/>
        <w:spacing w:after="0" w:line="259"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a change in control, the PSU performance period for outstanding PSUs will be truncated and will end as of the end of the Company’s most recently completed fiscal quarter prior to the date of change in control. Vesting will be as of the date of change in control and based on actual performance over the truncated performance period. The amount noted reflects the value of the outstanding PSUs based on an estimated performance level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Pay Ratio</w:t>
      </w:r>
    </w:p>
    <w:p>
      <w:pPr>
        <w:spacing w:after="0" w:line="16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We are providing the following information about the relationship of the median of the annual total compensation of our employees and the annual total compensation of Archie Black, our Chief Executive Officer (our “CEO”), for 2020:</w:t>
      </w:r>
    </w:p>
    <w:p>
      <w:pPr>
        <w:spacing w:after="0" w:line="62" w:lineRule="exact"/>
        <w:rPr>
          <w:sz w:val="20"/>
          <w:szCs w:val="20"/>
          <w:color w:val="auto"/>
        </w:rPr>
      </w:pPr>
    </w:p>
    <w:p>
      <w:pPr>
        <w:ind w:left="880" w:hanging="440"/>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$87,432;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2020 Summary Compensation Table was $4,810,804.</w:t>
      </w:r>
    </w:p>
    <w:p>
      <w:pPr>
        <w:spacing w:after="0" w:line="171" w:lineRule="exact"/>
        <w:rPr>
          <w:sz w:val="20"/>
          <w:szCs w:val="20"/>
          <w:color w:val="auto"/>
        </w:rPr>
      </w:pPr>
    </w:p>
    <w:p>
      <w:pPr>
        <w:ind w:right="600" w:firstLine="589"/>
        <w:spacing w:after="0" w:line="342" w:lineRule="auto"/>
        <w:rPr>
          <w:sz w:val="20"/>
          <w:szCs w:val="20"/>
          <w:color w:val="auto"/>
        </w:rPr>
      </w:pPr>
      <w:r>
        <w:rPr>
          <w:rFonts w:ascii="Arial" w:cs="Arial" w:eastAsia="Arial" w:hAnsi="Arial"/>
          <w:sz w:val="16"/>
          <w:szCs w:val="16"/>
          <w:color w:val="auto"/>
        </w:rPr>
        <w:t>Based on this information for 2020, the ratio of our CEO’s annual total compensation to the median of the annual total compensation of our employees was 55:1. We believe this pay ratio to be a reasonable estimate, calculated in a manner consistent with Item 402(u) of Regulation S-K.</w:t>
      </w:r>
    </w:p>
    <w:p>
      <w:pPr>
        <w:spacing w:after="0" w:line="70"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As permitted by SEC rules, we have excluded the approximately 150 employees from the entity we acquired, Data Masons, in December 2020. Excluding this acquisition, in 2020, there was no change in our employee population or employee compensation arrangements that we believe would result in a significant change to our pay ratio disclosure. However, in 2020 there was a change in circumstances of the employee identified as the median employee for 2019 as that individual received a significant one-time equity grant in 2020 and as such, their 2020 compensation increased significantly and no longer represented the median. Accordingly, as permitted by SEC rules, we have elected to use another employee, whose 2019 compensation was substantially similar to the original median employee’s 2019 compensation based on the same consistently applied compensation measure used to select the original median employee, as our median employee for 2020.</w:t>
      </w:r>
    </w:p>
    <w:p>
      <w:pPr>
        <w:spacing w:after="0" w:line="123"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We identified our original median employee based on the total cash and equity compensation paid during 2019 to all 1,387 members of our workforce (including full-time, part-time and temporary employees as well as certain independent contractors), other than our CEO, who were employed on December 31, 2019. For purposes of determining the total cash and equity compensation of each employee, we included the contractual amount of annual base salary, the annual target bonus and commission cash incentives, and the grant date fair value of equity awards granted in 2019. We did not include any adjustments for the value of benefits provided.</w:t>
      </w:r>
    </w:p>
    <w:p>
      <w:pPr>
        <w:spacing w:after="0" w:line="134"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We determined the median employee’s total compensation, including any perquisites and other benefits, in the same manner that we determine the total compensation of our named executive officers for purposes of the 2020 Summary Compensation Table disclosed above. The elements included in the CEO’s total compensation are fully discussed above in the footnotes to the 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0574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9"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9" w:name="page40"/>
    <w:bookmarkEnd w:id="39"/>
    <w:p>
      <w:pPr>
        <w:jc w:val="center"/>
        <w:spacing w:after="0" w:line="280" w:lineRule="auto"/>
        <w:rPr>
          <w:sz w:val="20"/>
          <w:szCs w:val="20"/>
          <w:color w:val="auto"/>
        </w:rPr>
      </w:pPr>
      <w:r>
        <w:rPr>
          <w:rFonts w:ascii="Arial" w:cs="Arial" w:eastAsia="Arial" w:hAnsi="Arial"/>
          <w:sz w:val="36"/>
          <w:szCs w:val="36"/>
          <w:b w:val="1"/>
          <w:bCs w:val="1"/>
          <w:color w:val="00AAE5"/>
        </w:rPr>
        <w:t>AUDIT COMMITTEE REPORT AND PAYMENT OF FEES TO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Report</w:t>
      </w:r>
    </w:p>
    <w:p>
      <w:pPr>
        <w:spacing w:after="0" w:line="16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2020 were audited by KPMG, our independent auditor.</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part of its activities, the Audit Committee has:</w:t>
      </w:r>
    </w:p>
    <w:p>
      <w:pPr>
        <w:spacing w:after="0" w:line="117" w:lineRule="exact"/>
        <w:rPr>
          <w:sz w:val="20"/>
          <w:szCs w:val="20"/>
          <w:color w:val="auto"/>
        </w:rPr>
      </w:pPr>
    </w:p>
    <w:p>
      <w:pPr>
        <w:ind w:left="1020" w:hanging="432"/>
        <w:spacing w:after="0"/>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Reviewed and discussed the Company’s audited consolidated financial statements with management and the independent auditor;</w:t>
      </w:r>
    </w:p>
    <w:p>
      <w:pPr>
        <w:spacing w:after="0" w:line="128" w:lineRule="exact"/>
        <w:rPr>
          <w:rFonts w:ascii="Arial" w:cs="Arial" w:eastAsia="Arial" w:hAnsi="Arial"/>
          <w:sz w:val="17"/>
          <w:szCs w:val="17"/>
          <w:color w:val="auto"/>
        </w:rPr>
      </w:pPr>
    </w:p>
    <w:p>
      <w:pPr>
        <w:ind w:left="1020" w:right="800" w:hanging="432"/>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Discussed with the independent auditor the matters required to be discussed by the applicable requirements of the Public Company Accounting Oversight Board (“PCAOB”) and the SEC; and</w:t>
      </w:r>
    </w:p>
    <w:p>
      <w:pPr>
        <w:spacing w:after="0" w:line="62" w:lineRule="exact"/>
        <w:rPr>
          <w:rFonts w:ascii="Arial" w:cs="Arial" w:eastAsia="Arial" w:hAnsi="Arial"/>
          <w:sz w:val="18"/>
          <w:szCs w:val="18"/>
          <w:color w:val="auto"/>
        </w:rPr>
      </w:pPr>
    </w:p>
    <w:p>
      <w:pPr>
        <w:ind w:left="1020" w:right="180" w:hanging="432"/>
        <w:spacing w:after="0" w:line="263"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PCAOB regarding the independent auditor’s communications with the Audit Committee concerning independence and has discussed with the independent auditor the independent auditor’s independence.</w:t>
      </w:r>
    </w:p>
    <w:p>
      <w:pPr>
        <w:spacing w:after="0" w:line="130"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Management is responsible for the Company’s system of internal controls and financial reporting process. KPMG is responsible for performing an independent audit of the consolidated financial statements and internal controls over financial reporting in accordance with the standards of the PCAOB and for issuing a report thereon. Our committee’s responsibility is to monitor and oversee these processes. Based on the foregoing review and discussions and a review of the report of KPMG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2020, for filing with the SEC.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Sven Wehrwein, </w:t>
      </w:r>
      <w:r>
        <w:rPr>
          <w:rFonts w:ascii="Arial" w:cs="Arial" w:eastAsia="Arial" w:hAnsi="Arial"/>
          <w:sz w:val="18"/>
          <w:szCs w:val="18"/>
          <w:i w:val="1"/>
          <w:iCs w:val="1"/>
          <w:color w:val="auto"/>
        </w:rPr>
        <w:t>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Leestma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Philip 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Auditor Fees</w:t>
      </w:r>
    </w:p>
    <w:p>
      <w:pPr>
        <w:spacing w:after="0" w:line="16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KPMG has served as our independent auditor since June 2013. The following table presents fees for professional audit services rendered by KPMG in the past two years.</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5"/>
        </w:trPr>
        <w:tc>
          <w:tcPr>
            <w:tcW w:w="3300" w:type="dxa"/>
            <w:vAlign w:val="bottom"/>
            <w:tcBorders>
              <w:bottom w:val="single" w:sz="8" w:color="CFF0FC"/>
            </w:tcBorders>
          </w:tcPr>
          <w:p>
            <w:pPr>
              <w:spacing w:after="0"/>
              <w:rPr>
                <w:sz w:val="2"/>
                <w:szCs w:val="2"/>
                <w:color w:val="auto"/>
              </w:rPr>
            </w:pPr>
          </w:p>
        </w:tc>
        <w:tc>
          <w:tcPr>
            <w:tcW w:w="17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7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733,600</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639,000</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1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35,000</w:t>
            </w:r>
          </w:p>
        </w:tc>
        <w:tc>
          <w:tcPr>
            <w:tcW w:w="11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21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168,500</w:t>
            </w:r>
          </w:p>
        </w:tc>
        <w:tc>
          <w:tcPr>
            <w:tcW w:w="112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195,800</w:t>
            </w:r>
          </w:p>
        </w:tc>
        <w:tc>
          <w:tcPr>
            <w:tcW w:w="80" w:type="dxa"/>
            <w:vAlign w:val="bottom"/>
            <w:shd w:val="clear" w:color="auto" w:fill="CFF0FC"/>
          </w:tcPr>
          <w:p>
            <w:pPr>
              <w:spacing w:after="0"/>
              <w:rPr>
                <w:sz w:val="19"/>
                <w:szCs w:val="19"/>
                <w:color w:val="auto"/>
              </w:rPr>
            </w:pP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937,100</w:t>
            </w:r>
          </w:p>
        </w:tc>
        <w:tc>
          <w:tcPr>
            <w:tcW w:w="760" w:type="dxa"/>
            <w:vAlign w:val="bottom"/>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879,800</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0972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4" w:lineRule="exact"/>
        <w:rPr>
          <w:sz w:val="20"/>
          <w:szCs w:val="20"/>
          <w:color w:val="auto"/>
        </w:rPr>
      </w:pPr>
    </w:p>
    <w:p>
      <w:pPr>
        <w:ind w:left="440" w:right="220" w:hanging="432"/>
        <w:spacing w:after="0" w:line="263" w:lineRule="auto"/>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8"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Audit-Related Fees consist of fees for the audit of our employee benefit plan.</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Tax Fees consist of the aggregate fees for professional services rendered for transfer pricing, tax compliance, tax advice and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20574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Auditor Services Pre-Approval Policy</w:t>
      </w:r>
    </w:p>
    <w:p>
      <w:pPr>
        <w:spacing w:after="0" w:line="16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0574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1" w:name="page42"/>
    <w:bookmarkEnd w:id="41"/>
    <w:p>
      <w:pPr>
        <w:jc w:val="center"/>
        <w:spacing w:after="0" w:line="280" w:lineRule="auto"/>
        <w:rPr>
          <w:sz w:val="20"/>
          <w:szCs w:val="20"/>
          <w:color w:val="auto"/>
        </w:rPr>
      </w:pPr>
      <w:r>
        <w:rPr>
          <w:rFonts w:ascii="Arial" w:cs="Arial" w:eastAsia="Arial" w:hAnsi="Arial"/>
          <w:sz w:val="36"/>
          <w:szCs w:val="36"/>
          <w:b w:val="1"/>
          <w:bCs w:val="1"/>
          <w:color w:val="00AAE5"/>
        </w:rPr>
        <w:t>ITEM 2 – RATIFICATION OF SELECTION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The Audit Committee of our board of directors has selected KPMG to serve as our independent auditor for the year ending December 31, 2021. While it is not required to do so, our board of directors is submitting the selection of KPMG for ratification in order to ascertain the views of our stockholders with respect to the choice of audit firm. If the selection is not ratified, the Audit Committee will reconsider its selection. Representatives of KPMG are expected to be present at the annual meeting, will be available to answer stockholder questions and will have the opportunity to make a statement if they desire to do so.</w:t>
      </w:r>
    </w:p>
    <w:p>
      <w:pPr>
        <w:spacing w:after="0" w:line="197" w:lineRule="exact"/>
        <w:rPr>
          <w:sz w:val="20"/>
          <w:szCs w:val="20"/>
          <w:color w:val="auto"/>
        </w:rPr>
      </w:pPr>
    </w:p>
    <w:p>
      <w:pPr>
        <w:ind w:right="660" w:firstLine="589"/>
        <w:spacing w:after="0" w:line="266" w:lineRule="auto"/>
        <w:rPr>
          <w:sz w:val="20"/>
          <w:szCs w:val="20"/>
          <w:color w:val="auto"/>
        </w:rPr>
      </w:pPr>
      <w:r>
        <w:rPr>
          <w:rFonts w:ascii="Arial" w:cs="Arial" w:eastAsia="Arial" w:hAnsi="Arial"/>
          <w:sz w:val="18"/>
          <w:szCs w:val="18"/>
          <w:b w:val="1"/>
          <w:bCs w:val="1"/>
          <w:color w:val="auto"/>
        </w:rPr>
        <w:t>The board of directors recommends that you vote FOR ratification of the selection of KPMG as the independent auditor of SPS Commerce, Inc. and our subsidiaries for the year ending December 31, 2021. Proxies will be voted FOR ratification of this selection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0574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4"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2" w:name="page43"/>
    <w:bookmarkEnd w:id="42"/>
    <w:p>
      <w:pPr>
        <w:jc w:val="center"/>
        <w:ind w:left="340" w:right="540"/>
        <w:spacing w:after="0" w:line="261" w:lineRule="auto"/>
        <w:rPr>
          <w:sz w:val="20"/>
          <w:szCs w:val="20"/>
          <w:color w:val="auto"/>
        </w:rPr>
      </w:pPr>
      <w:r>
        <w:rPr>
          <w:rFonts w:ascii="Arial" w:cs="Arial" w:eastAsia="Arial" w:hAnsi="Arial"/>
          <w:sz w:val="36"/>
          <w:szCs w:val="36"/>
          <w:b w:val="1"/>
          <w:bCs w:val="1"/>
          <w:color w:val="00AAE5"/>
        </w:rPr>
        <w:t>ITEM 3 –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are providing our stockholders the opportunity to cast an advisory (non-binding) vote to approve the compensation of our named executive officers as disclosed in this proxy statement (a “Say-on-Pay” vote). As described in the Compensation Discussion and Analysis,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During 2020, our compensation primarily consisted of base salary, annual cash incentive awards, stock options, RSU awards and PSU awards, which helps align the incentives of our named executive officers with the interests of our stockholders.</w:t>
      </w:r>
    </w:p>
    <w:p>
      <w:pPr>
        <w:spacing w:after="0" w:line="138"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spacing w:after="0" w:line="130" w:lineRule="exact"/>
        <w:rPr>
          <w:sz w:val="20"/>
          <w:szCs w:val="20"/>
          <w:color w:val="auto"/>
        </w:rPr>
      </w:pPr>
    </w:p>
    <w:p>
      <w:pPr>
        <w:ind w:right="860" w:firstLine="589"/>
        <w:spacing w:after="0" w:line="342" w:lineRule="auto"/>
        <w:rPr>
          <w:sz w:val="20"/>
          <w:szCs w:val="20"/>
          <w:color w:val="auto"/>
        </w:rPr>
      </w:pPr>
      <w:r>
        <w:rPr>
          <w:rFonts w:ascii="Arial" w:cs="Arial" w:eastAsia="Arial" w:hAnsi="Arial"/>
          <w:sz w:val="16"/>
          <w:szCs w:val="16"/>
          <w:color w:val="auto"/>
        </w:rPr>
        <w:t>“RESOLVED, that the stockholders approve the compensation of the SPS Commerce, Inc. named executive officers, as disclosed in the Compensation Discussion and Analysis, the compensation tables, and the related disclosure contained in our 2020 proxy statement.”</w:t>
      </w:r>
    </w:p>
    <w:p>
      <w:pPr>
        <w:spacing w:after="0" w:line="70"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The compensation committee believes that the executive compensation for 2020 is reasonable and appropriate, is justified by our performance, and is the result of a carefully considered approach. In deciding how to vote on this proposal, the board of directors asks you to consider the key points with regard to our executive compensation program included in the Compensation Discussion and Analysis of this proxy statement.</w:t>
      </w:r>
    </w:p>
    <w:p>
      <w:pPr>
        <w:spacing w:after="0" w:line="9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Because your vote is advisory, it will not be binding on the board of directors or the compensation committee and will not overrule any decision by the board or the compensation committee or require the board or the committee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consider constructive feedback obtained through this process in making future decisions about our executive compensation program. We currently hold our Say-on-Pay vote every year so the next advisory vote on the compensation of our named executive officers will occur at our 2022 Annual Meeting of Stockholders. The next advisory vote regarding the frequency of future Say-on-Pay votes will occur at our 2025 Annual Meeting of Stockholders.</w:t>
      </w:r>
    </w:p>
    <w:p>
      <w:pPr>
        <w:spacing w:after="0" w:line="176" w:lineRule="exact"/>
        <w:rPr>
          <w:sz w:val="20"/>
          <w:szCs w:val="20"/>
          <w:color w:val="auto"/>
        </w:rPr>
      </w:pPr>
    </w:p>
    <w:p>
      <w:pPr>
        <w:ind w:right="240" w:firstLine="589"/>
        <w:spacing w:after="0" w:line="282"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20574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36"/>
          <w:szCs w:val="36"/>
          <w:b w:val="1"/>
          <w:bCs w:val="1"/>
          <w:color w:val="00AAE5"/>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b w:val="1"/>
          <w:bCs w:val="1"/>
          <w:color w:val="auto"/>
        </w:rPr>
        <w:t>Beneficial Ownership of Directors, Nominees, Executive Officers and Beneficial Owners of More than Five Percent of Our Common Stock</w:t>
      </w:r>
    </w:p>
    <w:p>
      <w:pPr>
        <w:spacing w:after="0" w:line="115"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The following table shows how many shares of our common stock were beneficially owned as of March 24, 2021 by each of the persons known by us to be beneficial owners of more than 5% of our common stock, our directors, the director nominees and the executive officers named in the 2020 Summary Compensation Table contained in this proxy statement, and by all of our directors and executive officers as a group.</w:t>
      </w:r>
    </w:p>
    <w:tbl>
      <w:tblPr>
        <w:tblLayout w:type="fixed"/>
        <w:tblInd w:w="0" w:type="dxa"/>
        <w:tblCellMar>
          <w:top w:w="0" w:type="dxa"/>
          <w:left w:w="0" w:type="dxa"/>
          <w:bottom w:w="0" w:type="dxa"/>
          <w:right w:w="0" w:type="dxa"/>
        </w:tblCellMar>
      </w:tblPr>
      <w:tr>
        <w:trPr>
          <w:trHeight w:val="139"/>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Number of Shares Deemed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 as a</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Result of Equity Awards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Ownership of</w:t>
            </w:r>
          </w:p>
        </w:tc>
        <w:tc>
          <w:tcPr>
            <w:tcW w:w="7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Exercisable or Vesting</w:t>
            </w:r>
          </w:p>
        </w:tc>
        <w:tc>
          <w:tcPr>
            <w:tcW w:w="78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Total Beneficial</w:t>
            </w: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Percentage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Owner(s)</w:t>
            </w:r>
          </w:p>
        </w:tc>
        <w:tc>
          <w:tcPr>
            <w:tcW w:w="12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Within 60 Days of the</w:t>
            </w:r>
          </w:p>
        </w:tc>
        <w:tc>
          <w:tcPr>
            <w:tcW w:w="7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78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Ownership</w:t>
            </w:r>
          </w:p>
        </w:tc>
        <w:tc>
          <w:tcPr>
            <w:tcW w:w="18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Outstanding Shares</w:t>
            </w:r>
          </w:p>
        </w:tc>
        <w:tc>
          <w:tcPr>
            <w:tcW w:w="0" w:type="dxa"/>
            <w:vAlign w:val="bottom"/>
          </w:tcPr>
          <w:p>
            <w:pPr>
              <w:spacing w:after="0"/>
              <w:rPr>
                <w:sz w:val="1"/>
                <w:szCs w:val="1"/>
                <w:color w:val="auto"/>
              </w:rPr>
            </w:pPr>
          </w:p>
        </w:tc>
      </w:tr>
      <w:tr>
        <w:trPr>
          <w:trHeight w:val="223"/>
        </w:trPr>
        <w:tc>
          <w:tcPr>
            <w:tcW w:w="3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3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Archie Black</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7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(1)</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128,789</w:t>
            </w:r>
          </w:p>
        </w:tc>
        <w:tc>
          <w:tcPr>
            <w:tcW w:w="7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132,371</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James Frome</w:t>
            </w:r>
          </w:p>
        </w:tc>
        <w:tc>
          <w:tcPr>
            <w:tcW w:w="1240" w:type="dxa"/>
            <w:vAlign w:val="bottom"/>
          </w:tcPr>
          <w:p>
            <w:pPr>
              <w:jc w:val="right"/>
              <w:spacing w:after="0"/>
              <w:rPr>
                <w:sz w:val="20"/>
                <w:szCs w:val="20"/>
                <w:color w:val="auto"/>
              </w:rPr>
            </w:pPr>
            <w:r>
              <w:rPr>
                <w:rFonts w:ascii="Arial" w:cs="Arial" w:eastAsia="Arial" w:hAnsi="Arial"/>
                <w:sz w:val="18"/>
                <w:szCs w:val="18"/>
                <w:color w:val="auto"/>
              </w:rPr>
              <w:t>4,020</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1680" w:type="dxa"/>
            <w:vAlign w:val="bottom"/>
          </w:tcPr>
          <w:p>
            <w:pPr>
              <w:jc w:val="right"/>
              <w:spacing w:after="0"/>
              <w:rPr>
                <w:sz w:val="20"/>
                <w:szCs w:val="20"/>
                <w:color w:val="auto"/>
              </w:rPr>
            </w:pPr>
            <w:r>
              <w:rPr>
                <w:rFonts w:ascii="Arial" w:cs="Arial" w:eastAsia="Arial" w:hAnsi="Arial"/>
                <w:sz w:val="18"/>
                <w:szCs w:val="18"/>
                <w:color w:val="auto"/>
              </w:rPr>
              <w:t>6,919</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10,939</w:t>
            </w:r>
          </w:p>
        </w:tc>
        <w:tc>
          <w:tcPr>
            <w:tcW w:w="4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Martin Leestma</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29,682</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29,682</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Kimberly Nelson</w:t>
            </w:r>
          </w:p>
        </w:tc>
        <w:tc>
          <w:tcPr>
            <w:tcW w:w="1240" w:type="dxa"/>
            <w:vAlign w:val="bottom"/>
          </w:tcPr>
          <w:p>
            <w:pPr>
              <w:jc w:val="right"/>
              <w:spacing w:after="0"/>
              <w:rPr>
                <w:sz w:val="20"/>
                <w:szCs w:val="20"/>
                <w:color w:val="auto"/>
              </w:rPr>
            </w:pPr>
            <w:r>
              <w:rPr>
                <w:rFonts w:ascii="Arial" w:cs="Arial" w:eastAsia="Arial" w:hAnsi="Arial"/>
                <w:sz w:val="18"/>
                <w:szCs w:val="18"/>
                <w:color w:val="auto"/>
              </w:rPr>
              <w:t>85,260</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1680" w:type="dxa"/>
            <w:vAlign w:val="bottom"/>
          </w:tcPr>
          <w:p>
            <w:pPr>
              <w:jc w:val="right"/>
              <w:spacing w:after="0"/>
              <w:rPr>
                <w:sz w:val="20"/>
                <w:szCs w:val="20"/>
                <w:color w:val="auto"/>
              </w:rPr>
            </w:pPr>
            <w:r>
              <w:rPr>
                <w:rFonts w:ascii="Arial" w:cs="Arial" w:eastAsia="Arial" w:hAnsi="Arial"/>
                <w:sz w:val="18"/>
                <w:szCs w:val="18"/>
                <w:color w:val="auto"/>
              </w:rPr>
              <w:t>140,267</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225,527</w:t>
            </w:r>
          </w:p>
        </w:tc>
        <w:tc>
          <w:tcPr>
            <w:tcW w:w="4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Ramsey</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Marty Reaume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26,660</w:t>
            </w:r>
          </w:p>
        </w:tc>
        <w:tc>
          <w:tcPr>
            <w:tcW w:w="7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26,660</w:t>
            </w:r>
          </w:p>
        </w:tc>
        <w:tc>
          <w:tcPr>
            <w:tcW w:w="4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Tami Reller</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42,824</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42,824</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Philip Soran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34,188</w:t>
            </w:r>
          </w:p>
        </w:tc>
        <w:tc>
          <w:tcPr>
            <w:tcW w:w="7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34,188</w:t>
            </w:r>
          </w:p>
        </w:tc>
        <w:tc>
          <w:tcPr>
            <w:tcW w:w="4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Anne Sempowski Ward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Sven Wehrwein</w:t>
            </w:r>
          </w:p>
        </w:tc>
        <w:tc>
          <w:tcPr>
            <w:tcW w:w="1240" w:type="dxa"/>
            <w:vAlign w:val="bottom"/>
          </w:tcPr>
          <w:p>
            <w:pPr>
              <w:jc w:val="right"/>
              <w:spacing w:after="0"/>
              <w:rPr>
                <w:sz w:val="20"/>
                <w:szCs w:val="20"/>
                <w:color w:val="auto"/>
              </w:rPr>
            </w:pPr>
            <w:r>
              <w:rPr>
                <w:rFonts w:ascii="Arial" w:cs="Arial" w:eastAsia="Arial" w:hAnsi="Arial"/>
                <w:sz w:val="18"/>
                <w:szCs w:val="18"/>
                <w:color w:val="auto"/>
              </w:rPr>
              <w:t>14,470</w:t>
            </w:r>
          </w:p>
        </w:tc>
        <w:tc>
          <w:tcPr>
            <w:tcW w:w="7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19,070</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1040" w:type="dxa"/>
            <w:vAlign w:val="bottom"/>
          </w:tcPr>
          <w:p>
            <w:pPr>
              <w:jc w:val="right"/>
              <w:spacing w:after="0"/>
              <w:rPr>
                <w:sz w:val="20"/>
                <w:szCs w:val="20"/>
                <w:color w:val="auto"/>
              </w:rPr>
            </w:pPr>
            <w:r>
              <w:rPr>
                <w:rFonts w:ascii="Arial" w:cs="Arial" w:eastAsia="Arial" w:hAnsi="Arial"/>
                <w:sz w:val="18"/>
                <w:szCs w:val="18"/>
                <w:color w:val="auto"/>
              </w:rPr>
              <w:t>33,540</w:t>
            </w:r>
          </w:p>
        </w:tc>
        <w:tc>
          <w:tcPr>
            <w:tcW w:w="4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directors, director nominees, and</w:t>
            </w: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executive officers as a group (10 persons)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107,332</w:t>
            </w:r>
          </w:p>
        </w:tc>
        <w:tc>
          <w:tcPr>
            <w:tcW w:w="7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(6)</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463,459</w:t>
            </w:r>
          </w:p>
        </w:tc>
        <w:tc>
          <w:tcPr>
            <w:tcW w:w="7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570,791</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240" w:type="dxa"/>
            <w:vAlign w:val="bottom"/>
          </w:tcPr>
          <w:p>
            <w:pPr>
              <w:jc w:val="right"/>
              <w:spacing w:after="0"/>
              <w:rPr>
                <w:sz w:val="20"/>
                <w:szCs w:val="20"/>
                <w:color w:val="auto"/>
              </w:rPr>
            </w:pPr>
            <w:r>
              <w:rPr>
                <w:rFonts w:ascii="Arial" w:cs="Arial" w:eastAsia="Arial" w:hAnsi="Arial"/>
                <w:sz w:val="18"/>
                <w:szCs w:val="18"/>
                <w:color w:val="auto"/>
              </w:rPr>
              <w:t>5,736,617</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5,736,617</w:t>
            </w:r>
          </w:p>
        </w:tc>
        <w:tc>
          <w:tcPr>
            <w:tcW w:w="4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Vanguard Group</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3,881,023</w:t>
            </w:r>
          </w:p>
        </w:tc>
        <w:tc>
          <w:tcPr>
            <w:tcW w:w="7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(8)</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3,881,023</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Conestoga Capital Advisors, LLC</w:t>
            </w:r>
          </w:p>
        </w:tc>
        <w:tc>
          <w:tcPr>
            <w:tcW w:w="1240" w:type="dxa"/>
            <w:vAlign w:val="bottom"/>
          </w:tcPr>
          <w:p>
            <w:pPr>
              <w:jc w:val="right"/>
              <w:spacing w:after="0"/>
              <w:rPr>
                <w:sz w:val="20"/>
                <w:szCs w:val="20"/>
                <w:color w:val="auto"/>
              </w:rPr>
            </w:pPr>
            <w:r>
              <w:rPr>
                <w:rFonts w:ascii="Arial" w:cs="Arial" w:eastAsia="Arial" w:hAnsi="Arial"/>
                <w:sz w:val="18"/>
                <w:szCs w:val="18"/>
                <w:color w:val="auto"/>
              </w:rPr>
              <w:t>1,868,409</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1,868,409</w:t>
            </w:r>
          </w:p>
        </w:tc>
        <w:tc>
          <w:tcPr>
            <w:tcW w:w="4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0" w:hanging="34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rFonts w:ascii="Arial" w:cs="Arial" w:eastAsia="Arial" w:hAnsi="Arial"/>
          <w:sz w:val="18"/>
          <w:szCs w:val="18"/>
          <w:color w:val="auto"/>
        </w:rPr>
      </w:pPr>
    </w:p>
    <w:p>
      <w:pPr>
        <w:ind w:left="440" w:right="200"/>
        <w:spacing w:after="0" w:line="277" w:lineRule="auto"/>
        <w:rPr>
          <w:rFonts w:ascii="Arial" w:cs="Arial" w:eastAsia="Arial" w:hAnsi="Arial"/>
          <w:sz w:val="18"/>
          <w:szCs w:val="18"/>
          <w:color w:val="auto"/>
        </w:rPr>
      </w:pPr>
      <w:r>
        <w:rPr>
          <w:rFonts w:ascii="Arial" w:cs="Arial" w:eastAsia="Arial" w:hAnsi="Arial"/>
          <w:sz w:val="18"/>
          <w:szCs w:val="18"/>
          <w:color w:val="auto"/>
        </w:rPr>
        <w:t>Persons have sole voting and investment power and the address for each director or officer listed in the table is c/o SPS Commerce, Inc., 333 South Seventh Street, Suite 1000, Minneapolis, Minnesota 55402</w:t>
      </w:r>
    </w:p>
    <w:p>
      <w:pPr>
        <w:spacing w:after="0" w:line="6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Percentage ownership of our common stock in the table is based on 35,861,584 shares of our common stock issued and outstanding.</w:t>
      </w:r>
    </w:p>
    <w:p>
      <w:pPr>
        <w:spacing w:after="0" w:line="117"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1,600 shares owned by Mr. Black’s sons and 338 shares held in trust pursuant to our 401(k) plan.</w:t>
      </w:r>
    </w:p>
    <w:p>
      <w:pPr>
        <w:spacing w:after="0" w:line="23" w:lineRule="exact"/>
        <w:rPr>
          <w:rFonts w:ascii="Arial" w:cs="Arial" w:eastAsia="Arial" w:hAnsi="Arial"/>
          <w:sz w:val="18"/>
          <w:szCs w:val="18"/>
          <w:color w:val="auto"/>
        </w:rPr>
      </w:pPr>
    </w:p>
    <w:p>
      <w:pPr>
        <w:ind w:left="440" w:right="160" w:hanging="432"/>
        <w:spacing w:after="0" w:line="250"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1,932, 1,102, and 1,002 shares for Messrs. Black and Frome and Ms. Nelson, respectively, of restricted stock that have vested but have not been settled as of the date of the table.</w:t>
      </w: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336 shares held in trust pursuant to our 401(k) plan.</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335 shares held in trust pursuant to our 401(k) plan.</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1,080 shares from vested but not settled DSUs as of the date of the table.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the indirect holdings included in footnotes 1, 2 and 3.</w:t>
      </w:r>
    </w:p>
    <w:p>
      <w:pPr>
        <w:spacing w:after="0" w:line="9" w:lineRule="exact"/>
        <w:rPr>
          <w:rFonts w:ascii="Arial" w:cs="Arial" w:eastAsia="Arial" w:hAnsi="Arial"/>
          <w:sz w:val="18"/>
          <w:szCs w:val="18"/>
          <w:color w:val="auto"/>
        </w:rPr>
      </w:pPr>
    </w:p>
    <w:p>
      <w:pPr>
        <w:ind w:left="440" w:right="300" w:hanging="432"/>
        <w:spacing w:after="0" w:line="260"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BlackRock, Inc. on January 25, 2021, and reflects beneficial ownership as of December 31, 2020. BlackRock,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20574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9"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40</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4" w:name="page45"/>
    <w:bookmarkEnd w:id="44"/>
    <w:p>
      <w:pPr>
        <w:ind w:left="432" w:right="100"/>
        <w:spacing w:after="0" w:line="258" w:lineRule="auto"/>
        <w:rPr>
          <w:sz w:val="20"/>
          <w:szCs w:val="20"/>
          <w:color w:val="auto"/>
        </w:rPr>
      </w:pPr>
      <w:r>
        <w:rPr>
          <w:rFonts w:ascii="Arial" w:cs="Arial" w:eastAsia="Arial" w:hAnsi="Arial"/>
          <w:sz w:val="18"/>
          <w:szCs w:val="18"/>
          <w:color w:val="auto"/>
        </w:rPr>
        <w:t>Inc. has sole voting power as to 5,645,785 shares and sole dispositive power as to 5,736,617 shares. The address for BlackRock, Inc. is 55 East 52nd Street, New York, NY 10055.</w:t>
      </w:r>
    </w:p>
    <w:p>
      <w:pPr>
        <w:spacing w:after="0" w:line="1" w:lineRule="exact"/>
        <w:rPr>
          <w:sz w:val="20"/>
          <w:szCs w:val="20"/>
          <w:color w:val="auto"/>
        </w:rPr>
      </w:pPr>
    </w:p>
    <w:p>
      <w:pPr>
        <w:ind w:left="432" w:right="100" w:hanging="432"/>
        <w:spacing w:after="0" w:line="281" w:lineRule="auto"/>
        <w:tabs>
          <w:tab w:leader="none" w:pos="4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The Vanguard Group on February 10, 2021, and reflects beneficial ownership as of December 31, 2020. The Vanguard Group has shared voting power as to 82,680 shares, sole dispositive power as to 3,770,389 shares and shared dispositive power as to 110,634 shares. The address for The Vanguard Group is 100 Vanguard Blvd., Malvern, Pennsylvania 19355. Holdings includes various subsidiaries, none of which individually own 5% or greater of our shares.</w:t>
      </w:r>
    </w:p>
    <w:p>
      <w:pPr>
        <w:spacing w:after="0" w:line="2" w:lineRule="exact"/>
        <w:rPr>
          <w:rFonts w:ascii="Arial" w:cs="Arial" w:eastAsia="Arial" w:hAnsi="Arial"/>
          <w:sz w:val="16"/>
          <w:szCs w:val="16"/>
          <w:color w:val="auto"/>
        </w:rPr>
      </w:pPr>
    </w:p>
    <w:p>
      <w:pPr>
        <w:ind w:left="432" w:right="40" w:hanging="432"/>
        <w:spacing w:after="0" w:line="253" w:lineRule="auto"/>
        <w:tabs>
          <w:tab w:leader="none" w:pos="4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Conestoga Capital Advisors, LLC. on January 6, 2021, and reflects beneficial ownership as of December 31, 2020. Conestoga Capital Advisors, LLC has sole voting power as to 1,777,484 shares and sole dispositive power as to 1,868,409 shares. The address for Conestoga Capital Advisors, LLC is 550 E. Swedesford Rd., Ste 120, Wayne, PA 19087.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20574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7" w:lineRule="exact"/>
        <w:rPr>
          <w:sz w:val="20"/>
          <w:szCs w:val="20"/>
          <w:color w:val="auto"/>
        </w:rPr>
      </w:pPr>
    </w:p>
    <w:p>
      <w:pPr>
        <w:ind w:left="472"/>
        <w:spacing w:after="0"/>
        <w:tabs>
          <w:tab w:leader="none" w:pos="5432" w:val="left"/>
          <w:tab w:leader="none" w:pos="8212"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41</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379730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36"/>
          <w:szCs w:val="36"/>
          <w:b w:val="1"/>
          <w:bCs w:val="1"/>
          <w:color w:val="00AAE5"/>
        </w:rPr>
        <w:t>CERTAIN RELATIONSHIPS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00AAE5"/>
        </w:rPr>
        <w:t>RELATED TRANSACTIONS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40" w:lineRule="exact"/>
        <w:rPr>
          <w:sz w:val="20"/>
          <w:szCs w:val="20"/>
          <w:color w:val="auto"/>
        </w:rPr>
      </w:pPr>
    </w:p>
    <w:p>
      <w:pPr>
        <w:ind w:left="1020" w:hanging="432"/>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Director Indemnification Agreements</w:t>
      </w:r>
    </w:p>
    <w:p>
      <w:pPr>
        <w:spacing w:after="0" w:line="171"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175"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20574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36"/>
          <w:szCs w:val="36"/>
          <w:b w:val="1"/>
          <w:bCs w:val="1"/>
          <w:color w:val="00AAE5"/>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61"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beneficially own more than 10% of our common stock, to file initial reports of ownership of our securities and reports of changes in ownership with the SEC. Based on a review of Forms 3, 4 and 5 and on written representations from our executive officers and directors, we believe that all of our executive officers and directors complied with all Section 16(a) filing requirements during 2020.</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In order for a stockholder proposal to be considered for inclusion in our proxy statement for the 2022 annual meeting of stockholders, the written proposal must be received at our principal executive offices on or before December 8, 2021. The proposal should be addressed to the Company at the address listed above, attention to our Chief Financial Officer, and must comply with SEC regulations regarding the inclusion of stockholder proposals in Company-sponsored proxy materials.</w:t>
      </w:r>
    </w:p>
    <w:p>
      <w:pPr>
        <w:spacing w:after="0" w:line="133"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2022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 must be received no earlier than January 19, 2022, and no later than February 18, 2022. Any notice given by or on behalf of a stockholder outside of the dates included in this paragraph and the preceding paragraph is considered untimely.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the Notice of Internet Availability of Proxy Materials, Proxy Statement, and 2020 Annual Report to Stockholders, as applicable, is being delivered to multiple stockholders sharing an address unless we have received contrary instructions. We will promptly deliver a separate copy of any of these documents to you if you write to the Company at the address listed above, attention to our Secretary us at the following or call us at (612) 435-9400.</w:t>
      </w:r>
    </w:p>
    <w:p>
      <w:pPr>
        <w:spacing w:after="0" w:line="13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If you want to receive separate copies of the Notice of Internet Availability of Proxy Materials,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61" w:lineRule="exact"/>
        <w:rPr>
          <w:sz w:val="20"/>
          <w:szCs w:val="20"/>
          <w:color w:val="auto"/>
        </w:rPr>
      </w:pPr>
    </w:p>
    <w:p>
      <w:pPr>
        <w:ind w:right="440" w:firstLine="589"/>
        <w:spacing w:after="0" w:line="308" w:lineRule="auto"/>
        <w:rPr>
          <w:sz w:val="20"/>
          <w:szCs w:val="20"/>
          <w:color w:val="auto"/>
        </w:rPr>
      </w:pPr>
      <w:r>
        <w:rPr>
          <w:rFonts w:ascii="Arial" w:cs="Arial" w:eastAsia="Arial" w:hAnsi="Arial"/>
          <w:sz w:val="17"/>
          <w:szCs w:val="17"/>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102235</wp:posOffset>
            </wp:positionV>
            <wp:extent cx="1363345" cy="4718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633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Archie Black</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20574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0"/>
        <w:spacing w:after="0"/>
        <w:tabs>
          <w:tab w:leader="none" w:pos="5440" w:val="left"/>
          <w:tab w:leader="none" w:pos="82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10"/>
          <w:szCs w:val="10"/>
          <w:b w:val="1"/>
          <w:bCs w:val="1"/>
          <w:color w:val="auto"/>
        </w:rPr>
        <w:t>Proxy Statement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47" w:name="page48"/>
    <w:bookmarkEnd w:id="47"/>
    <w:p>
      <w:pPr>
        <w:ind w:left="10360"/>
        <w:spacing w:after="0"/>
        <w:rPr>
          <w:sz w:val="20"/>
          <w:szCs w:val="20"/>
          <w:color w:val="auto"/>
        </w:rPr>
      </w:pPr>
      <w:r>
        <w:rPr>
          <w:rFonts w:ascii="Arial" w:cs="Arial" w:eastAsia="Arial" w:hAnsi="Arial"/>
          <w:sz w:val="17"/>
          <w:szCs w:val="17"/>
          <w:color w:val="auto"/>
        </w:rPr>
        <w:t>Appendix A</w:t>
      </w:r>
    </w:p>
    <w:p>
      <w:pPr>
        <w:spacing w:after="0" w:line="122" w:lineRule="exact"/>
        <w:rPr>
          <w:sz w:val="20"/>
          <w:szCs w:val="20"/>
          <w:color w:val="auto"/>
        </w:rPr>
      </w:pPr>
    </w:p>
    <w:p>
      <w:pPr>
        <w:jc w:val="center"/>
        <w:ind w:right="120"/>
        <w:spacing w:after="0"/>
        <w:rPr>
          <w:sz w:val="20"/>
          <w:szCs w:val="20"/>
          <w:color w:val="auto"/>
        </w:rPr>
      </w:pPr>
      <w:r>
        <w:rPr>
          <w:rFonts w:ascii="Arial" w:cs="Arial" w:eastAsia="Arial" w:hAnsi="Arial"/>
          <w:sz w:val="36"/>
          <w:szCs w:val="36"/>
          <w:b w:val="1"/>
          <w:bCs w:val="1"/>
          <w:color w:val="00AAE5"/>
        </w:rPr>
        <w:t>RECONCILIATION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00AAE5"/>
        </w:rPr>
        <w:t>NON-GAAP FINANCIAL MEASURES</w:t>
      </w:r>
    </w:p>
    <w:p>
      <w:pPr>
        <w:spacing w:after="0" w:line="208" w:lineRule="exact"/>
        <w:rPr>
          <w:sz w:val="20"/>
          <w:szCs w:val="20"/>
          <w:color w:val="auto"/>
        </w:rPr>
      </w:pPr>
    </w:p>
    <w:p>
      <w:pPr>
        <w:ind w:right="60" w:firstLine="540"/>
        <w:spacing w:after="0" w:line="263" w:lineRule="auto"/>
        <w:rPr>
          <w:sz w:val="20"/>
          <w:szCs w:val="20"/>
          <w:color w:val="auto"/>
        </w:rPr>
      </w:pPr>
      <w:r>
        <w:rPr>
          <w:rFonts w:ascii="Arial" w:cs="Arial" w:eastAsia="Arial" w:hAnsi="Arial"/>
          <w:sz w:val="18"/>
          <w:szCs w:val="18"/>
          <w:color w:val="auto"/>
        </w:rPr>
        <w:t>We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w:t>
      </w:r>
    </w:p>
    <w:p>
      <w:pPr>
        <w:spacing w:after="0" w:line="184" w:lineRule="exact"/>
        <w:rPr>
          <w:sz w:val="20"/>
          <w:szCs w:val="20"/>
          <w:color w:val="auto"/>
        </w:rPr>
      </w:pPr>
    </w:p>
    <w:p>
      <w:pPr>
        <w:ind w:right="60" w:firstLine="540"/>
        <w:spacing w:after="0" w:line="254" w:lineRule="auto"/>
        <w:rPr>
          <w:sz w:val="20"/>
          <w:szCs w:val="20"/>
          <w:color w:val="auto"/>
        </w:rPr>
      </w:pPr>
      <w:r>
        <w:rPr>
          <w:rFonts w:ascii="Arial" w:cs="Arial" w:eastAsia="Arial" w:hAnsi="Arial"/>
          <w:sz w:val="18"/>
          <w:szCs w:val="18"/>
          <w:color w:val="auto"/>
        </w:rPr>
        <w:t>Adjusted EBITDA, consists of net income adjusted for depreciation and amortization, investment income (interest income/expense, realized investments gain/loss excluding realized gain/loss from foreign currency on investments), income tax expense, stock-based compensation expense, realized gain/loss from foreign currency on cash and investments held, and other adjustments as necessary for a fair presentation. Other adjustments included the impact of the fair value adjustment for the EDIAdmin earn-out liability, returned escrow shares in 2019 related to the acquisition of Toolbox, and impairment of internally developed software. As part of executing a lease amendment, we incurred accelerated depreciation, included within Depreciation and Amortization, and offsetting accelerated tenant improvement benefit, included within Other. The following table provides a reconciliation of net income to Adjusted 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18,665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Realized gain from foreign currency on cash and investments held</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(1,753)</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86,994</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40"/>
        <w:spacing w:after="0" w:line="287" w:lineRule="auto"/>
        <w:rPr>
          <w:sz w:val="20"/>
          <w:szCs w:val="20"/>
          <w:color w:val="auto"/>
        </w:rPr>
      </w:pPr>
      <w:r>
        <w:rPr>
          <w:rFonts w:ascii="Arial" w:cs="Arial" w:eastAsia="Arial" w:hAnsi="Arial"/>
          <w:sz w:val="16"/>
          <w:szCs w:val="16"/>
          <w:color w:val="auto"/>
        </w:rPr>
        <w:t>Non-GAAP income per share, consists of net income plus stock-based compensation expense, amortization expense related to intangible assets, realized gain/loss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and impairment of internally developed software. As part of executing a lease amendment, we incurred accelerated depreciation, included within Depreciation and Amortization, and offsetting accelerated tenant improvement benefit, included within Other. The following table provides a reconciliation of net income to non-GAAP income per share: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6"/>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vMerge w:val="continue"/>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18,936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w w:val="93"/>
              </w:rPr>
              <w:t>Realized gain from foreign currency on cash and investments held</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(1,753)</w:t>
            </w: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(326)</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(12,285)</w:t>
            </w: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36,285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522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1460" w:type="dxa"/>
            <w:vAlign w:val="bottom"/>
          </w:tcPr>
          <w:p>
            <w:pPr>
              <w:ind w:left="200"/>
              <w:spacing w:after="0"/>
              <w:rPr>
                <w:sz w:val="20"/>
                <w:szCs w:val="20"/>
                <w:color w:val="auto"/>
              </w:rPr>
            </w:pPr>
            <w:r>
              <w:rPr>
                <w:rFonts w:ascii="Arial" w:cs="Arial" w:eastAsia="Arial" w:hAnsi="Arial"/>
                <w:sz w:val="14"/>
                <w:szCs w:val="14"/>
                <w:color w:val="auto"/>
              </w:rPr>
              <w:t>A-1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ind w:left="200"/>
              <w:spacing w:after="0"/>
              <w:rPr>
                <w:sz w:val="20"/>
                <w:szCs w:val="20"/>
                <w:color w:val="auto"/>
              </w:rPr>
            </w:pPr>
            <w:r>
              <w:rPr>
                <w:rFonts w:ascii="Arial" w:cs="Arial" w:eastAsia="Arial" w:hAnsi="Arial"/>
                <w:sz w:val="13"/>
                <w:szCs w:val="13"/>
                <w:b w:val="1"/>
                <w:bCs w:val="1"/>
                <w:color w:val="auto"/>
                <w:w w:val="87"/>
              </w:rPr>
              <w:t>Proxy Statement for the Year Ended December 31, 2020</w:t>
            </w:r>
          </w:p>
        </w:tc>
        <w:tc>
          <w:tcPr>
            <w:tcW w:w="0" w:type="dxa"/>
            <w:vAlign w:val="bottom"/>
          </w:tcPr>
          <w:p>
            <w:pPr>
              <w:spacing w:after="0"/>
              <w:rPr>
                <w:sz w:val="1"/>
                <w:szCs w:val="1"/>
                <w:color w:val="auto"/>
              </w:rPr>
            </w:pPr>
          </w:p>
        </w:tc>
      </w:tr>
      <w:tr>
        <w:trPr>
          <w:trHeight w:val="748"/>
        </w:trPr>
        <w:tc>
          <w:tcPr>
            <w:tcW w:w="5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20574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74865" cy="763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763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311785</wp:posOffset>
            </wp:positionV>
            <wp:extent cx="5332095" cy="6909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5332095" cy="6909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lvl w:ilvl="1">
      <w:lvlJc w:val="left"/>
      <w:lvlText w:val="(%2)"/>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amp;"/>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o"/>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2"/>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3"/>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8"/>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2021-04-07T15:13:18Z</dcterms:created>
  <dcterms:modified xsi:type="dcterms:W3CDTF">2021-04-07T15:13:18Z</dcterms:modified>
</cp:coreProperties>
</file>