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280" w:hanging="452"/>
        <w:spacing w:after="0" w:line="236"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48" w:lineRule="exact"/>
        <w:rPr>
          <w:sz w:val="24"/>
          <w:szCs w:val="24"/>
          <w:color w:val="auto"/>
        </w:rPr>
      </w:pPr>
    </w:p>
    <w:p>
      <w:pPr>
        <w:ind w:left="460" w:right="2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ind w:left="376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3923030</wp:posOffset>
            </wp:positionH>
            <wp:positionV relativeFrom="paragraph">
              <wp:posOffset>-7620</wp:posOffset>
            </wp:positionV>
            <wp:extent cx="837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001-34702</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3288030</wp:posOffset>
            </wp:positionH>
            <wp:positionV relativeFrom="paragraph">
              <wp:posOffset>30480</wp:posOffset>
            </wp:positionV>
            <wp:extent cx="574675" cy="574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467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ectPr>
          <w:pgSz w:w="11900" w:h="16838" w:orient="portrait"/>
          <w:cols w:equalWidth="0" w:num="1">
            <w:col w:w="11240"/>
          </w:cols>
          <w:pgMar w:left="320" w:top="206" w:right="339" w:bottom="1440" w:gutter="0" w:footer="0" w:header="0"/>
        </w:sectPr>
      </w:pPr>
    </w:p>
    <w:p>
      <w:pPr>
        <w:spacing w:after="0" w:line="127"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41-2015127</w:t>
      </w:r>
    </w:p>
    <w:p>
      <w:pPr>
        <w:spacing w:after="0" w:line="31" w:lineRule="exact"/>
        <w:rPr>
          <w:sz w:val="24"/>
          <w:szCs w:val="24"/>
          <w:color w:val="auto"/>
        </w:rPr>
      </w:pPr>
    </w:p>
    <w:p>
      <w:pPr>
        <w:sectPr>
          <w:pgSz w:w="11900" w:h="16838" w:orient="portrait"/>
          <w:cols w:equalWidth="0" w:num="2">
            <w:col w:w="7280" w:space="720"/>
            <w:col w:w="3240"/>
          </w:cols>
          <w:pgMar w:left="320" w:top="206" w:right="339" w:bottom="1440" w:gutter="0" w:footer="0" w:header="0"/>
          <w:type w:val="continuous"/>
        </w:sectPr>
      </w:pPr>
    </w:p>
    <w:p>
      <w:pPr>
        <w:spacing w:after="0" w:line="19" w:lineRule="exact"/>
        <w:rPr>
          <w:sz w:val="24"/>
          <w:szCs w:val="24"/>
          <w:color w:val="auto"/>
        </w:rPr>
      </w:pPr>
    </w:p>
    <w:p>
      <w:pPr>
        <w:ind w:left="1960"/>
        <w:spacing w:after="0"/>
        <w:rPr>
          <w:sz w:val="20"/>
          <w:szCs w:val="20"/>
          <w:color w:val="auto"/>
        </w:rPr>
      </w:pPr>
      <w:r>
        <w:rPr>
          <w:rFonts w:ascii="Arial" w:cs="Arial" w:eastAsia="Arial" w:hAnsi="Arial"/>
          <w:sz w:val="12"/>
          <w:szCs w:val="12"/>
          <w:b w:val="1"/>
          <w:bCs w:val="1"/>
          <w:i w:val="1"/>
          <w:iCs w:val="1"/>
          <w:color w:val="auto"/>
        </w:rPr>
        <w:t>(State or other jurisdiction of</w:t>
      </w:r>
    </w:p>
    <w:p>
      <w:pPr>
        <w:spacing w:after="0" w:line="4" w:lineRule="exact"/>
        <w:rPr>
          <w:sz w:val="24"/>
          <w:szCs w:val="24"/>
          <w:color w:val="auto"/>
        </w:rPr>
      </w:pPr>
    </w:p>
    <w:p>
      <w:pPr>
        <w:ind w:left="1900"/>
        <w:spacing w:after="0"/>
        <w:rPr>
          <w:sz w:val="20"/>
          <w:szCs w:val="20"/>
          <w:color w:val="auto"/>
        </w:rPr>
      </w:pPr>
      <w:r>
        <w:rPr>
          <w:rFonts w:ascii="Arial" w:cs="Arial" w:eastAsia="Arial" w:hAnsi="Arial"/>
          <w:sz w:val="12"/>
          <w:szCs w:val="12"/>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60"/>
        <w:spacing w:after="0"/>
        <w:rPr>
          <w:sz w:val="20"/>
          <w:szCs w:val="20"/>
          <w:color w:val="auto"/>
        </w:rPr>
      </w:pPr>
      <w:r>
        <w:rPr>
          <w:rFonts w:ascii="Arial" w:cs="Arial" w:eastAsia="Arial" w:hAnsi="Arial"/>
          <w:sz w:val="14"/>
          <w:szCs w:val="14"/>
          <w:b w:val="1"/>
          <w:bCs w:val="1"/>
          <w:i w:val="1"/>
          <w:iCs w:val="1"/>
          <w:color w:val="auto"/>
        </w:rPr>
        <w:t>(I.R.S. Employer</w:t>
      </w:r>
    </w:p>
    <w:p>
      <w:pPr>
        <w:jc w:val="center"/>
        <w:ind w:right="2260"/>
        <w:spacing w:after="0"/>
        <w:rPr>
          <w:sz w:val="20"/>
          <w:szCs w:val="20"/>
          <w:color w:val="auto"/>
        </w:rPr>
      </w:pPr>
      <w:r>
        <w:rPr>
          <w:rFonts w:ascii="Arial" w:cs="Arial" w:eastAsia="Arial" w:hAnsi="Arial"/>
          <w:sz w:val="13"/>
          <w:szCs w:val="13"/>
          <w:b w:val="1"/>
          <w:bCs w:val="1"/>
          <w:i w:val="1"/>
          <w:iCs w:val="1"/>
          <w:color w:val="auto"/>
        </w:rPr>
        <w:t>Identification No.)</w:t>
      </w:r>
    </w:p>
    <w:p>
      <w:pPr>
        <w:spacing w:after="0" w:line="109" w:lineRule="exact"/>
        <w:rPr>
          <w:sz w:val="24"/>
          <w:szCs w:val="24"/>
          <w:color w:val="auto"/>
        </w:rPr>
      </w:pPr>
    </w:p>
    <w:p>
      <w:pPr>
        <w:sectPr>
          <w:pgSz w:w="11900" w:h="16838" w:orient="portrait"/>
          <w:cols w:equalWidth="0" w:num="2">
            <w:col w:w="7160" w:space="720"/>
            <w:col w:w="3360"/>
          </w:cols>
          <w:pgMar w:left="320" w:top="206"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333 South Seventh Street, Suite 1000, Minneapolis, MN 55402</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(Address of principal executive offices, including Zip Code)</w:t>
      </w:r>
    </w:p>
    <w:p>
      <w:pPr>
        <w:sectPr>
          <w:pgSz w:w="11900" w:h="16838" w:orient="portrait"/>
          <w:cols w:equalWidth="0" w:num="1">
            <w:col w:w="11240"/>
          </w:cols>
          <w:pgMar w:left="320" w:top="206" w:right="339" w:bottom="1440" w:gutter="0" w:footer="0" w:header="0"/>
          <w:type w:val="continuous"/>
        </w:sectPr>
      </w:pP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Trading Symbol</w:t>
            </w:r>
          </w:p>
        </w:tc>
        <w:tc>
          <w:tcPr>
            <w:tcW w:w="4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360" w:type="dxa"/>
            <w:vAlign w:val="bottom"/>
            <w:gridSpan w:val="2"/>
            <w:vMerge w:val="continue"/>
          </w:tcPr>
          <w:p>
            <w:pPr>
              <w:spacing w:after="0"/>
              <w:rPr>
                <w:sz w:val="14"/>
                <w:szCs w:val="14"/>
                <w:color w:val="auto"/>
              </w:rPr>
            </w:pPr>
          </w:p>
        </w:tc>
        <w:tc>
          <w:tcPr>
            <w:tcW w:w="4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par value $0.001 per share</w:t>
            </w:r>
          </w:p>
        </w:tc>
        <w:tc>
          <w:tcPr>
            <w:tcW w:w="120" w:type="dxa"/>
            <w:vAlign w:val="bottom"/>
          </w:tcPr>
          <w:p>
            <w:pPr>
              <w:spacing w:after="0"/>
              <w:rPr>
                <w:sz w:val="15"/>
                <w:szCs w:val="15"/>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SPSC</w:t>
            </w:r>
          </w:p>
        </w:tc>
        <w:tc>
          <w:tcPr>
            <w:tcW w:w="120" w:type="dxa"/>
            <w:vAlign w:val="bottom"/>
          </w:tcPr>
          <w:p>
            <w:pPr>
              <w:spacing w:after="0"/>
              <w:rPr>
                <w:sz w:val="15"/>
                <w:szCs w:val="15"/>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Stock Market LLC (Nasdaq Global Market)</w:t>
            </w:r>
          </w:p>
        </w:tc>
        <w:tc>
          <w:tcPr>
            <w:tcW w:w="0" w:type="dxa"/>
            <w:vAlign w:val="bottom"/>
          </w:tcPr>
          <w:p>
            <w:pPr>
              <w:spacing w:after="0"/>
              <w:rPr>
                <w:sz w:val="1"/>
                <w:szCs w:val="1"/>
                <w:color w:val="auto"/>
              </w:rPr>
            </w:pPr>
          </w:p>
        </w:tc>
      </w:tr>
    </w:tbl>
    <w:p>
      <w:pPr>
        <w:spacing w:after="0" w:line="78" w:lineRule="exact"/>
        <w:rPr>
          <w:sz w:val="24"/>
          <w:szCs w:val="24"/>
          <w:color w:val="auto"/>
        </w:rPr>
      </w:pPr>
    </w:p>
    <w:p>
      <w:pPr>
        <w:jc w:val="both"/>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3"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94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6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94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5060" w:type="dxa"/>
            <w:vAlign w:val="bottom"/>
          </w:tcPr>
          <w:p>
            <w:pPr>
              <w:ind w:left="294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par value $0.001 per share, outstanding at July 22, 2021 was 35,831,643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type w:val="continuous"/>
        </w:sectPr>
      </w:pPr>
    </w:p>
    <w:bookmarkStart w:id="1" w:name="page2"/>
    <w:bookmarkEnd w:id="1"/>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gridSpan w:val="9"/>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6100" w:type="dxa"/>
            <w:vAlign w:val="bottom"/>
            <w:gridSpan w:val="11"/>
            <w:vMerge w:val="restart"/>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1"/>
        </w:trPr>
        <w:tc>
          <w:tcPr>
            <w:tcW w:w="3080" w:type="dxa"/>
            <w:vAlign w:val="bottom"/>
            <w:tcBorders>
              <w:bottom w:val="single" w:sz="8" w:color="0000EE"/>
            </w:tcBorders>
            <w:gridSpan w:val="9"/>
            <w:vMerge w:val="continue"/>
          </w:tcPr>
          <w:p>
            <w:pPr>
              <w:spacing w:after="0"/>
              <w:rPr>
                <w:sz w:val="15"/>
                <w:szCs w:val="15"/>
                <w:color w:val="auto"/>
              </w:rPr>
            </w:pPr>
          </w:p>
        </w:tc>
        <w:tc>
          <w:tcPr>
            <w:tcW w:w="6100" w:type="dxa"/>
            <w:vAlign w:val="bottom"/>
            <w:gridSpan w:val="11"/>
            <w:vMerge w:val="continue"/>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780" w:type="dxa"/>
            <w:vAlign w:val="bottom"/>
            <w:gridSpan w:val="9"/>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5220" w:type="dxa"/>
            <w:vAlign w:val="bottom"/>
            <w:gridSpan w:val="8"/>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7"/>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Stockholders’ Equity</w:t>
              </w:r>
            </w:hyperlink>
          </w:p>
        </w:tc>
        <w:tc>
          <w:tcPr>
            <w:tcW w:w="280" w:type="dxa"/>
            <w:vAlign w:val="bottom"/>
            <w:tcBorders>
              <w:top w:val="single" w:sz="8" w:color="0000EE"/>
            </w:tcBorders>
            <w:gridSpan w:val="3"/>
          </w:tcPr>
          <w:p>
            <w:pPr>
              <w:spacing w:after="0"/>
              <w:rPr>
                <w:sz w:val="24"/>
                <w:szCs w:val="24"/>
                <w:color w:val="auto"/>
              </w:rPr>
            </w:pPr>
          </w:p>
        </w:tc>
        <w:tc>
          <w:tcPr>
            <w:tcW w:w="3580" w:type="dxa"/>
            <w:vAlign w:val="bottom"/>
            <w:gridSpan w:val="2"/>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4440" w:type="dxa"/>
            <w:vAlign w:val="bottom"/>
            <w:gridSpan w:val="7"/>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160" w:type="dxa"/>
            <w:vAlign w:val="bottom"/>
            <w:gridSpan w:val="6"/>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17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3800" w:type="dxa"/>
            <w:vAlign w:val="bottom"/>
            <w:gridSpan w:val="3"/>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6380" w:type="dxa"/>
            <w:vAlign w:val="bottom"/>
            <w:gridSpan w:val="12"/>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278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OTHER INFORMATION</w:t>
              </w:r>
            </w:hyperlink>
          </w:p>
        </w:tc>
        <w:tc>
          <w:tcPr>
            <w:tcW w:w="6400" w:type="dxa"/>
            <w:vAlign w:val="bottom"/>
            <w:gridSpan w:val="13"/>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6820" w:type="dxa"/>
            <w:vAlign w:val="bottom"/>
            <w:gridSpan w:val="14"/>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16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16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3820" w:type="dxa"/>
            <w:vAlign w:val="bottom"/>
            <w:gridSpan w:val="4"/>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5840" w:type="dxa"/>
            <w:vAlign w:val="bottom"/>
            <w:gridSpan w:val="10"/>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Other Information</w:t>
              </w:r>
            </w:hyperlink>
          </w:p>
        </w:tc>
        <w:tc>
          <w:tcPr>
            <w:tcW w:w="6840" w:type="dxa"/>
            <w:vAlign w:val="bottom"/>
            <w:gridSpan w:val="15"/>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16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Unless the context otherwise requires, for purposes of the Quarterly Report on Form 10-Q, the words “we,” “us,” “our,” the “Company,” “SPS,” and “SPS Commerce” refer to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205740" cy="20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80"/>
        <w:spacing w:after="0"/>
        <w:tabs>
          <w:tab w:leader="none" w:pos="5580" w:val="left"/>
          <w:tab w:leader="none" w:pos="81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w:t>
      </w:r>
      <w:r>
        <w:rPr>
          <w:sz w:val="20"/>
          <w:szCs w:val="20"/>
          <w:color w:val="auto"/>
        </w:rPr>
        <w:tab/>
      </w:r>
      <w:r>
        <w:rPr>
          <w:rFonts w:ascii="Arial" w:cs="Arial" w:eastAsia="Arial" w:hAnsi="Arial"/>
          <w:sz w:val="10"/>
          <w:szCs w:val="10"/>
          <w:b w:val="1"/>
          <w:bCs w:val="1"/>
          <w:color w:val="auto"/>
        </w:rPr>
        <w:t>Form 10-Q for the Quarterly Period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 w:name="page3"/>
    <w:bookmarkEnd w:id="2"/>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PART I. – FINANCIAL INFORMATION</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00AAE5"/>
        </w:rPr>
        <w:t>Item 1.</w:t>
      </w:r>
      <w:r>
        <w:rPr>
          <w:sz w:val="20"/>
          <w:szCs w:val="20"/>
          <w:color w:val="auto"/>
        </w:rPr>
        <w:tab/>
      </w:r>
      <w:r>
        <w:rPr>
          <w:rFonts w:ascii="Arial" w:cs="Arial" w:eastAsia="Arial" w:hAnsi="Arial"/>
          <w:sz w:val="15"/>
          <w:szCs w:val="15"/>
          <w:b w:val="1"/>
          <w:bCs w:val="1"/>
          <w:color w:val="00AAE5"/>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5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 except shares)</w:t>
            </w:r>
          </w:p>
        </w:tc>
        <w:tc>
          <w:tcPr>
            <w:tcW w:w="2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FF0FC"/>
          </w:tcPr>
          <w:p>
            <w:pPr>
              <w:ind w:left="3480"/>
              <w:spacing w:after="0"/>
              <w:rPr>
                <w:sz w:val="20"/>
                <w:szCs w:val="20"/>
                <w:color w:val="auto"/>
              </w:rPr>
            </w:pPr>
            <w:r>
              <w:rPr>
                <w:rFonts w:ascii="Arial" w:cs="Arial" w:eastAsia="Arial" w:hAnsi="Arial"/>
                <w:sz w:val="16"/>
                <w:szCs w:val="16"/>
                <w:b w:val="1"/>
                <w:bCs w:val="1"/>
                <w:color w:val="auto"/>
              </w:rPr>
              <w:t>ASSETS</w:t>
            </w:r>
          </w:p>
        </w:tc>
        <w:tc>
          <w:tcPr>
            <w:tcW w:w="2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center"/>
              <w:ind w:right="440"/>
              <w:spacing w:after="0"/>
              <w:rPr>
                <w:sz w:val="20"/>
                <w:szCs w:val="20"/>
                <w:color w:val="auto"/>
              </w:rPr>
            </w:pPr>
            <w:r>
              <w:rPr>
                <w:rFonts w:ascii="Arial" w:cs="Arial" w:eastAsia="Arial" w:hAnsi="Arial"/>
                <w:sz w:val="16"/>
                <w:szCs w:val="16"/>
                <w:color w:val="auto"/>
                <w:w w:val="93"/>
              </w:rPr>
              <w:t>(unaudited)</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80" w:type="dxa"/>
            <w:vAlign w:val="bottom"/>
          </w:tcPr>
          <w:p>
            <w:pPr>
              <w:spacing w:after="0"/>
              <w:rPr>
                <w:sz w:val="20"/>
                <w:szCs w:val="20"/>
                <w:color w:val="auto"/>
              </w:rPr>
            </w:pPr>
            <w:r>
              <w:rPr>
                <w:rFonts w:ascii="Arial" w:cs="Arial" w:eastAsia="Arial" w:hAnsi="Arial"/>
                <w:sz w:val="16"/>
                <w:szCs w:val="16"/>
                <w:color w:val="auto"/>
              </w:rPr>
              <w:t>CURRENT ASSETS</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24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184,367</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149,692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48,999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2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42,191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380"/>
              <w:spacing w:after="0"/>
              <w:rPr>
                <w:sz w:val="20"/>
                <w:szCs w:val="20"/>
                <w:color w:val="auto"/>
              </w:rPr>
            </w:pPr>
            <w:r>
              <w:rPr>
                <w:rFonts w:ascii="Arial" w:cs="Arial" w:eastAsia="Arial" w:hAnsi="Arial"/>
                <w:sz w:val="16"/>
                <w:szCs w:val="16"/>
                <w:color w:val="auto"/>
              </w:rPr>
              <w:t>Allowance for credit losses</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(4,255)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(4,233)</w:t>
            </w:r>
          </w:p>
        </w:tc>
        <w:tc>
          <w:tcPr>
            <w:tcW w:w="0" w:type="dxa"/>
            <w:vAlign w:val="bottom"/>
          </w:tcPr>
          <w:p>
            <w:pPr>
              <w:spacing w:after="0"/>
              <w:rPr>
                <w:sz w:val="1"/>
                <w:szCs w:val="1"/>
                <w:color w:val="auto"/>
              </w:rPr>
            </w:pPr>
          </w:p>
        </w:tc>
      </w:tr>
      <w:tr>
        <w:trPr>
          <w:trHeight w:val="213"/>
        </w:trPr>
        <w:tc>
          <w:tcPr>
            <w:tcW w:w="55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Accounts receivable, net</w:t>
            </w:r>
          </w:p>
        </w:tc>
        <w:tc>
          <w:tcPr>
            <w:tcW w:w="21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37,936</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33,578</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260"/>
              <w:spacing w:after="0"/>
              <w:rPr>
                <w:sz w:val="20"/>
                <w:szCs w:val="20"/>
                <w:color w:val="auto"/>
              </w:rPr>
            </w:pPr>
            <w:r>
              <w:rPr>
                <w:rFonts w:ascii="Arial" w:cs="Arial" w:eastAsia="Arial" w:hAnsi="Arial"/>
                <w:sz w:val="16"/>
                <w:szCs w:val="16"/>
                <w:color w:val="auto"/>
              </w:rPr>
              <w:t>Deferred costs</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40,149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w:t>
            </w:r>
          </w:p>
        </w:tc>
        <w:tc>
          <w:tcPr>
            <w:tcW w:w="2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58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323,162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271,356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2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PROPERTY AND EQUIPMENT, less accumulated depreciation of $67,074 and $59,152, respectively</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13,352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2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135,354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134,853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spacing w:after="0"/>
              <w:rPr>
                <w:sz w:val="20"/>
                <w:szCs w:val="20"/>
                <w:color w:val="auto"/>
              </w:rPr>
            </w:pPr>
            <w:r>
              <w:rPr>
                <w:rFonts w:ascii="Arial" w:cs="Arial" w:eastAsia="Arial" w:hAnsi="Arial"/>
                <w:sz w:val="16"/>
                <w:szCs w:val="16"/>
                <w:color w:val="auto"/>
              </w:rPr>
              <w:t>INTANGIBLE ASSETS, net</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54,950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spacing w:after="0"/>
              <w:rPr>
                <w:sz w:val="20"/>
                <w:szCs w:val="20"/>
                <w:color w:val="auto"/>
              </w:rPr>
            </w:pPr>
            <w:r>
              <w:rPr>
                <w:rFonts w:ascii="Arial" w:cs="Arial" w:eastAsia="Arial" w:hAnsi="Arial"/>
                <w:sz w:val="16"/>
                <w:szCs w:val="16"/>
                <w:color w:val="auto"/>
              </w:rPr>
              <w:t>INVESTMENTS</w:t>
            </w:r>
          </w:p>
        </w:tc>
        <w:tc>
          <w:tcPr>
            <w:tcW w:w="2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spacing w:after="0"/>
              <w:rPr>
                <w:sz w:val="20"/>
                <w:szCs w:val="20"/>
                <w:color w:val="auto"/>
              </w:rPr>
            </w:pPr>
            <w:r>
              <w:rPr>
                <w:rFonts w:ascii="Arial" w:cs="Arial" w:eastAsia="Arial" w:hAnsi="Arial"/>
                <w:sz w:val="16"/>
                <w:szCs w:val="16"/>
                <w:color w:val="auto"/>
              </w:rPr>
              <w:t>OTHER ASSETS</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costs, non-current</w:t>
            </w:r>
          </w:p>
        </w:tc>
        <w:tc>
          <w:tcPr>
            <w:tcW w:w="2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260"/>
              <w:spacing w:after="0"/>
              <w:rPr>
                <w:sz w:val="20"/>
                <w:szCs w:val="20"/>
                <w:color w:val="auto"/>
              </w:rPr>
            </w:pPr>
            <w:r>
              <w:rPr>
                <w:rFonts w:ascii="Arial" w:cs="Arial" w:eastAsia="Arial" w:hAnsi="Arial"/>
                <w:sz w:val="16"/>
                <w:szCs w:val="16"/>
                <w:color w:val="auto"/>
              </w:rPr>
              <w:t>Deferred income tax assets</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 non-current</w:t>
            </w:r>
          </w:p>
        </w:tc>
        <w:tc>
          <w:tcPr>
            <w:tcW w:w="2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2,476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58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2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572,278</w:t>
            </w:r>
          </w:p>
        </w:tc>
        <w:tc>
          <w:tcPr>
            <w:tcW w:w="16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526,458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580" w:type="dxa"/>
            <w:vAlign w:val="bottom"/>
            <w:tcBorders>
              <w:top w:val="single" w:sz="8" w:color="CFF0FC"/>
            </w:tcBorders>
            <w:shd w:val="clear" w:color="auto" w:fill="CFF0FC"/>
          </w:tcPr>
          <w:p>
            <w:pPr>
              <w:ind w:left="2020"/>
              <w:spacing w:after="0"/>
              <w:rPr>
                <w:sz w:val="20"/>
                <w:szCs w:val="20"/>
                <w:color w:val="auto"/>
              </w:rPr>
            </w:pPr>
            <w:r>
              <w:rPr>
                <w:rFonts w:ascii="Arial" w:cs="Arial" w:eastAsia="Arial" w:hAnsi="Arial"/>
                <w:sz w:val="16"/>
                <w:szCs w:val="16"/>
                <w:b w:val="1"/>
                <w:bCs w:val="1"/>
                <w:color w:val="auto"/>
              </w:rPr>
              <w:t>LIABILITIES AND STOCKHOLDERS’ EQUITY</w:t>
            </w:r>
          </w:p>
        </w:tc>
        <w:tc>
          <w:tcPr>
            <w:tcW w:w="21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80" w:type="dxa"/>
            <w:vAlign w:val="bottom"/>
          </w:tcPr>
          <w:p>
            <w:pPr>
              <w:spacing w:after="0"/>
              <w:rPr>
                <w:sz w:val="20"/>
                <w:szCs w:val="20"/>
                <w:color w:val="auto"/>
              </w:rPr>
            </w:pPr>
            <w:r>
              <w:rPr>
                <w:rFonts w:ascii="Arial" w:cs="Arial" w:eastAsia="Arial" w:hAnsi="Arial"/>
                <w:sz w:val="16"/>
                <w:szCs w:val="16"/>
                <w:color w:val="auto"/>
              </w:rPr>
              <w:t>CURRENT LIABILITIES</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24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5,942</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260"/>
              <w:spacing w:after="0"/>
              <w:rPr>
                <w:sz w:val="20"/>
                <w:szCs w:val="20"/>
                <w:color w:val="auto"/>
              </w:rPr>
            </w:pPr>
            <w:r>
              <w:rPr>
                <w:rFonts w:ascii="Arial" w:cs="Arial" w:eastAsia="Arial" w:hAnsi="Arial"/>
                <w:sz w:val="16"/>
                <w:szCs w:val="16"/>
                <w:color w:val="auto"/>
              </w:rPr>
              <w:t>Accrued compensation</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27,469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expenses</w:t>
            </w:r>
          </w:p>
        </w:tc>
        <w:tc>
          <w:tcPr>
            <w:tcW w:w="2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48,845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liabilities</w:t>
            </w:r>
          </w:p>
        </w:tc>
        <w:tc>
          <w:tcPr>
            <w:tcW w:w="2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58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91,437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80,132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spacing w:after="0"/>
              <w:rPr>
                <w:sz w:val="20"/>
                <w:szCs w:val="20"/>
                <w:color w:val="auto"/>
              </w:rPr>
            </w:pPr>
            <w:r>
              <w:rPr>
                <w:rFonts w:ascii="Arial" w:cs="Arial" w:eastAsia="Arial" w:hAnsi="Arial"/>
                <w:sz w:val="16"/>
                <w:szCs w:val="16"/>
                <w:color w:val="auto"/>
              </w:rPr>
              <w:t>OTHER LIABILITIES</w:t>
            </w:r>
          </w:p>
        </w:tc>
        <w:tc>
          <w:tcPr>
            <w:tcW w:w="2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260"/>
              <w:spacing w:after="0"/>
              <w:rPr>
                <w:sz w:val="20"/>
                <w:szCs w:val="20"/>
                <w:color w:val="auto"/>
              </w:rPr>
            </w:pPr>
            <w:r>
              <w:rPr>
                <w:rFonts w:ascii="Arial" w:cs="Arial" w:eastAsia="Arial" w:hAnsi="Arial"/>
                <w:sz w:val="16"/>
                <w:szCs w:val="16"/>
                <w:color w:val="auto"/>
              </w:rPr>
              <w:t>Deferred revenue, non-current</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liabilities, non-current</w:t>
            </w:r>
          </w:p>
        </w:tc>
        <w:tc>
          <w:tcPr>
            <w:tcW w:w="2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Deferred income tax liabilities</w:t>
            </w:r>
          </w:p>
        </w:tc>
        <w:tc>
          <w:tcPr>
            <w:tcW w:w="21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3,368</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21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117,529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105,737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8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2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20" w:type="dxa"/>
            <w:vAlign w:val="bottom"/>
            <w:gridSpan w:val="3"/>
          </w:tcPr>
          <w:p>
            <w:pPr>
              <w:ind w:left="260"/>
              <w:spacing w:after="0"/>
              <w:rPr>
                <w:sz w:val="20"/>
                <w:szCs w:val="20"/>
                <w:color w:val="auto"/>
              </w:rPr>
            </w:pPr>
            <w:r>
              <w:rPr>
                <w:rFonts w:ascii="Arial" w:cs="Arial" w:eastAsia="Arial" w:hAnsi="Arial"/>
                <w:sz w:val="16"/>
                <w:szCs w:val="16"/>
                <w:color w:val="auto"/>
              </w:rPr>
              <w:t>Preferred stock, $0.001 par value; 5,000,000 shares authorized; 0 shares issued and outstanding</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20" w:type="dxa"/>
            <w:vAlign w:val="bottom"/>
            <w:gridSpan w:val="3"/>
            <w:shd w:val="clear" w:color="auto" w:fill="CFF0FC"/>
          </w:tcPr>
          <w:p>
            <w:pPr>
              <w:ind w:left="260"/>
              <w:spacing w:after="0"/>
              <w:rPr>
                <w:sz w:val="20"/>
                <w:szCs w:val="20"/>
                <w:color w:val="auto"/>
              </w:rPr>
            </w:pPr>
            <w:r>
              <w:rPr>
                <w:rFonts w:ascii="Arial" w:cs="Arial" w:eastAsia="Arial" w:hAnsi="Arial"/>
                <w:sz w:val="16"/>
                <w:szCs w:val="16"/>
                <w:color w:val="auto"/>
                <w:w w:val="95"/>
              </w:rPr>
              <w:t>Common stock, $0.001 par value; 110,000,000 shares authorized; 37,536,118 and 37,100,467 shares issued; and</w:t>
            </w: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35,859,353 and 35,487,217 outstanding, respectively</w:t>
            </w:r>
          </w:p>
        </w:tc>
        <w:tc>
          <w:tcPr>
            <w:tcW w:w="2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260"/>
              <w:spacing w:after="0"/>
              <w:rPr>
                <w:sz w:val="20"/>
                <w:szCs w:val="20"/>
                <w:color w:val="auto"/>
              </w:rPr>
            </w:pPr>
            <w:r>
              <w:rPr>
                <w:rFonts w:ascii="Arial" w:cs="Arial" w:eastAsia="Arial" w:hAnsi="Arial"/>
                <w:sz w:val="16"/>
                <w:szCs w:val="16"/>
                <w:color w:val="auto"/>
              </w:rPr>
              <w:t>Treasury stock, at cost; 1,676,765 and 1,613,250 shares, respectively</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(71,697)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(65,247)</w:t>
            </w: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Additional paid-in capital</w:t>
            </w:r>
          </w:p>
        </w:tc>
        <w:tc>
          <w:tcPr>
            <w:tcW w:w="2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413,182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393,462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113,873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loss</w:t>
            </w:r>
          </w:p>
        </w:tc>
        <w:tc>
          <w:tcPr>
            <w:tcW w:w="2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(647)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(1,021)</w:t>
            </w:r>
          </w:p>
        </w:tc>
        <w:tc>
          <w:tcPr>
            <w:tcW w:w="0" w:type="dxa"/>
            <w:vAlign w:val="bottom"/>
          </w:tcPr>
          <w:p>
            <w:pPr>
              <w:spacing w:after="0"/>
              <w:rPr>
                <w:sz w:val="1"/>
                <w:szCs w:val="1"/>
                <w:color w:val="auto"/>
              </w:rPr>
            </w:pPr>
          </w:p>
        </w:tc>
      </w:tr>
      <w:tr>
        <w:trPr>
          <w:trHeight w:val="206"/>
        </w:trPr>
        <w:tc>
          <w:tcPr>
            <w:tcW w:w="55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stockholders’ equity</w:t>
            </w:r>
          </w:p>
        </w:tc>
        <w:tc>
          <w:tcPr>
            <w:tcW w:w="218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454,749</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420,721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liabilities and stockholders’ equity</w:t>
            </w:r>
          </w:p>
        </w:tc>
        <w:tc>
          <w:tcPr>
            <w:tcW w:w="24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572,278</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526,458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bottom w:val="single" w:sz="8" w:color="CFF0FC"/>
            </w:tcBorders>
            <w:gridSpan w:val="2"/>
            <w:vMerge w:val="restart"/>
          </w:tcPr>
          <w:p>
            <w:pPr>
              <w:ind w:left="3360"/>
              <w:spacing w:after="0"/>
              <w:rPr>
                <w:sz w:val="20"/>
                <w:szCs w:val="20"/>
                <w:color w:val="auto"/>
              </w:rPr>
            </w:pPr>
            <w:r>
              <w:rPr>
                <w:rFonts w:ascii="Arial" w:cs="Arial" w:eastAsia="Arial" w:hAnsi="Arial"/>
                <w:sz w:val="14"/>
                <w:szCs w:val="14"/>
                <w:color w:val="auto"/>
                <w:w w:val="88"/>
              </w:rPr>
              <w:t>See accompanying notes to these condensed consolidated financial statements.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8"/>
        </w:trPr>
        <w:tc>
          <w:tcPr>
            <w:tcW w:w="5580" w:type="dxa"/>
            <w:vAlign w:val="bottom"/>
          </w:tcPr>
          <w:p>
            <w:pPr>
              <w:ind w:left="480"/>
              <w:spacing w:after="0"/>
              <w:rPr>
                <w:sz w:val="20"/>
                <w:szCs w:val="20"/>
                <w:color w:val="auto"/>
              </w:rPr>
            </w:pPr>
            <w:r>
              <w:rPr>
                <w:rFonts w:ascii="Arial" w:cs="Arial" w:eastAsia="Arial" w:hAnsi="Arial"/>
                <w:sz w:val="14"/>
                <w:szCs w:val="14"/>
                <w:b w:val="1"/>
                <w:bCs w:val="1"/>
                <w:color w:val="auto"/>
              </w:rPr>
              <w:t>SPS COMMERCE, INC.</w:t>
            </w:r>
          </w:p>
        </w:tc>
        <w:tc>
          <w:tcPr>
            <w:tcW w:w="2180" w:type="dxa"/>
            <w:vAlign w:val="bottom"/>
          </w:tcPr>
          <w:p>
            <w:pPr>
              <w:jc w:val="right"/>
              <w:ind w:right="2021"/>
              <w:spacing w:after="0"/>
              <w:rPr>
                <w:sz w:val="20"/>
                <w:szCs w:val="20"/>
                <w:color w:val="auto"/>
              </w:rPr>
            </w:pPr>
            <w:r>
              <w:rPr>
                <w:rFonts w:ascii="Arial" w:cs="Arial" w:eastAsia="Arial" w:hAnsi="Arial"/>
                <w:sz w:val="14"/>
                <w:szCs w:val="14"/>
                <w:color w:val="auto"/>
                <w:w w:val="76"/>
              </w:rPr>
              <w:t>3</w:t>
            </w:r>
          </w:p>
        </w:tc>
        <w:tc>
          <w:tcPr>
            <w:tcW w:w="260" w:type="dxa"/>
            <w:vAlign w:val="bottom"/>
          </w:tcPr>
          <w:p>
            <w:pPr>
              <w:spacing w:after="0"/>
              <w:rPr>
                <w:sz w:val="24"/>
                <w:szCs w:val="24"/>
                <w:color w:val="auto"/>
              </w:rPr>
            </w:pPr>
          </w:p>
        </w:tc>
        <w:tc>
          <w:tcPr>
            <w:tcW w:w="3220" w:type="dxa"/>
            <w:vAlign w:val="bottom"/>
            <w:gridSpan w:val="6"/>
          </w:tcPr>
          <w:p>
            <w:pPr>
              <w:jc w:val="right"/>
              <w:spacing w:after="0"/>
              <w:rPr>
                <w:sz w:val="20"/>
                <w:szCs w:val="20"/>
                <w:color w:val="auto"/>
              </w:rPr>
            </w:pPr>
            <w:r>
              <w:rPr>
                <w:rFonts w:ascii="Arial" w:cs="Arial" w:eastAsia="Arial" w:hAnsi="Arial"/>
                <w:sz w:val="13"/>
                <w:szCs w:val="13"/>
                <w:b w:val="1"/>
                <w:bCs w:val="1"/>
                <w:color w:val="auto"/>
                <w:w w:val="92"/>
              </w:rPr>
              <w:t>Form 10-Q for the Quarterly Period ended June 30, 2021</w:t>
            </w:r>
          </w:p>
        </w:tc>
        <w:tc>
          <w:tcPr>
            <w:tcW w:w="0" w:type="dxa"/>
            <w:vAlign w:val="bottom"/>
          </w:tcPr>
          <w:p>
            <w:pPr>
              <w:spacing w:after="0"/>
              <w:rPr>
                <w:sz w:val="1"/>
                <w:szCs w:val="1"/>
                <w:color w:val="auto"/>
              </w:rPr>
            </w:pPr>
          </w:p>
        </w:tc>
      </w:tr>
      <w:tr>
        <w:trPr>
          <w:trHeight w:val="168"/>
        </w:trPr>
        <w:tc>
          <w:tcPr>
            <w:tcW w:w="558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 w:name="page4"/>
    <w:bookmarkEnd w:id="3"/>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 (Unaudited)</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94,539</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184,633</w:t>
            </w:r>
          </w:p>
        </w:tc>
        <w:tc>
          <w:tcPr>
            <w:tcW w:w="16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61,700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62,809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51,247</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43,307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8,899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7,466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30,495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49,280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40,136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96,742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13,529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11,111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(383)</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13,146</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12,579</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2,963</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15"/>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Unrealized gain (loss) on investments, net of tax of ($12), $3, ($27) and</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$26, respectively</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40" w:type="dxa"/>
            <w:vAlign w:val="bottom"/>
          </w:tcPr>
          <w:p>
            <w:pPr>
              <w:ind w:left="260"/>
              <w:spacing w:after="0"/>
              <w:rPr>
                <w:sz w:val="20"/>
                <w:szCs w:val="20"/>
                <w:color w:val="auto"/>
              </w:rPr>
            </w:pPr>
            <w:r>
              <w:rPr>
                <w:rFonts w:ascii="Arial" w:cs="Arial" w:eastAsia="Arial" w:hAnsi="Arial"/>
                <w:sz w:val="18"/>
                <w:szCs w:val="18"/>
                <w:color w:val="auto"/>
                <w:w w:val="97"/>
              </w:rPr>
              <w:t>Reclassification of (gain) loss on investments into earnings, net of tax of</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$11, ($27), $30 and ($53), respectively</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comprehensive income (expense)</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10,353</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13,238</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20,757</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Net income per share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0.28</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0.31</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0.55</w:t>
            </w:r>
          </w:p>
        </w:tc>
        <w:tc>
          <w:tcPr>
            <w:tcW w:w="160" w:type="dxa"/>
            <w:vAlign w:val="bottom"/>
          </w:tcPr>
          <w:p>
            <w:pPr>
              <w:spacing w:after="0"/>
              <w:rPr>
                <w:sz w:val="19"/>
                <w:szCs w:val="19"/>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w w:val="98"/>
              </w:rPr>
              <w:t>Weighted average common shares used to compute net income per share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35,903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35,030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36,753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36,016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36,741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20574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480"/>
        <w:spacing w:after="0"/>
        <w:tabs>
          <w:tab w:leader="none" w:pos="5580" w:val="left"/>
          <w:tab w:leader="none" w:pos="81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w:t>
      </w:r>
      <w:r>
        <w:rPr>
          <w:sz w:val="20"/>
          <w:szCs w:val="20"/>
          <w:color w:val="auto"/>
        </w:rPr>
        <w:tab/>
      </w:r>
      <w:r>
        <w:rPr>
          <w:rFonts w:ascii="Arial" w:cs="Arial" w:eastAsia="Arial" w:hAnsi="Arial"/>
          <w:sz w:val="10"/>
          <w:szCs w:val="10"/>
          <w:b w:val="1"/>
          <w:bCs w:val="1"/>
          <w:color w:val="auto"/>
        </w:rPr>
        <w:t>Form 10-Q for the Quarterly Period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 w:name="page5"/>
    <w:bookmarkEnd w:id="4"/>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Additional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4"/>
                <w:szCs w:val="14"/>
                <w:color w:val="auto"/>
              </w:rPr>
            </w:pPr>
          </w:p>
        </w:tc>
        <w:tc>
          <w:tcPr>
            <w:tcW w:w="1720" w:type="dxa"/>
            <w:vAlign w:val="bottom"/>
            <w:tcBorders>
              <w:bottom w:val="single" w:sz="8" w:color="auto"/>
            </w:tcBorders>
            <w:gridSpan w:val="5"/>
          </w:tcPr>
          <w:p>
            <w:pPr>
              <w:jc w:val="right"/>
              <w:ind w:right="353"/>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4"/>
                <w:szCs w:val="14"/>
                <w:color w:val="auto"/>
              </w:rPr>
            </w:pPr>
          </w:p>
        </w:tc>
        <w:tc>
          <w:tcPr>
            <w:tcW w:w="162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Paid-in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0"/>
              </w:rPr>
              <w:t>Retained</w:t>
            </w:r>
          </w:p>
        </w:tc>
        <w:tc>
          <w:tcPr>
            <w:tcW w:w="1220" w:type="dxa"/>
            <w:vAlign w:val="bottom"/>
            <w:gridSpan w:val="4"/>
          </w:tcPr>
          <w:p>
            <w:pPr>
              <w:ind w:left="100"/>
              <w:spacing w:after="0"/>
              <w:rPr>
                <w:sz w:val="20"/>
                <w:szCs w:val="20"/>
                <w:color w:val="auto"/>
              </w:rPr>
            </w:pPr>
            <w:r>
              <w:rPr>
                <w:rFonts w:ascii="Arial" w:cs="Arial" w:eastAsia="Arial" w:hAnsi="Arial"/>
                <w:sz w:val="13"/>
                <w:szCs w:val="13"/>
                <w:b w:val="1"/>
                <w:bCs w:val="1"/>
                <w:color w:val="auto"/>
              </w:rPr>
              <w:t>Comprehensive</w:t>
            </w: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w w:val="98"/>
              </w:rPr>
              <w:t>Stockholders'</w:t>
            </w:r>
          </w:p>
        </w:tc>
        <w:tc>
          <w:tcPr>
            <w:tcW w:w="0" w:type="dxa"/>
            <w:vAlign w:val="bottom"/>
          </w:tcPr>
          <w:p>
            <w:pPr>
              <w:spacing w:after="0"/>
              <w:rPr>
                <w:sz w:val="1"/>
                <w:szCs w:val="1"/>
                <w:color w:val="auto"/>
              </w:rPr>
            </w:pPr>
          </w:p>
        </w:tc>
      </w:tr>
      <w:tr>
        <w:trPr>
          <w:trHeight w:val="155"/>
        </w:trPr>
        <w:tc>
          <w:tcPr>
            <w:tcW w:w="3640" w:type="dxa"/>
            <w:vAlign w:val="bottom"/>
            <w:tcBorders>
              <w:bottom w:val="single" w:sz="8" w:color="CCF0FC"/>
            </w:tcBorders>
          </w:tcPr>
          <w:p>
            <w:pPr>
              <w:spacing w:after="0"/>
              <w:rPr>
                <w:sz w:val="20"/>
                <w:szCs w:val="20"/>
                <w:color w:val="auto"/>
              </w:rPr>
            </w:pPr>
            <w:r>
              <w:rPr>
                <w:rFonts w:ascii="Arial" w:cs="Arial" w:eastAsia="Arial" w:hAnsi="Arial"/>
                <w:sz w:val="13"/>
                <w:szCs w:val="13"/>
                <w:b w:val="1"/>
                <w:bCs w:val="1"/>
                <w:color w:val="auto"/>
              </w:rPr>
              <w:t>(In thousands, except shares) (Unaudited)</w:t>
            </w: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CF0FC"/>
            </w:tcBorders>
          </w:tcPr>
          <w:p>
            <w:pPr>
              <w:spacing w:after="0"/>
              <w:rPr>
                <w:sz w:val="13"/>
                <w:szCs w:val="13"/>
                <w:color w:val="auto"/>
              </w:rPr>
            </w:pPr>
          </w:p>
        </w:tc>
        <w:tc>
          <w:tcPr>
            <w:tcW w:w="80" w:type="dxa"/>
            <w:vAlign w:val="bottom"/>
            <w:tcBorders>
              <w:bottom w:val="single" w:sz="8" w:color="CC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Borders>
              <w:bottom w:val="single" w:sz="8" w:color="CCF0FC"/>
            </w:tcBorders>
          </w:tcPr>
          <w:p>
            <w:pPr>
              <w:spacing w:after="0"/>
              <w:rPr>
                <w:sz w:val="13"/>
                <w:szCs w:val="13"/>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Shares</w:t>
            </w:r>
          </w:p>
        </w:tc>
        <w:tc>
          <w:tcPr>
            <w:tcW w:w="220" w:type="dxa"/>
            <w:vAlign w:val="bottom"/>
            <w:tcBorders>
              <w:bottom w:val="single" w:sz="8" w:color="CC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Borders>
              <w:bottom w:val="single" w:sz="8" w:color="CCF0FC"/>
            </w:tcBorders>
          </w:tcPr>
          <w:p>
            <w:pPr>
              <w:spacing w:after="0"/>
              <w:rPr>
                <w:sz w:val="13"/>
                <w:szCs w:val="13"/>
                <w:color w:val="auto"/>
              </w:rPr>
            </w:pPr>
          </w:p>
        </w:tc>
        <w:tc>
          <w:tcPr>
            <w:tcW w:w="80" w:type="dxa"/>
            <w:vAlign w:val="bottom"/>
            <w:tcBorders>
              <w:bottom w:val="single" w:sz="8" w:color="CC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6"/>
              </w:rPr>
              <w:t>Capital</w:t>
            </w:r>
          </w:p>
        </w:tc>
        <w:tc>
          <w:tcPr>
            <w:tcW w:w="220" w:type="dxa"/>
            <w:vAlign w:val="bottom"/>
            <w:tcBorders>
              <w:bottom w:val="single" w:sz="8" w:color="CC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89"/>
              </w:rPr>
              <w:t>Earnings</w:t>
            </w:r>
          </w:p>
        </w:tc>
        <w:tc>
          <w:tcPr>
            <w:tcW w:w="120" w:type="dxa"/>
            <w:vAlign w:val="bottom"/>
            <w:tcBorders>
              <w:bottom w:val="single" w:sz="8" w:color="CCF0FC"/>
            </w:tcBorders>
          </w:tcPr>
          <w:p>
            <w:pPr>
              <w:spacing w:after="0"/>
              <w:rPr>
                <w:sz w:val="13"/>
                <w:szCs w:val="13"/>
                <w:color w:val="auto"/>
              </w:rPr>
            </w:pPr>
          </w:p>
        </w:tc>
        <w:tc>
          <w:tcPr>
            <w:tcW w:w="100" w:type="dxa"/>
            <w:vAlign w:val="bottom"/>
            <w:tcBorders>
              <w:bottom w:val="single" w:sz="8" w:color="CC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w w:val="92"/>
              </w:rPr>
              <w:t>Loss</w:t>
            </w:r>
          </w:p>
        </w:tc>
        <w:tc>
          <w:tcPr>
            <w:tcW w:w="220" w:type="dxa"/>
            <w:vAlign w:val="bottom"/>
            <w:tcBorders>
              <w:bottom w:val="single" w:sz="8" w:color="CC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95"/>
              </w:rPr>
              <w:t>Equity</w:t>
            </w:r>
          </w:p>
        </w:tc>
        <w:tc>
          <w:tcPr>
            <w:tcW w:w="60" w:type="dxa"/>
            <w:vAlign w:val="bottom"/>
            <w:tcBorders>
              <w:bottom w:val="single" w:sz="8" w:color="CC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shd w:val="clear" w:color="auto" w:fill="CCF0FC"/>
          </w:tcPr>
          <w:p>
            <w:pPr>
              <w:spacing w:after="0"/>
              <w:rPr>
                <w:sz w:val="20"/>
                <w:szCs w:val="20"/>
                <w:color w:val="auto"/>
              </w:rPr>
            </w:pPr>
            <w:r>
              <w:rPr>
                <w:rFonts w:ascii="Arial" w:cs="Arial" w:eastAsia="Arial" w:hAnsi="Arial"/>
                <w:sz w:val="13"/>
                <w:szCs w:val="13"/>
                <w:color w:val="auto"/>
              </w:rPr>
              <w:t>Balances, March 31, 2020</w:t>
            </w:r>
          </w:p>
        </w:tc>
        <w:tc>
          <w:tcPr>
            <w:tcW w:w="8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34,992,825</w:t>
            </w:r>
          </w:p>
        </w:tc>
        <w:tc>
          <w:tcPr>
            <w:tcW w:w="140" w:type="dxa"/>
            <w:vAlign w:val="bottom"/>
            <w:shd w:val="clear" w:color="auto" w:fill="CCF0FC"/>
          </w:tcPr>
          <w:p>
            <w:pPr>
              <w:spacing w:after="0"/>
              <w:rPr>
                <w:sz w:val="13"/>
                <w:szCs w:val="13"/>
                <w:color w:val="auto"/>
              </w:rPr>
            </w:pPr>
          </w:p>
        </w:tc>
        <w:tc>
          <w:tcPr>
            <w:tcW w:w="80" w:type="dxa"/>
            <w:vAlign w:val="bottom"/>
            <w:shd w:val="clear" w:color="auto" w:fill="CCF0FC"/>
          </w:tcPr>
          <w:p>
            <w:pPr>
              <w:spacing w:after="0"/>
              <w:rPr>
                <w:sz w:val="13"/>
                <w:szCs w:val="13"/>
                <w:color w:val="auto"/>
              </w:rPr>
            </w:pPr>
          </w:p>
        </w:tc>
        <w:tc>
          <w:tcPr>
            <w:tcW w:w="100" w:type="dxa"/>
            <w:vAlign w:val="bottom"/>
            <w:shd w:val="clear" w:color="auto" w:fill="CC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36</w:t>
            </w:r>
          </w:p>
        </w:tc>
        <w:tc>
          <w:tcPr>
            <w:tcW w:w="220" w:type="dxa"/>
            <w:vAlign w:val="bottom"/>
            <w:shd w:val="clear" w:color="auto" w:fill="CCF0FC"/>
          </w:tcPr>
          <w:p>
            <w:pPr>
              <w:spacing w:after="0"/>
              <w:rPr>
                <w:sz w:val="13"/>
                <w:szCs w:val="13"/>
                <w:color w:val="auto"/>
              </w:rPr>
            </w:pP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1,481,623</w:t>
            </w:r>
          </w:p>
        </w:tc>
        <w:tc>
          <w:tcPr>
            <w:tcW w:w="220" w:type="dxa"/>
            <w:vAlign w:val="bottom"/>
            <w:shd w:val="clear" w:color="auto" w:fill="CCF0FC"/>
          </w:tcPr>
          <w:p>
            <w:pPr>
              <w:spacing w:after="0"/>
              <w:rPr>
                <w:sz w:val="13"/>
                <w:szCs w:val="13"/>
                <w:color w:val="auto"/>
              </w:rPr>
            </w:pPr>
          </w:p>
        </w:tc>
        <w:tc>
          <w:tcPr>
            <w:tcW w:w="80" w:type="dxa"/>
            <w:vAlign w:val="bottom"/>
            <w:shd w:val="clear" w:color="auto" w:fill="CC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F0FC"/>
          </w:tcPr>
          <w:p>
            <w:pPr>
              <w:jc w:val="right"/>
              <w:ind w:right="100"/>
              <w:spacing w:after="0"/>
              <w:rPr>
                <w:sz w:val="20"/>
                <w:szCs w:val="20"/>
                <w:color w:val="auto"/>
              </w:rPr>
            </w:pPr>
            <w:r>
              <w:rPr>
                <w:rFonts w:ascii="Arial" w:cs="Arial" w:eastAsia="Arial" w:hAnsi="Arial"/>
                <w:sz w:val="13"/>
                <w:szCs w:val="13"/>
                <w:color w:val="auto"/>
              </w:rPr>
              <w:t>(58,297)</w:t>
            </w:r>
          </w:p>
        </w:tc>
        <w:tc>
          <w:tcPr>
            <w:tcW w:w="18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361,853</w:t>
            </w:r>
          </w:p>
        </w:tc>
        <w:tc>
          <w:tcPr>
            <w:tcW w:w="300" w:type="dxa"/>
            <w:vAlign w:val="bottom"/>
            <w:gridSpan w:val="2"/>
            <w:shd w:val="clear" w:color="auto" w:fill="CCF0FC"/>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57,419</w:t>
            </w:r>
          </w:p>
        </w:tc>
        <w:tc>
          <w:tcPr>
            <w:tcW w:w="120" w:type="dxa"/>
            <w:vAlign w:val="bottom"/>
            <w:shd w:val="clear" w:color="auto" w:fill="CCF0FC"/>
          </w:tcPr>
          <w:p>
            <w:pPr>
              <w:spacing w:after="0"/>
              <w:rPr>
                <w:sz w:val="13"/>
                <w:szCs w:val="13"/>
                <w:color w:val="auto"/>
              </w:rPr>
            </w:pPr>
          </w:p>
        </w:tc>
        <w:tc>
          <w:tcPr>
            <w:tcW w:w="260" w:type="dxa"/>
            <w:vAlign w:val="bottom"/>
            <w:gridSpan w:val="2"/>
            <w:shd w:val="clear" w:color="auto" w:fill="CCF0FC"/>
          </w:tcPr>
          <w:p>
            <w:pPr>
              <w:ind w:left="10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(5,823)</w:t>
            </w:r>
          </w:p>
        </w:tc>
        <w:tc>
          <w:tcPr>
            <w:tcW w:w="120" w:type="dxa"/>
            <w:vAlign w:val="bottom"/>
            <w:shd w:val="clear" w:color="auto" w:fill="CCF0FC"/>
          </w:tcPr>
          <w:p>
            <w:pPr>
              <w:spacing w:after="0"/>
              <w:rPr>
                <w:sz w:val="20"/>
                <w:szCs w:val="20"/>
                <w:color w:val="auto"/>
              </w:rPr>
            </w:pPr>
            <w:r>
              <w:rPr>
                <w:rFonts w:ascii="Arial" w:cs="Arial" w:eastAsia="Arial" w:hAnsi="Arial"/>
                <w:sz w:val="13"/>
                <w:szCs w:val="13"/>
                <w:color w:val="auto"/>
              </w:rPr>
              <w:t>$</w:t>
            </w: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355,188</w:t>
            </w:r>
          </w:p>
        </w:tc>
        <w:tc>
          <w:tcPr>
            <w:tcW w:w="60" w:type="dxa"/>
            <w:vAlign w:val="bottom"/>
            <w:shd w:val="clear" w:color="auto" w:fill="CC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F0FC"/>
              <w:bottom w:val="single" w:sz="8" w:color="CCF0FC"/>
            </w:tcBorders>
            <w:vMerge w:val="restart"/>
          </w:tcPr>
          <w:p>
            <w:pPr>
              <w:ind w:left="140"/>
              <w:spacing w:after="0"/>
              <w:rPr>
                <w:sz w:val="20"/>
                <w:szCs w:val="20"/>
                <w:color w:val="auto"/>
              </w:rPr>
            </w:pPr>
            <w:r>
              <w:rPr>
                <w:rFonts w:ascii="Arial" w:cs="Arial" w:eastAsia="Arial" w:hAnsi="Arial"/>
                <w:sz w:val="13"/>
                <w:szCs w:val="13"/>
                <w:color w:val="auto"/>
              </w:rPr>
              <w:t>Stock-based compensation</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40" w:type="dxa"/>
            <w:vAlign w:val="bottom"/>
            <w:vMerge w:val="continue"/>
          </w:tcPr>
          <w:p>
            <w:pPr>
              <w:spacing w:after="0"/>
              <w:rPr>
                <w:sz w:val="12"/>
                <w:szCs w:val="12"/>
                <w:color w:val="auto"/>
              </w:rPr>
            </w:pPr>
          </w:p>
        </w:tc>
        <w:tc>
          <w:tcPr>
            <w:tcW w:w="94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4,628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4,628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ind w:left="140"/>
              <w:spacing w:after="0"/>
              <w:rPr>
                <w:sz w:val="20"/>
                <w:szCs w:val="20"/>
                <w:color w:val="auto"/>
              </w:rPr>
            </w:pPr>
            <w:r>
              <w:rPr>
                <w:rFonts w:ascii="Arial" w:cs="Arial" w:eastAsia="Arial" w:hAnsi="Arial"/>
                <w:sz w:val="13"/>
                <w:szCs w:val="13"/>
                <w:color w:val="auto"/>
              </w:rPr>
              <w:t>Exercise of stock options and issuance of restricted stock</w:t>
            </w:r>
          </w:p>
        </w:tc>
        <w:tc>
          <w:tcPr>
            <w:tcW w:w="8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233,852</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CF0FC"/>
          </w:tcPr>
          <w:p>
            <w:pPr>
              <w:spacing w:after="0"/>
              <w:rPr>
                <w:sz w:val="14"/>
                <w:szCs w:val="14"/>
                <w:color w:val="auto"/>
              </w:rPr>
            </w:pP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5,742</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5,743</w:t>
            </w:r>
          </w:p>
        </w:tc>
        <w:tc>
          <w:tcPr>
            <w:tcW w:w="6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3"/>
                <w:szCs w:val="13"/>
                <w:color w:val="auto"/>
              </w:rPr>
              <w:t>Employee stock purchase plan</w:t>
            </w:r>
          </w:p>
        </w:tc>
        <w:tc>
          <w:tcPr>
            <w:tcW w:w="800" w:type="dxa"/>
            <w:vAlign w:val="bottom"/>
          </w:tcPr>
          <w:p>
            <w:pPr>
              <w:jc w:val="right"/>
              <w:spacing w:after="0"/>
              <w:rPr>
                <w:sz w:val="20"/>
                <w:szCs w:val="20"/>
                <w:color w:val="auto"/>
              </w:rPr>
            </w:pPr>
            <w:r>
              <w:rPr>
                <w:rFonts w:ascii="Arial" w:cs="Arial" w:eastAsia="Arial" w:hAnsi="Arial"/>
                <w:sz w:val="13"/>
                <w:szCs w:val="13"/>
                <w:color w:val="auto"/>
              </w:rPr>
              <w:t>31,068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1,463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ind w:left="140"/>
              <w:spacing w:after="0"/>
              <w:rPr>
                <w:sz w:val="20"/>
                <w:szCs w:val="20"/>
                <w:color w:val="auto"/>
              </w:rPr>
            </w:pPr>
            <w:r>
              <w:rPr>
                <w:rFonts w:ascii="Arial" w:cs="Arial" w:eastAsia="Arial" w:hAnsi="Arial"/>
                <w:sz w:val="13"/>
                <w:szCs w:val="13"/>
                <w:color w:val="auto"/>
              </w:rPr>
              <w:t>Repurchases of common stock</w:t>
            </w:r>
          </w:p>
        </w:tc>
        <w:tc>
          <w:tcPr>
            <w:tcW w:w="940" w:type="dxa"/>
            <w:vAlign w:val="bottom"/>
            <w:gridSpan w:val="2"/>
            <w:shd w:val="clear" w:color="auto" w:fill="CCF0FC"/>
          </w:tcPr>
          <w:p>
            <w:pPr>
              <w:jc w:val="right"/>
              <w:ind w:right="80"/>
              <w:spacing w:after="0"/>
              <w:rPr>
                <w:sz w:val="20"/>
                <w:szCs w:val="20"/>
                <w:color w:val="auto"/>
              </w:rPr>
            </w:pPr>
            <w:r>
              <w:rPr>
                <w:rFonts w:ascii="Arial" w:cs="Arial" w:eastAsia="Arial" w:hAnsi="Arial"/>
                <w:sz w:val="13"/>
                <w:szCs w:val="13"/>
                <w:color w:val="auto"/>
              </w:rPr>
              <w:t>(131,627)</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131,627</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00"/>
              <w:spacing w:after="0"/>
              <w:rPr>
                <w:sz w:val="20"/>
                <w:szCs w:val="20"/>
                <w:color w:val="auto"/>
              </w:rPr>
            </w:pPr>
            <w:r>
              <w:rPr>
                <w:rFonts w:ascii="Arial" w:cs="Arial" w:eastAsia="Arial" w:hAnsi="Arial"/>
                <w:sz w:val="13"/>
                <w:szCs w:val="13"/>
                <w:color w:val="auto"/>
              </w:rPr>
              <w:t>(6,950)</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20"/>
              <w:spacing w:after="0"/>
              <w:rPr>
                <w:sz w:val="20"/>
                <w:szCs w:val="20"/>
                <w:color w:val="auto"/>
              </w:rPr>
            </w:pPr>
            <w:r>
              <w:rPr>
                <w:rFonts w:ascii="Arial" w:cs="Arial" w:eastAsia="Arial" w:hAnsi="Arial"/>
                <w:sz w:val="13"/>
                <w:szCs w:val="13"/>
                <w:color w:val="auto"/>
              </w:rPr>
              <w:t>(6,950)</w:t>
            </w: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11,194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11,194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9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2,116</w:t>
            </w:r>
          </w:p>
        </w:tc>
        <w:tc>
          <w:tcPr>
            <w:tcW w:w="22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2,116</w:t>
            </w:r>
          </w:p>
        </w:tc>
        <w:tc>
          <w:tcPr>
            <w:tcW w:w="6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3"/>
                <w:szCs w:val="13"/>
                <w:color w:val="auto"/>
              </w:rPr>
              <w:t>Unrealized gain on investments, net of tax</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640" w:type="dxa"/>
            <w:vAlign w:val="bottom"/>
            <w:shd w:val="clear" w:color="auto" w:fill="CCF0FC"/>
          </w:tcPr>
          <w:p>
            <w:pPr>
              <w:ind w:left="140"/>
              <w:spacing w:after="0"/>
              <w:rPr>
                <w:sz w:val="20"/>
                <w:szCs w:val="20"/>
                <w:color w:val="auto"/>
              </w:rPr>
            </w:pPr>
            <w:r>
              <w:rPr>
                <w:rFonts w:ascii="Arial" w:cs="Arial" w:eastAsia="Arial" w:hAnsi="Arial"/>
                <w:sz w:val="13"/>
                <w:szCs w:val="13"/>
                <w:color w:val="auto"/>
              </w:rPr>
              <w:t>Reclassification of gain on investments into earnings, net of</w:t>
            </w:r>
          </w:p>
        </w:tc>
        <w:tc>
          <w:tcPr>
            <w:tcW w:w="800" w:type="dxa"/>
            <w:vAlign w:val="bottom"/>
            <w:shd w:val="clear" w:color="auto" w:fill="CCF0FC"/>
          </w:tcPr>
          <w:p>
            <w:pPr>
              <w:spacing w:after="0"/>
              <w:rPr>
                <w:sz w:val="13"/>
                <w:szCs w:val="13"/>
                <w:color w:val="auto"/>
              </w:rPr>
            </w:pPr>
          </w:p>
        </w:tc>
        <w:tc>
          <w:tcPr>
            <w:tcW w:w="140" w:type="dxa"/>
            <w:vAlign w:val="bottom"/>
            <w:shd w:val="clear" w:color="auto" w:fill="CCF0FC"/>
          </w:tcPr>
          <w:p>
            <w:pPr>
              <w:spacing w:after="0"/>
              <w:rPr>
                <w:sz w:val="13"/>
                <w:szCs w:val="13"/>
                <w:color w:val="auto"/>
              </w:rPr>
            </w:pPr>
          </w:p>
        </w:tc>
        <w:tc>
          <w:tcPr>
            <w:tcW w:w="80" w:type="dxa"/>
            <w:vAlign w:val="bottom"/>
            <w:shd w:val="clear" w:color="auto" w:fill="CCF0FC"/>
          </w:tcPr>
          <w:p>
            <w:pPr>
              <w:spacing w:after="0"/>
              <w:rPr>
                <w:sz w:val="13"/>
                <w:szCs w:val="13"/>
                <w:color w:val="auto"/>
              </w:rPr>
            </w:pPr>
          </w:p>
        </w:tc>
        <w:tc>
          <w:tcPr>
            <w:tcW w:w="100" w:type="dxa"/>
            <w:vAlign w:val="bottom"/>
            <w:shd w:val="clear" w:color="auto" w:fill="CCF0FC"/>
          </w:tcPr>
          <w:p>
            <w:pPr>
              <w:spacing w:after="0"/>
              <w:rPr>
                <w:sz w:val="13"/>
                <w:szCs w:val="13"/>
                <w:color w:val="auto"/>
              </w:rPr>
            </w:pPr>
          </w:p>
        </w:tc>
        <w:tc>
          <w:tcPr>
            <w:tcW w:w="600" w:type="dxa"/>
            <w:vAlign w:val="bottom"/>
            <w:shd w:val="clear" w:color="auto" w:fill="CCF0FC"/>
          </w:tcPr>
          <w:p>
            <w:pPr>
              <w:spacing w:after="0"/>
              <w:rPr>
                <w:sz w:val="13"/>
                <w:szCs w:val="13"/>
                <w:color w:val="auto"/>
              </w:rPr>
            </w:pPr>
          </w:p>
        </w:tc>
        <w:tc>
          <w:tcPr>
            <w:tcW w:w="220" w:type="dxa"/>
            <w:vAlign w:val="bottom"/>
            <w:shd w:val="clear" w:color="auto" w:fill="CCF0FC"/>
          </w:tcPr>
          <w:p>
            <w:pPr>
              <w:spacing w:after="0"/>
              <w:rPr>
                <w:sz w:val="13"/>
                <w:szCs w:val="13"/>
                <w:color w:val="auto"/>
              </w:rPr>
            </w:pPr>
          </w:p>
        </w:tc>
        <w:tc>
          <w:tcPr>
            <w:tcW w:w="700" w:type="dxa"/>
            <w:vAlign w:val="bottom"/>
            <w:shd w:val="clear" w:color="auto" w:fill="CCF0FC"/>
          </w:tcPr>
          <w:p>
            <w:pPr>
              <w:spacing w:after="0"/>
              <w:rPr>
                <w:sz w:val="13"/>
                <w:szCs w:val="13"/>
                <w:color w:val="auto"/>
              </w:rPr>
            </w:pPr>
          </w:p>
        </w:tc>
        <w:tc>
          <w:tcPr>
            <w:tcW w:w="220" w:type="dxa"/>
            <w:vAlign w:val="bottom"/>
            <w:shd w:val="clear" w:color="auto" w:fill="CCF0FC"/>
          </w:tcPr>
          <w:p>
            <w:pPr>
              <w:spacing w:after="0"/>
              <w:rPr>
                <w:sz w:val="13"/>
                <w:szCs w:val="13"/>
                <w:color w:val="auto"/>
              </w:rPr>
            </w:pPr>
          </w:p>
        </w:tc>
        <w:tc>
          <w:tcPr>
            <w:tcW w:w="80" w:type="dxa"/>
            <w:vAlign w:val="bottom"/>
            <w:shd w:val="clear" w:color="auto" w:fill="CCF0FC"/>
          </w:tcPr>
          <w:p>
            <w:pPr>
              <w:spacing w:after="0"/>
              <w:rPr>
                <w:sz w:val="13"/>
                <w:szCs w:val="13"/>
                <w:color w:val="auto"/>
              </w:rPr>
            </w:pPr>
          </w:p>
        </w:tc>
        <w:tc>
          <w:tcPr>
            <w:tcW w:w="620" w:type="dxa"/>
            <w:vAlign w:val="bottom"/>
            <w:shd w:val="clear" w:color="auto" w:fill="CCF0FC"/>
          </w:tcPr>
          <w:p>
            <w:pPr>
              <w:spacing w:after="0"/>
              <w:rPr>
                <w:sz w:val="13"/>
                <w:szCs w:val="13"/>
                <w:color w:val="auto"/>
              </w:rPr>
            </w:pPr>
          </w:p>
        </w:tc>
        <w:tc>
          <w:tcPr>
            <w:tcW w:w="140" w:type="dxa"/>
            <w:vAlign w:val="bottom"/>
            <w:shd w:val="clear" w:color="auto" w:fill="CCF0FC"/>
          </w:tcPr>
          <w:p>
            <w:pPr>
              <w:spacing w:after="0"/>
              <w:rPr>
                <w:sz w:val="13"/>
                <w:szCs w:val="13"/>
                <w:color w:val="auto"/>
              </w:rPr>
            </w:pPr>
          </w:p>
        </w:tc>
        <w:tc>
          <w:tcPr>
            <w:tcW w:w="80" w:type="dxa"/>
            <w:vAlign w:val="bottom"/>
            <w:shd w:val="clear" w:color="auto" w:fill="CCF0FC"/>
          </w:tcPr>
          <w:p>
            <w:pPr>
              <w:spacing w:after="0"/>
              <w:rPr>
                <w:sz w:val="13"/>
                <w:szCs w:val="13"/>
                <w:color w:val="auto"/>
              </w:rPr>
            </w:pPr>
          </w:p>
        </w:tc>
        <w:tc>
          <w:tcPr>
            <w:tcW w:w="100" w:type="dxa"/>
            <w:vAlign w:val="bottom"/>
            <w:shd w:val="clear" w:color="auto" w:fill="CCF0FC"/>
          </w:tcPr>
          <w:p>
            <w:pPr>
              <w:spacing w:after="0"/>
              <w:rPr>
                <w:sz w:val="13"/>
                <w:szCs w:val="13"/>
                <w:color w:val="auto"/>
              </w:rPr>
            </w:pPr>
          </w:p>
        </w:tc>
        <w:tc>
          <w:tcPr>
            <w:tcW w:w="600" w:type="dxa"/>
            <w:vAlign w:val="bottom"/>
            <w:shd w:val="clear" w:color="auto" w:fill="CCF0FC"/>
          </w:tcPr>
          <w:p>
            <w:pPr>
              <w:spacing w:after="0"/>
              <w:rPr>
                <w:sz w:val="13"/>
                <w:szCs w:val="13"/>
                <w:color w:val="auto"/>
              </w:rPr>
            </w:pPr>
          </w:p>
        </w:tc>
        <w:tc>
          <w:tcPr>
            <w:tcW w:w="220" w:type="dxa"/>
            <w:vAlign w:val="bottom"/>
            <w:shd w:val="clear" w:color="auto" w:fill="CCF0FC"/>
          </w:tcPr>
          <w:p>
            <w:pPr>
              <w:spacing w:after="0"/>
              <w:rPr>
                <w:sz w:val="13"/>
                <w:szCs w:val="13"/>
                <w:color w:val="auto"/>
              </w:rPr>
            </w:pPr>
          </w:p>
        </w:tc>
        <w:tc>
          <w:tcPr>
            <w:tcW w:w="80" w:type="dxa"/>
            <w:vAlign w:val="bottom"/>
            <w:shd w:val="clear" w:color="auto" w:fill="CCF0FC"/>
          </w:tcPr>
          <w:p>
            <w:pPr>
              <w:spacing w:after="0"/>
              <w:rPr>
                <w:sz w:val="13"/>
                <w:szCs w:val="13"/>
                <w:color w:val="auto"/>
              </w:rPr>
            </w:pPr>
          </w:p>
        </w:tc>
        <w:tc>
          <w:tcPr>
            <w:tcW w:w="620" w:type="dxa"/>
            <w:vAlign w:val="bottom"/>
            <w:shd w:val="clear" w:color="auto" w:fill="CCF0FC"/>
          </w:tcPr>
          <w:p>
            <w:pPr>
              <w:spacing w:after="0"/>
              <w:rPr>
                <w:sz w:val="13"/>
                <w:szCs w:val="13"/>
                <w:color w:val="auto"/>
              </w:rPr>
            </w:pPr>
          </w:p>
        </w:tc>
        <w:tc>
          <w:tcPr>
            <w:tcW w:w="120" w:type="dxa"/>
            <w:vAlign w:val="bottom"/>
            <w:shd w:val="clear" w:color="auto" w:fill="CCF0FC"/>
          </w:tcPr>
          <w:p>
            <w:pPr>
              <w:spacing w:after="0"/>
              <w:rPr>
                <w:sz w:val="13"/>
                <w:szCs w:val="13"/>
                <w:color w:val="auto"/>
              </w:rPr>
            </w:pPr>
          </w:p>
        </w:tc>
        <w:tc>
          <w:tcPr>
            <w:tcW w:w="100" w:type="dxa"/>
            <w:vAlign w:val="bottom"/>
            <w:shd w:val="clear" w:color="auto" w:fill="CCF0FC"/>
          </w:tcPr>
          <w:p>
            <w:pPr>
              <w:spacing w:after="0"/>
              <w:rPr>
                <w:sz w:val="13"/>
                <w:szCs w:val="13"/>
                <w:color w:val="auto"/>
              </w:rPr>
            </w:pPr>
          </w:p>
        </w:tc>
        <w:tc>
          <w:tcPr>
            <w:tcW w:w="160" w:type="dxa"/>
            <w:vAlign w:val="bottom"/>
            <w:shd w:val="clear" w:color="auto" w:fill="CCF0FC"/>
          </w:tcPr>
          <w:p>
            <w:pPr>
              <w:spacing w:after="0"/>
              <w:rPr>
                <w:sz w:val="13"/>
                <w:szCs w:val="13"/>
                <w:color w:val="auto"/>
              </w:rPr>
            </w:pPr>
          </w:p>
        </w:tc>
        <w:tc>
          <w:tcPr>
            <w:tcW w:w="740" w:type="dxa"/>
            <w:vAlign w:val="bottom"/>
            <w:shd w:val="clear" w:color="auto" w:fill="CCF0FC"/>
          </w:tcPr>
          <w:p>
            <w:pPr>
              <w:spacing w:after="0"/>
              <w:rPr>
                <w:sz w:val="13"/>
                <w:szCs w:val="13"/>
                <w:color w:val="auto"/>
              </w:rPr>
            </w:pPr>
          </w:p>
        </w:tc>
        <w:tc>
          <w:tcPr>
            <w:tcW w:w="220" w:type="dxa"/>
            <w:vAlign w:val="bottom"/>
            <w:shd w:val="clear" w:color="auto" w:fill="CCF0FC"/>
          </w:tcPr>
          <w:p>
            <w:pPr>
              <w:spacing w:after="0"/>
              <w:rPr>
                <w:sz w:val="13"/>
                <w:szCs w:val="13"/>
                <w:color w:val="auto"/>
              </w:rPr>
            </w:pPr>
          </w:p>
        </w:tc>
        <w:tc>
          <w:tcPr>
            <w:tcW w:w="120" w:type="dxa"/>
            <w:vAlign w:val="bottom"/>
            <w:shd w:val="clear" w:color="auto" w:fill="CCF0FC"/>
          </w:tcPr>
          <w:p>
            <w:pPr>
              <w:spacing w:after="0"/>
              <w:rPr>
                <w:sz w:val="13"/>
                <w:szCs w:val="13"/>
                <w:color w:val="auto"/>
              </w:rPr>
            </w:pPr>
          </w:p>
        </w:tc>
        <w:tc>
          <w:tcPr>
            <w:tcW w:w="680" w:type="dxa"/>
            <w:vAlign w:val="bottom"/>
            <w:shd w:val="clear" w:color="auto" w:fill="CCF0FC"/>
          </w:tcPr>
          <w:p>
            <w:pPr>
              <w:spacing w:after="0"/>
              <w:rPr>
                <w:sz w:val="13"/>
                <w:szCs w:val="13"/>
                <w:color w:val="auto"/>
              </w:rPr>
            </w:pPr>
          </w:p>
        </w:tc>
        <w:tc>
          <w:tcPr>
            <w:tcW w:w="60" w:type="dxa"/>
            <w:vAlign w:val="bottom"/>
            <w:shd w:val="clear" w:color="auto" w:fill="CC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640" w:type="dxa"/>
            <w:vAlign w:val="bottom"/>
            <w:shd w:val="clear" w:color="auto" w:fill="CCF0FC"/>
          </w:tcPr>
          <w:p>
            <w:pPr>
              <w:ind w:left="140"/>
              <w:spacing w:after="0"/>
              <w:rPr>
                <w:sz w:val="20"/>
                <w:szCs w:val="20"/>
                <w:color w:val="auto"/>
              </w:rPr>
            </w:pPr>
            <w:r>
              <w:rPr>
                <w:rFonts w:ascii="Arial" w:cs="Arial" w:eastAsia="Arial" w:hAnsi="Arial"/>
                <w:sz w:val="13"/>
                <w:szCs w:val="13"/>
                <w:color w:val="auto"/>
              </w:rPr>
              <w:t>tax</w:t>
            </w:r>
          </w:p>
        </w:tc>
        <w:tc>
          <w:tcPr>
            <w:tcW w:w="8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3"/>
                <w:szCs w:val="13"/>
                <w:color w:val="auto"/>
              </w:rPr>
            </w:pPr>
          </w:p>
        </w:tc>
        <w:tc>
          <w:tcPr>
            <w:tcW w:w="80" w:type="dxa"/>
            <w:vAlign w:val="bottom"/>
            <w:shd w:val="clear" w:color="auto" w:fill="CCF0FC"/>
          </w:tcPr>
          <w:p>
            <w:pPr>
              <w:spacing w:after="0"/>
              <w:rPr>
                <w:sz w:val="13"/>
                <w:szCs w:val="13"/>
                <w:color w:val="auto"/>
              </w:rPr>
            </w:pPr>
          </w:p>
        </w:tc>
        <w:tc>
          <w:tcPr>
            <w:tcW w:w="100" w:type="dxa"/>
            <w:vAlign w:val="bottom"/>
            <w:shd w:val="clear" w:color="auto" w:fill="CCF0FC"/>
          </w:tcPr>
          <w:p>
            <w:pPr>
              <w:spacing w:after="0"/>
              <w:rPr>
                <w:sz w:val="13"/>
                <w:szCs w:val="13"/>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3"/>
                <w:szCs w:val="13"/>
                <w:color w:val="auto"/>
              </w:rPr>
            </w:pP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3"/>
                <w:szCs w:val="13"/>
                <w:color w:val="auto"/>
              </w:rPr>
            </w:pPr>
          </w:p>
        </w:tc>
        <w:tc>
          <w:tcPr>
            <w:tcW w:w="80" w:type="dxa"/>
            <w:vAlign w:val="bottom"/>
            <w:shd w:val="clear" w:color="auto" w:fill="CCF0FC"/>
          </w:tcPr>
          <w:p>
            <w:pPr>
              <w:spacing w:after="0"/>
              <w:rPr>
                <w:sz w:val="13"/>
                <w:szCs w:val="13"/>
                <w:color w:val="auto"/>
              </w:rPr>
            </w:pPr>
          </w:p>
        </w:tc>
        <w:tc>
          <w:tcPr>
            <w:tcW w:w="6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3"/>
                <w:szCs w:val="13"/>
                <w:color w:val="auto"/>
              </w:rPr>
            </w:pPr>
          </w:p>
        </w:tc>
        <w:tc>
          <w:tcPr>
            <w:tcW w:w="80" w:type="dxa"/>
            <w:vAlign w:val="bottom"/>
            <w:shd w:val="clear" w:color="auto" w:fill="CCF0FC"/>
          </w:tcPr>
          <w:p>
            <w:pPr>
              <w:spacing w:after="0"/>
              <w:rPr>
                <w:sz w:val="13"/>
                <w:szCs w:val="13"/>
                <w:color w:val="auto"/>
              </w:rPr>
            </w:pPr>
          </w:p>
        </w:tc>
        <w:tc>
          <w:tcPr>
            <w:tcW w:w="100" w:type="dxa"/>
            <w:vAlign w:val="bottom"/>
            <w:shd w:val="clear" w:color="auto" w:fill="CCF0FC"/>
          </w:tcPr>
          <w:p>
            <w:pPr>
              <w:spacing w:after="0"/>
              <w:rPr>
                <w:sz w:val="13"/>
                <w:szCs w:val="13"/>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3"/>
                <w:szCs w:val="13"/>
                <w:color w:val="auto"/>
              </w:rPr>
            </w:pPr>
          </w:p>
        </w:tc>
        <w:tc>
          <w:tcPr>
            <w:tcW w:w="80" w:type="dxa"/>
            <w:vAlign w:val="bottom"/>
            <w:shd w:val="clear" w:color="auto" w:fill="CCF0FC"/>
          </w:tcPr>
          <w:p>
            <w:pPr>
              <w:spacing w:after="0"/>
              <w:rPr>
                <w:sz w:val="13"/>
                <w:szCs w:val="13"/>
                <w:color w:val="auto"/>
              </w:rPr>
            </w:pPr>
          </w:p>
        </w:tc>
        <w:tc>
          <w:tcPr>
            <w:tcW w:w="6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0FC"/>
          </w:tcPr>
          <w:p>
            <w:pPr>
              <w:spacing w:after="0"/>
              <w:rPr>
                <w:sz w:val="13"/>
                <w:szCs w:val="13"/>
                <w:color w:val="auto"/>
              </w:rPr>
            </w:pPr>
          </w:p>
        </w:tc>
        <w:tc>
          <w:tcPr>
            <w:tcW w:w="100" w:type="dxa"/>
            <w:vAlign w:val="bottom"/>
            <w:shd w:val="clear" w:color="auto" w:fill="CCF0FC"/>
          </w:tcPr>
          <w:p>
            <w:pPr>
              <w:spacing w:after="0"/>
              <w:rPr>
                <w:sz w:val="13"/>
                <w:szCs w:val="13"/>
                <w:color w:val="auto"/>
              </w:rPr>
            </w:pPr>
          </w:p>
        </w:tc>
        <w:tc>
          <w:tcPr>
            <w:tcW w:w="160" w:type="dxa"/>
            <w:vAlign w:val="bottom"/>
            <w:shd w:val="clear" w:color="auto" w:fill="CCF0FC"/>
          </w:tcPr>
          <w:p>
            <w:pPr>
              <w:spacing w:after="0"/>
              <w:rPr>
                <w:sz w:val="13"/>
                <w:szCs w:val="13"/>
                <w:color w:val="auto"/>
              </w:rPr>
            </w:pPr>
          </w:p>
        </w:tc>
        <w:tc>
          <w:tcPr>
            <w:tcW w:w="960" w:type="dxa"/>
            <w:vAlign w:val="bottom"/>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(79)</w:t>
            </w:r>
          </w:p>
        </w:tc>
        <w:tc>
          <w:tcPr>
            <w:tcW w:w="120" w:type="dxa"/>
            <w:vAlign w:val="bottom"/>
            <w:shd w:val="clear" w:color="auto" w:fill="CCF0FC"/>
          </w:tcPr>
          <w:p>
            <w:pPr>
              <w:spacing w:after="0"/>
              <w:rPr>
                <w:sz w:val="13"/>
                <w:szCs w:val="13"/>
                <w:color w:val="auto"/>
              </w:rPr>
            </w:pPr>
          </w:p>
        </w:tc>
        <w:tc>
          <w:tcPr>
            <w:tcW w:w="740" w:type="dxa"/>
            <w:vAlign w:val="bottom"/>
            <w:gridSpan w:val="2"/>
            <w:shd w:val="clear" w:color="auto" w:fill="CCF0FC"/>
          </w:tcPr>
          <w:p>
            <w:pPr>
              <w:jc w:val="right"/>
              <w:ind w:right="20"/>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3"/>
                <w:szCs w:val="13"/>
                <w:color w:val="auto"/>
              </w:rPr>
              <w:t>Balances, June 30, 2020</w:t>
            </w: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640" w:type="dxa"/>
            <w:vAlign w:val="bottom"/>
            <w:vMerge w:val="continue"/>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35,126,118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37</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1,613,250</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(65,247)</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373,686</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68,613</w:t>
            </w:r>
          </w:p>
        </w:tc>
        <w:tc>
          <w:tcPr>
            <w:tcW w:w="120" w:type="dxa"/>
            <w:vAlign w:val="bottom"/>
          </w:tcPr>
          <w:p>
            <w:pPr>
              <w:spacing w:after="0"/>
              <w:rPr>
                <w:sz w:val="17"/>
                <w:szCs w:val="17"/>
                <w:color w:val="auto"/>
              </w:rPr>
            </w:pP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(3,779)</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373,310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640" w:type="dxa"/>
            <w:vAlign w:val="bottom"/>
            <w:tcBorders>
              <w:top w:val="single" w:sz="8" w:color="CCF0FC"/>
            </w:tcBorders>
            <w:shd w:val="clear" w:color="auto" w:fill="CCF0FC"/>
          </w:tcPr>
          <w:p>
            <w:pPr>
              <w:spacing w:after="0"/>
              <w:rPr>
                <w:sz w:val="12"/>
                <w:szCs w:val="12"/>
                <w:color w:val="auto"/>
              </w:rPr>
            </w:pPr>
          </w:p>
        </w:tc>
        <w:tc>
          <w:tcPr>
            <w:tcW w:w="800" w:type="dxa"/>
            <w:vAlign w:val="bottom"/>
            <w:tcBorders>
              <w:top w:val="single" w:sz="8" w:color="auto"/>
              <w:bottom w:val="single" w:sz="8" w:color="auto"/>
            </w:tcBorders>
            <w:shd w:val="clear" w:color="auto" w:fill="CCF0FC"/>
          </w:tcPr>
          <w:p>
            <w:pPr>
              <w:spacing w:after="0"/>
              <w:rPr>
                <w:sz w:val="12"/>
                <w:szCs w:val="12"/>
                <w:color w:val="auto"/>
              </w:rPr>
            </w:pPr>
          </w:p>
        </w:tc>
        <w:tc>
          <w:tcPr>
            <w:tcW w:w="14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auto"/>
              <w:bottom w:val="single" w:sz="8" w:color="auto"/>
            </w:tcBorders>
            <w:shd w:val="clear" w:color="auto" w:fill="CCF0FC"/>
          </w:tcPr>
          <w:p>
            <w:pPr>
              <w:spacing w:after="0"/>
              <w:rPr>
                <w:sz w:val="12"/>
                <w:szCs w:val="12"/>
                <w:color w:val="auto"/>
              </w:rPr>
            </w:pPr>
          </w:p>
        </w:tc>
        <w:tc>
          <w:tcPr>
            <w:tcW w:w="600" w:type="dxa"/>
            <w:vAlign w:val="bottom"/>
            <w:tcBorders>
              <w:top w:val="single" w:sz="8" w:color="auto"/>
              <w:bottom w:val="single" w:sz="8" w:color="auto"/>
            </w:tcBorders>
            <w:shd w:val="clear" w:color="auto" w:fill="CCF0FC"/>
          </w:tcPr>
          <w:p>
            <w:pPr>
              <w:spacing w:after="0"/>
              <w:rPr>
                <w:sz w:val="12"/>
                <w:szCs w:val="12"/>
                <w:color w:val="auto"/>
              </w:rPr>
            </w:pPr>
          </w:p>
        </w:tc>
        <w:tc>
          <w:tcPr>
            <w:tcW w:w="220" w:type="dxa"/>
            <w:vAlign w:val="bottom"/>
            <w:tcBorders>
              <w:top w:val="single" w:sz="8" w:color="CCF0FC"/>
            </w:tcBorders>
            <w:shd w:val="clear" w:color="auto" w:fill="CCF0FC"/>
          </w:tcPr>
          <w:p>
            <w:pPr>
              <w:spacing w:after="0"/>
              <w:rPr>
                <w:sz w:val="12"/>
                <w:szCs w:val="12"/>
                <w:color w:val="auto"/>
              </w:rPr>
            </w:pPr>
          </w:p>
        </w:tc>
        <w:tc>
          <w:tcPr>
            <w:tcW w:w="700" w:type="dxa"/>
            <w:vAlign w:val="bottom"/>
            <w:tcBorders>
              <w:top w:val="single" w:sz="8" w:color="auto"/>
              <w:bottom w:val="single" w:sz="8" w:color="auto"/>
            </w:tcBorders>
            <w:shd w:val="clear" w:color="auto" w:fill="CCF0FC"/>
          </w:tcPr>
          <w:p>
            <w:pPr>
              <w:spacing w:after="0"/>
              <w:rPr>
                <w:sz w:val="12"/>
                <w:szCs w:val="12"/>
                <w:color w:val="auto"/>
              </w:rPr>
            </w:pPr>
          </w:p>
        </w:tc>
        <w:tc>
          <w:tcPr>
            <w:tcW w:w="22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auto"/>
              <w:bottom w:val="single" w:sz="8" w:color="auto"/>
            </w:tcBorders>
            <w:shd w:val="clear" w:color="auto" w:fill="CCF0FC"/>
          </w:tcPr>
          <w:p>
            <w:pPr>
              <w:spacing w:after="0"/>
              <w:rPr>
                <w:sz w:val="12"/>
                <w:szCs w:val="12"/>
                <w:color w:val="auto"/>
              </w:rPr>
            </w:pPr>
          </w:p>
        </w:tc>
        <w:tc>
          <w:tcPr>
            <w:tcW w:w="620" w:type="dxa"/>
            <w:vAlign w:val="bottom"/>
            <w:tcBorders>
              <w:top w:val="single" w:sz="8" w:color="auto"/>
              <w:bottom w:val="single" w:sz="8" w:color="auto"/>
            </w:tcBorders>
            <w:shd w:val="clear" w:color="auto" w:fill="CCF0FC"/>
          </w:tcPr>
          <w:p>
            <w:pPr>
              <w:spacing w:after="0"/>
              <w:rPr>
                <w:sz w:val="12"/>
                <w:szCs w:val="12"/>
                <w:color w:val="auto"/>
              </w:rPr>
            </w:pPr>
          </w:p>
        </w:tc>
        <w:tc>
          <w:tcPr>
            <w:tcW w:w="14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auto"/>
              <w:bottom w:val="single" w:sz="8" w:color="auto"/>
            </w:tcBorders>
            <w:shd w:val="clear" w:color="auto" w:fill="CCF0FC"/>
          </w:tcPr>
          <w:p>
            <w:pPr>
              <w:spacing w:after="0"/>
              <w:rPr>
                <w:sz w:val="12"/>
                <w:szCs w:val="12"/>
                <w:color w:val="auto"/>
              </w:rPr>
            </w:pPr>
          </w:p>
        </w:tc>
        <w:tc>
          <w:tcPr>
            <w:tcW w:w="600" w:type="dxa"/>
            <w:vAlign w:val="bottom"/>
            <w:tcBorders>
              <w:top w:val="single" w:sz="8" w:color="auto"/>
              <w:bottom w:val="single" w:sz="8" w:color="auto"/>
            </w:tcBorders>
            <w:shd w:val="clear" w:color="auto" w:fill="CCF0FC"/>
          </w:tcPr>
          <w:p>
            <w:pPr>
              <w:spacing w:after="0"/>
              <w:rPr>
                <w:sz w:val="12"/>
                <w:szCs w:val="12"/>
                <w:color w:val="auto"/>
              </w:rPr>
            </w:pPr>
          </w:p>
        </w:tc>
        <w:tc>
          <w:tcPr>
            <w:tcW w:w="22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auto"/>
              <w:bottom w:val="single" w:sz="8" w:color="auto"/>
            </w:tcBorders>
            <w:shd w:val="clear" w:color="auto" w:fill="CCF0FC"/>
          </w:tcPr>
          <w:p>
            <w:pPr>
              <w:spacing w:after="0"/>
              <w:rPr>
                <w:sz w:val="12"/>
                <w:szCs w:val="12"/>
                <w:color w:val="auto"/>
              </w:rPr>
            </w:pPr>
          </w:p>
        </w:tc>
        <w:tc>
          <w:tcPr>
            <w:tcW w:w="620" w:type="dxa"/>
            <w:vAlign w:val="bottom"/>
            <w:tcBorders>
              <w:top w:val="single" w:sz="8" w:color="auto"/>
              <w:bottom w:val="single" w:sz="8" w:color="auto"/>
            </w:tcBorders>
            <w:shd w:val="clear" w:color="auto" w:fill="CCF0FC"/>
          </w:tcPr>
          <w:p>
            <w:pPr>
              <w:spacing w:after="0"/>
              <w:rPr>
                <w:sz w:val="12"/>
                <w:szCs w:val="12"/>
                <w:color w:val="auto"/>
              </w:rPr>
            </w:pPr>
          </w:p>
        </w:tc>
        <w:tc>
          <w:tcPr>
            <w:tcW w:w="12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160" w:type="dxa"/>
            <w:vAlign w:val="bottom"/>
            <w:tcBorders>
              <w:top w:val="single" w:sz="8" w:color="auto"/>
              <w:bottom w:val="single" w:sz="8" w:color="auto"/>
            </w:tcBorders>
            <w:shd w:val="clear" w:color="auto" w:fill="CCF0FC"/>
          </w:tcPr>
          <w:p>
            <w:pPr>
              <w:spacing w:after="0"/>
              <w:rPr>
                <w:sz w:val="12"/>
                <w:szCs w:val="12"/>
                <w:color w:val="auto"/>
              </w:rPr>
            </w:pPr>
          </w:p>
        </w:tc>
        <w:tc>
          <w:tcPr>
            <w:tcW w:w="740" w:type="dxa"/>
            <w:vAlign w:val="bottom"/>
            <w:tcBorders>
              <w:top w:val="single" w:sz="8" w:color="auto"/>
              <w:bottom w:val="single" w:sz="8" w:color="auto"/>
            </w:tcBorders>
            <w:shd w:val="clear" w:color="auto" w:fill="CCF0FC"/>
          </w:tcPr>
          <w:p>
            <w:pPr>
              <w:spacing w:after="0"/>
              <w:rPr>
                <w:sz w:val="12"/>
                <w:szCs w:val="12"/>
                <w:color w:val="auto"/>
              </w:rPr>
            </w:pPr>
          </w:p>
        </w:tc>
        <w:tc>
          <w:tcPr>
            <w:tcW w:w="220" w:type="dxa"/>
            <w:vAlign w:val="bottom"/>
            <w:tcBorders>
              <w:top w:val="single" w:sz="8" w:color="CCF0FC"/>
            </w:tcBorders>
            <w:shd w:val="clear" w:color="auto" w:fill="CCF0FC"/>
          </w:tcPr>
          <w:p>
            <w:pPr>
              <w:spacing w:after="0"/>
              <w:rPr>
                <w:sz w:val="12"/>
                <w:szCs w:val="12"/>
                <w:color w:val="auto"/>
              </w:rPr>
            </w:pPr>
          </w:p>
        </w:tc>
        <w:tc>
          <w:tcPr>
            <w:tcW w:w="120" w:type="dxa"/>
            <w:vAlign w:val="bottom"/>
            <w:tcBorders>
              <w:top w:val="single" w:sz="8" w:color="auto"/>
              <w:bottom w:val="single" w:sz="8" w:color="auto"/>
            </w:tcBorders>
            <w:shd w:val="clear" w:color="auto" w:fill="CCF0FC"/>
          </w:tcPr>
          <w:p>
            <w:pPr>
              <w:spacing w:after="0"/>
              <w:rPr>
                <w:sz w:val="12"/>
                <w:szCs w:val="12"/>
                <w:color w:val="auto"/>
              </w:rPr>
            </w:pPr>
          </w:p>
        </w:tc>
        <w:tc>
          <w:tcPr>
            <w:tcW w:w="680" w:type="dxa"/>
            <w:vAlign w:val="bottom"/>
            <w:tcBorders>
              <w:top w:val="single" w:sz="8" w:color="auto"/>
              <w:bottom w:val="single" w:sz="8" w:color="auto"/>
            </w:tcBorders>
            <w:shd w:val="clear" w:color="auto" w:fill="CCF0FC"/>
          </w:tcPr>
          <w:p>
            <w:pPr>
              <w:spacing w:after="0"/>
              <w:rPr>
                <w:sz w:val="12"/>
                <w:szCs w:val="12"/>
                <w:color w:val="auto"/>
              </w:rPr>
            </w:pPr>
          </w:p>
        </w:tc>
        <w:tc>
          <w:tcPr>
            <w:tcW w:w="60" w:type="dxa"/>
            <w:vAlign w:val="bottom"/>
            <w:tcBorders>
              <w:top w:val="single" w:sz="8" w:color="CCF0FC"/>
            </w:tcBorders>
            <w:shd w:val="clear" w:color="auto" w:fill="CCF0FC"/>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40" w:type="dxa"/>
            <w:vAlign w:val="bottom"/>
          </w:tcPr>
          <w:p>
            <w:pPr>
              <w:spacing w:after="0"/>
              <w:rPr>
                <w:sz w:val="20"/>
                <w:szCs w:val="20"/>
                <w:color w:val="auto"/>
              </w:rPr>
            </w:pPr>
            <w:r>
              <w:rPr>
                <w:rFonts w:ascii="Arial" w:cs="Arial" w:eastAsia="Arial" w:hAnsi="Arial"/>
                <w:sz w:val="13"/>
                <w:szCs w:val="13"/>
                <w:color w:val="auto"/>
              </w:rPr>
              <w:t>Balances, March 31, 2021</w:t>
            </w:r>
          </w:p>
        </w:tc>
        <w:tc>
          <w:tcPr>
            <w:tcW w:w="800" w:type="dxa"/>
            <w:vAlign w:val="bottom"/>
          </w:tcPr>
          <w:p>
            <w:pPr>
              <w:jc w:val="right"/>
              <w:spacing w:after="0"/>
              <w:rPr>
                <w:sz w:val="20"/>
                <w:szCs w:val="20"/>
                <w:color w:val="auto"/>
              </w:rPr>
            </w:pPr>
            <w:r>
              <w:rPr>
                <w:rFonts w:ascii="Arial" w:cs="Arial" w:eastAsia="Arial" w:hAnsi="Arial"/>
                <w:sz w:val="13"/>
                <w:szCs w:val="13"/>
                <w:color w:val="auto"/>
              </w:rPr>
              <w:t>35,861,584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37</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1,613,250</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(65,247)</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402,860</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103,690</w:t>
            </w:r>
          </w:p>
        </w:tc>
        <w:tc>
          <w:tcPr>
            <w:tcW w:w="120" w:type="dxa"/>
            <w:vAlign w:val="bottom"/>
          </w:tcPr>
          <w:p>
            <w:pPr>
              <w:spacing w:after="0"/>
              <w:rPr>
                <w:sz w:val="17"/>
                <w:szCs w:val="17"/>
                <w:color w:val="auto"/>
              </w:rPr>
            </w:pP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(817)</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440,523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640" w:type="dxa"/>
            <w:vAlign w:val="bottom"/>
            <w:tcBorders>
              <w:top w:val="single" w:sz="8" w:color="CCF0FC"/>
            </w:tcBorders>
            <w:shd w:val="clear" w:color="auto" w:fill="CCF0FC"/>
          </w:tcPr>
          <w:p>
            <w:pPr>
              <w:ind w:left="140"/>
              <w:spacing w:after="0" w:line="143" w:lineRule="exact"/>
              <w:rPr>
                <w:sz w:val="20"/>
                <w:szCs w:val="20"/>
                <w:color w:val="auto"/>
              </w:rPr>
            </w:pPr>
            <w:r>
              <w:rPr>
                <w:rFonts w:ascii="Arial" w:cs="Arial" w:eastAsia="Arial" w:hAnsi="Arial"/>
                <w:sz w:val="13"/>
                <w:szCs w:val="13"/>
                <w:color w:val="auto"/>
              </w:rPr>
              <w:t>Stock-based compensation</w:t>
            </w:r>
          </w:p>
        </w:tc>
        <w:tc>
          <w:tcPr>
            <w:tcW w:w="80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auto"/>
            </w:tcBorders>
            <w:shd w:val="clear" w:color="auto" w:fill="CCF0FC"/>
          </w:tcPr>
          <w:p>
            <w:pPr>
              <w:spacing w:after="0"/>
              <w:rPr>
                <w:sz w:val="12"/>
                <w:szCs w:val="12"/>
                <w:color w:val="auto"/>
              </w:rPr>
            </w:pPr>
          </w:p>
        </w:tc>
        <w:tc>
          <w:tcPr>
            <w:tcW w:w="60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F0FC"/>
            </w:tcBorders>
            <w:shd w:val="clear" w:color="auto" w:fill="CCF0FC"/>
          </w:tcPr>
          <w:p>
            <w:pPr>
              <w:spacing w:after="0"/>
              <w:rPr>
                <w:sz w:val="12"/>
                <w:szCs w:val="12"/>
                <w:color w:val="auto"/>
              </w:rPr>
            </w:pPr>
          </w:p>
        </w:tc>
        <w:tc>
          <w:tcPr>
            <w:tcW w:w="70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auto"/>
            </w:tcBorders>
            <w:shd w:val="clear" w:color="auto" w:fill="CCF0FC"/>
          </w:tcPr>
          <w:p>
            <w:pPr>
              <w:spacing w:after="0"/>
              <w:rPr>
                <w:sz w:val="12"/>
                <w:szCs w:val="12"/>
                <w:color w:val="auto"/>
              </w:rPr>
            </w:pPr>
          </w:p>
        </w:tc>
        <w:tc>
          <w:tcPr>
            <w:tcW w:w="62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auto"/>
            </w:tcBorders>
            <w:shd w:val="clear" w:color="auto" w:fill="CCF0FC"/>
          </w:tcPr>
          <w:p>
            <w:pPr>
              <w:spacing w:after="0"/>
              <w:rPr>
                <w:sz w:val="12"/>
                <w:szCs w:val="12"/>
                <w:color w:val="auto"/>
              </w:rPr>
            </w:pPr>
          </w:p>
        </w:tc>
        <w:tc>
          <w:tcPr>
            <w:tcW w:w="60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7,014</w:t>
            </w:r>
          </w:p>
        </w:tc>
        <w:tc>
          <w:tcPr>
            <w:tcW w:w="22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auto"/>
            </w:tcBorders>
            <w:shd w:val="clear" w:color="auto" w:fill="CCF0FC"/>
          </w:tcPr>
          <w:p>
            <w:pPr>
              <w:spacing w:after="0"/>
              <w:rPr>
                <w:sz w:val="12"/>
                <w:szCs w:val="12"/>
                <w:color w:val="auto"/>
              </w:rPr>
            </w:pPr>
          </w:p>
        </w:tc>
        <w:tc>
          <w:tcPr>
            <w:tcW w:w="62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160" w:type="dxa"/>
            <w:vAlign w:val="bottom"/>
            <w:tcBorders>
              <w:top w:val="single" w:sz="8" w:color="auto"/>
            </w:tcBorders>
            <w:shd w:val="clear" w:color="auto" w:fill="CCF0FC"/>
          </w:tcPr>
          <w:p>
            <w:pPr>
              <w:spacing w:after="0"/>
              <w:rPr>
                <w:sz w:val="12"/>
                <w:szCs w:val="12"/>
                <w:color w:val="auto"/>
              </w:rPr>
            </w:pPr>
          </w:p>
        </w:tc>
        <w:tc>
          <w:tcPr>
            <w:tcW w:w="74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F0FC"/>
            </w:tcBorders>
            <w:shd w:val="clear" w:color="auto" w:fill="CCF0FC"/>
          </w:tcPr>
          <w:p>
            <w:pPr>
              <w:spacing w:after="0"/>
              <w:rPr>
                <w:sz w:val="12"/>
                <w:szCs w:val="12"/>
                <w:color w:val="auto"/>
              </w:rPr>
            </w:pPr>
          </w:p>
        </w:tc>
        <w:tc>
          <w:tcPr>
            <w:tcW w:w="120" w:type="dxa"/>
            <w:vAlign w:val="bottom"/>
            <w:tcBorders>
              <w:top w:val="single" w:sz="8" w:color="auto"/>
            </w:tcBorders>
            <w:shd w:val="clear" w:color="auto" w:fill="CCF0FC"/>
          </w:tcPr>
          <w:p>
            <w:pPr>
              <w:spacing w:after="0"/>
              <w:rPr>
                <w:sz w:val="12"/>
                <w:szCs w:val="12"/>
                <w:color w:val="auto"/>
              </w:rPr>
            </w:pPr>
          </w:p>
        </w:tc>
        <w:tc>
          <w:tcPr>
            <w:tcW w:w="68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7,014</w:t>
            </w:r>
          </w:p>
        </w:tc>
        <w:tc>
          <w:tcPr>
            <w:tcW w:w="60" w:type="dxa"/>
            <w:vAlign w:val="bottom"/>
            <w:tcBorders>
              <w:top w:val="single" w:sz="8" w:color="CCF0FC"/>
            </w:tcBorders>
            <w:shd w:val="clear" w:color="auto" w:fill="CC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3"/>
                <w:szCs w:val="13"/>
                <w:color w:val="auto"/>
              </w:rPr>
              <w:t>Exercise of stock options and issuance of restricted stock</w:t>
            </w:r>
          </w:p>
        </w:tc>
        <w:tc>
          <w:tcPr>
            <w:tcW w:w="800" w:type="dxa"/>
            <w:vAlign w:val="bottom"/>
          </w:tcPr>
          <w:p>
            <w:pPr>
              <w:jc w:val="right"/>
              <w:spacing w:after="0"/>
              <w:rPr>
                <w:sz w:val="20"/>
                <w:szCs w:val="20"/>
                <w:color w:val="auto"/>
              </w:rPr>
            </w:pPr>
            <w:r>
              <w:rPr>
                <w:rFonts w:ascii="Arial" w:cs="Arial" w:eastAsia="Arial" w:hAnsi="Arial"/>
                <w:sz w:val="13"/>
                <w:szCs w:val="13"/>
                <w:color w:val="auto"/>
              </w:rPr>
              <w:t>36,756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1,227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1,228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ind w:left="140"/>
              <w:spacing w:after="0"/>
              <w:rPr>
                <w:sz w:val="20"/>
                <w:szCs w:val="20"/>
                <w:color w:val="auto"/>
              </w:rPr>
            </w:pPr>
            <w:r>
              <w:rPr>
                <w:rFonts w:ascii="Arial" w:cs="Arial" w:eastAsia="Arial" w:hAnsi="Arial"/>
                <w:sz w:val="13"/>
                <w:szCs w:val="13"/>
                <w:color w:val="auto"/>
              </w:rPr>
              <w:t>Employee stock purchase plan</w:t>
            </w:r>
          </w:p>
        </w:tc>
        <w:tc>
          <w:tcPr>
            <w:tcW w:w="8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24,528</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2,081</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2,081</w:t>
            </w:r>
          </w:p>
        </w:tc>
        <w:tc>
          <w:tcPr>
            <w:tcW w:w="6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(63,515)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63,515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(6,450)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(6,450)</w:t>
            </w: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ind w:left="140"/>
              <w:spacing w:after="0"/>
              <w:rPr>
                <w:sz w:val="20"/>
                <w:szCs w:val="20"/>
                <w:color w:val="auto"/>
              </w:rPr>
            </w:pPr>
            <w:r>
              <w:rPr>
                <w:rFonts w:ascii="Arial" w:cs="Arial" w:eastAsia="Arial" w:hAnsi="Arial"/>
                <w:sz w:val="13"/>
                <w:szCs w:val="13"/>
                <w:color w:val="auto"/>
              </w:rPr>
              <w:t>Net income</w:t>
            </w:r>
          </w:p>
        </w:tc>
        <w:tc>
          <w:tcPr>
            <w:tcW w:w="9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10,183</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10,183</w:t>
            </w:r>
          </w:p>
        </w:tc>
        <w:tc>
          <w:tcPr>
            <w:tcW w:w="6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ind w:left="140"/>
              <w:spacing w:after="0"/>
              <w:rPr>
                <w:sz w:val="20"/>
                <w:szCs w:val="20"/>
                <w:color w:val="auto"/>
              </w:rPr>
            </w:pPr>
            <w:r>
              <w:rPr>
                <w:rFonts w:ascii="Arial" w:cs="Arial" w:eastAsia="Arial" w:hAnsi="Arial"/>
                <w:sz w:val="13"/>
                <w:szCs w:val="13"/>
                <w:color w:val="auto"/>
              </w:rPr>
              <w:t>Unrealized loss on investments, net of tax</w:t>
            </w:r>
          </w:p>
        </w:tc>
        <w:tc>
          <w:tcPr>
            <w:tcW w:w="9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2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1"/>
        </w:trPr>
        <w:tc>
          <w:tcPr>
            <w:tcW w:w="3640" w:type="dxa"/>
            <w:vAlign w:val="bottom"/>
          </w:tcPr>
          <w:p>
            <w:pPr>
              <w:ind w:left="140"/>
              <w:spacing w:after="0"/>
              <w:rPr>
                <w:sz w:val="20"/>
                <w:szCs w:val="20"/>
                <w:color w:val="auto"/>
              </w:rPr>
            </w:pPr>
            <w:r>
              <w:rPr>
                <w:rFonts w:ascii="Arial" w:cs="Arial" w:eastAsia="Arial" w:hAnsi="Arial"/>
                <w:sz w:val="13"/>
                <w:szCs w:val="13"/>
                <w:color w:val="auto"/>
              </w:rPr>
              <w:t>Reclassification of loss on investments into earnings, net of</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640" w:type="dxa"/>
            <w:vAlign w:val="bottom"/>
            <w:tcBorders>
              <w:bottom w:val="single" w:sz="8" w:color="CCF0FC"/>
            </w:tcBorders>
          </w:tcPr>
          <w:p>
            <w:pPr>
              <w:ind w:left="140"/>
              <w:spacing w:after="0"/>
              <w:rPr>
                <w:sz w:val="20"/>
                <w:szCs w:val="20"/>
                <w:color w:val="auto"/>
              </w:rPr>
            </w:pPr>
            <w:r>
              <w:rPr>
                <w:rFonts w:ascii="Arial" w:cs="Arial" w:eastAsia="Arial" w:hAnsi="Arial"/>
                <w:sz w:val="13"/>
                <w:szCs w:val="13"/>
                <w:color w:val="auto"/>
              </w:rPr>
              <w:t>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F0FC"/>
            </w:tcBorders>
          </w:tcPr>
          <w:p>
            <w:pPr>
              <w:spacing w:after="0"/>
              <w:rPr>
                <w:sz w:val="13"/>
                <w:szCs w:val="13"/>
                <w:color w:val="auto"/>
              </w:rPr>
            </w:pPr>
          </w:p>
        </w:tc>
        <w:tc>
          <w:tcPr>
            <w:tcW w:w="80" w:type="dxa"/>
            <w:vAlign w:val="bottom"/>
            <w:tcBorders>
              <w:bottom w:val="single" w:sz="8" w:color="CC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F0FC"/>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F0FC"/>
            </w:tcBorders>
          </w:tcPr>
          <w:p>
            <w:pPr>
              <w:spacing w:after="0"/>
              <w:rPr>
                <w:sz w:val="13"/>
                <w:szCs w:val="13"/>
                <w:color w:val="auto"/>
              </w:rPr>
            </w:pPr>
          </w:p>
        </w:tc>
        <w:tc>
          <w:tcPr>
            <w:tcW w:w="80" w:type="dxa"/>
            <w:vAlign w:val="bottom"/>
            <w:tcBorders>
              <w:bottom w:val="single" w:sz="8" w:color="CC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F0FC"/>
            </w:tcBorders>
          </w:tcPr>
          <w:p>
            <w:pPr>
              <w:spacing w:after="0"/>
              <w:rPr>
                <w:sz w:val="13"/>
                <w:szCs w:val="13"/>
                <w:color w:val="auto"/>
              </w:rPr>
            </w:pPr>
          </w:p>
        </w:tc>
        <w:tc>
          <w:tcPr>
            <w:tcW w:w="100" w:type="dxa"/>
            <w:vAlign w:val="bottom"/>
            <w:tcBorders>
              <w:bottom w:val="single" w:sz="8" w:color="CC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220" w:type="dxa"/>
            <w:vAlign w:val="bottom"/>
            <w:tcBorders>
              <w:bottom w:val="single" w:sz="8" w:color="CC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60" w:type="dxa"/>
            <w:vAlign w:val="bottom"/>
            <w:tcBorders>
              <w:bottom w:val="single" w:sz="8" w:color="CC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40" w:type="dxa"/>
            <w:vAlign w:val="bottom"/>
            <w:shd w:val="clear" w:color="auto" w:fill="CCF0FC"/>
          </w:tcPr>
          <w:p>
            <w:pPr>
              <w:spacing w:after="0"/>
              <w:rPr>
                <w:sz w:val="20"/>
                <w:szCs w:val="20"/>
                <w:color w:val="auto"/>
              </w:rPr>
            </w:pPr>
            <w:r>
              <w:rPr>
                <w:rFonts w:ascii="Arial" w:cs="Arial" w:eastAsia="Arial" w:hAnsi="Arial"/>
                <w:sz w:val="13"/>
                <w:szCs w:val="13"/>
                <w:color w:val="auto"/>
              </w:rPr>
              <w:t>Balances, June 30, 2021</w:t>
            </w:r>
          </w:p>
        </w:tc>
        <w:tc>
          <w:tcPr>
            <w:tcW w:w="8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35,859,353</w:t>
            </w:r>
          </w:p>
        </w:tc>
        <w:tc>
          <w:tcPr>
            <w:tcW w:w="140" w:type="dxa"/>
            <w:vAlign w:val="bottom"/>
            <w:shd w:val="clear" w:color="auto" w:fill="CCF0FC"/>
          </w:tcPr>
          <w:p>
            <w:pPr>
              <w:spacing w:after="0"/>
              <w:rPr>
                <w:sz w:val="13"/>
                <w:szCs w:val="13"/>
                <w:color w:val="auto"/>
              </w:rPr>
            </w:pPr>
          </w:p>
        </w:tc>
        <w:tc>
          <w:tcPr>
            <w:tcW w:w="80" w:type="dxa"/>
            <w:vAlign w:val="bottom"/>
            <w:shd w:val="clear" w:color="auto" w:fill="CCF0FC"/>
          </w:tcPr>
          <w:p>
            <w:pPr>
              <w:spacing w:after="0"/>
              <w:rPr>
                <w:sz w:val="13"/>
                <w:szCs w:val="13"/>
                <w:color w:val="auto"/>
              </w:rPr>
            </w:pPr>
          </w:p>
        </w:tc>
        <w:tc>
          <w:tcPr>
            <w:tcW w:w="100" w:type="dxa"/>
            <w:vAlign w:val="bottom"/>
            <w:shd w:val="clear" w:color="auto" w:fill="CC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38</w:t>
            </w:r>
          </w:p>
        </w:tc>
        <w:tc>
          <w:tcPr>
            <w:tcW w:w="220" w:type="dxa"/>
            <w:vAlign w:val="bottom"/>
            <w:shd w:val="clear" w:color="auto" w:fill="CCF0FC"/>
          </w:tcPr>
          <w:p>
            <w:pPr>
              <w:spacing w:after="0"/>
              <w:rPr>
                <w:sz w:val="13"/>
                <w:szCs w:val="13"/>
                <w:color w:val="auto"/>
              </w:rPr>
            </w:pP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1,676,765</w:t>
            </w:r>
          </w:p>
        </w:tc>
        <w:tc>
          <w:tcPr>
            <w:tcW w:w="220" w:type="dxa"/>
            <w:vAlign w:val="bottom"/>
            <w:shd w:val="clear" w:color="auto" w:fill="CCF0FC"/>
          </w:tcPr>
          <w:p>
            <w:pPr>
              <w:spacing w:after="0"/>
              <w:rPr>
                <w:sz w:val="13"/>
                <w:szCs w:val="13"/>
                <w:color w:val="auto"/>
              </w:rPr>
            </w:pPr>
          </w:p>
        </w:tc>
        <w:tc>
          <w:tcPr>
            <w:tcW w:w="80" w:type="dxa"/>
            <w:vAlign w:val="bottom"/>
            <w:shd w:val="clear" w:color="auto" w:fill="CC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F0FC"/>
          </w:tcPr>
          <w:p>
            <w:pPr>
              <w:jc w:val="right"/>
              <w:ind w:right="100"/>
              <w:spacing w:after="0"/>
              <w:rPr>
                <w:sz w:val="20"/>
                <w:szCs w:val="20"/>
                <w:color w:val="auto"/>
              </w:rPr>
            </w:pPr>
            <w:r>
              <w:rPr>
                <w:rFonts w:ascii="Arial" w:cs="Arial" w:eastAsia="Arial" w:hAnsi="Arial"/>
                <w:sz w:val="13"/>
                <w:szCs w:val="13"/>
                <w:color w:val="auto"/>
              </w:rPr>
              <w:t>(71,697)</w:t>
            </w:r>
          </w:p>
        </w:tc>
        <w:tc>
          <w:tcPr>
            <w:tcW w:w="18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413,182</w:t>
            </w:r>
          </w:p>
        </w:tc>
        <w:tc>
          <w:tcPr>
            <w:tcW w:w="300" w:type="dxa"/>
            <w:vAlign w:val="bottom"/>
            <w:gridSpan w:val="2"/>
            <w:shd w:val="clear" w:color="auto" w:fill="CCF0FC"/>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113,873</w:t>
            </w:r>
          </w:p>
        </w:tc>
        <w:tc>
          <w:tcPr>
            <w:tcW w:w="120" w:type="dxa"/>
            <w:vAlign w:val="bottom"/>
            <w:shd w:val="clear" w:color="auto" w:fill="CCF0FC"/>
          </w:tcPr>
          <w:p>
            <w:pPr>
              <w:spacing w:after="0"/>
              <w:rPr>
                <w:sz w:val="13"/>
                <w:szCs w:val="13"/>
                <w:color w:val="auto"/>
              </w:rPr>
            </w:pPr>
          </w:p>
        </w:tc>
        <w:tc>
          <w:tcPr>
            <w:tcW w:w="260" w:type="dxa"/>
            <w:vAlign w:val="bottom"/>
            <w:gridSpan w:val="2"/>
            <w:shd w:val="clear" w:color="auto" w:fill="CCF0FC"/>
          </w:tcPr>
          <w:p>
            <w:pPr>
              <w:ind w:left="10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(647)</w:t>
            </w:r>
          </w:p>
        </w:tc>
        <w:tc>
          <w:tcPr>
            <w:tcW w:w="120" w:type="dxa"/>
            <w:vAlign w:val="bottom"/>
            <w:shd w:val="clear" w:color="auto" w:fill="CCF0FC"/>
          </w:tcPr>
          <w:p>
            <w:pPr>
              <w:spacing w:after="0"/>
              <w:rPr>
                <w:sz w:val="20"/>
                <w:szCs w:val="20"/>
                <w:color w:val="auto"/>
              </w:rPr>
            </w:pPr>
            <w:r>
              <w:rPr>
                <w:rFonts w:ascii="Arial" w:cs="Arial" w:eastAsia="Arial" w:hAnsi="Arial"/>
                <w:sz w:val="13"/>
                <w:szCs w:val="13"/>
                <w:color w:val="auto"/>
              </w:rPr>
              <w:t>$</w:t>
            </w: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454,749</w:t>
            </w:r>
          </w:p>
        </w:tc>
        <w:tc>
          <w:tcPr>
            <w:tcW w:w="60" w:type="dxa"/>
            <w:vAlign w:val="bottom"/>
            <w:shd w:val="clear" w:color="auto" w:fill="CC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Additional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4"/>
                <w:szCs w:val="14"/>
                <w:color w:val="auto"/>
              </w:rPr>
            </w:pPr>
          </w:p>
        </w:tc>
        <w:tc>
          <w:tcPr>
            <w:tcW w:w="1720" w:type="dxa"/>
            <w:vAlign w:val="bottom"/>
            <w:tcBorders>
              <w:bottom w:val="single" w:sz="8" w:color="auto"/>
            </w:tcBorders>
            <w:gridSpan w:val="5"/>
          </w:tcPr>
          <w:p>
            <w:pPr>
              <w:jc w:val="right"/>
              <w:ind w:right="353"/>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4"/>
                <w:szCs w:val="14"/>
                <w:color w:val="auto"/>
              </w:rPr>
            </w:pPr>
          </w:p>
        </w:tc>
        <w:tc>
          <w:tcPr>
            <w:tcW w:w="162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Paid-in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0"/>
              </w:rPr>
              <w:t>Retained</w:t>
            </w:r>
          </w:p>
        </w:tc>
        <w:tc>
          <w:tcPr>
            <w:tcW w:w="1220" w:type="dxa"/>
            <w:vAlign w:val="bottom"/>
            <w:gridSpan w:val="4"/>
          </w:tcPr>
          <w:p>
            <w:pPr>
              <w:ind w:left="100"/>
              <w:spacing w:after="0"/>
              <w:rPr>
                <w:sz w:val="20"/>
                <w:szCs w:val="20"/>
                <w:color w:val="auto"/>
              </w:rPr>
            </w:pPr>
            <w:r>
              <w:rPr>
                <w:rFonts w:ascii="Arial" w:cs="Arial" w:eastAsia="Arial" w:hAnsi="Arial"/>
                <w:sz w:val="13"/>
                <w:szCs w:val="13"/>
                <w:b w:val="1"/>
                <w:bCs w:val="1"/>
                <w:color w:val="auto"/>
              </w:rPr>
              <w:t>Comprehensive</w:t>
            </w: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w w:val="98"/>
              </w:rPr>
              <w:t>Stockholders'</w:t>
            </w: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Pr>
          <w:p>
            <w:pPr>
              <w:spacing w:after="0"/>
              <w:rPr>
                <w:sz w:val="13"/>
                <w:szCs w:val="13"/>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6"/>
              </w:rPr>
              <w:t>Capital</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89"/>
              </w:rPr>
              <w:t>Earnings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w w:val="92"/>
              </w:rPr>
              <w:t>Loss</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95"/>
              </w:rPr>
              <w:t>Equity</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20"/>
                <w:szCs w:val="20"/>
                <w:color w:val="auto"/>
              </w:rPr>
            </w:pPr>
            <w:r>
              <w:rPr>
                <w:rFonts w:ascii="Arial" w:cs="Arial" w:eastAsia="Arial" w:hAnsi="Arial"/>
                <w:sz w:val="13"/>
                <w:szCs w:val="13"/>
                <w:color w:val="auto"/>
              </w:rPr>
              <w:t>Balances, December 31, 2019</w:t>
            </w:r>
          </w:p>
        </w:tc>
        <w:tc>
          <w:tcPr>
            <w:tcW w:w="800" w:type="dxa"/>
            <w:vAlign w:val="bottom"/>
          </w:tcPr>
          <w:p>
            <w:pPr>
              <w:jc w:val="right"/>
              <w:spacing w:after="0"/>
              <w:rPr>
                <w:sz w:val="20"/>
                <w:szCs w:val="20"/>
                <w:color w:val="auto"/>
              </w:rPr>
            </w:pPr>
            <w:r>
              <w:rPr>
                <w:rFonts w:ascii="Arial" w:cs="Arial" w:eastAsia="Arial" w:hAnsi="Arial"/>
                <w:sz w:val="13"/>
                <w:szCs w:val="13"/>
                <w:color w:val="auto"/>
              </w:rPr>
              <w:t>34,863,271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36</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1,241,348</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(46,297)</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354,115</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48,973</w:t>
            </w:r>
          </w:p>
        </w:tc>
        <w:tc>
          <w:tcPr>
            <w:tcW w:w="120" w:type="dxa"/>
            <w:vAlign w:val="bottom"/>
          </w:tcPr>
          <w:p>
            <w:pPr>
              <w:spacing w:after="0"/>
              <w:rPr>
                <w:sz w:val="17"/>
                <w:szCs w:val="17"/>
                <w:color w:val="auto"/>
              </w:rPr>
            </w:pP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(1,951)</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354,876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640" w:type="dxa"/>
            <w:vAlign w:val="bottom"/>
            <w:tcBorders>
              <w:top w:val="single" w:sz="8" w:color="CCF0FC"/>
            </w:tcBorders>
            <w:shd w:val="clear" w:color="auto" w:fill="CCF0FC"/>
          </w:tcPr>
          <w:p>
            <w:pPr>
              <w:ind w:left="140"/>
              <w:spacing w:after="0" w:line="143" w:lineRule="exact"/>
              <w:rPr>
                <w:sz w:val="20"/>
                <w:szCs w:val="20"/>
                <w:color w:val="auto"/>
              </w:rPr>
            </w:pPr>
            <w:r>
              <w:rPr>
                <w:rFonts w:ascii="Arial" w:cs="Arial" w:eastAsia="Arial" w:hAnsi="Arial"/>
                <w:sz w:val="13"/>
                <w:szCs w:val="13"/>
                <w:color w:val="auto"/>
              </w:rPr>
              <w:t>Stock-based compensation</w:t>
            </w:r>
          </w:p>
        </w:tc>
        <w:tc>
          <w:tcPr>
            <w:tcW w:w="80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auto"/>
            </w:tcBorders>
            <w:shd w:val="clear" w:color="auto" w:fill="CCF0FC"/>
          </w:tcPr>
          <w:p>
            <w:pPr>
              <w:spacing w:after="0"/>
              <w:rPr>
                <w:sz w:val="12"/>
                <w:szCs w:val="12"/>
                <w:color w:val="auto"/>
              </w:rPr>
            </w:pPr>
          </w:p>
        </w:tc>
        <w:tc>
          <w:tcPr>
            <w:tcW w:w="60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F0FC"/>
            </w:tcBorders>
            <w:shd w:val="clear" w:color="auto" w:fill="CCF0FC"/>
          </w:tcPr>
          <w:p>
            <w:pPr>
              <w:spacing w:after="0"/>
              <w:rPr>
                <w:sz w:val="12"/>
                <w:szCs w:val="12"/>
                <w:color w:val="auto"/>
              </w:rPr>
            </w:pPr>
          </w:p>
        </w:tc>
        <w:tc>
          <w:tcPr>
            <w:tcW w:w="70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auto"/>
            </w:tcBorders>
            <w:shd w:val="clear" w:color="auto" w:fill="CCF0FC"/>
          </w:tcPr>
          <w:p>
            <w:pPr>
              <w:spacing w:after="0"/>
              <w:rPr>
                <w:sz w:val="12"/>
                <w:szCs w:val="12"/>
                <w:color w:val="auto"/>
              </w:rPr>
            </w:pPr>
          </w:p>
        </w:tc>
        <w:tc>
          <w:tcPr>
            <w:tcW w:w="62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auto"/>
            </w:tcBorders>
            <w:shd w:val="clear" w:color="auto" w:fill="CCF0FC"/>
          </w:tcPr>
          <w:p>
            <w:pPr>
              <w:spacing w:after="0"/>
              <w:rPr>
                <w:sz w:val="12"/>
                <w:szCs w:val="12"/>
                <w:color w:val="auto"/>
              </w:rPr>
            </w:pPr>
          </w:p>
        </w:tc>
        <w:tc>
          <w:tcPr>
            <w:tcW w:w="60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8,596</w:t>
            </w:r>
          </w:p>
        </w:tc>
        <w:tc>
          <w:tcPr>
            <w:tcW w:w="22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auto"/>
            </w:tcBorders>
            <w:shd w:val="clear" w:color="auto" w:fill="CCF0FC"/>
          </w:tcPr>
          <w:p>
            <w:pPr>
              <w:spacing w:after="0"/>
              <w:rPr>
                <w:sz w:val="12"/>
                <w:szCs w:val="12"/>
                <w:color w:val="auto"/>
              </w:rPr>
            </w:pPr>
          </w:p>
        </w:tc>
        <w:tc>
          <w:tcPr>
            <w:tcW w:w="62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160" w:type="dxa"/>
            <w:vAlign w:val="bottom"/>
            <w:tcBorders>
              <w:top w:val="single" w:sz="8" w:color="auto"/>
            </w:tcBorders>
            <w:shd w:val="clear" w:color="auto" w:fill="CCF0FC"/>
          </w:tcPr>
          <w:p>
            <w:pPr>
              <w:spacing w:after="0"/>
              <w:rPr>
                <w:sz w:val="12"/>
                <w:szCs w:val="12"/>
                <w:color w:val="auto"/>
              </w:rPr>
            </w:pPr>
          </w:p>
        </w:tc>
        <w:tc>
          <w:tcPr>
            <w:tcW w:w="74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F0FC"/>
            </w:tcBorders>
            <w:shd w:val="clear" w:color="auto" w:fill="CCF0FC"/>
          </w:tcPr>
          <w:p>
            <w:pPr>
              <w:spacing w:after="0"/>
              <w:rPr>
                <w:sz w:val="12"/>
                <w:szCs w:val="12"/>
                <w:color w:val="auto"/>
              </w:rPr>
            </w:pPr>
          </w:p>
        </w:tc>
        <w:tc>
          <w:tcPr>
            <w:tcW w:w="120" w:type="dxa"/>
            <w:vAlign w:val="bottom"/>
            <w:tcBorders>
              <w:top w:val="single" w:sz="8" w:color="auto"/>
            </w:tcBorders>
            <w:shd w:val="clear" w:color="auto" w:fill="CCF0FC"/>
          </w:tcPr>
          <w:p>
            <w:pPr>
              <w:spacing w:after="0"/>
              <w:rPr>
                <w:sz w:val="12"/>
                <w:szCs w:val="12"/>
                <w:color w:val="auto"/>
              </w:rPr>
            </w:pPr>
          </w:p>
        </w:tc>
        <w:tc>
          <w:tcPr>
            <w:tcW w:w="68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8,596</w:t>
            </w:r>
          </w:p>
        </w:tc>
        <w:tc>
          <w:tcPr>
            <w:tcW w:w="60" w:type="dxa"/>
            <w:vAlign w:val="bottom"/>
            <w:tcBorders>
              <w:top w:val="single" w:sz="8" w:color="CCF0FC"/>
            </w:tcBorders>
            <w:shd w:val="clear" w:color="auto" w:fill="CC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3"/>
                <w:szCs w:val="13"/>
                <w:color w:val="auto"/>
              </w:rPr>
              <w:t>Exercise of stock options and issuance of restricted stock</w:t>
            </w:r>
          </w:p>
        </w:tc>
        <w:tc>
          <w:tcPr>
            <w:tcW w:w="800" w:type="dxa"/>
            <w:vAlign w:val="bottom"/>
          </w:tcPr>
          <w:p>
            <w:pPr>
              <w:jc w:val="right"/>
              <w:spacing w:after="0"/>
              <w:rPr>
                <w:sz w:val="20"/>
                <w:szCs w:val="20"/>
                <w:color w:val="auto"/>
              </w:rPr>
            </w:pPr>
            <w:r>
              <w:rPr>
                <w:rFonts w:ascii="Arial" w:cs="Arial" w:eastAsia="Arial" w:hAnsi="Arial"/>
                <w:sz w:val="13"/>
                <w:szCs w:val="13"/>
                <w:color w:val="auto"/>
              </w:rPr>
              <w:t>601,666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9,425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9,426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ind w:left="140"/>
              <w:spacing w:after="0"/>
              <w:rPr>
                <w:sz w:val="20"/>
                <w:szCs w:val="20"/>
                <w:color w:val="auto"/>
              </w:rPr>
            </w:pPr>
            <w:r>
              <w:rPr>
                <w:rFonts w:ascii="Arial" w:cs="Arial" w:eastAsia="Arial" w:hAnsi="Arial"/>
                <w:sz w:val="13"/>
                <w:szCs w:val="13"/>
                <w:color w:val="auto"/>
              </w:rPr>
              <w:t>Employee stock purchase plan</w:t>
            </w:r>
          </w:p>
        </w:tc>
        <w:tc>
          <w:tcPr>
            <w:tcW w:w="8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33,083</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1,550</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1,550</w:t>
            </w:r>
          </w:p>
        </w:tc>
        <w:tc>
          <w:tcPr>
            <w:tcW w:w="6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(371,902)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371,902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(18,950)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(18,950)</w:t>
            </w: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ind w:left="140"/>
              <w:spacing w:after="0"/>
              <w:rPr>
                <w:sz w:val="20"/>
                <w:szCs w:val="20"/>
                <w:color w:val="auto"/>
              </w:rPr>
            </w:pPr>
            <w:r>
              <w:rPr>
                <w:rFonts w:ascii="Arial" w:cs="Arial" w:eastAsia="Arial" w:hAnsi="Arial"/>
                <w:sz w:val="13"/>
                <w:szCs w:val="13"/>
                <w:color w:val="auto"/>
              </w:rPr>
              <w:t>Net income</w:t>
            </w:r>
          </w:p>
        </w:tc>
        <w:tc>
          <w:tcPr>
            <w:tcW w:w="9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20,709</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20,709</w:t>
            </w:r>
          </w:p>
        </w:tc>
        <w:tc>
          <w:tcPr>
            <w:tcW w:w="6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(1,748)</w:t>
            </w:r>
          </w:p>
        </w:tc>
        <w:tc>
          <w:tcPr>
            <w:tcW w:w="12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(1,748)</w:t>
            </w: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ind w:left="140"/>
              <w:spacing w:after="0"/>
              <w:rPr>
                <w:sz w:val="20"/>
                <w:szCs w:val="20"/>
                <w:color w:val="auto"/>
              </w:rPr>
            </w:pPr>
            <w:r>
              <w:rPr>
                <w:rFonts w:ascii="Arial" w:cs="Arial" w:eastAsia="Arial" w:hAnsi="Arial"/>
                <w:sz w:val="13"/>
                <w:szCs w:val="13"/>
                <w:color w:val="auto"/>
              </w:rPr>
              <w:t>Unrealized gain on investments, net of tax</w:t>
            </w:r>
          </w:p>
        </w:tc>
        <w:tc>
          <w:tcPr>
            <w:tcW w:w="9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78</w:t>
            </w:r>
          </w:p>
        </w:tc>
        <w:tc>
          <w:tcPr>
            <w:tcW w:w="22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78</w:t>
            </w:r>
          </w:p>
        </w:tc>
        <w:tc>
          <w:tcPr>
            <w:tcW w:w="6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640" w:type="dxa"/>
            <w:vAlign w:val="bottom"/>
          </w:tcPr>
          <w:p>
            <w:pPr>
              <w:ind w:left="140"/>
              <w:spacing w:after="0"/>
              <w:rPr>
                <w:sz w:val="20"/>
                <w:szCs w:val="20"/>
                <w:color w:val="auto"/>
              </w:rPr>
            </w:pPr>
            <w:r>
              <w:rPr>
                <w:rFonts w:ascii="Arial" w:cs="Arial" w:eastAsia="Arial" w:hAnsi="Arial"/>
                <w:sz w:val="13"/>
                <w:szCs w:val="13"/>
                <w:color w:val="auto"/>
              </w:rPr>
              <w:t>Reclassification of gain on investments into earnings, net of</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640" w:type="dxa"/>
            <w:vAlign w:val="bottom"/>
          </w:tcPr>
          <w:p>
            <w:pPr>
              <w:ind w:left="140"/>
              <w:spacing w:after="0"/>
              <w:rPr>
                <w:sz w:val="20"/>
                <w:szCs w:val="20"/>
                <w:color w:val="auto"/>
              </w:rPr>
            </w:pPr>
            <w:r>
              <w:rPr>
                <w:rFonts w:ascii="Arial" w:cs="Arial" w:eastAsia="Arial" w:hAnsi="Arial"/>
                <w:sz w:val="13"/>
                <w:szCs w:val="13"/>
                <w:color w:val="auto"/>
              </w:rPr>
              <w:t>tax</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(158)</w:t>
            </w:r>
          </w:p>
        </w:tc>
        <w:tc>
          <w:tcPr>
            <w:tcW w:w="12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ind w:left="140"/>
              <w:spacing w:after="0"/>
              <w:rPr>
                <w:sz w:val="20"/>
                <w:szCs w:val="20"/>
                <w:color w:val="auto"/>
              </w:rPr>
            </w:pPr>
            <w:r>
              <w:rPr>
                <w:rFonts w:ascii="Arial" w:cs="Arial" w:eastAsia="Arial" w:hAnsi="Arial"/>
                <w:sz w:val="13"/>
                <w:szCs w:val="13"/>
                <w:color w:val="auto"/>
              </w:rPr>
              <w:t>Adoption of ASU 2016-13</w:t>
            </w:r>
          </w:p>
        </w:tc>
        <w:tc>
          <w:tcPr>
            <w:tcW w:w="8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80"/>
              <w:spacing w:after="0"/>
              <w:rPr>
                <w:sz w:val="20"/>
                <w:szCs w:val="20"/>
                <w:color w:val="auto"/>
              </w:rPr>
            </w:pPr>
            <w:r>
              <w:rPr>
                <w:rFonts w:ascii="Arial" w:cs="Arial" w:eastAsia="Arial" w:hAnsi="Arial"/>
                <w:sz w:val="13"/>
                <w:szCs w:val="13"/>
                <w:color w:val="auto"/>
              </w:rPr>
              <w:t>(1,069)</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20"/>
              <w:spacing w:after="0"/>
              <w:rPr>
                <w:sz w:val="20"/>
                <w:szCs w:val="20"/>
                <w:color w:val="auto"/>
              </w:rPr>
            </w:pPr>
            <w:r>
              <w:rPr>
                <w:rFonts w:ascii="Arial" w:cs="Arial" w:eastAsia="Arial" w:hAnsi="Arial"/>
                <w:sz w:val="13"/>
                <w:szCs w:val="13"/>
                <w:color w:val="auto"/>
              </w:rPr>
              <w:t>(1,069)</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3"/>
                <w:szCs w:val="13"/>
                <w:color w:val="auto"/>
              </w:rPr>
              <w:t>Balances, June 30, 2020</w:t>
            </w: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640" w:type="dxa"/>
            <w:vAlign w:val="bottom"/>
            <w:vMerge w:val="continue"/>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35,126,118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37</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1,613,250</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(65,247)</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373,686</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68,613</w:t>
            </w:r>
          </w:p>
        </w:tc>
        <w:tc>
          <w:tcPr>
            <w:tcW w:w="120" w:type="dxa"/>
            <w:vAlign w:val="bottom"/>
          </w:tcPr>
          <w:p>
            <w:pPr>
              <w:spacing w:after="0"/>
              <w:rPr>
                <w:sz w:val="17"/>
                <w:szCs w:val="17"/>
                <w:color w:val="auto"/>
              </w:rPr>
            </w:pP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(3,779)</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373,310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640" w:type="dxa"/>
            <w:vAlign w:val="bottom"/>
            <w:tcBorders>
              <w:top w:val="single" w:sz="8" w:color="CCF0FC"/>
            </w:tcBorders>
            <w:shd w:val="clear" w:color="auto" w:fill="CCF0FC"/>
          </w:tcPr>
          <w:p>
            <w:pPr>
              <w:spacing w:after="0"/>
              <w:rPr>
                <w:sz w:val="12"/>
                <w:szCs w:val="12"/>
                <w:color w:val="auto"/>
              </w:rPr>
            </w:pPr>
          </w:p>
        </w:tc>
        <w:tc>
          <w:tcPr>
            <w:tcW w:w="800" w:type="dxa"/>
            <w:vAlign w:val="bottom"/>
            <w:tcBorders>
              <w:top w:val="single" w:sz="8" w:color="auto"/>
              <w:bottom w:val="single" w:sz="8" w:color="auto"/>
            </w:tcBorders>
            <w:shd w:val="clear" w:color="auto" w:fill="CCF0FC"/>
          </w:tcPr>
          <w:p>
            <w:pPr>
              <w:spacing w:after="0"/>
              <w:rPr>
                <w:sz w:val="12"/>
                <w:szCs w:val="12"/>
                <w:color w:val="auto"/>
              </w:rPr>
            </w:pPr>
          </w:p>
        </w:tc>
        <w:tc>
          <w:tcPr>
            <w:tcW w:w="14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auto"/>
              <w:bottom w:val="single" w:sz="8" w:color="auto"/>
            </w:tcBorders>
            <w:shd w:val="clear" w:color="auto" w:fill="CCF0FC"/>
          </w:tcPr>
          <w:p>
            <w:pPr>
              <w:spacing w:after="0"/>
              <w:rPr>
                <w:sz w:val="12"/>
                <w:szCs w:val="12"/>
                <w:color w:val="auto"/>
              </w:rPr>
            </w:pPr>
          </w:p>
        </w:tc>
        <w:tc>
          <w:tcPr>
            <w:tcW w:w="600" w:type="dxa"/>
            <w:vAlign w:val="bottom"/>
            <w:tcBorders>
              <w:top w:val="single" w:sz="8" w:color="auto"/>
              <w:bottom w:val="single" w:sz="8" w:color="auto"/>
            </w:tcBorders>
            <w:shd w:val="clear" w:color="auto" w:fill="CCF0FC"/>
          </w:tcPr>
          <w:p>
            <w:pPr>
              <w:spacing w:after="0"/>
              <w:rPr>
                <w:sz w:val="12"/>
                <w:szCs w:val="12"/>
                <w:color w:val="auto"/>
              </w:rPr>
            </w:pPr>
          </w:p>
        </w:tc>
        <w:tc>
          <w:tcPr>
            <w:tcW w:w="220" w:type="dxa"/>
            <w:vAlign w:val="bottom"/>
            <w:tcBorders>
              <w:top w:val="single" w:sz="8" w:color="CCF0FC"/>
            </w:tcBorders>
            <w:shd w:val="clear" w:color="auto" w:fill="CCF0FC"/>
          </w:tcPr>
          <w:p>
            <w:pPr>
              <w:spacing w:after="0"/>
              <w:rPr>
                <w:sz w:val="12"/>
                <w:szCs w:val="12"/>
                <w:color w:val="auto"/>
              </w:rPr>
            </w:pPr>
          </w:p>
        </w:tc>
        <w:tc>
          <w:tcPr>
            <w:tcW w:w="700" w:type="dxa"/>
            <w:vAlign w:val="bottom"/>
            <w:tcBorders>
              <w:top w:val="single" w:sz="8" w:color="auto"/>
              <w:bottom w:val="single" w:sz="8" w:color="auto"/>
            </w:tcBorders>
            <w:shd w:val="clear" w:color="auto" w:fill="CCF0FC"/>
          </w:tcPr>
          <w:p>
            <w:pPr>
              <w:spacing w:after="0"/>
              <w:rPr>
                <w:sz w:val="12"/>
                <w:szCs w:val="12"/>
                <w:color w:val="auto"/>
              </w:rPr>
            </w:pPr>
          </w:p>
        </w:tc>
        <w:tc>
          <w:tcPr>
            <w:tcW w:w="22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auto"/>
              <w:bottom w:val="single" w:sz="8" w:color="auto"/>
            </w:tcBorders>
            <w:shd w:val="clear" w:color="auto" w:fill="CCF0FC"/>
          </w:tcPr>
          <w:p>
            <w:pPr>
              <w:spacing w:after="0"/>
              <w:rPr>
                <w:sz w:val="12"/>
                <w:szCs w:val="12"/>
                <w:color w:val="auto"/>
              </w:rPr>
            </w:pPr>
          </w:p>
        </w:tc>
        <w:tc>
          <w:tcPr>
            <w:tcW w:w="620" w:type="dxa"/>
            <w:vAlign w:val="bottom"/>
            <w:tcBorders>
              <w:top w:val="single" w:sz="8" w:color="auto"/>
              <w:bottom w:val="single" w:sz="8" w:color="auto"/>
            </w:tcBorders>
            <w:shd w:val="clear" w:color="auto" w:fill="CCF0FC"/>
          </w:tcPr>
          <w:p>
            <w:pPr>
              <w:spacing w:after="0"/>
              <w:rPr>
                <w:sz w:val="12"/>
                <w:szCs w:val="12"/>
                <w:color w:val="auto"/>
              </w:rPr>
            </w:pPr>
          </w:p>
        </w:tc>
        <w:tc>
          <w:tcPr>
            <w:tcW w:w="14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auto"/>
              <w:bottom w:val="single" w:sz="8" w:color="auto"/>
            </w:tcBorders>
            <w:shd w:val="clear" w:color="auto" w:fill="CCF0FC"/>
          </w:tcPr>
          <w:p>
            <w:pPr>
              <w:spacing w:after="0"/>
              <w:rPr>
                <w:sz w:val="12"/>
                <w:szCs w:val="12"/>
                <w:color w:val="auto"/>
              </w:rPr>
            </w:pPr>
          </w:p>
        </w:tc>
        <w:tc>
          <w:tcPr>
            <w:tcW w:w="600" w:type="dxa"/>
            <w:vAlign w:val="bottom"/>
            <w:tcBorders>
              <w:top w:val="single" w:sz="8" w:color="auto"/>
              <w:bottom w:val="single" w:sz="8" w:color="auto"/>
            </w:tcBorders>
            <w:shd w:val="clear" w:color="auto" w:fill="CCF0FC"/>
          </w:tcPr>
          <w:p>
            <w:pPr>
              <w:spacing w:after="0"/>
              <w:rPr>
                <w:sz w:val="12"/>
                <w:szCs w:val="12"/>
                <w:color w:val="auto"/>
              </w:rPr>
            </w:pPr>
          </w:p>
        </w:tc>
        <w:tc>
          <w:tcPr>
            <w:tcW w:w="22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auto"/>
              <w:bottom w:val="single" w:sz="8" w:color="auto"/>
            </w:tcBorders>
            <w:shd w:val="clear" w:color="auto" w:fill="CCF0FC"/>
          </w:tcPr>
          <w:p>
            <w:pPr>
              <w:spacing w:after="0"/>
              <w:rPr>
                <w:sz w:val="12"/>
                <w:szCs w:val="12"/>
                <w:color w:val="auto"/>
              </w:rPr>
            </w:pPr>
          </w:p>
        </w:tc>
        <w:tc>
          <w:tcPr>
            <w:tcW w:w="620" w:type="dxa"/>
            <w:vAlign w:val="bottom"/>
            <w:tcBorders>
              <w:top w:val="single" w:sz="8" w:color="auto"/>
              <w:bottom w:val="single" w:sz="8" w:color="auto"/>
            </w:tcBorders>
            <w:shd w:val="clear" w:color="auto" w:fill="CCF0FC"/>
          </w:tcPr>
          <w:p>
            <w:pPr>
              <w:spacing w:after="0"/>
              <w:rPr>
                <w:sz w:val="12"/>
                <w:szCs w:val="12"/>
                <w:color w:val="auto"/>
              </w:rPr>
            </w:pPr>
          </w:p>
        </w:tc>
        <w:tc>
          <w:tcPr>
            <w:tcW w:w="12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160" w:type="dxa"/>
            <w:vAlign w:val="bottom"/>
            <w:tcBorders>
              <w:top w:val="single" w:sz="8" w:color="auto"/>
              <w:bottom w:val="single" w:sz="8" w:color="auto"/>
            </w:tcBorders>
            <w:shd w:val="clear" w:color="auto" w:fill="CCF0FC"/>
          </w:tcPr>
          <w:p>
            <w:pPr>
              <w:spacing w:after="0"/>
              <w:rPr>
                <w:sz w:val="12"/>
                <w:szCs w:val="12"/>
                <w:color w:val="auto"/>
              </w:rPr>
            </w:pPr>
          </w:p>
        </w:tc>
        <w:tc>
          <w:tcPr>
            <w:tcW w:w="740" w:type="dxa"/>
            <w:vAlign w:val="bottom"/>
            <w:tcBorders>
              <w:top w:val="single" w:sz="8" w:color="auto"/>
              <w:bottom w:val="single" w:sz="8" w:color="auto"/>
            </w:tcBorders>
            <w:shd w:val="clear" w:color="auto" w:fill="CCF0FC"/>
          </w:tcPr>
          <w:p>
            <w:pPr>
              <w:spacing w:after="0"/>
              <w:rPr>
                <w:sz w:val="12"/>
                <w:szCs w:val="12"/>
                <w:color w:val="auto"/>
              </w:rPr>
            </w:pPr>
          </w:p>
        </w:tc>
        <w:tc>
          <w:tcPr>
            <w:tcW w:w="220" w:type="dxa"/>
            <w:vAlign w:val="bottom"/>
            <w:tcBorders>
              <w:top w:val="single" w:sz="8" w:color="CCF0FC"/>
            </w:tcBorders>
            <w:shd w:val="clear" w:color="auto" w:fill="CCF0FC"/>
          </w:tcPr>
          <w:p>
            <w:pPr>
              <w:spacing w:after="0"/>
              <w:rPr>
                <w:sz w:val="12"/>
                <w:szCs w:val="12"/>
                <w:color w:val="auto"/>
              </w:rPr>
            </w:pPr>
          </w:p>
        </w:tc>
        <w:tc>
          <w:tcPr>
            <w:tcW w:w="120" w:type="dxa"/>
            <w:vAlign w:val="bottom"/>
            <w:tcBorders>
              <w:top w:val="single" w:sz="8" w:color="auto"/>
              <w:bottom w:val="single" w:sz="8" w:color="auto"/>
            </w:tcBorders>
            <w:shd w:val="clear" w:color="auto" w:fill="CCF0FC"/>
          </w:tcPr>
          <w:p>
            <w:pPr>
              <w:spacing w:after="0"/>
              <w:rPr>
                <w:sz w:val="12"/>
                <w:szCs w:val="12"/>
                <w:color w:val="auto"/>
              </w:rPr>
            </w:pPr>
          </w:p>
        </w:tc>
        <w:tc>
          <w:tcPr>
            <w:tcW w:w="680" w:type="dxa"/>
            <w:vAlign w:val="bottom"/>
            <w:tcBorders>
              <w:top w:val="single" w:sz="8" w:color="auto"/>
              <w:bottom w:val="single" w:sz="8" w:color="auto"/>
            </w:tcBorders>
            <w:shd w:val="clear" w:color="auto" w:fill="CCF0FC"/>
          </w:tcPr>
          <w:p>
            <w:pPr>
              <w:spacing w:after="0"/>
              <w:rPr>
                <w:sz w:val="12"/>
                <w:szCs w:val="12"/>
                <w:color w:val="auto"/>
              </w:rPr>
            </w:pPr>
          </w:p>
        </w:tc>
        <w:tc>
          <w:tcPr>
            <w:tcW w:w="60" w:type="dxa"/>
            <w:vAlign w:val="bottom"/>
            <w:tcBorders>
              <w:top w:val="single" w:sz="8" w:color="CCF0FC"/>
            </w:tcBorders>
            <w:shd w:val="clear" w:color="auto" w:fill="CCF0FC"/>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20"/>
                <w:szCs w:val="20"/>
                <w:color w:val="auto"/>
              </w:rPr>
            </w:pPr>
            <w:r>
              <w:rPr>
                <w:rFonts w:ascii="Arial" w:cs="Arial" w:eastAsia="Arial" w:hAnsi="Arial"/>
                <w:sz w:val="13"/>
                <w:szCs w:val="13"/>
                <w:color w:val="auto"/>
              </w:rPr>
              <w:t>Balances, December 31, 2020</w:t>
            </w:r>
          </w:p>
        </w:tc>
        <w:tc>
          <w:tcPr>
            <w:tcW w:w="800" w:type="dxa"/>
            <w:vAlign w:val="bottom"/>
          </w:tcPr>
          <w:p>
            <w:pPr>
              <w:jc w:val="right"/>
              <w:spacing w:after="0"/>
              <w:rPr>
                <w:sz w:val="20"/>
                <w:szCs w:val="20"/>
                <w:color w:val="auto"/>
              </w:rPr>
            </w:pPr>
            <w:r>
              <w:rPr>
                <w:rFonts w:ascii="Arial" w:cs="Arial" w:eastAsia="Arial" w:hAnsi="Arial"/>
                <w:sz w:val="13"/>
                <w:szCs w:val="13"/>
                <w:color w:val="auto"/>
              </w:rPr>
              <w:t>35,487,217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37</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1,613,250</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(65,247)</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393,462</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93,490</w:t>
            </w:r>
          </w:p>
        </w:tc>
        <w:tc>
          <w:tcPr>
            <w:tcW w:w="120" w:type="dxa"/>
            <w:vAlign w:val="bottom"/>
          </w:tcPr>
          <w:p>
            <w:pPr>
              <w:spacing w:after="0"/>
              <w:rPr>
                <w:sz w:val="17"/>
                <w:szCs w:val="17"/>
                <w:color w:val="auto"/>
              </w:rPr>
            </w:pP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(1,021)</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420,721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640" w:type="dxa"/>
            <w:vAlign w:val="bottom"/>
            <w:tcBorders>
              <w:top w:val="single" w:sz="8" w:color="CCF0FC"/>
            </w:tcBorders>
            <w:shd w:val="clear" w:color="auto" w:fill="CCF0FC"/>
          </w:tcPr>
          <w:p>
            <w:pPr>
              <w:ind w:left="140"/>
              <w:spacing w:after="0" w:line="143" w:lineRule="exact"/>
              <w:rPr>
                <w:sz w:val="20"/>
                <w:szCs w:val="20"/>
                <w:color w:val="auto"/>
              </w:rPr>
            </w:pPr>
            <w:r>
              <w:rPr>
                <w:rFonts w:ascii="Arial" w:cs="Arial" w:eastAsia="Arial" w:hAnsi="Arial"/>
                <w:sz w:val="13"/>
                <w:szCs w:val="13"/>
                <w:color w:val="auto"/>
              </w:rPr>
              <w:t>Stock-based compensation</w:t>
            </w:r>
          </w:p>
        </w:tc>
        <w:tc>
          <w:tcPr>
            <w:tcW w:w="80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auto"/>
            </w:tcBorders>
            <w:shd w:val="clear" w:color="auto" w:fill="CCF0FC"/>
          </w:tcPr>
          <w:p>
            <w:pPr>
              <w:spacing w:after="0"/>
              <w:rPr>
                <w:sz w:val="12"/>
                <w:szCs w:val="12"/>
                <w:color w:val="auto"/>
              </w:rPr>
            </w:pPr>
          </w:p>
        </w:tc>
        <w:tc>
          <w:tcPr>
            <w:tcW w:w="60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F0FC"/>
            </w:tcBorders>
            <w:shd w:val="clear" w:color="auto" w:fill="CCF0FC"/>
          </w:tcPr>
          <w:p>
            <w:pPr>
              <w:spacing w:after="0"/>
              <w:rPr>
                <w:sz w:val="12"/>
                <w:szCs w:val="12"/>
                <w:color w:val="auto"/>
              </w:rPr>
            </w:pPr>
          </w:p>
        </w:tc>
        <w:tc>
          <w:tcPr>
            <w:tcW w:w="70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auto"/>
            </w:tcBorders>
            <w:shd w:val="clear" w:color="auto" w:fill="CCF0FC"/>
          </w:tcPr>
          <w:p>
            <w:pPr>
              <w:spacing w:after="0"/>
              <w:rPr>
                <w:sz w:val="12"/>
                <w:szCs w:val="12"/>
                <w:color w:val="auto"/>
              </w:rPr>
            </w:pPr>
          </w:p>
        </w:tc>
        <w:tc>
          <w:tcPr>
            <w:tcW w:w="62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auto"/>
            </w:tcBorders>
            <w:shd w:val="clear" w:color="auto" w:fill="CCF0FC"/>
          </w:tcPr>
          <w:p>
            <w:pPr>
              <w:spacing w:after="0"/>
              <w:rPr>
                <w:sz w:val="12"/>
                <w:szCs w:val="12"/>
                <w:color w:val="auto"/>
              </w:rPr>
            </w:pPr>
          </w:p>
        </w:tc>
        <w:tc>
          <w:tcPr>
            <w:tcW w:w="60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13,505</w:t>
            </w:r>
          </w:p>
        </w:tc>
        <w:tc>
          <w:tcPr>
            <w:tcW w:w="22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auto"/>
            </w:tcBorders>
            <w:shd w:val="clear" w:color="auto" w:fill="CCF0FC"/>
          </w:tcPr>
          <w:p>
            <w:pPr>
              <w:spacing w:after="0"/>
              <w:rPr>
                <w:sz w:val="12"/>
                <w:szCs w:val="12"/>
                <w:color w:val="auto"/>
              </w:rPr>
            </w:pPr>
          </w:p>
        </w:tc>
        <w:tc>
          <w:tcPr>
            <w:tcW w:w="62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160" w:type="dxa"/>
            <w:vAlign w:val="bottom"/>
            <w:tcBorders>
              <w:top w:val="single" w:sz="8" w:color="auto"/>
            </w:tcBorders>
            <w:shd w:val="clear" w:color="auto" w:fill="CCF0FC"/>
          </w:tcPr>
          <w:p>
            <w:pPr>
              <w:spacing w:after="0"/>
              <w:rPr>
                <w:sz w:val="12"/>
                <w:szCs w:val="12"/>
                <w:color w:val="auto"/>
              </w:rPr>
            </w:pPr>
          </w:p>
        </w:tc>
        <w:tc>
          <w:tcPr>
            <w:tcW w:w="74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F0FC"/>
            </w:tcBorders>
            <w:shd w:val="clear" w:color="auto" w:fill="CCF0FC"/>
          </w:tcPr>
          <w:p>
            <w:pPr>
              <w:spacing w:after="0"/>
              <w:rPr>
                <w:sz w:val="12"/>
                <w:szCs w:val="12"/>
                <w:color w:val="auto"/>
              </w:rPr>
            </w:pPr>
          </w:p>
        </w:tc>
        <w:tc>
          <w:tcPr>
            <w:tcW w:w="120" w:type="dxa"/>
            <w:vAlign w:val="bottom"/>
            <w:tcBorders>
              <w:top w:val="single" w:sz="8" w:color="auto"/>
            </w:tcBorders>
            <w:shd w:val="clear" w:color="auto" w:fill="CCF0FC"/>
          </w:tcPr>
          <w:p>
            <w:pPr>
              <w:spacing w:after="0"/>
              <w:rPr>
                <w:sz w:val="12"/>
                <w:szCs w:val="12"/>
                <w:color w:val="auto"/>
              </w:rPr>
            </w:pPr>
          </w:p>
        </w:tc>
        <w:tc>
          <w:tcPr>
            <w:tcW w:w="68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3"/>
                <w:szCs w:val="13"/>
                <w:color w:val="auto"/>
              </w:rPr>
              <w:t>13,505</w:t>
            </w:r>
          </w:p>
        </w:tc>
        <w:tc>
          <w:tcPr>
            <w:tcW w:w="60" w:type="dxa"/>
            <w:vAlign w:val="bottom"/>
            <w:tcBorders>
              <w:top w:val="single" w:sz="8" w:color="CCF0FC"/>
            </w:tcBorders>
            <w:shd w:val="clear" w:color="auto" w:fill="CC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3"/>
                <w:szCs w:val="13"/>
                <w:color w:val="auto"/>
              </w:rPr>
              <w:t>Shares issued pursuant to stock awards</w:t>
            </w:r>
          </w:p>
        </w:tc>
        <w:tc>
          <w:tcPr>
            <w:tcW w:w="800" w:type="dxa"/>
            <w:vAlign w:val="bottom"/>
          </w:tcPr>
          <w:p>
            <w:pPr>
              <w:jc w:val="right"/>
              <w:spacing w:after="0"/>
              <w:rPr>
                <w:sz w:val="20"/>
                <w:szCs w:val="20"/>
                <w:color w:val="auto"/>
              </w:rPr>
            </w:pPr>
            <w:r>
              <w:rPr>
                <w:rFonts w:ascii="Arial" w:cs="Arial" w:eastAsia="Arial" w:hAnsi="Arial"/>
                <w:sz w:val="13"/>
                <w:szCs w:val="13"/>
                <w:color w:val="auto"/>
              </w:rPr>
              <w:t>409,502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4,029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4,030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ind w:left="140"/>
              <w:spacing w:after="0"/>
              <w:rPr>
                <w:sz w:val="20"/>
                <w:szCs w:val="20"/>
                <w:color w:val="auto"/>
              </w:rPr>
            </w:pPr>
            <w:r>
              <w:rPr>
                <w:rFonts w:ascii="Arial" w:cs="Arial" w:eastAsia="Arial" w:hAnsi="Arial"/>
                <w:sz w:val="13"/>
                <w:szCs w:val="13"/>
                <w:color w:val="auto"/>
              </w:rPr>
              <w:t>Employee stock purchase plan</w:t>
            </w:r>
          </w:p>
        </w:tc>
        <w:tc>
          <w:tcPr>
            <w:tcW w:w="8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26,149</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2,186</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2,186</w:t>
            </w:r>
          </w:p>
        </w:tc>
        <w:tc>
          <w:tcPr>
            <w:tcW w:w="6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(63,515)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63,515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(6,450)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(6,450)</w:t>
            </w: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ind w:left="140"/>
              <w:spacing w:after="0"/>
              <w:rPr>
                <w:sz w:val="20"/>
                <w:szCs w:val="20"/>
                <w:color w:val="auto"/>
              </w:rPr>
            </w:pPr>
            <w:r>
              <w:rPr>
                <w:rFonts w:ascii="Arial" w:cs="Arial" w:eastAsia="Arial" w:hAnsi="Arial"/>
                <w:sz w:val="13"/>
                <w:szCs w:val="13"/>
                <w:color w:val="auto"/>
              </w:rPr>
              <w:t>Net income</w:t>
            </w:r>
          </w:p>
        </w:tc>
        <w:tc>
          <w:tcPr>
            <w:tcW w:w="9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20,383</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20,383</w:t>
            </w:r>
          </w:p>
        </w:tc>
        <w:tc>
          <w:tcPr>
            <w:tcW w:w="6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364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364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ind w:left="140"/>
              <w:spacing w:after="0"/>
              <w:rPr>
                <w:sz w:val="20"/>
                <w:szCs w:val="20"/>
                <w:color w:val="auto"/>
              </w:rPr>
            </w:pPr>
            <w:r>
              <w:rPr>
                <w:rFonts w:ascii="Arial" w:cs="Arial" w:eastAsia="Arial" w:hAnsi="Arial"/>
                <w:sz w:val="13"/>
                <w:szCs w:val="13"/>
                <w:color w:val="auto"/>
              </w:rPr>
              <w:t>Unrealized loss on investments, net of tax</w:t>
            </w:r>
          </w:p>
        </w:tc>
        <w:tc>
          <w:tcPr>
            <w:tcW w:w="9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20"/>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51"/>
        </w:trPr>
        <w:tc>
          <w:tcPr>
            <w:tcW w:w="3640" w:type="dxa"/>
            <w:vAlign w:val="bottom"/>
          </w:tcPr>
          <w:p>
            <w:pPr>
              <w:ind w:left="140"/>
              <w:spacing w:after="0"/>
              <w:rPr>
                <w:sz w:val="20"/>
                <w:szCs w:val="20"/>
                <w:color w:val="auto"/>
              </w:rPr>
            </w:pPr>
            <w:r>
              <w:rPr>
                <w:rFonts w:ascii="Arial" w:cs="Arial" w:eastAsia="Arial" w:hAnsi="Arial"/>
                <w:sz w:val="13"/>
                <w:szCs w:val="13"/>
                <w:color w:val="auto"/>
              </w:rPr>
              <w:t>Reclassification of loss on investments into earnings, net of</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640" w:type="dxa"/>
            <w:vAlign w:val="bottom"/>
            <w:tcBorders>
              <w:bottom w:val="single" w:sz="8" w:color="CCF0FC"/>
            </w:tcBorders>
          </w:tcPr>
          <w:p>
            <w:pPr>
              <w:ind w:left="140"/>
              <w:spacing w:after="0"/>
              <w:rPr>
                <w:sz w:val="20"/>
                <w:szCs w:val="20"/>
                <w:color w:val="auto"/>
              </w:rPr>
            </w:pPr>
            <w:r>
              <w:rPr>
                <w:rFonts w:ascii="Arial" w:cs="Arial" w:eastAsia="Arial" w:hAnsi="Arial"/>
                <w:sz w:val="13"/>
                <w:szCs w:val="13"/>
                <w:color w:val="auto"/>
              </w:rPr>
              <w:t>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F0FC"/>
            </w:tcBorders>
          </w:tcPr>
          <w:p>
            <w:pPr>
              <w:spacing w:after="0"/>
              <w:rPr>
                <w:sz w:val="13"/>
                <w:szCs w:val="13"/>
                <w:color w:val="auto"/>
              </w:rPr>
            </w:pPr>
          </w:p>
        </w:tc>
        <w:tc>
          <w:tcPr>
            <w:tcW w:w="80" w:type="dxa"/>
            <w:vAlign w:val="bottom"/>
            <w:tcBorders>
              <w:bottom w:val="single" w:sz="8" w:color="CC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F0FC"/>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F0FC"/>
            </w:tcBorders>
          </w:tcPr>
          <w:p>
            <w:pPr>
              <w:spacing w:after="0"/>
              <w:rPr>
                <w:sz w:val="13"/>
                <w:szCs w:val="13"/>
                <w:color w:val="auto"/>
              </w:rPr>
            </w:pPr>
          </w:p>
        </w:tc>
        <w:tc>
          <w:tcPr>
            <w:tcW w:w="80" w:type="dxa"/>
            <w:vAlign w:val="bottom"/>
            <w:tcBorders>
              <w:bottom w:val="single" w:sz="8" w:color="CC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F0FC"/>
            </w:tcBorders>
          </w:tcPr>
          <w:p>
            <w:pPr>
              <w:spacing w:after="0"/>
              <w:rPr>
                <w:sz w:val="13"/>
                <w:szCs w:val="13"/>
                <w:color w:val="auto"/>
              </w:rPr>
            </w:pPr>
          </w:p>
        </w:tc>
        <w:tc>
          <w:tcPr>
            <w:tcW w:w="100" w:type="dxa"/>
            <w:vAlign w:val="bottom"/>
            <w:tcBorders>
              <w:bottom w:val="single" w:sz="8" w:color="CC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w:t>
            </w:r>
          </w:p>
        </w:tc>
        <w:tc>
          <w:tcPr>
            <w:tcW w:w="220" w:type="dxa"/>
            <w:vAlign w:val="bottom"/>
            <w:tcBorders>
              <w:bottom w:val="single" w:sz="8" w:color="CC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w:t>
            </w:r>
          </w:p>
        </w:tc>
        <w:tc>
          <w:tcPr>
            <w:tcW w:w="60" w:type="dxa"/>
            <w:vAlign w:val="bottom"/>
            <w:tcBorders>
              <w:bottom w:val="single" w:sz="8" w:color="CC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40" w:type="dxa"/>
            <w:vAlign w:val="bottom"/>
            <w:shd w:val="clear" w:color="auto" w:fill="CCF0FC"/>
          </w:tcPr>
          <w:p>
            <w:pPr>
              <w:spacing w:after="0"/>
              <w:rPr>
                <w:sz w:val="20"/>
                <w:szCs w:val="20"/>
                <w:color w:val="auto"/>
              </w:rPr>
            </w:pPr>
            <w:r>
              <w:rPr>
                <w:rFonts w:ascii="Arial" w:cs="Arial" w:eastAsia="Arial" w:hAnsi="Arial"/>
                <w:sz w:val="13"/>
                <w:szCs w:val="13"/>
                <w:color w:val="auto"/>
              </w:rPr>
              <w:t>Balances, June 30, 2021</w:t>
            </w:r>
          </w:p>
        </w:tc>
        <w:tc>
          <w:tcPr>
            <w:tcW w:w="8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35,859,353</w:t>
            </w:r>
          </w:p>
        </w:tc>
        <w:tc>
          <w:tcPr>
            <w:tcW w:w="140" w:type="dxa"/>
            <w:vAlign w:val="bottom"/>
            <w:shd w:val="clear" w:color="auto" w:fill="CCF0FC"/>
          </w:tcPr>
          <w:p>
            <w:pPr>
              <w:spacing w:after="0"/>
              <w:rPr>
                <w:sz w:val="13"/>
                <w:szCs w:val="13"/>
                <w:color w:val="auto"/>
              </w:rPr>
            </w:pPr>
          </w:p>
        </w:tc>
        <w:tc>
          <w:tcPr>
            <w:tcW w:w="18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38</w:t>
            </w:r>
          </w:p>
        </w:tc>
        <w:tc>
          <w:tcPr>
            <w:tcW w:w="220" w:type="dxa"/>
            <w:vAlign w:val="bottom"/>
            <w:shd w:val="clear" w:color="auto" w:fill="CCF0FC"/>
          </w:tcPr>
          <w:p>
            <w:pPr>
              <w:spacing w:after="0"/>
              <w:rPr>
                <w:sz w:val="13"/>
                <w:szCs w:val="13"/>
                <w:color w:val="auto"/>
              </w:rPr>
            </w:pP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1,676,765</w:t>
            </w:r>
          </w:p>
        </w:tc>
        <w:tc>
          <w:tcPr>
            <w:tcW w:w="30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F0FC"/>
          </w:tcPr>
          <w:p>
            <w:pPr>
              <w:jc w:val="right"/>
              <w:ind w:right="100"/>
              <w:spacing w:after="0"/>
              <w:rPr>
                <w:sz w:val="20"/>
                <w:szCs w:val="20"/>
                <w:color w:val="auto"/>
              </w:rPr>
            </w:pPr>
            <w:r>
              <w:rPr>
                <w:rFonts w:ascii="Arial" w:cs="Arial" w:eastAsia="Arial" w:hAnsi="Arial"/>
                <w:sz w:val="13"/>
                <w:szCs w:val="13"/>
                <w:color w:val="auto"/>
              </w:rPr>
              <w:t>(71,697)</w:t>
            </w:r>
          </w:p>
        </w:tc>
        <w:tc>
          <w:tcPr>
            <w:tcW w:w="18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413,182</w:t>
            </w:r>
          </w:p>
        </w:tc>
        <w:tc>
          <w:tcPr>
            <w:tcW w:w="300" w:type="dxa"/>
            <w:vAlign w:val="bottom"/>
            <w:gridSpan w:val="2"/>
            <w:shd w:val="clear" w:color="auto" w:fill="CCF0FC"/>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113,873</w:t>
            </w:r>
          </w:p>
        </w:tc>
        <w:tc>
          <w:tcPr>
            <w:tcW w:w="120" w:type="dxa"/>
            <w:vAlign w:val="bottom"/>
            <w:shd w:val="clear" w:color="auto" w:fill="CCF0FC"/>
          </w:tcPr>
          <w:p>
            <w:pPr>
              <w:spacing w:after="0"/>
              <w:rPr>
                <w:sz w:val="13"/>
                <w:szCs w:val="13"/>
                <w:color w:val="auto"/>
              </w:rPr>
            </w:pPr>
          </w:p>
        </w:tc>
        <w:tc>
          <w:tcPr>
            <w:tcW w:w="260" w:type="dxa"/>
            <w:vAlign w:val="bottom"/>
            <w:gridSpan w:val="2"/>
            <w:shd w:val="clear" w:color="auto" w:fill="CCF0FC"/>
          </w:tcPr>
          <w:p>
            <w:pPr>
              <w:ind w:left="10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(647)</w:t>
            </w:r>
          </w:p>
        </w:tc>
        <w:tc>
          <w:tcPr>
            <w:tcW w:w="120" w:type="dxa"/>
            <w:vAlign w:val="bottom"/>
            <w:shd w:val="clear" w:color="auto" w:fill="CCF0FC"/>
          </w:tcPr>
          <w:p>
            <w:pPr>
              <w:spacing w:after="0"/>
              <w:rPr>
                <w:sz w:val="20"/>
                <w:szCs w:val="20"/>
                <w:color w:val="auto"/>
              </w:rPr>
            </w:pPr>
            <w:r>
              <w:rPr>
                <w:rFonts w:ascii="Arial" w:cs="Arial" w:eastAsia="Arial" w:hAnsi="Arial"/>
                <w:sz w:val="13"/>
                <w:szCs w:val="13"/>
                <w:color w:val="auto"/>
              </w:rPr>
              <w:t>$</w:t>
            </w: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454,749</w:t>
            </w:r>
          </w:p>
        </w:tc>
        <w:tc>
          <w:tcPr>
            <w:tcW w:w="60" w:type="dxa"/>
            <w:vAlign w:val="bottom"/>
            <w:shd w:val="clear" w:color="auto" w:fill="CC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20574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480"/>
        <w:spacing w:after="0"/>
        <w:tabs>
          <w:tab w:leader="none" w:pos="5580" w:val="left"/>
          <w:tab w:leader="none" w:pos="81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5</w:t>
      </w:r>
      <w:r>
        <w:rPr>
          <w:sz w:val="20"/>
          <w:szCs w:val="20"/>
          <w:color w:val="auto"/>
        </w:rPr>
        <w:tab/>
      </w:r>
      <w:r>
        <w:rPr>
          <w:rFonts w:ascii="Arial" w:cs="Arial" w:eastAsia="Arial" w:hAnsi="Arial"/>
          <w:sz w:val="10"/>
          <w:szCs w:val="10"/>
          <w:b w:val="1"/>
          <w:bCs w:val="1"/>
          <w:color w:val="auto"/>
        </w:rPr>
        <w:t>Form 10-Q for the Quarterly Period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 w:name="page6"/>
    <w:bookmarkEnd w:id="5"/>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(Unaudited)</w:t>
            </w: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20,383</w:t>
            </w:r>
          </w:p>
        </w:tc>
        <w:tc>
          <w:tcPr>
            <w:tcW w:w="28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351</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earn-out liability</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 and amortization of 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7,294</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5,335</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Provision for credit losses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2,831</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14,424</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(6,945)</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(7,071)</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costs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(3,338)</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Other current and non-current assets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(1,201)</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(147)</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3,246</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(6,166)</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(2,087)</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12,893</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Operating leases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54,658</w:t>
            </w:r>
          </w:p>
        </w:tc>
        <w:tc>
          <w:tcPr>
            <w:tcW w:w="28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(8,738)</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(8,396)</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investments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(44,034)</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(55,144)</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Maturities of investments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(17,772)</w:t>
            </w:r>
          </w:p>
        </w:tc>
        <w:tc>
          <w:tcPr>
            <w:tcW w:w="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Repurchases of common stock</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(6,450)</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(18,950)</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proceeds from exercise of options to purchase common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4,030</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employee stock purchase plan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Payments for contingent consideration</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(2,042)</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(2,276)</w:t>
            </w: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foreign currency exchange rate changes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34,675</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149,692</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184,367</w:t>
            </w:r>
          </w:p>
        </w:tc>
        <w:tc>
          <w:tcPr>
            <w:tcW w:w="2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174,850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20574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80"/>
        <w:spacing w:after="0"/>
        <w:tabs>
          <w:tab w:leader="none" w:pos="5580" w:val="left"/>
          <w:tab w:leader="none" w:pos="81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6</w:t>
      </w:r>
      <w:r>
        <w:rPr>
          <w:sz w:val="20"/>
          <w:szCs w:val="20"/>
          <w:color w:val="auto"/>
        </w:rPr>
        <w:tab/>
      </w:r>
      <w:r>
        <w:rPr>
          <w:rFonts w:ascii="Arial" w:cs="Arial" w:eastAsia="Arial" w:hAnsi="Arial"/>
          <w:sz w:val="10"/>
          <w:szCs w:val="10"/>
          <w:b w:val="1"/>
          <w:bCs w:val="1"/>
          <w:color w:val="auto"/>
        </w:rPr>
        <w:t>Form 10-Q for the Quarterly Period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6" w:name="page7"/>
    <w:bookmarkEnd w:id="6"/>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Notes to Condensed Consolidated Financial Statements (Unaudited)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Business Description</w:t>
      </w:r>
    </w:p>
    <w:p>
      <w:pPr>
        <w:spacing w:after="0" w:line="117"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SPS Commerce is a leading provider of cloud-based supply chain management solutions that make it easier for retailers, suppliers, grocers, distributors, and logistics firms to orchestrate the management of item data, order fulfillment, inventory control and sales analytics across all channels. For many businesses, implementing and maintaining a suite of supply chain management capabilities is resource-intensive and not a core competency. The solutions offered by SPS Commerce eliminate the need for on-premise software and support staff by taking on that capability on the customer’s behalf. These solutions also enable our customers to increase their supply cycle agility, optimize their inventory levels and sell-through, reduce operational costs and gain increased visibility into customer orders, helping ensure that suppliers, grocers, distributors, and logistics firms can satisfy retailer requirements.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Basis of Presentation</w:t>
      </w:r>
    </w:p>
    <w:p>
      <w:pPr>
        <w:spacing w:after="0" w:line="117"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condensed consolidated financial statements.</w:t>
      </w:r>
    </w:p>
    <w:p>
      <w:pPr>
        <w:spacing w:after="0" w:line="76"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This interim financial information has been prepared under the instructions to Form 10-Q and Rule 10-01 of Regulation S-X. Accordingly, these condensed consolidated financial statements do not include all of the information and notes required by GAAP. We have included all normal recurring adjustments considered necessary to provide a fair presentation of our financial position, results of operations, stockholders’ equity, and cash flows for the interim periods shown. Operating results for these interim periods are not necessarily indicative of the results to be expected for the full year. For further information, refer to the consolidated financial statements and accompanying notes included in our Annual Report on Form 10-K for the year ended December 31, 2020, as filed with the Securities and Exchange Commission (“SEC”).</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Business Combinations</w:t>
      </w:r>
    </w:p>
    <w:p>
      <w:pPr>
        <w:spacing w:after="0" w:line="117" w:lineRule="exact"/>
        <w:rPr>
          <w:sz w:val="20"/>
          <w:szCs w:val="20"/>
          <w:color w:val="auto"/>
        </w:rPr>
      </w:pPr>
    </w:p>
    <w:p>
      <w:pPr>
        <w:ind w:firstLine="510"/>
        <w:spacing w:after="0" w:line="297" w:lineRule="auto"/>
        <w:rPr>
          <w:sz w:val="20"/>
          <w:szCs w:val="20"/>
          <w:color w:val="auto"/>
        </w:rPr>
      </w:pPr>
      <w:r>
        <w:rPr>
          <w:rFonts w:ascii="Arial" w:cs="Arial" w:eastAsia="Arial" w:hAnsi="Arial"/>
          <w:sz w:val="16"/>
          <w:szCs w:val="16"/>
          <w:color w:val="auto"/>
        </w:rPr>
        <w:t>In December 2020, we acquired all of the outstanding equity ownership interests of D Masons Software, LLC (“Data Masons”). As of December 31, 2020 and June 30, 2021, the purchase accounting for the acquisition is not finalized. Provisional amounts are primarily related to intangible assets and tax positions. We expect to finalize the allocation of the purchase price within the one-year measurement period following the acquisition. During the three months ended March 31, 2021, the only change in the purchase accounting was a $0.3 million reduction of amounts due from the seller as part of the initial net working capital adjustment and a corresponding increase to goodwill. During the three months ended June 30, 2021, there was no change in the purchase accounting and the net working capital amount was finalized and collected without change from the amount recorded at March 31, 2021.</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Use of Estimates</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periods. Actual results could differ from those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Recently Issued and Adopted Accounting Pronouncements</w:t>
      </w:r>
    </w:p>
    <w:p>
      <w:pPr>
        <w:spacing w:after="0" w:line="117" w:lineRule="exact"/>
        <w:rPr>
          <w:sz w:val="20"/>
          <w:szCs w:val="20"/>
          <w:color w:val="auto"/>
        </w:rPr>
      </w:pPr>
    </w:p>
    <w:p>
      <w:pPr>
        <w:ind w:right="20" w:firstLine="510"/>
        <w:spacing w:after="0" w:line="308" w:lineRule="auto"/>
        <w:rPr>
          <w:sz w:val="20"/>
          <w:szCs w:val="20"/>
          <w:color w:val="auto"/>
        </w:rPr>
      </w:pPr>
      <w:r>
        <w:rPr>
          <w:rFonts w:ascii="Arial" w:cs="Arial" w:eastAsia="Arial" w:hAnsi="Arial"/>
          <w:sz w:val="17"/>
          <w:szCs w:val="17"/>
          <w:color w:val="auto"/>
        </w:rPr>
        <w:t>For the six months ended June 30, 2021, there were no newly adopted accounting pronouncements. As of June 30, 2021, there are no recently issued but not yet adopted accounting pronouncements that are expected to materially impact our consolidated financial statements.</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Significant Accounting Policies</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There were no material changes in our significant accounting policies during the six months ended June 30, 2021. See Note A to the consolidated financial statements included in our Annual Report on Form 10-K for the year ended December 31, 2020, as filed with the SEC, for additional information regarding our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20574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0"/>
        <w:spacing w:after="0"/>
        <w:tabs>
          <w:tab w:leader="none" w:pos="5580" w:val="left"/>
          <w:tab w:leader="none" w:pos="81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7</w:t>
      </w:r>
      <w:r>
        <w:rPr>
          <w:sz w:val="20"/>
          <w:szCs w:val="20"/>
          <w:color w:val="auto"/>
        </w:rPr>
        <w:tab/>
      </w:r>
      <w:r>
        <w:rPr>
          <w:rFonts w:ascii="Arial" w:cs="Arial" w:eastAsia="Arial" w:hAnsi="Arial"/>
          <w:sz w:val="10"/>
          <w:szCs w:val="10"/>
          <w:b w:val="1"/>
          <w:bCs w:val="1"/>
          <w:color w:val="auto"/>
        </w:rPr>
        <w:t>Form 10-Q for the Quarterly Period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5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Borders>
              <w:bottom w:val="single" w:sz="8" w:color="0000EE"/>
            </w:tcBorders>
            <w:gridSpan w:val="2"/>
          </w:tcPr>
          <w:p>
            <w:pPr>
              <w:spacing w:after="0"/>
              <w:rPr>
                <w:rFonts w:ascii="Arial" w:cs="Arial" w:eastAsia="Arial" w:hAnsi="Arial"/>
                <w:sz w:val="13"/>
                <w:szCs w:val="13"/>
                <w:color w:val="0000EE"/>
                <w:w w:val="91"/>
              </w:rPr>
            </w:pPr>
            <w:hyperlink w:anchor="page2">
              <w:r>
                <w:rPr>
                  <w:rFonts w:ascii="Arial" w:cs="Arial" w:eastAsia="Arial" w:hAnsi="Arial"/>
                  <w:sz w:val="13"/>
                  <w:szCs w:val="13"/>
                  <w:color w:val="0000EE"/>
                  <w:w w:val="91"/>
                </w:rPr>
                <w:t>Table of Contents</w:t>
              </w:r>
            </w:hyperlink>
          </w:p>
        </w:tc>
        <w:tc>
          <w:tcPr>
            <w:tcW w:w="0" w:type="dxa"/>
            <w:vAlign w:val="bottom"/>
          </w:tcPr>
          <w:p>
            <w:pPr>
              <w:spacing w:after="0"/>
              <w:rPr>
                <w:sz w:val="1"/>
                <w:szCs w:val="1"/>
                <w:color w:val="auto"/>
              </w:rPr>
            </w:pPr>
          </w:p>
        </w:tc>
      </w:tr>
      <w:tr>
        <w:trPr>
          <w:trHeight w:val="790"/>
        </w:trPr>
        <w:tc>
          <w:tcPr>
            <w:tcW w:w="5840" w:type="dxa"/>
            <w:vAlign w:val="bottom"/>
          </w:tcPr>
          <w:p>
            <w:pPr>
              <w:spacing w:after="0"/>
              <w:rPr>
                <w:sz w:val="20"/>
                <w:szCs w:val="20"/>
                <w:color w:val="auto"/>
              </w:rPr>
            </w:pPr>
            <w:r>
              <w:rPr>
                <w:rFonts w:ascii="Arial" w:cs="Arial" w:eastAsia="Arial" w:hAnsi="Arial"/>
                <w:sz w:val="18"/>
                <w:szCs w:val="18"/>
                <w:b w:val="1"/>
                <w:bCs w:val="1"/>
                <w:color w:val="00AAE5"/>
              </w:rPr>
              <w:t>NOTE B – Revenue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840" w:type="dxa"/>
            <w:vAlign w:val="bottom"/>
          </w:tcPr>
          <w:p>
            <w:pPr>
              <w:ind w:left="520"/>
              <w:spacing w:after="0"/>
              <w:rPr>
                <w:sz w:val="20"/>
                <w:szCs w:val="20"/>
                <w:color w:val="auto"/>
              </w:rPr>
            </w:pPr>
            <w:r>
              <w:rPr>
                <w:rFonts w:ascii="Arial" w:cs="Arial" w:eastAsia="Arial" w:hAnsi="Arial"/>
                <w:sz w:val="18"/>
                <w:szCs w:val="18"/>
                <w:color w:val="auto"/>
              </w:rPr>
              <w:t>We derive our revenues from the following revenue streams: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24"/>
                <w:szCs w:val="24"/>
                <w:color w:val="auto"/>
              </w:rPr>
            </w:pPr>
          </w:p>
        </w:tc>
        <w:tc>
          <w:tcPr>
            <w:tcW w:w="238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Recurring revenues: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Fulfillment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75,228</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60,745</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146,632</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119,848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Analytics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Recurring Revenues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86,940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71,213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169,741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One-time revenues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14,892</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94,539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75,573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184,633</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149,765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Revenues are recognized when our services are made available to our customers, in an amount that reflects the consideration we are contractually and legally entitled to in exchange for those services.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Recurring Revenues</w:t>
      </w:r>
    </w:p>
    <w:p>
      <w:pPr>
        <w:spacing w:after="0" w:line="11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Recurring revenues consist of recurring subscriptions from customers that utilize our Fulfillment, Analytics, and Other cloud-based supply chain management solutions. Revenue for these solutions is generally recognized on a ratable basis over the contract term beginning on the date that our service is made available to the customer. Our contracts with our recurring revenue customers are recurring in nature, ranging from monthly to annual, and generally allow the customer to cancel the contract for any reason with 30 to 90 days’ notice. Timing of billings varies by customer and by contract type and are either in advance or within 30 days of the service being performed.</w:t>
      </w:r>
    </w:p>
    <w:p>
      <w:pPr>
        <w:spacing w:after="0" w:line="18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deferred revenue liability for recurring revenue contracts are for one year or less and recognized on a ratable basis over the contract term. We have applied the optional exemption to not disclose information about the remaining performance obligations for contracts which have original durations of one year or less.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One-time Revenues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One-time revenues consist of set-up fees from customers and miscellaneous one-time fees.</w:t>
      </w:r>
    </w:p>
    <w:p>
      <w:pPr>
        <w:spacing w:after="0" w:line="225" w:lineRule="exact"/>
        <w:rPr>
          <w:sz w:val="20"/>
          <w:szCs w:val="20"/>
          <w:color w:val="auto"/>
        </w:rPr>
      </w:pPr>
    </w:p>
    <w:p>
      <w:pPr>
        <w:jc w:val="both"/>
        <w:ind w:right="460" w:firstLine="510"/>
        <w:spacing w:after="0" w:line="286" w:lineRule="auto"/>
        <w:rPr>
          <w:sz w:val="20"/>
          <w:szCs w:val="20"/>
          <w:color w:val="auto"/>
        </w:rPr>
      </w:pPr>
      <w:r>
        <w:rPr>
          <w:rFonts w:ascii="Arial" w:cs="Arial" w:eastAsia="Arial" w:hAnsi="Arial"/>
          <w:sz w:val="17"/>
          <w:szCs w:val="17"/>
          <w:color w:val="212529"/>
        </w:rPr>
        <w:t>Set-up fees are specific for each connection a customer has with a trading partner and many of our customers have connections with numerous trading partners. Set-up fees related to our cloud-based supply chain management solutions are nonrefundable upfront fees that are necessary for our customers to utilize our cloud-based services. These set-up fees do not provide any standalone value to our customers.</w:t>
      </w:r>
    </w:p>
    <w:p>
      <w:pPr>
        <w:spacing w:after="0" w:line="165"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212529"/>
        </w:rPr>
        <w:t>Certain contracts contain set-up fees that constitute a material renewal option right. This material right provides customers a significant future incentive that would not otherwise be available to them unless they entered into the contract, as the set-up fees will not be incurred again upon contract renewal.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20574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0"/>
        <w:spacing w:after="0"/>
        <w:tabs>
          <w:tab w:leader="none" w:pos="5580" w:val="left"/>
          <w:tab w:leader="none" w:pos="81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8</w:t>
      </w:r>
      <w:r>
        <w:rPr>
          <w:sz w:val="20"/>
          <w:szCs w:val="20"/>
          <w:color w:val="auto"/>
        </w:rPr>
        <w:tab/>
      </w:r>
      <w:r>
        <w:rPr>
          <w:rFonts w:ascii="Arial" w:cs="Arial" w:eastAsia="Arial" w:hAnsi="Arial"/>
          <w:sz w:val="10"/>
          <w:szCs w:val="10"/>
          <w:b w:val="1"/>
          <w:bCs w:val="1"/>
          <w:color w:val="auto"/>
        </w:rPr>
        <w:t>Form 10-Q for the Quarterly Period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212529"/>
        </w:rPr>
        <w:t xml:space="preserve">For our Fulfillment solution, we have determined that the set-up fees and related costs represent a material renewal option right to our customers as they will not be incurred again upon renewal. These set-up fees and related costs are deferred and recognized ratably over </w:t>
      </w:r>
      <w:r>
        <w:rPr>
          <w:rFonts w:ascii="Arial" w:cs="Arial" w:eastAsia="Arial" w:hAnsi="Arial"/>
          <w:sz w:val="18"/>
          <w:szCs w:val="18"/>
          <w:color w:val="000000"/>
        </w:rPr>
        <w:t>two years</w:t>
      </w:r>
      <w:r>
        <w:rPr>
          <w:rFonts w:ascii="Arial" w:cs="Arial" w:eastAsia="Arial" w:hAnsi="Arial"/>
          <w:sz w:val="18"/>
          <w:szCs w:val="18"/>
          <w:color w:val="212529"/>
        </w:rPr>
        <w:t>, which is the estimated period for which a material right is present for our customers.</w:t>
      </w:r>
    </w:p>
    <w:p>
      <w:pPr>
        <w:spacing w:after="0" w:line="184" w:lineRule="exact"/>
        <w:rPr>
          <w:sz w:val="20"/>
          <w:szCs w:val="20"/>
          <w:color w:val="auto"/>
        </w:rPr>
      </w:pPr>
    </w:p>
    <w:p>
      <w:pPr>
        <w:jc w:val="both"/>
        <w:ind w:right="40" w:firstLine="510"/>
        <w:spacing w:after="0" w:line="277" w:lineRule="auto"/>
        <w:rPr>
          <w:sz w:val="20"/>
          <w:szCs w:val="20"/>
          <w:color w:val="auto"/>
        </w:rPr>
      </w:pPr>
      <w:r>
        <w:rPr>
          <w:rFonts w:ascii="Arial" w:cs="Arial" w:eastAsia="Arial" w:hAnsi="Arial"/>
          <w:sz w:val="18"/>
          <w:szCs w:val="18"/>
          <w:color w:val="212529"/>
        </w:rPr>
        <w:t xml:space="preserve">For our Analytics solution, we have determined that the set-up fees do not represent a material customer renewal right and, as such, are deferred and recognized ratably over the estimated initial contract term, which is generally </w:t>
      </w:r>
      <w:r>
        <w:rPr>
          <w:rFonts w:ascii="Arial" w:cs="Arial" w:eastAsia="Arial" w:hAnsi="Arial"/>
          <w:sz w:val="18"/>
          <w:szCs w:val="18"/>
          <w:color w:val="000000"/>
        </w:rPr>
        <w:t>one year</w:t>
      </w:r>
      <w:r>
        <w:rPr>
          <w:rFonts w:ascii="Arial" w:cs="Arial" w:eastAsia="Arial" w:hAnsi="Arial"/>
          <w:sz w:val="18"/>
          <w:szCs w:val="18"/>
          <w:color w:val="212529"/>
        </w:rPr>
        <w: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presents the activity of the portion of the deferred revenue liability relating to set-up fees: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Invoiced set-up fees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4,343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8,210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set-up fees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(3,101)</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(2,687)</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(5,984)</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(5,352)</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Balance, end of period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13,344</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10,633</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entire balance of set-up fees will be recognized within two years and, as such, current amounts will be recognized in the next 1-12 months and long-term amounts will be recognized in the next 13-24 months.</w:t>
      </w:r>
    </w:p>
    <w:p>
      <w:pPr>
        <w:spacing w:after="0" w:line="170"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Miscellaneous one-time fees consist of professional services and testing and certification. The deferred revenue liability for these one-time fees are for one year or less and recognized at the time service is provided. We have applied the optional exemption to not disclose information about the remaining performance obligations for contracts which have original durations of one year or less.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C – Deferred Costs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deferred costs and amortization of deferred costs activity was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51,540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46,936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50,595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Incurred deferred costs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16,036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12,350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29,463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deferred costs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(13,735)</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(12,637)</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(26,217)</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(25,363)</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Balance, end of period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53,841</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46,649</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53,841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D – Financial Instruments</w:t>
      </w:r>
    </w:p>
    <w:p>
      <w:pPr>
        <w:spacing w:after="0" w:line="12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We invest primarily in money market funds, certificates of deposit, highly liquid debt instruments of the United States (“U.S.”) government and U.S. corporate debt securities. All investments with remaining maturities of less than one year from the balance sheet date are classified as short-term investments. Investments with remaining maturities of more than one year from the balance sheet date are classified as long-term investments. Our short-term marketable securities are classified as available-for-sale. We intend to hold marketable securities until maturity; however, we may sell these securities at any time for use in current operations or for other purposes.</w:t>
      </w:r>
    </w:p>
    <w:p>
      <w:pPr>
        <w:spacing w:after="0" w:line="188"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Our marketable securities are carried at fair value and unrealized gains and losses on these investments, net of taxes, are included in accumulated other comprehensive loss in the condensed consolidated balance sheets. Realized gains or losses are included in other income (expense), net in the condensed consolidated statements of comprehensive income. Certain securities accrue interest that is included in other income (expense), net. The unrealized gains (losses) noted below are exclusive of previously recognized interest income. When a determination has been made that the fair value of a marketable security is below its amortized cost basis, the portion of the unrealized loss that corresponds to a credit-related factor is realized through a credit allowance on the marketable security and the equivalent expense is realized in other income (expense), net in the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20574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480"/>
        <w:spacing w:after="0"/>
        <w:tabs>
          <w:tab w:leader="none" w:pos="5580" w:val="left"/>
          <w:tab w:leader="none" w:pos="81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9</w:t>
      </w:r>
      <w:r>
        <w:rPr>
          <w:sz w:val="20"/>
          <w:szCs w:val="20"/>
          <w:color w:val="auto"/>
        </w:rPr>
        <w:tab/>
      </w:r>
      <w:r>
        <w:rPr>
          <w:rFonts w:ascii="Arial" w:cs="Arial" w:eastAsia="Arial" w:hAnsi="Arial"/>
          <w:sz w:val="10"/>
          <w:szCs w:val="10"/>
          <w:b w:val="1"/>
          <w:bCs w:val="1"/>
          <w:color w:val="auto"/>
        </w:rPr>
        <w:t>Form 10-Q for the Quarterly Period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9" w:name="page10"/>
    <w:bookmarkEnd w:id="9"/>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and investments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2021</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2"/>
                <w:szCs w:val="12"/>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2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Gains (Losses),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2"/>
                <w:szCs w:val="12"/>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Amortized Cost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8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Losses, net</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4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7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138,102</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138,102</w:t>
            </w:r>
          </w:p>
        </w:tc>
        <w:tc>
          <w:tcPr>
            <w:tcW w:w="56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112,907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112,907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Certificates of deposit</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14,996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14,998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7,569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860" w:type="dxa"/>
            <w:vAlign w:val="bottom"/>
            <w:tcBorders>
              <w:bottom w:val="single" w:sz="8" w:color="CFF0FC"/>
            </w:tcBorders>
          </w:tcPr>
          <w:p>
            <w:pPr>
              <w:spacing w:after="0"/>
              <w:rPr>
                <w:sz w:val="22"/>
                <w:szCs w:val="22"/>
                <w:color w:val="auto"/>
              </w:rPr>
            </w:pPr>
          </w:p>
        </w:tc>
        <w:tc>
          <w:tcPr>
            <w:tcW w:w="46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187,199</w:t>
            </w:r>
          </w:p>
        </w:tc>
        <w:tc>
          <w:tcPr>
            <w:tcW w:w="2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187,101</w:t>
            </w:r>
          </w:p>
        </w:tc>
        <w:tc>
          <w:tcPr>
            <w:tcW w:w="2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153,304</w:t>
            </w:r>
          </w:p>
        </w:tc>
        <w:tc>
          <w:tcPr>
            <w:tcW w:w="2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153,193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Maturing within one year</w:t>
            </w: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187,101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150,693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Maturing within one to two years</w:t>
            </w:r>
          </w:p>
        </w:tc>
        <w:tc>
          <w:tcPr>
            <w:tcW w:w="4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187,101</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153,193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Recurring Fair Value Measurements</w:t>
      </w:r>
    </w:p>
    <w:p>
      <w:pPr>
        <w:spacing w:after="0" w:line="225"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following table presents information about our financial assets and liabilities that are measured at fair value on a recurring basis and indicates the fair value hierarchy of the valuation techniques utilized to determine such fair value: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3"/>
                <w:szCs w:val="13"/>
                <w:color w:val="auto"/>
              </w:rPr>
            </w:pPr>
          </w:p>
        </w:tc>
        <w:tc>
          <w:tcPr>
            <w:tcW w:w="8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2</w:t>
            </w:r>
          </w:p>
        </w:tc>
        <w:tc>
          <w:tcPr>
            <w:tcW w:w="6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3"/>
                <w:szCs w:val="13"/>
                <w:color w:val="auto"/>
              </w:rPr>
            </w:pPr>
          </w:p>
        </w:tc>
        <w:tc>
          <w:tcPr>
            <w:tcW w:w="8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3"/>
                <w:szCs w:val="13"/>
                <w:color w:val="auto"/>
              </w:rPr>
            </w:pPr>
          </w:p>
        </w:tc>
        <w:tc>
          <w:tcPr>
            <w:tcW w:w="8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3"/>
                <w:szCs w:val="13"/>
                <w:color w:val="auto"/>
              </w:rPr>
            </w:pPr>
          </w:p>
        </w:tc>
        <w:tc>
          <w:tcPr>
            <w:tcW w:w="500" w:type="dxa"/>
            <w:vAlign w:val="bottom"/>
          </w:tcPr>
          <w:p>
            <w:pPr>
              <w:jc w:val="right"/>
              <w:ind w:right="68"/>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260"/>
              <w:spacing w:after="0"/>
              <w:rPr>
                <w:sz w:val="20"/>
                <w:szCs w:val="20"/>
                <w:color w:val="auto"/>
              </w:rPr>
            </w:pPr>
            <w:r>
              <w:rPr>
                <w:rFonts w:ascii="Arial" w:cs="Arial" w:eastAsia="Arial" w:hAnsi="Arial"/>
                <w:sz w:val="14"/>
                <w:szCs w:val="14"/>
                <w:color w:val="auto"/>
              </w:rPr>
              <w:t>Cash equivalents: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Money market funds</w:t>
            </w: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138,102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504"/>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138,102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112,907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112,907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260"/>
              <w:spacing w:after="0"/>
              <w:rPr>
                <w:sz w:val="20"/>
                <w:szCs w:val="20"/>
                <w:color w:val="auto"/>
              </w:rPr>
            </w:pPr>
            <w:r>
              <w:rPr>
                <w:rFonts w:ascii="Arial" w:cs="Arial" w:eastAsia="Arial" w:hAnsi="Arial"/>
                <w:sz w:val="14"/>
                <w:szCs w:val="14"/>
                <w:color w:val="auto"/>
              </w:rPr>
              <w:t>Certificates of deposit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7,494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7,494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7,708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7,708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Marketable securities:</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500"/>
              <w:spacing w:after="0"/>
              <w:rPr>
                <w:sz w:val="20"/>
                <w:szCs w:val="20"/>
                <w:color w:val="auto"/>
              </w:rPr>
            </w:pPr>
            <w:r>
              <w:rPr>
                <w:rFonts w:ascii="Arial" w:cs="Arial" w:eastAsia="Arial" w:hAnsi="Arial"/>
                <w:sz w:val="14"/>
                <w:szCs w:val="14"/>
                <w:color w:val="auto"/>
              </w:rPr>
              <w:t>Corporate bonds</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12,509</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12,509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5,040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Commercial paper</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14,998</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14,998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7,514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7,514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500"/>
              <w:spacing w:after="0"/>
              <w:rPr>
                <w:sz w:val="20"/>
                <w:szCs w:val="20"/>
                <w:color w:val="auto"/>
              </w:rPr>
            </w:pPr>
            <w:r>
              <w:rPr>
                <w:rFonts w:ascii="Arial" w:cs="Arial" w:eastAsia="Arial" w:hAnsi="Arial"/>
                <w:sz w:val="14"/>
                <w:szCs w:val="14"/>
                <w:color w:val="auto"/>
              </w:rPr>
              <w:t>U.S. treasury securities</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13,998</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13,998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20,024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145,596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41,505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ind w:right="504"/>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187,101</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120,615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32,578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4"/>
              </w:rPr>
              <w:t>153,193</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260"/>
              <w:spacing w:after="0"/>
              <w:rPr>
                <w:sz w:val="20"/>
                <w:szCs w:val="20"/>
                <w:color w:val="auto"/>
              </w:rPr>
            </w:pPr>
            <w:r>
              <w:rPr>
                <w:rFonts w:ascii="Arial" w:cs="Arial" w:eastAsia="Arial" w:hAnsi="Arial"/>
                <w:sz w:val="14"/>
                <w:szCs w:val="14"/>
                <w:color w:val="auto"/>
              </w:rPr>
              <w:t>Contingent consideration</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04"/>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1,878</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1,878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ind w:right="504"/>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1,878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1,878</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right="280"/>
        <w:spacing w:after="0" w:line="277" w:lineRule="auto"/>
        <w:rPr>
          <w:sz w:val="20"/>
          <w:szCs w:val="20"/>
          <w:color w:val="auto"/>
        </w:rPr>
      </w:pPr>
      <w:r>
        <w:rPr>
          <w:rFonts w:ascii="Arial" w:cs="Arial" w:eastAsia="Arial" w:hAnsi="Arial"/>
          <w:sz w:val="18"/>
          <w:szCs w:val="18"/>
          <w:i w:val="1"/>
          <w:iCs w:val="1"/>
          <w:color w:val="auto"/>
        </w:rPr>
        <w:t>See Note E to the consolidated financial statements included in our Annual Report on Form 10-K for the year ended December 31, 2020, as filed with the SEC, for additional information regarding the three levels of inputs that may be used to measure fair value.</w:t>
      </w:r>
    </w:p>
    <w:p>
      <w:pPr>
        <w:spacing w:after="0" w:line="170"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For the contingent consideration liability, related to the Data Masons acquisition, we were required to pay the former owners of Data Masons $1.9 million in the event the Paycheck Protection Program (“PPP”) Loan (“PPP Loan”) acquired in the acquisition was forgiven in full. In the three months ended June 30, 2021, the Small Business Administration approved the full forgiveness of the PPP Loan and, accordingly, the payment of the $1.9 million contingent liability was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20574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480"/>
        <w:spacing w:after="0"/>
        <w:tabs>
          <w:tab w:leader="none" w:pos="5540" w:val="left"/>
          <w:tab w:leader="none" w:pos="81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10</w:t>
      </w:r>
      <w:r>
        <w:rPr>
          <w:sz w:val="20"/>
          <w:szCs w:val="20"/>
          <w:color w:val="auto"/>
        </w:rPr>
        <w:tab/>
      </w:r>
      <w:r>
        <w:rPr>
          <w:rFonts w:ascii="Arial" w:cs="Arial" w:eastAsia="Arial" w:hAnsi="Arial"/>
          <w:sz w:val="10"/>
          <w:szCs w:val="10"/>
          <w:b w:val="1"/>
          <w:bCs w:val="1"/>
          <w:color w:val="auto"/>
        </w:rPr>
        <w:t>Form 10-Q for the Quarterly Period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Borders>
              <w:bottom w:val="single" w:sz="8" w:color="0000EE"/>
            </w:tcBorders>
            <w:gridSpan w:val="2"/>
          </w:tcPr>
          <w:p>
            <w:pPr>
              <w:jc w:val="right"/>
              <w:spacing w:after="0"/>
              <w:rPr>
                <w:rFonts w:ascii="Arial" w:cs="Arial" w:eastAsia="Arial" w:hAnsi="Arial"/>
                <w:sz w:val="13"/>
                <w:szCs w:val="13"/>
                <w:color w:val="0000EE"/>
                <w:w w:val="91"/>
              </w:rPr>
            </w:pPr>
            <w:hyperlink w:anchor="page2">
              <w:r>
                <w:rPr>
                  <w:rFonts w:ascii="Arial" w:cs="Arial" w:eastAsia="Arial" w:hAnsi="Arial"/>
                  <w:sz w:val="13"/>
                  <w:szCs w:val="13"/>
                  <w:color w:val="0000EE"/>
                  <w:w w:val="91"/>
                </w:rPr>
                <w:t>Table of Contents</w:t>
              </w:r>
            </w:hyperlink>
          </w:p>
        </w:tc>
        <w:tc>
          <w:tcPr>
            <w:tcW w:w="0" w:type="dxa"/>
            <w:vAlign w:val="bottom"/>
          </w:tcPr>
          <w:p>
            <w:pPr>
              <w:spacing w:after="0"/>
              <w:rPr>
                <w:sz w:val="1"/>
                <w:szCs w:val="1"/>
                <w:color w:val="auto"/>
              </w:rPr>
            </w:pPr>
          </w:p>
        </w:tc>
      </w:tr>
      <w:tr>
        <w:trPr>
          <w:trHeight w:val="790"/>
        </w:trPr>
        <w:tc>
          <w:tcPr>
            <w:tcW w:w="7720" w:type="dxa"/>
            <w:vAlign w:val="bottom"/>
          </w:tcPr>
          <w:p>
            <w:pPr>
              <w:spacing w:after="0"/>
              <w:rPr>
                <w:sz w:val="20"/>
                <w:szCs w:val="20"/>
                <w:color w:val="auto"/>
              </w:rPr>
            </w:pPr>
            <w:r>
              <w:rPr>
                <w:rFonts w:ascii="Arial" w:cs="Arial" w:eastAsia="Arial" w:hAnsi="Arial"/>
                <w:sz w:val="18"/>
                <w:szCs w:val="18"/>
                <w:b w:val="1"/>
                <w:bCs w:val="1"/>
                <w:color w:val="00AAE5"/>
              </w:rPr>
              <w:t>NOTE E – Allowance for Credit Losses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tcPr>
          <w:p>
            <w:pPr>
              <w:ind w:left="520"/>
              <w:spacing w:after="0"/>
              <w:rPr>
                <w:sz w:val="20"/>
                <w:szCs w:val="20"/>
                <w:color w:val="auto"/>
              </w:rPr>
            </w:pPr>
            <w:r>
              <w:rPr>
                <w:rFonts w:ascii="Arial" w:cs="Arial" w:eastAsia="Arial" w:hAnsi="Arial"/>
                <w:sz w:val="18"/>
                <w:szCs w:val="18"/>
                <w:color w:val="auto"/>
                <w:w w:val="97"/>
              </w:rPr>
              <w:t>The allowance for credit losses activity, included in accounts receivable, net, was as follows: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center"/>
              <w:ind w:left="597"/>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56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4,233</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Adoption of ASU 2016-13</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Write-offs, net of recoveries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(2,809)</w:t>
            </w:r>
          </w:p>
        </w:tc>
        <w:tc>
          <w:tcPr>
            <w:tcW w:w="52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00AAE5"/>
              </w:rPr>
              <w:t>NOTE F – Goodwill and Intangible Assets, net</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tcPr>
          <w:p>
            <w:pPr>
              <w:spacing w:after="0"/>
              <w:rPr>
                <w:sz w:val="20"/>
                <w:szCs w:val="20"/>
                <w:color w:val="auto"/>
              </w:rPr>
            </w:pPr>
            <w:r>
              <w:rPr>
                <w:rFonts w:ascii="Arial" w:cs="Arial" w:eastAsia="Arial" w:hAnsi="Arial"/>
                <w:sz w:val="18"/>
                <w:szCs w:val="18"/>
                <w:b w:val="1"/>
                <w:bCs w:val="1"/>
                <w:i w:val="1"/>
                <w:iCs w:val="1"/>
                <w:color w:val="1F282C"/>
              </w:rPr>
              <w:t>Goodwill</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tcPr>
          <w:p>
            <w:pPr>
              <w:ind w:left="520"/>
              <w:spacing w:after="0"/>
              <w:rPr>
                <w:sz w:val="20"/>
                <w:szCs w:val="20"/>
                <w:color w:val="auto"/>
              </w:rPr>
            </w:pPr>
            <w:r>
              <w:rPr>
                <w:rFonts w:ascii="Arial" w:cs="Arial" w:eastAsia="Arial" w:hAnsi="Arial"/>
                <w:sz w:val="18"/>
                <w:szCs w:val="18"/>
                <w:color w:val="auto"/>
              </w:rPr>
              <w:t>The changes in the net carrying amount of goodwill were as follows: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center"/>
              <w:ind w:left="597"/>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56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134,853</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76,845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Remeasurement from provisional purchase accounting amount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Balance, end of period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135,354</w:t>
            </w:r>
          </w:p>
        </w:tc>
        <w:tc>
          <w:tcPr>
            <w:tcW w:w="2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75,883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Intangible Assets</w:t>
      </w:r>
    </w:p>
    <w:p>
      <w:pPr>
        <w:spacing w:after="0" w:line="11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Intangible assets subject to amortization are amortized over their respective useful lives (ranging from three to ten years). Intangible assets, net included the following: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108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8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54,870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(27,781)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26,450</w:t>
            </w:r>
          </w:p>
        </w:tc>
        <w:tc>
          <w:tcPr>
            <w:tcW w:w="100" w:type="dxa"/>
            <w:vAlign w:val="bottom"/>
            <w:tcBorders>
              <w:top w:val="single" w:sz="8" w:color="CFF0FC"/>
            </w:tcBorders>
            <w:shd w:val="clear" w:color="auto" w:fill="CFF0FC"/>
          </w:tcPr>
          <w:p>
            <w:pPr>
              <w:spacing w:after="0"/>
              <w:rPr>
                <w:sz w:val="19"/>
                <w:szCs w:val="19"/>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(708)</w:t>
            </w:r>
          </w:p>
        </w:tc>
        <w:tc>
          <w:tcPr>
            <w:tcW w:w="14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Acquired technology</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(4,716)</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28,500</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88,794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(33,205)</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54,950</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5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8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54,447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(24,792)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(691)</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Acquired technology</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33,195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(2,724)</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30,471</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88,340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(28,207)</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60,230</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0"/>
        <w:spacing w:after="0"/>
        <w:tabs>
          <w:tab w:leader="none" w:pos="5540" w:val="left"/>
          <w:tab w:leader="none" w:pos="81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11</w:t>
      </w:r>
      <w:r>
        <w:rPr>
          <w:sz w:val="20"/>
          <w:szCs w:val="20"/>
          <w:color w:val="auto"/>
        </w:rPr>
        <w:tab/>
      </w:r>
      <w:r>
        <w:rPr>
          <w:rFonts w:ascii="Arial" w:cs="Arial" w:eastAsia="Arial" w:hAnsi="Arial"/>
          <w:sz w:val="10"/>
          <w:szCs w:val="10"/>
          <w:b w:val="1"/>
          <w:bCs w:val="1"/>
          <w:color w:val="auto"/>
        </w:rPr>
        <w:t>Form 10-Q for the Quarterly Period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annual amortization expense related to intangible assets subject to amortization for the next five years is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328"/>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8"/>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54,950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00AAE5"/>
              </w:rPr>
              <w:t>NOTE G – Other Assets</w:t>
            </w: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000" w:type="dxa"/>
            <w:vAlign w:val="bottom"/>
            <w:gridSpan w:val="8"/>
          </w:tcPr>
          <w:p>
            <w:pPr>
              <w:ind w:left="520"/>
              <w:spacing w:after="0"/>
              <w:rPr>
                <w:sz w:val="20"/>
                <w:szCs w:val="20"/>
                <w:color w:val="auto"/>
              </w:rPr>
            </w:pPr>
            <w:r>
              <w:rPr>
                <w:rFonts w:ascii="Arial" w:cs="Arial" w:eastAsia="Arial" w:hAnsi="Arial"/>
                <w:sz w:val="18"/>
                <w:szCs w:val="18"/>
                <w:color w:val="auto"/>
                <w:w w:val="90"/>
              </w:rPr>
              <w:t>The changes in the net amount of capitalized implementation costs for software hosting arrangements was as follows:</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368"/>
              <w:spacing w:after="0" w:line="155" w:lineRule="exact"/>
              <w:rPr>
                <w:sz w:val="20"/>
                <w:szCs w:val="20"/>
                <w:color w:val="auto"/>
              </w:rPr>
            </w:pPr>
            <w:r>
              <w:rPr>
                <w:rFonts w:ascii="Arial" w:cs="Arial" w:eastAsia="Arial" w:hAnsi="Arial"/>
                <w:sz w:val="14"/>
                <w:szCs w:val="14"/>
                <w:b w:val="1"/>
                <w:bCs w:val="1"/>
                <w:color w:val="auto"/>
                <w:w w:val="89"/>
              </w:rPr>
              <w:t>2021</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Capitalized implementation fees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implementation fees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(279)</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(336)</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Balance, end of period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943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H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Leases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obligated under non-cancellable operating leases, primarily for office space,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04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June 30, 2021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December 31, 2020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remaining term)</w:t>
            </w:r>
          </w:p>
        </w:tc>
        <w:tc>
          <w:tcPr>
            <w:tcW w:w="11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8"/>
              </w:rPr>
              <w:t>Remaining Term</w:t>
            </w:r>
          </w:p>
        </w:tc>
        <w:tc>
          <w:tcPr>
            <w:tcW w:w="4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Right-of-Use Asset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4"/>
              </w:rPr>
              <w:t>Remaining Term</w:t>
            </w:r>
          </w:p>
        </w:tc>
        <w:tc>
          <w:tcPr>
            <w:tcW w:w="20" w:type="dxa"/>
            <w:vAlign w:val="bottom"/>
          </w:tcPr>
          <w:p>
            <w:pPr>
              <w:spacing w:after="0"/>
              <w:rPr>
                <w:sz w:val="11"/>
                <w:szCs w:val="11"/>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Right-of-Use Asset</w:t>
            </w:r>
          </w:p>
        </w:tc>
        <w:tc>
          <w:tcPr>
            <w:tcW w:w="0" w:type="dxa"/>
            <w:vAlign w:val="bottom"/>
          </w:tcPr>
          <w:p>
            <w:pPr>
              <w:spacing w:after="0"/>
              <w:rPr>
                <w:sz w:val="1"/>
                <w:szCs w:val="1"/>
                <w:color w:val="auto"/>
              </w:rPr>
            </w:pPr>
          </w:p>
        </w:tc>
      </w:tr>
      <w:tr>
        <w:trPr>
          <w:trHeight w:val="171"/>
        </w:trPr>
        <w:tc>
          <w:tcPr>
            <w:tcW w:w="5360" w:type="dxa"/>
            <w:vAlign w:val="bottom"/>
            <w:vMerge w:val="continue"/>
          </w:tcPr>
          <w:p>
            <w:pPr>
              <w:spacing w:after="0"/>
              <w:rPr>
                <w:sz w:val="14"/>
                <w:szCs w:val="14"/>
                <w:color w:val="auto"/>
              </w:rPr>
            </w:pPr>
          </w:p>
        </w:tc>
        <w:tc>
          <w:tcPr>
            <w:tcW w:w="1180" w:type="dxa"/>
            <w:vAlign w:val="bottom"/>
          </w:tcPr>
          <w:p>
            <w:pPr>
              <w:jc w:val="right"/>
              <w:ind w:right="299"/>
              <w:spacing w:after="0"/>
              <w:rPr>
                <w:sz w:val="20"/>
                <w:szCs w:val="20"/>
                <w:color w:val="auto"/>
              </w:rPr>
            </w:pPr>
            <w:r>
              <w:rPr>
                <w:rFonts w:ascii="Arial" w:cs="Arial" w:eastAsia="Arial" w:hAnsi="Arial"/>
                <w:sz w:val="14"/>
                <w:szCs w:val="14"/>
                <w:b w:val="1"/>
                <w:bCs w:val="1"/>
                <w:color w:val="auto"/>
              </w:rPr>
              <w:t>(years)</w:t>
            </w:r>
          </w:p>
        </w:tc>
        <w:tc>
          <w:tcPr>
            <w:tcW w:w="4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(years)</w:t>
            </w:r>
          </w:p>
        </w:tc>
        <w:tc>
          <w:tcPr>
            <w:tcW w:w="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Minneapolis, MN lease</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9,544</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Kyiv, Ukraine lease</w:t>
            </w: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1,732</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 leases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&lt;1 - 5</w:t>
            </w:r>
          </w:p>
        </w:tc>
        <w:tc>
          <w:tcPr>
            <w:tcW w:w="4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2,076</w:t>
            </w: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&lt;1 - 5</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Some of our leases include options to extend the leases for up to five years. The options to extend our leases are not recognized as part of our Right-of-Use (“ROU”) assets and lease liabilities as it is not reasonably certain that we will exercise those options. Additionally, our agreements do not include options to terminate the leases.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8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5"/>
          </w:tcPr>
          <w:p>
            <w:pPr>
              <w:ind w:lef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vMerge w:val="continue"/>
          </w:tcPr>
          <w:p>
            <w:pPr>
              <w:spacing w:after="0"/>
              <w:rPr>
                <w:sz w:val="13"/>
                <w:szCs w:val="13"/>
                <w:color w:val="auto"/>
              </w:rPr>
            </w:pPr>
          </w:p>
        </w:tc>
        <w:tc>
          <w:tcPr>
            <w:tcW w:w="20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39"/>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0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1,436</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8"/>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cost</w:t>
            </w:r>
          </w:p>
        </w:tc>
        <w:tc>
          <w:tcPr>
            <w:tcW w:w="20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shd w:val="clear" w:color="auto" w:fill="CFF0FC"/>
          </w:tcPr>
          <w:p>
            <w:pPr>
              <w:spacing w:after="0"/>
              <w:rPr>
                <w:sz w:val="19"/>
                <w:szCs w:val="19"/>
                <w:color w:val="auto"/>
              </w:rPr>
            </w:pPr>
          </w:p>
        </w:tc>
        <w:tc>
          <w:tcPr>
            <w:tcW w:w="20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1,846</w:t>
            </w:r>
          </w:p>
        </w:tc>
        <w:tc>
          <w:tcPr>
            <w:tcW w:w="2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1,682</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3,154</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8"/>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2060" w:type="dxa"/>
            <w:vAlign w:val="bottom"/>
            <w:vMerge w:val="restart"/>
          </w:tcPr>
          <w:p>
            <w:pPr>
              <w:jc w:val="right"/>
              <w:ind w:right="68"/>
              <w:spacing w:after="0"/>
              <w:rPr>
                <w:sz w:val="20"/>
                <w:szCs w:val="20"/>
                <w:color w:val="auto"/>
              </w:rPr>
            </w:pPr>
            <w:r>
              <w:rPr>
                <w:rFonts w:ascii="Arial" w:cs="Arial" w:eastAsia="Arial" w:hAnsi="Arial"/>
                <w:sz w:val="14"/>
                <w:szCs w:val="14"/>
                <w:color w:val="auto"/>
              </w:rPr>
              <w:t>12</w:t>
            </w: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4"/>
        </w:trPr>
        <w:tc>
          <w:tcPr>
            <w:tcW w:w="3780" w:type="dxa"/>
            <w:vAlign w:val="bottom"/>
            <w:vMerge w:val="continue"/>
          </w:tcPr>
          <w:p>
            <w:pPr>
              <w:spacing w:after="0"/>
              <w:rPr>
                <w:sz w:val="24"/>
                <w:szCs w:val="24"/>
                <w:color w:val="auto"/>
              </w:rPr>
            </w:pPr>
          </w:p>
        </w:tc>
        <w:tc>
          <w:tcPr>
            <w:tcW w:w="20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20" w:type="dxa"/>
            <w:vAlign w:val="bottom"/>
            <w:gridSpan w:val="8"/>
          </w:tcPr>
          <w:p>
            <w:pPr>
              <w:ind w:left="260"/>
              <w:spacing w:after="0"/>
              <w:rPr>
                <w:sz w:val="20"/>
                <w:szCs w:val="20"/>
                <w:color w:val="auto"/>
              </w:rPr>
            </w:pPr>
            <w:r>
              <w:rPr>
                <w:rFonts w:ascii="Arial" w:cs="Arial" w:eastAsia="Arial" w:hAnsi="Arial"/>
                <w:sz w:val="13"/>
                <w:szCs w:val="13"/>
                <w:b w:val="1"/>
                <w:bCs w:val="1"/>
                <w:color w:val="auto"/>
                <w:w w:val="88"/>
              </w:rPr>
              <w:t>Form 10-Q for the Quarterly Period ended June 30, 2021</w:t>
            </w:r>
          </w:p>
        </w:tc>
        <w:tc>
          <w:tcPr>
            <w:tcW w:w="0" w:type="dxa"/>
            <w:vAlign w:val="bottom"/>
          </w:tcPr>
          <w:p>
            <w:pPr>
              <w:spacing w:after="0"/>
              <w:rPr>
                <w:sz w:val="1"/>
                <w:szCs w:val="1"/>
                <w:color w:val="auto"/>
              </w:rPr>
            </w:pPr>
          </w:p>
        </w:tc>
      </w:tr>
      <w:tr>
        <w:trPr>
          <w:trHeight w:val="167"/>
        </w:trPr>
        <w:tc>
          <w:tcPr>
            <w:tcW w:w="3780" w:type="dxa"/>
            <w:vAlign w:val="bottom"/>
            <w:tcBorders>
              <w:bottom w:val="single" w:sz="8" w:color="9A9A9A"/>
            </w:tcBorders>
          </w:tcPr>
          <w:p>
            <w:pPr>
              <w:spacing w:after="0"/>
              <w:rPr>
                <w:sz w:val="14"/>
                <w:szCs w:val="14"/>
                <w:color w:val="auto"/>
              </w:rPr>
            </w:pPr>
          </w:p>
        </w:tc>
        <w:tc>
          <w:tcPr>
            <w:tcW w:w="20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49"/>
        </w:trPr>
        <w:tc>
          <w:tcPr>
            <w:tcW w:w="7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Borders>
              <w:bottom w:val="single" w:sz="8" w:color="0000EE"/>
            </w:tcBorders>
            <w:gridSpan w:val="4"/>
          </w:tcPr>
          <w:p>
            <w:pPr>
              <w:jc w:val="right"/>
              <w:spacing w:after="0"/>
              <w:rPr>
                <w:rFonts w:ascii="Arial" w:cs="Arial" w:eastAsia="Arial" w:hAnsi="Arial"/>
                <w:sz w:val="13"/>
                <w:szCs w:val="13"/>
                <w:color w:val="0000EE"/>
                <w:w w:val="91"/>
              </w:rPr>
            </w:pPr>
            <w:hyperlink w:anchor="page2">
              <w:r>
                <w:rPr>
                  <w:rFonts w:ascii="Arial" w:cs="Arial" w:eastAsia="Arial" w:hAnsi="Arial"/>
                  <w:sz w:val="13"/>
                  <w:szCs w:val="13"/>
                  <w:color w:val="0000EE"/>
                  <w:w w:val="91"/>
                </w:rPr>
                <w:t>Table of Contents</w:t>
              </w:r>
            </w:hyperlink>
          </w:p>
        </w:tc>
        <w:tc>
          <w:tcPr>
            <w:tcW w:w="0" w:type="dxa"/>
            <w:vAlign w:val="bottom"/>
          </w:tcPr>
          <w:p>
            <w:pPr>
              <w:spacing w:after="0"/>
              <w:rPr>
                <w:sz w:val="1"/>
                <w:szCs w:val="1"/>
                <w:color w:val="auto"/>
              </w:rPr>
            </w:pPr>
          </w:p>
        </w:tc>
      </w:tr>
      <w:tr>
        <w:trPr>
          <w:trHeight w:val="885"/>
        </w:trPr>
        <w:tc>
          <w:tcPr>
            <w:tcW w:w="7240" w:type="dxa"/>
            <w:vAlign w:val="bottom"/>
          </w:tcPr>
          <w:p>
            <w:pPr>
              <w:ind w:left="52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gridSpan w:val="6"/>
          </w:tcPr>
          <w:p>
            <w:pPr>
              <w:jc w:val="center"/>
              <w:ind w:left="596"/>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5"/>
          </w:tcPr>
          <w:p>
            <w:pPr>
              <w:jc w:val="center"/>
              <w:ind w:right="139"/>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240" w:type="dxa"/>
            <w:vAlign w:val="bottom"/>
            <w:tcBorders>
              <w:bottom w:val="single" w:sz="8" w:color="CFF0FC"/>
            </w:tcBorders>
            <w:vMerge w:val="continue"/>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501"/>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1,204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ind w:right="339"/>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2,278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ROU assets obtained in exchange for operating lease liabilities</w:t>
            </w: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gridSpan w:val="4"/>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330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7240" w:type="dxa"/>
            <w:vAlign w:val="bottom"/>
          </w:tcPr>
          <w:p>
            <w:pPr>
              <w:ind w:left="520"/>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40" w:type="dxa"/>
            <w:vAlign w:val="bottom"/>
          </w:tcPr>
          <w:p>
            <w:pPr>
              <w:spacing w:after="0"/>
              <w:rPr>
                <w:sz w:val="24"/>
                <w:szCs w:val="24"/>
                <w:color w:val="auto"/>
              </w:rPr>
            </w:pPr>
          </w:p>
        </w:tc>
        <w:tc>
          <w:tcPr>
            <w:tcW w:w="2320" w:type="dxa"/>
            <w:vAlign w:val="bottom"/>
            <w:gridSpan w:val="7"/>
          </w:tcPr>
          <w:p>
            <w:pPr>
              <w:jc w:val="right"/>
              <w:ind w:right="1040"/>
              <w:spacing w:after="0"/>
              <w:rPr>
                <w:sz w:val="20"/>
                <w:szCs w:val="20"/>
                <w:color w:val="auto"/>
              </w:rPr>
            </w:pPr>
            <w:r>
              <w:rPr>
                <w:rFonts w:ascii="Arial" w:cs="Arial" w:eastAsia="Arial" w:hAnsi="Arial"/>
                <w:sz w:val="14"/>
                <w:szCs w:val="14"/>
                <w:b w:val="1"/>
                <w:bCs w:val="1"/>
                <w:color w:val="auto"/>
              </w:rPr>
              <w:t>June 30, 2021</w:t>
            </w:r>
          </w:p>
        </w:tc>
        <w:tc>
          <w:tcPr>
            <w:tcW w:w="16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3"/>
        </w:trPr>
        <w:tc>
          <w:tcPr>
            <w:tcW w:w="7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4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 years</w:t>
            </w:r>
          </w:p>
        </w:tc>
        <w:tc>
          <w:tcPr>
            <w:tcW w:w="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 years</w:t>
            </w:r>
          </w:p>
        </w:tc>
        <w:tc>
          <w:tcPr>
            <w:tcW w:w="8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59"/>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gridSpan w:val="5"/>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58"/>
        </w:trPr>
        <w:tc>
          <w:tcPr>
            <w:tcW w:w="7240" w:type="dxa"/>
            <w:vAlign w:val="bottom"/>
          </w:tcPr>
          <w:p>
            <w:pPr>
              <w:ind w:left="520"/>
              <w:spacing w:after="0"/>
              <w:rPr>
                <w:sz w:val="20"/>
                <w:szCs w:val="20"/>
                <w:color w:val="auto"/>
              </w:rPr>
            </w:pPr>
            <w:r>
              <w:rPr>
                <w:rFonts w:ascii="Arial" w:cs="Arial" w:eastAsia="Arial" w:hAnsi="Arial"/>
                <w:sz w:val="18"/>
                <w:szCs w:val="18"/>
                <w:color w:val="auto"/>
                <w:w w:val="94"/>
              </w:rPr>
              <w:t>At June 30, 2021, our future minimum payments under operating leases were as follows:</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00" w:type="dxa"/>
            <w:vAlign w:val="bottom"/>
            <w:gridSpan w:val="5"/>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2,467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4,689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spacing w:after="0"/>
              <w:rPr>
                <w:sz w:val="20"/>
                <w:szCs w:val="20"/>
                <w:color w:val="auto"/>
              </w:rPr>
            </w:pPr>
            <w:r>
              <w:rPr>
                <w:rFonts w:ascii="Arial" w:cs="Arial" w:eastAsia="Arial" w:hAnsi="Arial"/>
                <w:sz w:val="18"/>
                <w:szCs w:val="18"/>
                <w:color w:val="auto"/>
              </w:rPr>
              <w:t>2024</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4,064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3,715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4,849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24,206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spacing w:after="0"/>
              <w:rPr>
                <w:sz w:val="20"/>
                <w:szCs w:val="20"/>
                <w:color w:val="auto"/>
              </w:rPr>
            </w:pPr>
            <w:r>
              <w:rPr>
                <w:rFonts w:ascii="Arial" w:cs="Arial" w:eastAsia="Arial" w:hAnsi="Arial"/>
                <w:sz w:val="18"/>
                <w:szCs w:val="18"/>
                <w:color w:val="auto"/>
              </w:rPr>
              <w:t>Less: imputed interest</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5"/>
          </w:tcPr>
          <w:p>
            <w:pPr>
              <w:jc w:val="right"/>
              <w:ind w:right="4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23"/>
        </w:trPr>
        <w:tc>
          <w:tcPr>
            <w:tcW w:w="724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3"/>
            <w:shd w:val="clear" w:color="auto" w:fill="CFF0FC"/>
          </w:tcPr>
          <w:p>
            <w:pPr>
              <w:jc w:val="right"/>
              <w:ind w:right="22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21,693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Purchase Commitments</w:t>
      </w:r>
    </w:p>
    <w:p>
      <w:pPr>
        <w:spacing w:after="0" w:line="117" w:lineRule="exact"/>
        <w:rPr>
          <w:sz w:val="20"/>
          <w:szCs w:val="20"/>
          <w:color w:val="auto"/>
        </w:rPr>
      </w:pPr>
    </w:p>
    <w:p>
      <w:pPr>
        <w:ind w:right="120" w:firstLine="468"/>
        <w:spacing w:after="0" w:line="277" w:lineRule="auto"/>
        <w:rPr>
          <w:sz w:val="20"/>
          <w:szCs w:val="20"/>
          <w:color w:val="auto"/>
        </w:rPr>
      </w:pPr>
      <w:r>
        <w:rPr>
          <w:rFonts w:ascii="Arial" w:cs="Arial" w:eastAsia="Arial" w:hAnsi="Arial"/>
          <w:sz w:val="18"/>
          <w:szCs w:val="18"/>
          <w:color w:val="auto"/>
        </w:rPr>
        <w:t>We have entered into separate noncancelable agreements with computing infrastructure and customer relationship management vendors for services through 2023. At June 30, 2021, the total remaining purchase commitments were $13.7 million.</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I –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Stock Repurchase Program</w:t>
      </w:r>
    </w:p>
    <w:p>
      <w:pPr>
        <w:spacing w:after="0" w:line="117"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212529"/>
        </w:rPr>
        <w:t>On November 2, 2019, our board of directors authorized a program to repurchase up to $50 million of common stock. Under the program, purchases may be made from time to time in the open market over two years. For the three months ended June 30, 2021, we repurchased 63,515 shares at a cost of $6.4 million. As of June 30, 2021, $24.6 million of the share repurchase program was available for future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20574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80"/>
        <w:spacing w:after="0"/>
        <w:tabs>
          <w:tab w:leader="none" w:pos="5540" w:val="left"/>
          <w:tab w:leader="none" w:pos="81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13</w:t>
      </w:r>
      <w:r>
        <w:rPr>
          <w:sz w:val="20"/>
          <w:szCs w:val="20"/>
          <w:color w:val="auto"/>
        </w:rPr>
        <w:tab/>
      </w:r>
      <w:r>
        <w:rPr>
          <w:rFonts w:ascii="Arial" w:cs="Arial" w:eastAsia="Arial" w:hAnsi="Arial"/>
          <w:sz w:val="10"/>
          <w:szCs w:val="10"/>
          <w:b w:val="1"/>
          <w:bCs w:val="1"/>
          <w:color w:val="auto"/>
        </w:rPr>
        <w:t>Form 10-Q for the Quarterly Period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J – Stock-Based Compensation</w:t>
      </w:r>
    </w:p>
    <w:p>
      <w:pPr>
        <w:spacing w:after="0" w:line="229"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Our equity compensation plans provide for the grant of incentive and nonqualified stock options, as well as other stock-based awards including performance share units (“PSUs”), restricted stock awards (“RSAs”), restricted stock units (“RSUs”), and deferred stock units (“DSUs”). We also have an employee stock purchase plan (“ESPP”). We recognize stock-based compensation expense based on grant date award fair value. This cost is recognized over the period for which the employee is required to provide service in exchange for the award or the award performance period, except for expense relating to retirement-eligible employees that have not given their required notice, which is recognized on a pro-rata basis over the notice period prior to retirement. At June 30, 2021, there were 13.6 million shares available for grant under approved equity compensation plans.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allocated in the condensed consolidated statements of comprehensive income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jc w:val="center"/>
              <w:ind w:right="193"/>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516"/>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center"/>
              <w:ind w:left="516"/>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2,909</w:t>
            </w:r>
          </w:p>
        </w:tc>
        <w:tc>
          <w:tcPr>
            <w:tcW w:w="2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2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7,499</w:t>
            </w:r>
          </w:p>
        </w:tc>
        <w:tc>
          <w:tcPr>
            <w:tcW w:w="22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2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520"/>
              <w:spacing w:after="0"/>
              <w:rPr>
                <w:sz w:val="20"/>
                <w:szCs w:val="20"/>
                <w:color w:val="auto"/>
              </w:rPr>
            </w:pPr>
            <w:r>
              <w:rPr>
                <w:rFonts w:ascii="Arial" w:cs="Arial" w:eastAsia="Arial" w:hAnsi="Arial"/>
                <w:sz w:val="18"/>
                <w:szCs w:val="18"/>
                <w:color w:val="auto"/>
              </w:rPr>
              <w:t>Stock-based compensation expense by plan type was as follows:</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5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jc w:val="center"/>
              <w:ind w:right="193"/>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516"/>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center"/>
              <w:ind w:left="556"/>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40" w:type="dxa"/>
            <w:vAlign w:val="bottom"/>
            <w:gridSpan w:val="2"/>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40" w:type="dxa"/>
            <w:vAlign w:val="bottom"/>
            <w:gridSpan w:val="2"/>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1,074</w:t>
            </w:r>
          </w:p>
        </w:tc>
        <w:tc>
          <w:tcPr>
            <w:tcW w:w="240" w:type="dxa"/>
            <w:vAlign w:val="bottom"/>
            <w:gridSpan w:val="2"/>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PSUs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4,016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RSUs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7,536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RSAs &amp; DSUs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401(k) stock match</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919</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7,499</w:t>
            </w:r>
          </w:p>
        </w:tc>
        <w:tc>
          <w:tcPr>
            <w:tcW w:w="240" w:type="dxa"/>
            <w:vAlign w:val="bottom"/>
            <w:tcBorders>
              <w:bottom w:val="single" w:sz="8" w:color="CFF0FC"/>
            </w:tcBorders>
            <w:gridSpan w:val="2"/>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240" w:type="dxa"/>
            <w:vAlign w:val="bottom"/>
            <w:tcBorders>
              <w:bottom w:val="single" w:sz="8" w:color="CFF0FC"/>
            </w:tcBorders>
            <w:gridSpan w:val="2"/>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14,424</w:t>
            </w:r>
          </w:p>
        </w:tc>
        <w:tc>
          <w:tcPr>
            <w:tcW w:w="240" w:type="dxa"/>
            <w:vAlign w:val="bottom"/>
            <w:tcBorders>
              <w:bottom w:val="single" w:sz="8" w:color="CFF0FC"/>
            </w:tcBorders>
            <w:gridSpan w:val="2"/>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As of June 30, 2021, there was $37.6 million of unrecognized stock-based compensation expense under our equity compensation plans, which is expected to be recognized on a straight-line basis over a weighted average period of 2.6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stock option activity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4560" w:type="dxa"/>
            <w:vAlign w:val="bottom"/>
            <w:gridSpan w:val="7"/>
          </w:tcPr>
          <w:p>
            <w:pPr>
              <w:ind w:left="1220"/>
              <w:spacing w:after="0"/>
              <w:rPr>
                <w:sz w:val="20"/>
                <w:szCs w:val="20"/>
                <w:color w:val="auto"/>
              </w:rPr>
            </w:pPr>
            <w:r>
              <w:rPr>
                <w:rFonts w:ascii="Arial" w:cs="Arial" w:eastAsia="Arial" w:hAnsi="Arial"/>
                <w:sz w:val="14"/>
                <w:szCs w:val="14"/>
                <w:b w:val="1"/>
                <w:bCs w:val="1"/>
                <w:color w:val="auto"/>
              </w:rPr>
              <w:t>Six Months Ended June 30, 2021</w:t>
            </w:r>
          </w:p>
        </w:tc>
      </w:tr>
      <w:tr>
        <w:trPr>
          <w:trHeight w:val="146"/>
        </w:trPr>
        <w:tc>
          <w:tcPr>
            <w:tcW w:w="668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tcPr>
          <w:p>
            <w:pPr>
              <w:jc w:val="center"/>
              <w:ind w:right="95"/>
              <w:spacing w:after="0" w:line="147" w:lineRule="exact"/>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2"/>
                <w:szCs w:val="12"/>
                <w:color w:val="auto"/>
              </w:rPr>
            </w:pPr>
          </w:p>
        </w:tc>
      </w:tr>
      <w:tr>
        <w:trPr>
          <w:trHeight w:val="171"/>
        </w:trPr>
        <w:tc>
          <w:tcPr>
            <w:tcW w:w="6680" w:type="dxa"/>
            <w:vAlign w:val="bottom"/>
          </w:tcPr>
          <w:p>
            <w:pPr>
              <w:spacing w:after="0"/>
              <w:rPr>
                <w:sz w:val="14"/>
                <w:szCs w:val="14"/>
                <w:color w:val="auto"/>
              </w:rPr>
            </w:pPr>
          </w:p>
        </w:tc>
        <w:tc>
          <w:tcPr>
            <w:tcW w:w="1400" w:type="dxa"/>
            <w:vAlign w:val="bottom"/>
          </w:tcPr>
          <w:p>
            <w:pPr>
              <w:ind w:left="680"/>
              <w:spacing w:after="0"/>
              <w:rPr>
                <w:sz w:val="20"/>
                <w:szCs w:val="20"/>
                <w:color w:val="auto"/>
              </w:rPr>
            </w:pPr>
            <w:r>
              <w:rPr>
                <w:rFonts w:ascii="Arial" w:cs="Arial" w:eastAsia="Arial" w:hAnsi="Arial"/>
                <w:sz w:val="14"/>
                <w:szCs w:val="14"/>
                <w:b w:val="1"/>
                <w:bCs w:val="1"/>
                <w:color w:val="auto"/>
                <w:w w:val="94"/>
              </w:rPr>
              <w:t>Options (#)</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Exercise Price (per share)</w:t>
            </w: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beginning of period</w:t>
            </w:r>
          </w:p>
        </w:tc>
        <w:tc>
          <w:tcPr>
            <w:tcW w:w="14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944,886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08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51,730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104.73</w:t>
            </w:r>
          </w:p>
        </w:tc>
        <w:tc>
          <w:tcPr>
            <w:tcW w:w="100" w:type="dxa"/>
            <w:vAlign w:val="bottom"/>
          </w:tcPr>
          <w:p>
            <w:pPr>
              <w:spacing w:after="0"/>
              <w:rPr>
                <w:sz w:val="19"/>
                <w:szCs w:val="19"/>
                <w:color w:val="auto"/>
              </w:rPr>
            </w:pPr>
          </w:p>
        </w:tc>
      </w:tr>
      <w:tr>
        <w:trPr>
          <w:trHeight w:val="230"/>
        </w:trPr>
        <w:tc>
          <w:tcPr>
            <w:tcW w:w="8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3"/>
              </w:rPr>
              <w:t>(119,734)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33.65</w:t>
            </w:r>
          </w:p>
        </w:tc>
        <w:tc>
          <w:tcPr>
            <w:tcW w:w="100" w:type="dxa"/>
            <w:vAlign w:val="bottom"/>
            <w:shd w:val="clear" w:color="auto" w:fill="CFF0FC"/>
          </w:tcPr>
          <w:p>
            <w:pPr>
              <w:spacing w:after="0"/>
              <w:rPr>
                <w:sz w:val="19"/>
                <w:szCs w:val="19"/>
                <w:color w:val="auto"/>
              </w:rPr>
            </w:pPr>
          </w:p>
        </w:tc>
      </w:tr>
      <w:tr>
        <w:trPr>
          <w:trHeight w:val="230"/>
        </w:trPr>
        <w:tc>
          <w:tcPr>
            <w:tcW w:w="808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61.78</w:t>
            </w:r>
          </w:p>
        </w:tc>
        <w:tc>
          <w:tcPr>
            <w:tcW w:w="100" w:type="dxa"/>
            <w:vAlign w:val="bottom"/>
          </w:tcPr>
          <w:p>
            <w:pPr>
              <w:spacing w:after="0"/>
              <w:rPr>
                <w:sz w:val="19"/>
                <w:szCs w:val="19"/>
                <w:color w:val="auto"/>
              </w:rPr>
            </w:pPr>
          </w:p>
        </w:tc>
      </w:tr>
      <w:tr>
        <w:trPr>
          <w:trHeight w:val="223"/>
        </w:trPr>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end of period</w:t>
            </w:r>
          </w:p>
        </w:tc>
        <w:tc>
          <w:tcPr>
            <w:tcW w:w="140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873,639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0"/>
        <w:spacing w:after="0"/>
        <w:tabs>
          <w:tab w:leader="none" w:pos="5540" w:val="left"/>
          <w:tab w:leader="none" w:pos="81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14</w:t>
      </w:r>
      <w:r>
        <w:rPr>
          <w:sz w:val="20"/>
          <w:szCs w:val="20"/>
          <w:color w:val="auto"/>
        </w:rPr>
        <w:tab/>
      </w:r>
      <w:r>
        <w:rPr>
          <w:rFonts w:ascii="Arial" w:cs="Arial" w:eastAsia="Arial" w:hAnsi="Arial"/>
          <w:sz w:val="10"/>
          <w:szCs w:val="10"/>
          <w:b w:val="1"/>
          <w:bCs w:val="1"/>
          <w:color w:val="auto"/>
        </w:rPr>
        <w:t>Form 10-Q for the Quarterly Period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4" w:name="page15"/>
    <w:bookmarkEnd w:id="14"/>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Of the total outstanding options at June 30, 2021, 0.7 million were exercisable. The outstanding and exercisable options had a weighted average exercise price of $34.39 per share and a weighted average remaining contractual life of 3.2 years.</w:t>
      </w:r>
    </w:p>
    <w:p>
      <w:pPr>
        <w:spacing w:after="0" w:line="170"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weighted average grant date fair value of options granted during the six months ended June 30, 2021 was $30.96 per share. This was estimated on the date of grant using the Black-Scholes option pricing model with the following weighted-average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5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Dividend yield</w:t>
            </w:r>
          </w:p>
        </w:tc>
        <w:tc>
          <w:tcPr>
            <w:tcW w:w="5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Life (in years)</w:t>
            </w:r>
          </w:p>
        </w:tc>
        <w:tc>
          <w:tcPr>
            <w:tcW w:w="5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4.4</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080" w:type="dxa"/>
            <w:vAlign w:val="bottom"/>
          </w:tcPr>
          <w:p>
            <w:pPr>
              <w:jc w:val="right"/>
              <w:spacing w:after="0"/>
              <w:rPr>
                <w:sz w:val="20"/>
                <w:szCs w:val="20"/>
                <w:color w:val="auto"/>
              </w:rPr>
            </w:pPr>
            <w:r>
              <w:rPr>
                <w:rFonts w:ascii="Arial" w:cs="Arial" w:eastAsia="Arial" w:hAnsi="Arial"/>
                <w:sz w:val="18"/>
                <w:szCs w:val="18"/>
                <w:color w:val="auto"/>
              </w:rPr>
              <w:t>0.6%</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Performance Share Units, Restricted Stock Units and Awards, and Deferred Stock Units</w:t>
      </w:r>
    </w:p>
    <w:p>
      <w:pPr>
        <w:spacing w:after="0" w:line="225"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In each of the quarters ended March 31, 2021, 2020, 2019, and 2018 we granted PSU awards with a target performance level. These awards are earned based upon the Company’s total shareholder return as compared to an indexed total shareholder return over the course of a fiscal based three-year performance period, starting in the year of grant. Awards vest in the quarter following the conclusion of the performance period. In the three months ended March 31, 2021, PSU awards granted in 2018 vested at the maximum performance level and 0.1 million shares of common stock were issued.</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PSU, RSU, RSA, and DSU activity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w w:val="95"/>
              </w:rPr>
              <w:t>Six Months Ended June 30, 2021</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4"/>
          </w:tcPr>
          <w:p>
            <w:pPr>
              <w:jc w:val="right"/>
              <w:ind w:right="212"/>
              <w:spacing w:after="0" w:line="147" w:lineRule="exact"/>
              <w:rPr>
                <w:sz w:val="20"/>
                <w:szCs w:val="20"/>
                <w:color w:val="auto"/>
              </w:rPr>
            </w:pPr>
            <w:r>
              <w:rPr>
                <w:rFonts w:ascii="Arial" w:cs="Arial" w:eastAsia="Arial" w:hAnsi="Arial"/>
                <w:sz w:val="14"/>
                <w:szCs w:val="14"/>
                <w:b w:val="1"/>
                <w:bCs w:val="1"/>
                <w:color w:val="auto"/>
              </w:rPr>
              <w:t>Weighted Average Grant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53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ind w:left="240"/>
              <w:spacing w:after="0"/>
              <w:rPr>
                <w:sz w:val="20"/>
                <w:szCs w:val="20"/>
                <w:color w:val="auto"/>
              </w:rPr>
            </w:pPr>
            <w:r>
              <w:rPr>
                <w:rFonts w:ascii="Arial" w:cs="Arial" w:eastAsia="Arial" w:hAnsi="Arial"/>
                <w:sz w:val="14"/>
                <w:szCs w:val="14"/>
                <w:b w:val="1"/>
                <w:bCs w:val="1"/>
                <w:color w:val="auto"/>
              </w:rPr>
              <w:t>Date Fair Value (per unit)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beginning of period</w:t>
            </w:r>
          </w:p>
        </w:tc>
        <w:tc>
          <w:tcPr>
            <w:tcW w:w="26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738,422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8"/>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Granted</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272,813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(288,058)</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4"/>
          </w:tcPr>
          <w:p>
            <w:pPr>
              <w:jc w:val="right"/>
              <w:ind w:right="100"/>
              <w:spacing w:after="0"/>
              <w:rPr>
                <w:sz w:val="20"/>
                <w:szCs w:val="20"/>
                <w:color w:val="auto"/>
              </w:rPr>
            </w:pPr>
            <w:r>
              <w:rPr>
                <w:rFonts w:ascii="Arial" w:cs="Arial" w:eastAsia="Arial" w:hAnsi="Arial"/>
                <w:sz w:val="18"/>
                <w:szCs w:val="18"/>
                <w:color w:val="auto"/>
              </w:rPr>
              <w:t>(10,529)</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end of period</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712,648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i w:val="1"/>
                <w:iCs w:val="1"/>
                <w:color w:val="1F282C"/>
              </w:rPr>
              <w:t>Employee Stock Purchase Plan</w:t>
            </w: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40" w:type="dxa"/>
            <w:vAlign w:val="bottom"/>
          </w:tcPr>
          <w:p>
            <w:pPr>
              <w:ind w:left="520"/>
              <w:spacing w:after="0"/>
              <w:rPr>
                <w:sz w:val="20"/>
                <w:szCs w:val="20"/>
                <w:color w:val="auto"/>
              </w:rPr>
            </w:pPr>
            <w:r>
              <w:rPr>
                <w:rFonts w:ascii="Arial" w:cs="Arial" w:eastAsia="Arial" w:hAnsi="Arial"/>
                <w:sz w:val="18"/>
                <w:szCs w:val="18"/>
                <w:color w:val="auto"/>
              </w:rPr>
              <w:t>Our ESPP activity was as follows:</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36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Amounts for shares purchased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2,081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2,186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Shares purchased</w:t>
            </w:r>
          </w:p>
        </w:tc>
        <w:tc>
          <w:tcPr>
            <w:tcW w:w="2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24,528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31,068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26,149</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total of 1.8 million shares of common stock are reserved for issuance under the ESPP as of June 30, 2021.</w:t>
      </w:r>
    </w:p>
    <w:p>
      <w:pPr>
        <w:spacing w:after="0" w:line="266"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fair value was estimated based on the market price of our common stock at the beginning of the offering period using the Black-Scholes option pricing model with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5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Dividend yield</w:t>
            </w:r>
          </w:p>
        </w:tc>
        <w:tc>
          <w:tcPr>
            <w:tcW w:w="5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Life (in years)</w:t>
            </w:r>
          </w:p>
        </w:tc>
        <w:tc>
          <w:tcPr>
            <w:tcW w:w="5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0.5</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08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80"/>
        <w:spacing w:after="0"/>
        <w:tabs>
          <w:tab w:leader="none" w:pos="5540" w:val="left"/>
          <w:tab w:leader="none" w:pos="81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15</w:t>
      </w:r>
      <w:r>
        <w:rPr>
          <w:sz w:val="20"/>
          <w:szCs w:val="20"/>
          <w:color w:val="auto"/>
        </w:rPr>
        <w:tab/>
      </w:r>
      <w:r>
        <w:rPr>
          <w:rFonts w:ascii="Arial" w:cs="Arial" w:eastAsia="Arial" w:hAnsi="Arial"/>
          <w:sz w:val="10"/>
          <w:szCs w:val="10"/>
          <w:b w:val="1"/>
          <w:bCs w:val="1"/>
          <w:color w:val="auto"/>
        </w:rPr>
        <w:t>Form 10-Q for the Quarterly Period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5" w:name="page16"/>
    <w:bookmarkEnd w:id="15"/>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K – Income Taxes</w:t>
      </w:r>
    </w:p>
    <w:p>
      <w:pPr>
        <w:spacing w:after="0" w:line="121"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permanently non-deductible expenses partially offset by the federal research and development credits and tax benefits associated with foreign-derived intangible income. Additionally, excess tax benefits generated upon settlement or exercise of stock awards are recognized as a reduction to income tax expense as a discrete tax item in the quarter that the event occurs creating potentially significant fluctuation in tax expense by quarter and by year. Our provisions for income taxes includes current federal, state, and foreign income tax expense, as well as deferred tax expense.</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2021, we did not have any unrecognized tax benefits, accrued interest, or tax penalties.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L – Other Income and Expense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(expense), net included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40" w:type="dxa"/>
            <w:vAlign w:val="bottom"/>
            <w:tcBorders>
              <w:bottom w:val="single" w:sz="8" w:color="CFF0FC"/>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83"/>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w w:val="99"/>
              </w:rPr>
              <w:t>Realized gain (loss) from foreign currency on cash and investments held</w:t>
            </w:r>
          </w:p>
        </w:tc>
        <w:tc>
          <w:tcPr>
            <w:tcW w:w="2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(349)</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(638)</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(246)</w:t>
            </w:r>
          </w:p>
        </w:tc>
        <w:tc>
          <w:tcPr>
            <w:tcW w:w="3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Change in earn-out liability</w:t>
            </w:r>
          </w:p>
        </w:tc>
        <w:tc>
          <w:tcPr>
            <w:tcW w:w="22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4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(708)</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Effective January 1, 2021, all realized gains or losses and interest income on our investments are included in investment income. Previously, realized gains and losses were included in other income (expense), net and interest income was included in interest income, net. Additionally, realized gains or losses from foreign currency on cash and investments held were previously included in other income (expense), net. Amounts for the three and six months ended June 30, 2020 have been reclassified to be consistent with the classifications for the three and six months ended June 30, 2021.</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M – Net Income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Basic net income per share has been computed using the weighted average number of shares of common stock outstanding during each period.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Diluted net income per share also includes the impact of our outstanding potential common shares, including options, PSUs, RSUs, RSAs, and DSUs.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Potential common shares that are anti-dilutive are excluded from the calculation of diluted net income per share.</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and computation of basic and diluted net income per share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10,183</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11,194</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20,383</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Weighted average common shares outstanding, basic</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35,903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35,030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35,828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Options to purchase common stock</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PSUs, RSUs, RSAs, and DSUs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outstanding, diluted</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36,753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36,016</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36,741</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35,995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share</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50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0.28</w:t>
            </w:r>
          </w:p>
        </w:tc>
        <w:tc>
          <w:tcPr>
            <w:tcW w:w="240" w:type="dxa"/>
            <w:vAlign w:val="bottom"/>
          </w:tcPr>
          <w:p>
            <w:pPr>
              <w:spacing w:after="0"/>
              <w:rPr>
                <w:sz w:val="20"/>
                <w:szCs w:val="20"/>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0.31</w:t>
            </w:r>
          </w:p>
        </w:tc>
        <w:tc>
          <w:tcPr>
            <w:tcW w:w="240" w:type="dxa"/>
            <w:vAlign w:val="bottom"/>
          </w:tcPr>
          <w:p>
            <w:pPr>
              <w:spacing w:after="0"/>
              <w:rPr>
                <w:sz w:val="20"/>
                <w:szCs w:val="20"/>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0.55</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9" w:lineRule="exact"/>
        <w:rPr>
          <w:sz w:val="20"/>
          <w:szCs w:val="20"/>
          <w:color w:val="auto"/>
        </w:rPr>
      </w:pPr>
    </w:p>
    <w:p>
      <w:pPr>
        <w:jc w:val="both"/>
        <w:ind w:right="20" w:firstLine="510"/>
        <w:spacing w:after="0" w:line="293" w:lineRule="auto"/>
        <w:rPr>
          <w:sz w:val="20"/>
          <w:szCs w:val="20"/>
          <w:color w:val="auto"/>
        </w:rPr>
      </w:pPr>
      <w:r>
        <w:rPr>
          <w:rFonts w:ascii="Arial" w:cs="Arial" w:eastAsia="Arial" w:hAnsi="Arial"/>
          <w:sz w:val="18"/>
          <w:szCs w:val="18"/>
          <w:color w:val="auto"/>
        </w:rPr>
        <w:t>The following table presents the effect of the outstanding potential common shares that were excluded from the calculation of diluted net income per share as they were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20574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80"/>
        <w:spacing w:after="0"/>
        <w:tabs>
          <w:tab w:leader="none" w:pos="5540" w:val="left"/>
          <w:tab w:leader="none" w:pos="81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16</w:t>
      </w:r>
      <w:r>
        <w:rPr>
          <w:sz w:val="20"/>
          <w:szCs w:val="20"/>
          <w:color w:val="auto"/>
        </w:rPr>
        <w:tab/>
      </w:r>
      <w:r>
        <w:rPr>
          <w:rFonts w:ascii="Arial" w:cs="Arial" w:eastAsia="Arial" w:hAnsi="Arial"/>
          <w:sz w:val="10"/>
          <w:szCs w:val="10"/>
          <w:b w:val="1"/>
          <w:bCs w:val="1"/>
          <w:color w:val="auto"/>
        </w:rPr>
        <w:t>Form 10-Q for the Quarterly Period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49"/>
        </w:trPr>
        <w:tc>
          <w:tcPr>
            <w:tcW w:w="4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Borders>
              <w:bottom w:val="single" w:sz="8" w:color="0000EE"/>
            </w:tcBorders>
          </w:tcPr>
          <w:p>
            <w:pPr>
              <w:jc w:val="right"/>
              <w:spacing w:after="0"/>
              <w:rPr>
                <w:rFonts w:ascii="Arial" w:cs="Arial" w:eastAsia="Arial" w:hAnsi="Arial"/>
                <w:sz w:val="13"/>
                <w:szCs w:val="13"/>
                <w:color w:val="0000EE"/>
                <w:w w:val="91"/>
              </w:rPr>
            </w:pPr>
            <w:hyperlink w:anchor="page2">
              <w:r>
                <w:rPr>
                  <w:rFonts w:ascii="Arial" w:cs="Arial" w:eastAsia="Arial" w:hAnsi="Arial"/>
                  <w:sz w:val="13"/>
                  <w:szCs w:val="13"/>
                  <w:color w:val="0000EE"/>
                  <w:w w:val="91"/>
                </w:rPr>
                <w:t>Table of Contents</w:t>
              </w:r>
            </w:hyperlink>
          </w:p>
        </w:tc>
      </w:tr>
      <w:tr>
        <w:trPr>
          <w:trHeight w:val="467"/>
        </w:trPr>
        <w:tc>
          <w:tcPr>
            <w:tcW w:w="4960" w:type="dxa"/>
            <w:vAlign w:val="bottom"/>
          </w:tcPr>
          <w:p>
            <w:pPr>
              <w:spacing w:after="0"/>
              <w:rPr>
                <w:sz w:val="24"/>
                <w:szCs w:val="24"/>
                <w:color w:val="auto"/>
              </w:rPr>
            </w:pPr>
          </w:p>
        </w:tc>
        <w:tc>
          <w:tcPr>
            <w:tcW w:w="3680" w:type="dxa"/>
            <w:vAlign w:val="bottom"/>
            <w:gridSpan w:val="5"/>
          </w:tcPr>
          <w:p>
            <w:pPr>
              <w:jc w:val="center"/>
              <w:ind w:right="1120"/>
              <w:spacing w:after="0"/>
              <w:rPr>
                <w:sz w:val="20"/>
                <w:szCs w:val="20"/>
                <w:color w:val="auto"/>
              </w:rPr>
            </w:pPr>
            <w:r>
              <w:rPr>
                <w:rFonts w:ascii="Arial" w:cs="Arial" w:eastAsia="Arial" w:hAnsi="Arial"/>
                <w:sz w:val="14"/>
                <w:szCs w:val="14"/>
                <w:b w:val="1"/>
                <w:bCs w:val="1"/>
                <w:color w:val="auto"/>
                <w:w w:val="95"/>
              </w:rPr>
              <w:t>Three Months Ended</w:t>
            </w: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228"/>
        </w:trPr>
        <w:tc>
          <w:tcPr>
            <w:tcW w:w="4960" w:type="dxa"/>
            <w:vAlign w:val="bottom"/>
          </w:tcPr>
          <w:p>
            <w:pPr>
              <w:spacing w:after="0"/>
              <w:rPr>
                <w:sz w:val="19"/>
                <w:szCs w:val="19"/>
                <w:color w:val="auto"/>
              </w:rPr>
            </w:pPr>
          </w:p>
        </w:tc>
        <w:tc>
          <w:tcPr>
            <w:tcW w:w="1700" w:type="dxa"/>
            <w:vAlign w:val="bottom"/>
            <w:tcBorders>
              <w:bottom w:val="single" w:sz="8" w:color="auto"/>
            </w:tcBorders>
            <w:gridSpan w:val="3"/>
          </w:tcPr>
          <w:p>
            <w:pPr>
              <w:jc w:val="center"/>
              <w:ind w:left="784"/>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640" w:type="dxa"/>
            <w:vAlign w:val="bottom"/>
            <w:tcBorders>
              <w:bottom w:val="single" w:sz="8" w:color="auto"/>
            </w:tcBorders>
            <w:gridSpan w:val="3"/>
          </w:tcPr>
          <w:p>
            <w:pPr>
              <w:jc w:val="center"/>
              <w:ind w:left="864"/>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9"/>
                <w:szCs w:val="19"/>
                <w:color w:val="auto"/>
              </w:rPr>
            </w:pPr>
          </w:p>
        </w:tc>
      </w:tr>
      <w:tr>
        <w:trPr>
          <w:trHeight w:val="223"/>
        </w:trPr>
        <w:tc>
          <w:tcPr>
            <w:tcW w:w="49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r>
      <w:tr>
        <w:trPr>
          <w:trHeight w:val="23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Antidilutive shares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N – Geographic Information</w:t>
      </w:r>
    </w:p>
    <w:p>
      <w:pPr>
        <w:spacing w:after="0" w:line="229"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following table presents domestic revenue, which we define as the percentage of revenue that was attributable to customers based within the U.S. No single jurisdiction outside of the U.S. had revenues in excess of 10%.</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240" w:type="dxa"/>
            <w:vAlign w:val="bottom"/>
            <w:gridSpan w:val="4"/>
          </w:tcPr>
          <w:p>
            <w:pPr>
              <w:jc w:val="center"/>
              <w:ind w:left="188"/>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60" w:type="dxa"/>
            <w:vAlign w:val="bottom"/>
            <w:gridSpan w:val="3"/>
          </w:tcPr>
          <w:p>
            <w:pPr>
              <w:jc w:val="center"/>
              <w:ind w:left="562"/>
              <w:spacing w:after="0"/>
              <w:rPr>
                <w:sz w:val="20"/>
                <w:szCs w:val="20"/>
                <w:color w:val="auto"/>
              </w:rPr>
            </w:pPr>
            <w:r>
              <w:rPr>
                <w:rFonts w:ascii="Arial" w:cs="Arial" w:eastAsia="Arial" w:hAnsi="Arial"/>
                <w:sz w:val="14"/>
                <w:szCs w:val="14"/>
                <w:b w:val="1"/>
                <w:bCs w:val="1"/>
                <w:color w:val="auto"/>
                <w:w w:val="93"/>
              </w:rPr>
              <w:t>Six Months Ended</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8"/>
        </w:trPr>
        <w:tc>
          <w:tcPr>
            <w:tcW w:w="47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648"/>
              <w:spacing w:after="0"/>
              <w:rPr>
                <w:sz w:val="20"/>
                <w:szCs w:val="20"/>
                <w:color w:val="auto"/>
              </w:rPr>
            </w:pPr>
            <w:r>
              <w:rPr>
                <w:rFonts w:ascii="Arial" w:cs="Arial" w:eastAsia="Arial" w:hAnsi="Arial"/>
                <w:sz w:val="14"/>
                <w:szCs w:val="14"/>
                <w:b w:val="1"/>
                <w:bCs w:val="1"/>
                <w:color w:val="auto"/>
                <w:w w:val="89"/>
              </w:rPr>
              <w:t>June 30,</w:t>
            </w:r>
          </w:p>
        </w:tc>
        <w:tc>
          <w:tcPr>
            <w:tcW w:w="280" w:type="dxa"/>
            <w:vAlign w:val="bottom"/>
            <w:tcBorders>
              <w:bottom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6"/>
        </w:trPr>
        <w:tc>
          <w:tcPr>
            <w:tcW w:w="474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20"/>
                <w:szCs w:val="20"/>
                <w:color w:val="auto"/>
              </w:rPr>
            </w:pPr>
          </w:p>
        </w:tc>
        <w:tc>
          <w:tcPr>
            <w:tcW w:w="56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FF0FC"/>
            </w:tcBorders>
          </w:tcPr>
          <w:p>
            <w:pPr>
              <w:spacing w:after="0"/>
              <w:rPr>
                <w:sz w:val="20"/>
                <w:szCs w:val="20"/>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Domestic revenue</w:t>
            </w:r>
          </w:p>
        </w:tc>
        <w:tc>
          <w:tcPr>
            <w:tcW w:w="7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348"/>
              <w:spacing w:after="0"/>
              <w:rPr>
                <w:sz w:val="20"/>
                <w:szCs w:val="20"/>
                <w:color w:val="auto"/>
              </w:rPr>
            </w:pPr>
            <w:r>
              <w:rPr>
                <w:rFonts w:ascii="Arial" w:cs="Arial" w:eastAsia="Arial" w:hAnsi="Arial"/>
                <w:sz w:val="18"/>
                <w:szCs w:val="18"/>
                <w:color w:val="auto"/>
              </w:rPr>
              <w:t>84%</w:t>
            </w:r>
          </w:p>
        </w:tc>
        <w:tc>
          <w:tcPr>
            <w:tcW w:w="7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140"/>
              <w:spacing w:after="0"/>
              <w:rPr>
                <w:sz w:val="20"/>
                <w:szCs w:val="20"/>
                <w:color w:val="auto"/>
              </w:rPr>
            </w:pPr>
            <w:r>
              <w:rPr>
                <w:rFonts w:ascii="Arial" w:cs="Arial" w:eastAsia="Arial" w:hAnsi="Arial"/>
                <w:sz w:val="18"/>
                <w:szCs w:val="18"/>
                <w:color w:val="auto"/>
              </w:rPr>
              <w:t>85%</w:t>
            </w:r>
          </w:p>
        </w:tc>
        <w:tc>
          <w:tcPr>
            <w:tcW w:w="1540" w:type="dxa"/>
            <w:vAlign w:val="bottom"/>
            <w:gridSpan w:val="2"/>
            <w:shd w:val="clear" w:color="auto" w:fill="CFF0FC"/>
          </w:tcPr>
          <w:p>
            <w:pPr>
              <w:jc w:val="right"/>
              <w:ind w:right="328"/>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w:t>
            </w:r>
          </w:p>
        </w:tc>
      </w:tr>
    </w:tbl>
    <w:p>
      <w:pPr>
        <w:spacing w:after="0" w:line="200" w:lineRule="exact"/>
        <w:rPr>
          <w:sz w:val="20"/>
          <w:szCs w:val="20"/>
          <w:color w:val="auto"/>
        </w:rPr>
      </w:pPr>
    </w:p>
    <w:p>
      <w:pPr>
        <w:spacing w:after="0" w:line="32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At June 30, 2021 and 2020, 14% and 9%, respectively, of property and equipment, net was located at subsidiary and office locations outside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205740"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80"/>
        <w:spacing w:after="0"/>
        <w:tabs>
          <w:tab w:leader="none" w:pos="5540" w:val="left"/>
          <w:tab w:leader="none" w:pos="81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17</w:t>
      </w:r>
      <w:r>
        <w:rPr>
          <w:sz w:val="20"/>
          <w:szCs w:val="20"/>
          <w:color w:val="auto"/>
        </w:rPr>
        <w:tab/>
      </w:r>
      <w:r>
        <w:rPr>
          <w:rFonts w:ascii="Arial" w:cs="Arial" w:eastAsia="Arial" w:hAnsi="Arial"/>
          <w:sz w:val="10"/>
          <w:szCs w:val="10"/>
          <w:b w:val="1"/>
          <w:bCs w:val="1"/>
          <w:color w:val="auto"/>
        </w:rPr>
        <w:t>Form 10-Q for the Quarterly Period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2.</w:t>
      </w:r>
      <w:r>
        <w:rPr>
          <w:sz w:val="20"/>
          <w:szCs w:val="20"/>
          <w:color w:val="auto"/>
        </w:rPr>
        <w:tab/>
      </w:r>
      <w:r>
        <w:rPr>
          <w:rFonts w:ascii="Arial" w:cs="Arial" w:eastAsia="Arial" w:hAnsi="Arial"/>
          <w:sz w:val="16"/>
          <w:szCs w:val="16"/>
          <w:b w:val="1"/>
          <w:bCs w:val="1"/>
          <w:color w:val="00AAE5"/>
        </w:rPr>
        <w:t>Management’s Discussion and Analysis of Financial Condition and Results of Operations</w:t>
      </w:r>
    </w:p>
    <w:p>
      <w:pPr>
        <w:spacing w:after="0" w:line="121"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U.S. Private Securities Litigation Reform Act of 1995. Forward-looking statements regarding us, our business prospects and our results of operations are subject to certain risks and uncertainties posed by many factors and events, many of which may be amplified by the coronavirus (COVID-19) pandemic, that could cause our actual business, prospects, and results of operations to differ materially from those that may be anticipated by such forward-looking statements. Readers are cautioned not to place undue reliance on these forward-looking statements, which speak only as of the date of this report. In some cases, you can identify forward-looking statements by the following words: “anticipate,” “assumes,” “believe,” “continue,” “could,” “estimate,” “expect,” “intend,” “may,” “ongoing,” “plan,” “potential,” “predict,” “project,” “should,” “will,” “would,” or the negative of these terms or other comparable terminology, although not all forward-looking statements contain these words. Similarly, statements that describe our future plans, objectives or goals are also forward-looking. Forward-looking statements may also be made from time to time in oral presentations, including telephone conferences and/or webcasts open to the public. Shareholders, potential investors and others are cautioned that all forward-looking statements involve risks and uncertainties that could cause results in future periods to differ materially from those anticipated by some of the statements made in this report, including the risks and uncertainties described under the heading “Risk Factors” appearing in our Annual Report on Form 10-K for the year ended December 31, 2020, as may be updated in our subsequent Quarterly Reports on Form 10-Q from time to time, including the updates in this Quarterly Report on Form 10-Q.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 that advise interested parties of the risks and factors that may affect our business.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Overview</w:t>
      </w:r>
    </w:p>
    <w:p>
      <w:pPr>
        <w:spacing w:after="0" w:line="12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SPS Commerce is a leading provider of cloud-based solutions that make it easier for retailers, suppliers, grocers, distributors, and logistics firms to orchestrate the management of item data, order fulfillment, inventory control and sales analytics across all channels. The solutions offered by SPS Commerce eliminate the need for on-premise software and support staff by taking on that capability on the customer’s behalf. We derive the majority of our revenues from numerous monthly recurring subscriptions from businesses that utilize our solutions.</w:t>
      </w:r>
    </w:p>
    <w:p>
      <w:pPr>
        <w:spacing w:after="0" w:line="171"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187" w:lineRule="exact"/>
        <w:rPr>
          <w:sz w:val="20"/>
          <w:szCs w:val="20"/>
          <w:color w:val="auto"/>
        </w:rPr>
      </w:pPr>
    </w:p>
    <w:p>
      <w:pPr>
        <w:jc w:val="both"/>
        <w:ind w:right="820" w:firstLine="510"/>
        <w:spacing w:after="0" w:line="342" w:lineRule="auto"/>
        <w:rPr>
          <w:sz w:val="20"/>
          <w:szCs w:val="20"/>
          <w:color w:val="auto"/>
        </w:rPr>
      </w:pPr>
      <w:r>
        <w:rPr>
          <w:rFonts w:ascii="Arial" w:cs="Arial" w:eastAsia="Arial" w:hAnsi="Arial"/>
          <w:sz w:val="16"/>
          <w:szCs w:val="16"/>
          <w:color w:val="auto"/>
        </w:rPr>
        <w:t>For the three months ended June 30, 2021, our revenues were $94.5 million, an increase of 25% from the comparable period in 2020, and represented our 82nd consecutive quarter of increased revenues. Total operating expenses increased 23% for the same period in 2021 from 2020.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Key Financial Terms and Metrics</w:t>
      </w:r>
    </w:p>
    <w:p>
      <w:pPr>
        <w:spacing w:after="0" w:line="121"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We have several key financial terms and metrics, including annualized average recurring revenues per recurring revenue customer. Beginning in 2021, we added Adjusted EBITDA Margin as a financial metric. There were no additional changes in the definitions of our key financial terms and metrics, which are discussed in more detail under the heading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included in our Annual Report on Form 10-K for the year ended December 31, 2020, as filed with the SEC.</w:t>
      </w:r>
    </w:p>
    <w:p>
      <w:pPr>
        <w:spacing w:after="0" w:line="171"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To supplement our financial statements, we provide investors with Adjusted EBITDA, Adjusted EBITDA Margin, and non-GAAP income per share, all of which are non-GAAP financial measures. We believe that these non-GAAP measures provide useful information to our management, board of directors,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w:t>
      </w:r>
    </w:p>
    <w:p>
      <w:pPr>
        <w:spacing w:after="0" w:line="176"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These non-GAAP measures should not be considered a substitute for, or superior to, financial measures calculated in accordance with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20574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80"/>
        <w:spacing w:after="0"/>
        <w:tabs>
          <w:tab w:leader="none" w:pos="5540" w:val="left"/>
          <w:tab w:leader="none" w:pos="81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18</w:t>
      </w:r>
      <w:r>
        <w:rPr>
          <w:sz w:val="20"/>
          <w:szCs w:val="20"/>
          <w:color w:val="auto"/>
        </w:rPr>
        <w:tab/>
      </w:r>
      <w:r>
        <w:rPr>
          <w:rFonts w:ascii="Arial" w:cs="Arial" w:eastAsia="Arial" w:hAnsi="Arial"/>
          <w:sz w:val="10"/>
          <w:szCs w:val="10"/>
          <w:b w:val="1"/>
          <w:bCs w:val="1"/>
          <w:color w:val="auto"/>
        </w:rPr>
        <w:t>Form 10-Q for the Quarterly Period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8" w:name="page19"/>
    <w:bookmarkEnd w:id="18"/>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Critical Accounting Policies and Estimates</w:t>
      </w:r>
    </w:p>
    <w:p>
      <w:pPr>
        <w:spacing w:after="0" w:line="121" w:lineRule="exact"/>
        <w:rPr>
          <w:sz w:val="20"/>
          <w:szCs w:val="20"/>
          <w:color w:val="auto"/>
        </w:rPr>
      </w:pPr>
    </w:p>
    <w:p>
      <w:pPr>
        <w:ind w:right="320" w:firstLine="514"/>
        <w:spacing w:after="0" w:line="255" w:lineRule="auto"/>
        <w:rPr>
          <w:sz w:val="20"/>
          <w:szCs w:val="20"/>
          <w:color w:val="auto"/>
        </w:rPr>
      </w:pPr>
      <w:r>
        <w:rPr>
          <w:rFonts w:ascii="Arial" w:cs="Arial" w:eastAsia="Arial" w:hAnsi="Arial"/>
          <w:sz w:val="18"/>
          <w:szCs w:val="18"/>
          <w:color w:val="auto"/>
        </w:rPr>
        <w:t>This discussion of our financial condition and results of operations is based upon our condensed consolidated financial statements, which are prepared in accordance with GAAP and with the instructions to Form 10-Q and Rule 10-01 of Regulation S-X. The preparation of these financial statements requires us to make estimates, judgments and assumptions that affect the reported amounts of assets, liabilities, revenues,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92" w:lineRule="exact"/>
        <w:rPr>
          <w:sz w:val="20"/>
          <w:szCs w:val="20"/>
          <w:color w:val="auto"/>
        </w:rPr>
      </w:pPr>
    </w:p>
    <w:p>
      <w:pPr>
        <w:ind w:right="40" w:firstLine="514"/>
        <w:spacing w:after="0" w:line="259" w:lineRule="auto"/>
        <w:rPr>
          <w:sz w:val="20"/>
          <w:szCs w:val="20"/>
          <w:color w:val="auto"/>
        </w:rPr>
      </w:pPr>
      <w:r>
        <w:rPr>
          <w:rFonts w:ascii="Arial" w:cs="Arial" w:eastAsia="Arial" w:hAnsi="Arial"/>
          <w:sz w:val="18"/>
          <w:szCs w:val="18"/>
          <w:color w:val="auto"/>
        </w:rPr>
        <w:t>A critical accounting policy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internal-use software, and business combinations are the most critical to fully understand and evaluate our financial condition and results of operations.</w:t>
      </w:r>
    </w:p>
    <w:p>
      <w:pPr>
        <w:spacing w:after="0" w:line="187" w:lineRule="exact"/>
        <w:rPr>
          <w:sz w:val="20"/>
          <w:szCs w:val="20"/>
          <w:color w:val="auto"/>
        </w:rPr>
      </w:pPr>
    </w:p>
    <w:p>
      <w:pPr>
        <w:ind w:right="340" w:firstLine="514"/>
        <w:spacing w:after="0" w:line="263" w:lineRule="auto"/>
        <w:rPr>
          <w:sz w:val="20"/>
          <w:szCs w:val="20"/>
          <w:color w:val="auto"/>
        </w:rPr>
      </w:pPr>
      <w:r>
        <w:rPr>
          <w:rFonts w:ascii="Arial" w:cs="Arial" w:eastAsia="Arial" w:hAnsi="Arial"/>
          <w:sz w:val="18"/>
          <w:szCs w:val="18"/>
          <w:color w:val="auto"/>
        </w:rPr>
        <w:t>During the six months ended June 30, 2020, there were no changes in our critical accounting policies or estimates. See Note A to our condensed consolidated financial statements included in this Quarterly Report on Form 10-Q and in our Annual Report on Form 10-K for the year ended December 31, 2020, as filed with the SEC, for additional information regarding our accounting policies.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Three Months Ended June 30, 2021 Compared to Three Months Ended June 30,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w w:val="98"/>
              </w:rPr>
              <w:t>Three Months Ended June 30,</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8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700" w:type="dxa"/>
            <w:vAlign w:val="bottom"/>
          </w:tcPr>
          <w:p>
            <w:pPr>
              <w:jc w:val="right"/>
              <w:ind w:right="331"/>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94,539</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75,573</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18,966</w:t>
            </w:r>
          </w:p>
        </w:tc>
        <w:tc>
          <w:tcPr>
            <w:tcW w:w="4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7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31,730</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33.6</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24,326</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32.2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7,404</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7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62,809</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51,247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11,562</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21,952</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18,611</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3,341</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8,899</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7,466</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1,433</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15,758</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12,743</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3,015</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7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103.0</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49,280</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40,136</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9,144</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13,529</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11,111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2,418</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(383)</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(1,851)</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7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13,146</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12,579</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7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2,963</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1,578</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7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10,183</w:t>
            </w: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11,194</w:t>
            </w: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4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b w:val="1"/>
          <w:bCs w:val="1"/>
          <w:i w:val="1"/>
          <w:iCs w:val="1"/>
          <w:color w:val="1F282C"/>
        </w:rPr>
        <w:t xml:space="preserve">Revenues </w:t>
      </w:r>
      <w:r>
        <w:rPr>
          <w:rFonts w:ascii="Arial" w:cs="Arial" w:eastAsia="Arial" w:hAnsi="Arial"/>
          <w:sz w:val="18"/>
          <w:szCs w:val="18"/>
          <w:i w:val="1"/>
          <w:iCs w:val="1"/>
          <w:color w:val="000000"/>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The increase in revenues resulted from two primary factors: the increase in recurring revenue customers and an increase in annualized</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average recurring revenues per recurring revenue customer, which we also refer to as wallet share.</w:t>
      </w:r>
    </w:p>
    <w:p>
      <w:pPr>
        <w:spacing w:after="0" w:line="62"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10% to 34,550 at June 30, 2021 from 31,450 at June 30, 2020.</w:t>
      </w:r>
    </w:p>
    <w:p>
      <w:pPr>
        <w:spacing w:after="0" w:line="130"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Wallet share increased 12% to $10,150 for the three months ended June 30, 2021 from $9,100 for the same period in 2020. The increase was primarily attributable to increased usage of our solutions by our recurring revenue customers.</w:t>
      </w:r>
    </w:p>
    <w:p>
      <w:pPr>
        <w:spacing w:after="0" w:line="170"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Recurring revenues from recurring revenue customers accounted for 92% and 94% of our total revenues for the three months ended June 30, 2021 and 2020, respectively. We anticipate that the number of recurring revenue customers and wallet share will increase as we increase the number of solutions we offer and increase the penetration of those solutions across our customer base.</w:t>
      </w:r>
    </w:p>
    <w:p>
      <w:pPr>
        <w:spacing w:after="0" w:line="184" w:lineRule="exact"/>
        <w:rPr>
          <w:sz w:val="20"/>
          <w:szCs w:val="20"/>
          <w:color w:val="auto"/>
        </w:rPr>
      </w:pPr>
    </w:p>
    <w:p>
      <w:pPr>
        <w:ind w:right="440" w:firstLine="510"/>
        <w:spacing w:after="0" w:line="286" w:lineRule="auto"/>
        <w:rPr>
          <w:sz w:val="20"/>
          <w:szCs w:val="20"/>
          <w:color w:val="auto"/>
        </w:rPr>
      </w:pPr>
      <w:r>
        <w:rPr>
          <w:rFonts w:ascii="Arial" w:cs="Arial" w:eastAsia="Arial" w:hAnsi="Arial"/>
          <w:sz w:val="17"/>
          <w:szCs w:val="17"/>
          <w:b w:val="1"/>
          <w:bCs w:val="1"/>
          <w:i w:val="1"/>
          <w:iCs w:val="1"/>
          <w:color w:val="1F282C"/>
        </w:rPr>
        <w:t xml:space="preserve">Cost of Revenues - </w:t>
      </w:r>
      <w:r>
        <w:rPr>
          <w:rFonts w:ascii="Arial" w:cs="Arial" w:eastAsia="Arial" w:hAnsi="Arial"/>
          <w:sz w:val="17"/>
          <w:szCs w:val="17"/>
          <w:color w:val="000000"/>
        </w:rPr>
        <w:t>The increase in cost of revenues for the three months ended June 30, 2021 was primarily due to increased headcount which</w:t>
      </w:r>
      <w:r>
        <w:rPr>
          <w:rFonts w:ascii="Arial" w:cs="Arial" w:eastAsia="Arial" w:hAnsi="Arial"/>
          <w:sz w:val="17"/>
          <w:szCs w:val="17"/>
          <w:b w:val="1"/>
          <w:bCs w:val="1"/>
          <w:i w:val="1"/>
          <w:iCs w:val="1"/>
          <w:color w:val="1F282C"/>
        </w:rPr>
        <w:t xml:space="preserve"> </w:t>
      </w:r>
      <w:r>
        <w:rPr>
          <w:rFonts w:ascii="Arial" w:cs="Arial" w:eastAsia="Arial" w:hAnsi="Arial"/>
          <w:sz w:val="17"/>
          <w:szCs w:val="17"/>
          <w:color w:val="000000"/>
        </w:rPr>
        <w:t>resulted in an increase of $6.1 million in personnel-related costs and an increase of $0.8 million in stock-based compensation. Additionally, as we continued to invest in the infrastructure supporting our platform, depreciation expense increased by $0.4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205740"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80"/>
        <w:spacing w:after="0"/>
        <w:tabs>
          <w:tab w:leader="none" w:pos="5540" w:val="left"/>
          <w:tab w:leader="none" w:pos="81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19</w:t>
      </w:r>
      <w:r>
        <w:rPr>
          <w:sz w:val="20"/>
          <w:szCs w:val="20"/>
          <w:color w:val="auto"/>
        </w:rPr>
        <w:tab/>
      </w:r>
      <w:r>
        <w:rPr>
          <w:rFonts w:ascii="Arial" w:cs="Arial" w:eastAsia="Arial" w:hAnsi="Arial"/>
          <w:sz w:val="10"/>
          <w:szCs w:val="10"/>
          <w:b w:val="1"/>
          <w:bCs w:val="1"/>
          <w:color w:val="auto"/>
        </w:rPr>
        <w:t>Form 10-Q for the Quarterly Period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9" w:name="page20"/>
    <w:bookmarkEnd w:id="19"/>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ind w:right="280" w:firstLine="510"/>
        <w:spacing w:after="0" w:line="286" w:lineRule="auto"/>
        <w:rPr>
          <w:sz w:val="20"/>
          <w:szCs w:val="20"/>
          <w:color w:val="auto"/>
        </w:rPr>
      </w:pPr>
      <w:r>
        <w:rPr>
          <w:rFonts w:ascii="Arial" w:cs="Arial" w:eastAsia="Arial" w:hAnsi="Arial"/>
          <w:sz w:val="17"/>
          <w:szCs w:val="17"/>
          <w:b w:val="1"/>
          <w:bCs w:val="1"/>
          <w:i w:val="1"/>
          <w:iCs w:val="1"/>
          <w:color w:val="1F282C"/>
        </w:rPr>
        <w:t xml:space="preserve">Sales and Marketing Expenses - </w:t>
      </w:r>
      <w:r>
        <w:rPr>
          <w:rFonts w:ascii="Arial" w:cs="Arial" w:eastAsia="Arial" w:hAnsi="Arial"/>
          <w:sz w:val="17"/>
          <w:szCs w:val="17"/>
          <w:color w:val="000000"/>
        </w:rPr>
        <w:t>The increase in sales and marketing expense for the three months ended June 30, 2021 was primarily due to an</w:t>
      </w:r>
      <w:r>
        <w:rPr>
          <w:rFonts w:ascii="Arial" w:cs="Arial" w:eastAsia="Arial" w:hAnsi="Arial"/>
          <w:sz w:val="17"/>
          <w:szCs w:val="17"/>
          <w:b w:val="1"/>
          <w:bCs w:val="1"/>
          <w:i w:val="1"/>
          <w:iCs w:val="1"/>
          <w:color w:val="1F282C"/>
        </w:rPr>
        <w:t xml:space="preserve"> </w:t>
      </w:r>
      <w:r>
        <w:rPr>
          <w:rFonts w:ascii="Arial" w:cs="Arial" w:eastAsia="Arial" w:hAnsi="Arial"/>
          <w:sz w:val="17"/>
          <w:szCs w:val="17"/>
          <w:color w:val="000000"/>
        </w:rPr>
        <w:t>increase of $1.4 million in variable compensation earned by sales personnel and referral partners. Additionally, an increase of $1.2 million in personnel-related costs and an increase of $0.7 million in stock-based compensation contributed to the overall increase.</w:t>
      </w:r>
    </w:p>
    <w:p>
      <w:pPr>
        <w:spacing w:after="0" w:line="165"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b w:val="1"/>
          <w:bCs w:val="1"/>
          <w:i w:val="1"/>
          <w:iCs w:val="1"/>
          <w:color w:val="1F282C"/>
        </w:rPr>
        <w:t xml:space="preserve">Research and Development Expenses - </w:t>
      </w:r>
      <w:r>
        <w:rPr>
          <w:rFonts w:ascii="Arial" w:cs="Arial" w:eastAsia="Arial" w:hAnsi="Arial"/>
          <w:sz w:val="18"/>
          <w:szCs w:val="18"/>
          <w:color w:val="000000"/>
        </w:rPr>
        <w:t>The increase in research and development expense for the three months ended June 30, 2021 was primarily</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due to increased headcount which resulted in an increase in personnel costs of $0.9 million and an increase in software subscription expense of $0.3 million.</w:t>
      </w:r>
    </w:p>
    <w:p>
      <w:pPr>
        <w:spacing w:after="0" w:line="184"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b w:val="1"/>
          <w:bCs w:val="1"/>
          <w:i w:val="1"/>
          <w:iCs w:val="1"/>
          <w:color w:val="1F282C"/>
        </w:rPr>
        <w:t xml:space="preserve">General and Administrative Expenses </w:t>
      </w:r>
      <w:r>
        <w:rPr>
          <w:rFonts w:ascii="Arial" w:cs="Arial" w:eastAsia="Arial" w:hAnsi="Arial"/>
          <w:sz w:val="18"/>
          <w:szCs w:val="18"/>
          <w:color w:val="1F282C"/>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The increase in general and administrative expense for the three months ended June 30, 2021 was driven by</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increases in personnel-related costs of $1.5 million and stock-based compensation of $0.7 million. Additionally, an increase of $0.4 million in software subscriptions contributed to the overall increase.</w:t>
      </w:r>
    </w:p>
    <w:p>
      <w:pPr>
        <w:spacing w:after="0" w:line="184"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b w:val="1"/>
          <w:bCs w:val="1"/>
          <w:i w:val="1"/>
          <w:iCs w:val="1"/>
          <w:color w:val="1F282C"/>
        </w:rPr>
        <w:t xml:space="preserve">Amortization of Intangible Assets - </w:t>
      </w:r>
      <w:r>
        <w:rPr>
          <w:rFonts w:ascii="Arial" w:cs="Arial" w:eastAsia="Arial" w:hAnsi="Arial"/>
          <w:sz w:val="18"/>
          <w:szCs w:val="18"/>
          <w:color w:val="000000"/>
        </w:rPr>
        <w:t>The increase in amortization of intangible assets was driven by the amortization of the acquired intangible</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assets related to Data Masons, which we acquired in December 2020.</w:t>
      </w:r>
    </w:p>
    <w:p>
      <w:pPr>
        <w:spacing w:after="0" w:line="170"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b w:val="1"/>
          <w:bCs w:val="1"/>
          <w:i w:val="1"/>
          <w:iCs w:val="1"/>
          <w:color w:val="1F282C"/>
        </w:rPr>
        <w:t xml:space="preserve">Other Income (Expense), Net - </w:t>
      </w:r>
      <w:r>
        <w:rPr>
          <w:rFonts w:ascii="Arial" w:cs="Arial" w:eastAsia="Arial" w:hAnsi="Arial"/>
          <w:sz w:val="18"/>
          <w:szCs w:val="18"/>
          <w:color w:val="000000"/>
        </w:rPr>
        <w:t>The change in other expense, net of $0.4 million, compared to the other income, net of $1.5 million in the prior year</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period, was primarily due to larger foreign currency exchange losses.</w:t>
      </w:r>
    </w:p>
    <w:p>
      <w:pPr>
        <w:spacing w:after="0" w:line="170"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b w:val="1"/>
          <w:bCs w:val="1"/>
          <w:i w:val="1"/>
          <w:iCs w:val="1"/>
          <w:color w:val="1F282C"/>
        </w:rPr>
        <w:t xml:space="preserve">Income Tax Expense - </w:t>
      </w:r>
      <w:r>
        <w:rPr>
          <w:rFonts w:ascii="Arial" w:cs="Arial" w:eastAsia="Arial" w:hAnsi="Arial"/>
          <w:sz w:val="18"/>
          <w:szCs w:val="18"/>
          <w:color w:val="000000"/>
        </w:rPr>
        <w:t>The increase in income tax expense was primarily due to an increase in nondeductible executive compensation as well as a</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decrease in both the discrete tax benefits from stock activity and research and development credits. Excess tax benefits generated upon the settlement or exercise of stock awards are recognized as a reduction to income tax expense and, as a result, we expect that our annual effective income tax rate will fluctuate.</w:t>
      </w:r>
    </w:p>
    <w:p>
      <w:pPr>
        <w:spacing w:after="0" w:line="18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b w:val="1"/>
          <w:bCs w:val="1"/>
          <w:i w:val="1"/>
          <w:iCs w:val="1"/>
          <w:color w:val="1F282C"/>
        </w:rPr>
        <w:t xml:space="preserve">Adjusted EBITDA - </w:t>
      </w:r>
      <w:r>
        <w:rPr>
          <w:rFonts w:ascii="Arial" w:cs="Arial" w:eastAsia="Arial" w:hAnsi="Arial"/>
          <w:sz w:val="18"/>
          <w:szCs w:val="18"/>
          <w:color w:val="000000"/>
        </w:rPr>
        <w:t>Adjusted EBITDA, which is a non-GAAP measure of financial performance, consists of net income adjusted for depreciation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and amortization expense, investment income or loss, realized gain or loss from foreign currency on cash and investments held, income tax expense, stock-based compensation expense, and other adjustments as necessary for a fair presentation. Other adjustments include the expense impact from the disposals of certain capitalized internally developed software and cloud hosting arrangement implementation costs. The following table provides a reconciliation of net income to Adjusted EBITDA: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and amortization of 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3,529</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Investment income</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Realized (gain) loss from foreign currency on cash and investments held</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7,499</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27,328</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20,422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b w:val="1"/>
          <w:bCs w:val="1"/>
          <w:i w:val="1"/>
          <w:iCs w:val="1"/>
          <w:color w:val="1F282C"/>
        </w:rPr>
        <w:t xml:space="preserve">Adjusted EBITDA Margin. </w:t>
      </w:r>
      <w:r>
        <w:rPr>
          <w:rFonts w:ascii="Arial" w:cs="Arial" w:eastAsia="Arial" w:hAnsi="Arial"/>
          <w:sz w:val="18"/>
          <w:szCs w:val="18"/>
          <w:color w:val="000000"/>
        </w:rPr>
        <w:t>Adjusted EBITDA Margin, which is a non-GAAP measure of financial performance, consists of Adjusted EBITDA</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divided by revenue. Margin, the comparable GAAP measure of financial performance, consists of net income divided by revenue. The following table provides a comparison of Margin to Adjusted EBITDA Margin: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0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left="733"/>
              <w:spacing w:after="0"/>
              <w:rPr>
                <w:sz w:val="20"/>
                <w:szCs w:val="20"/>
                <w:color w:val="auto"/>
              </w:rPr>
            </w:pPr>
            <w:r>
              <w:rPr>
                <w:rFonts w:ascii="Arial" w:cs="Arial" w:eastAsia="Arial" w:hAnsi="Arial"/>
                <w:sz w:val="18"/>
                <w:szCs w:val="18"/>
                <w:b w:val="1"/>
                <w:bCs w:val="1"/>
                <w:color w:val="auto"/>
                <w:w w:val="88"/>
              </w:rPr>
              <w:t>June 30,</w:t>
            </w:r>
          </w:p>
        </w:tc>
        <w:tc>
          <w:tcPr>
            <w:tcW w:w="11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(In thousands, except Margin and Adjusted EBITDA Margin)</w:t>
            </w:r>
          </w:p>
        </w:tc>
        <w:tc>
          <w:tcPr>
            <w:tcW w:w="24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94,539</w:t>
            </w: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10,183</w:t>
            </w:r>
          </w:p>
        </w:tc>
        <w:tc>
          <w:tcPr>
            <w:tcW w:w="3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60" w:type="dxa"/>
            <w:vAlign w:val="bottom"/>
          </w:tcPr>
          <w:p>
            <w:pPr>
              <w:spacing w:after="0"/>
              <w:rPr>
                <w:sz w:val="20"/>
                <w:szCs w:val="20"/>
                <w:color w:val="auto"/>
              </w:rPr>
            </w:pPr>
            <w:r>
              <w:rPr>
                <w:rFonts w:ascii="Arial" w:cs="Arial" w:eastAsia="Arial" w:hAnsi="Arial"/>
                <w:sz w:val="18"/>
                <w:szCs w:val="18"/>
                <w:color w:val="auto"/>
              </w:rPr>
              <w:t>Margin</w:t>
            </w:r>
          </w:p>
        </w:tc>
        <w:tc>
          <w:tcPr>
            <w:tcW w:w="2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2"/>
                <w:szCs w:val="22"/>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5160" w:type="dxa"/>
            <w:vAlign w:val="bottom"/>
            <w:tcBorders>
              <w:top w:val="single" w:sz="8" w:color="CFF0FC"/>
            </w:tcBorders>
            <w:shd w:val="clear" w:color="auto" w:fill="CFF0FC"/>
          </w:tcPr>
          <w:p>
            <w:pPr>
              <w:spacing w:after="0"/>
              <w:rPr>
                <w:sz w:val="18"/>
                <w:szCs w:val="18"/>
                <w:color w:val="auto"/>
              </w:rPr>
            </w:pPr>
          </w:p>
        </w:tc>
        <w:tc>
          <w:tcPr>
            <w:tcW w:w="24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EBITDA</w:t>
            </w:r>
          </w:p>
        </w:tc>
        <w:tc>
          <w:tcPr>
            <w:tcW w:w="24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27,328</w:t>
            </w:r>
          </w:p>
        </w:tc>
        <w:tc>
          <w:tcPr>
            <w:tcW w:w="3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20,422</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Margin</w:t>
            </w:r>
          </w:p>
        </w:tc>
        <w:tc>
          <w:tcPr>
            <w:tcW w:w="2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2440" w:type="dxa"/>
            <w:vAlign w:val="bottom"/>
            <w:tcBorders>
              <w:top w:val="single" w:sz="8" w:color="CFF0FC"/>
              <w:bottom w:val="single" w:sz="8" w:color="CFF0FC"/>
            </w:tcBorders>
            <w:vMerge w:val="restart"/>
          </w:tcPr>
          <w:p>
            <w:pPr>
              <w:jc w:val="right"/>
              <w:ind w:right="1828"/>
              <w:spacing w:after="0"/>
              <w:rPr>
                <w:sz w:val="20"/>
                <w:szCs w:val="20"/>
                <w:color w:val="auto"/>
              </w:rPr>
            </w:pPr>
            <w:r>
              <w:rPr>
                <w:rFonts w:ascii="Arial" w:cs="Arial" w:eastAsia="Arial" w:hAnsi="Arial"/>
                <w:sz w:val="14"/>
                <w:szCs w:val="14"/>
                <w:color w:val="auto"/>
              </w:rPr>
              <w:t>20</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4"/>
        </w:trPr>
        <w:tc>
          <w:tcPr>
            <w:tcW w:w="51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gridSpan w:val="5"/>
          </w:tcPr>
          <w:p>
            <w:pPr>
              <w:jc w:val="right"/>
              <w:spacing w:after="0"/>
              <w:rPr>
                <w:sz w:val="20"/>
                <w:szCs w:val="20"/>
                <w:color w:val="auto"/>
              </w:rPr>
            </w:pPr>
            <w:r>
              <w:rPr>
                <w:rFonts w:ascii="Arial" w:cs="Arial" w:eastAsia="Arial" w:hAnsi="Arial"/>
                <w:sz w:val="13"/>
                <w:szCs w:val="13"/>
                <w:b w:val="1"/>
                <w:bCs w:val="1"/>
                <w:color w:val="auto"/>
                <w:w w:val="95"/>
              </w:rPr>
              <w:t>Form 10-Q for the Quarterly Period ended June 30, 2021</w:t>
            </w:r>
          </w:p>
        </w:tc>
        <w:tc>
          <w:tcPr>
            <w:tcW w:w="0" w:type="dxa"/>
            <w:vAlign w:val="bottom"/>
          </w:tcPr>
          <w:p>
            <w:pPr>
              <w:spacing w:after="0"/>
              <w:rPr>
                <w:sz w:val="1"/>
                <w:szCs w:val="1"/>
                <w:color w:val="auto"/>
              </w:rPr>
            </w:pPr>
          </w:p>
        </w:tc>
      </w:tr>
      <w:tr>
        <w:trPr>
          <w:trHeight w:val="168"/>
        </w:trPr>
        <w:tc>
          <w:tcPr>
            <w:tcW w:w="5160" w:type="dxa"/>
            <w:vAlign w:val="bottom"/>
            <w:tcBorders>
              <w:bottom w:val="single" w:sz="8" w:color="9A9A9A"/>
            </w:tcBorders>
          </w:tcPr>
          <w:p>
            <w:pPr>
              <w:spacing w:after="0"/>
              <w:rPr>
                <w:sz w:val="14"/>
                <w:szCs w:val="14"/>
                <w:color w:val="auto"/>
              </w:rPr>
            </w:pPr>
          </w:p>
        </w:tc>
        <w:tc>
          <w:tcPr>
            <w:tcW w:w="244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0" w:name="page21"/>
    <w:bookmarkEnd w:id="20"/>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b w:val="1"/>
          <w:bCs w:val="1"/>
          <w:i w:val="1"/>
          <w:iCs w:val="1"/>
          <w:color w:val="1F282C"/>
        </w:rPr>
        <w:t xml:space="preserve">Non-GAAP Income per Share. </w:t>
      </w:r>
      <w:r>
        <w:rPr>
          <w:rFonts w:ascii="Arial" w:cs="Arial" w:eastAsia="Arial" w:hAnsi="Arial"/>
          <w:sz w:val="17"/>
          <w:szCs w:val="17"/>
          <w:color w:val="000000"/>
        </w:rPr>
        <w:t>Non-GAAP income per share, which is a non-GAAP measure of financial performance, consists of net income</w:t>
      </w:r>
      <w:r>
        <w:rPr>
          <w:rFonts w:ascii="Arial" w:cs="Arial" w:eastAsia="Arial" w:hAnsi="Arial"/>
          <w:sz w:val="17"/>
          <w:szCs w:val="17"/>
          <w:b w:val="1"/>
          <w:bCs w:val="1"/>
          <w:i w:val="1"/>
          <w:iCs w:val="1"/>
          <w:color w:val="1F282C"/>
        </w:rPr>
        <w:t xml:space="preserve"> </w:t>
      </w:r>
      <w:r>
        <w:rPr>
          <w:rFonts w:ascii="Arial" w:cs="Arial" w:eastAsia="Arial" w:hAnsi="Arial"/>
          <w:sz w:val="17"/>
          <w:szCs w:val="17"/>
          <w:color w:val="000000"/>
        </w:rPr>
        <w:t>adjusted for stock-based compensation expense, amortization expense related to intangible assets, realized gain or loss from foreign currency on cash and investments held, and other adjustments as necessary for a fair presentation, divided by the weighted average number of shares of common stock outstanding during each period. Other adjustments include the expense impact of the disposal of certain capitalized internally developed software and cloud hosting arrangement implementation costs. 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reconciliation of net income to non-GAAP income per share: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7,499</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Realized (gain) loss from foreign currency on cash and investments held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349</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Income tax effects of adjustments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(3,999)</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income</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16,916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Shares used to compute non-GAAP income per share</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35,903</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35,030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36,753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0.47</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Six Months Ended June 30, 2021 Compared to Six Months Ended June 30,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75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jc w:val="right"/>
              <w:ind w:right="771"/>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vMerge w:val="continue"/>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 of revenue</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 of revenue</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3"/>
                <w:szCs w:val="13"/>
                <w:color w:val="auto"/>
              </w:rPr>
            </w:pPr>
          </w:p>
        </w:tc>
        <w:tc>
          <w:tcPr>
            <w:tcW w:w="64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1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184,633</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149,765</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34,868</w:t>
            </w:r>
          </w:p>
        </w:tc>
        <w:tc>
          <w:tcPr>
            <w:tcW w:w="4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9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61,700</w:t>
            </w:r>
          </w:p>
        </w:tc>
        <w:tc>
          <w:tcPr>
            <w:tcW w:w="16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33.4</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47,870</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32.0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13,830</w:t>
            </w:r>
          </w:p>
        </w:tc>
        <w:tc>
          <w:tcPr>
            <w:tcW w:w="46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122,933</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101,895</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21,038</w:t>
            </w: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43,307</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36,910</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6,397</w:t>
            </w: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17,605</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15,034</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2,571</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30,495</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24,652</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5,843</w:t>
            </w: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9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w:t>
            </w:r>
          </w:p>
        </w:tc>
        <w:tc>
          <w:tcPr>
            <w:tcW w:w="16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w:t>
            </w:r>
          </w:p>
        </w:tc>
        <w:tc>
          <w:tcPr>
            <w:tcW w:w="46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101.2</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9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96,742</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79,248</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17,494</w:t>
            </w: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from operations</w:t>
            </w:r>
          </w:p>
        </w:tc>
        <w:tc>
          <w:tcPr>
            <w:tcW w:w="9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26,191</w:t>
            </w:r>
          </w:p>
        </w:tc>
        <w:tc>
          <w:tcPr>
            <w:tcW w:w="16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22,647</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15.1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w:t>
            </w:r>
          </w:p>
        </w:tc>
        <w:tc>
          <w:tcPr>
            <w:tcW w:w="46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9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w:t>
            </w:r>
          </w:p>
        </w:tc>
        <w:tc>
          <w:tcPr>
            <w:tcW w:w="4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25,483</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23,442</w:t>
            </w:r>
          </w:p>
        </w:tc>
        <w:tc>
          <w:tcPr>
            <w:tcW w:w="1100" w:type="dxa"/>
            <w:vAlign w:val="bottom"/>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2,041</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9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5,100</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2,733</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2,367</w:t>
            </w: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96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20,383</w:t>
            </w: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20,709</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4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b w:val="1"/>
          <w:bCs w:val="1"/>
          <w:i w:val="1"/>
          <w:iCs w:val="1"/>
          <w:color w:val="1F282C"/>
        </w:rPr>
        <w:t xml:space="preserve">Revenues </w:t>
      </w:r>
      <w:r>
        <w:rPr>
          <w:rFonts w:ascii="Arial" w:cs="Arial" w:eastAsia="Arial" w:hAnsi="Arial"/>
          <w:sz w:val="18"/>
          <w:szCs w:val="18"/>
          <w:i w:val="1"/>
          <w:iCs w:val="1"/>
          <w:color w:val="000000"/>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The increase in revenues resulted from two primary factors: the increase in recurring revenue customers and an increase in annualized</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average recurring revenues per recurring revenue customer, which we also refer to as wallet share.</w:t>
      </w:r>
    </w:p>
    <w:p>
      <w:pPr>
        <w:spacing w:after="0" w:line="62" w:lineRule="exact"/>
        <w:rPr>
          <w:sz w:val="20"/>
          <w:szCs w:val="20"/>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10% to 34,550 at June 30, 2021 from 31,450 at June 30, 2020.</w:t>
      </w:r>
    </w:p>
    <w:p>
      <w:pPr>
        <w:spacing w:after="0" w:line="130"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Wallet share increased 11% to $10,100 for the six months ended June 30, 2021 from $9,100 for the same period in 2020. The increase was primarily attributable to increased usage of our solutions by our recurring revenue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20574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80"/>
        <w:spacing w:after="0"/>
        <w:tabs>
          <w:tab w:leader="none" w:pos="5540" w:val="left"/>
          <w:tab w:leader="none" w:pos="81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21</w:t>
      </w:r>
      <w:r>
        <w:rPr>
          <w:sz w:val="20"/>
          <w:szCs w:val="20"/>
          <w:color w:val="auto"/>
        </w:rPr>
        <w:tab/>
      </w:r>
      <w:r>
        <w:rPr>
          <w:rFonts w:ascii="Arial" w:cs="Arial" w:eastAsia="Arial" w:hAnsi="Arial"/>
          <w:sz w:val="10"/>
          <w:szCs w:val="10"/>
          <w:b w:val="1"/>
          <w:bCs w:val="1"/>
          <w:color w:val="auto"/>
        </w:rPr>
        <w:t>Form 10-Q for the Quarterly Period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1" w:name="page22"/>
    <w:bookmarkEnd w:id="21"/>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Recurring revenues from recurring revenue customers accounted for 92% and 94% of our total revenues for the six months ended June 30, 2021 and 2020, respectively. We anticipate that the number of recurring revenue customers and wallet share will increase as we increase the number of solutions we offer and increase the penetration of those solutions across our customer base.</w:t>
      </w:r>
    </w:p>
    <w:p>
      <w:pPr>
        <w:spacing w:after="0" w:line="184" w:lineRule="exact"/>
        <w:rPr>
          <w:sz w:val="20"/>
          <w:szCs w:val="20"/>
          <w:color w:val="auto"/>
        </w:rPr>
      </w:pPr>
    </w:p>
    <w:p>
      <w:pPr>
        <w:jc w:val="both"/>
        <w:ind w:right="580" w:firstLine="510"/>
        <w:spacing w:after="0" w:line="311" w:lineRule="auto"/>
        <w:rPr>
          <w:sz w:val="20"/>
          <w:szCs w:val="20"/>
          <w:color w:val="auto"/>
        </w:rPr>
      </w:pPr>
      <w:r>
        <w:rPr>
          <w:rFonts w:ascii="Arial" w:cs="Arial" w:eastAsia="Arial" w:hAnsi="Arial"/>
          <w:sz w:val="16"/>
          <w:szCs w:val="16"/>
          <w:b w:val="1"/>
          <w:bCs w:val="1"/>
          <w:i w:val="1"/>
          <w:iCs w:val="1"/>
          <w:color w:val="1F282C"/>
        </w:rPr>
        <w:t xml:space="preserve">Cost of Revenues - </w:t>
      </w:r>
      <w:r>
        <w:rPr>
          <w:rFonts w:ascii="Arial" w:cs="Arial" w:eastAsia="Arial" w:hAnsi="Arial"/>
          <w:sz w:val="16"/>
          <w:szCs w:val="16"/>
          <w:color w:val="000000"/>
        </w:rPr>
        <w:t>The increase in cost of revenues for the six months ended June 30, 2021 was primarily due to increased headcount which</w:t>
      </w:r>
      <w:r>
        <w:rPr>
          <w:rFonts w:ascii="Arial" w:cs="Arial" w:eastAsia="Arial" w:hAnsi="Arial"/>
          <w:sz w:val="16"/>
          <w:szCs w:val="16"/>
          <w:b w:val="1"/>
          <w:bCs w:val="1"/>
          <w:i w:val="1"/>
          <w:iCs w:val="1"/>
          <w:color w:val="1F282C"/>
        </w:rPr>
        <w:t xml:space="preserve"> </w:t>
      </w:r>
      <w:r>
        <w:rPr>
          <w:rFonts w:ascii="Arial" w:cs="Arial" w:eastAsia="Arial" w:hAnsi="Arial"/>
          <w:sz w:val="16"/>
          <w:szCs w:val="16"/>
          <w:color w:val="000000"/>
        </w:rPr>
        <w:t>resulted in an increase of $11.4 million in personnel-related costs and an increase of $1.5 million in stock-based compensation. Additionally, as we continued to invest in the infrastructure supporting our platform, depreciation expense increased by $0.8 million.</w:t>
      </w:r>
    </w:p>
    <w:p>
      <w:pPr>
        <w:spacing w:after="0" w:line="149" w:lineRule="exact"/>
        <w:rPr>
          <w:sz w:val="20"/>
          <w:szCs w:val="20"/>
          <w:color w:val="auto"/>
        </w:rPr>
      </w:pPr>
    </w:p>
    <w:p>
      <w:pPr>
        <w:ind w:right="280" w:firstLine="510"/>
        <w:spacing w:after="0" w:line="286" w:lineRule="auto"/>
        <w:rPr>
          <w:sz w:val="20"/>
          <w:szCs w:val="20"/>
          <w:color w:val="auto"/>
        </w:rPr>
      </w:pPr>
      <w:r>
        <w:rPr>
          <w:rFonts w:ascii="Arial" w:cs="Arial" w:eastAsia="Arial" w:hAnsi="Arial"/>
          <w:sz w:val="17"/>
          <w:szCs w:val="17"/>
          <w:b w:val="1"/>
          <w:bCs w:val="1"/>
          <w:i w:val="1"/>
          <w:iCs w:val="1"/>
          <w:color w:val="1F282C"/>
        </w:rPr>
        <w:t xml:space="preserve">Sales and Marketing Expenses - </w:t>
      </w:r>
      <w:r>
        <w:rPr>
          <w:rFonts w:ascii="Arial" w:cs="Arial" w:eastAsia="Arial" w:hAnsi="Arial"/>
          <w:sz w:val="17"/>
          <w:szCs w:val="17"/>
          <w:color w:val="000000"/>
        </w:rPr>
        <w:t>The increase in sales and marketing expense for the six months ended June 30, 2021 was primarily due to an</w:t>
      </w:r>
      <w:r>
        <w:rPr>
          <w:rFonts w:ascii="Arial" w:cs="Arial" w:eastAsia="Arial" w:hAnsi="Arial"/>
          <w:sz w:val="17"/>
          <w:szCs w:val="17"/>
          <w:b w:val="1"/>
          <w:bCs w:val="1"/>
          <w:i w:val="1"/>
          <w:iCs w:val="1"/>
          <w:color w:val="1F282C"/>
        </w:rPr>
        <w:t xml:space="preserve"> </w:t>
      </w:r>
      <w:r>
        <w:rPr>
          <w:rFonts w:ascii="Arial" w:cs="Arial" w:eastAsia="Arial" w:hAnsi="Arial"/>
          <w:sz w:val="17"/>
          <w:szCs w:val="17"/>
          <w:color w:val="000000"/>
        </w:rPr>
        <w:t>increase of $2.4 million in variable compensation earned by sales personnel and referral partners. Additionally, an increase of $2.4 million in personnel-related costs and an increase of $1.4 million in stock-based compensation contributed to the overall increase.</w:t>
      </w:r>
    </w:p>
    <w:p>
      <w:pPr>
        <w:spacing w:after="0" w:line="165"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b w:val="1"/>
          <w:bCs w:val="1"/>
          <w:i w:val="1"/>
          <w:iCs w:val="1"/>
          <w:color w:val="1F282C"/>
        </w:rPr>
        <w:t xml:space="preserve">Research and Development Expenses - </w:t>
      </w:r>
      <w:r>
        <w:rPr>
          <w:rFonts w:ascii="Arial" w:cs="Arial" w:eastAsia="Arial" w:hAnsi="Arial"/>
          <w:sz w:val="18"/>
          <w:szCs w:val="18"/>
          <w:color w:val="000000"/>
        </w:rPr>
        <w:t>The increase in research and development expense for the six months ended June 30, 2021 was primarily</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due to increased headcount which resulted in an increase in personnel costs of $1.8 million and an increase in software subscription expense of $0.6 million.</w:t>
      </w:r>
    </w:p>
    <w:p>
      <w:pPr>
        <w:spacing w:after="0" w:line="184"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b w:val="1"/>
          <w:bCs w:val="1"/>
          <w:i w:val="1"/>
          <w:iCs w:val="1"/>
          <w:color w:val="1F282C"/>
        </w:rPr>
        <w:t xml:space="preserve">General and Administrative Expenses </w:t>
      </w:r>
      <w:r>
        <w:rPr>
          <w:rFonts w:ascii="Arial" w:cs="Arial" w:eastAsia="Arial" w:hAnsi="Arial"/>
          <w:sz w:val="18"/>
          <w:szCs w:val="18"/>
          <w:color w:val="1F282C"/>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The increase in general and administrative expense for the six months ended June 30, 2021 was driven by</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increases in personnel-related costs of $2.0 million and stock-based compensation of $2.0 million. Additionally, an increase of $0.7 million in charitable contributions led to the overall increase.</w:t>
      </w:r>
    </w:p>
    <w:p>
      <w:pPr>
        <w:spacing w:after="0" w:line="211"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b w:val="1"/>
          <w:bCs w:val="1"/>
          <w:i w:val="1"/>
          <w:iCs w:val="1"/>
          <w:color w:val="1F282C"/>
        </w:rPr>
        <w:t xml:space="preserve">Amortization of Intangible Assets - </w:t>
      </w:r>
      <w:r>
        <w:rPr>
          <w:rFonts w:ascii="Arial" w:cs="Arial" w:eastAsia="Arial" w:hAnsi="Arial"/>
          <w:sz w:val="18"/>
          <w:szCs w:val="18"/>
          <w:color w:val="000000"/>
        </w:rPr>
        <w:t>The increase in amortization of intangible assets was driven by the amortization of the acquired intangible</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assets related to Data Masons, which we acquired in December 2020.</w:t>
      </w:r>
    </w:p>
    <w:p>
      <w:pPr>
        <w:spacing w:after="0" w:line="19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b w:val="1"/>
          <w:bCs w:val="1"/>
          <w:i w:val="1"/>
          <w:iCs w:val="1"/>
          <w:color w:val="1F282C"/>
        </w:rPr>
        <w:t xml:space="preserve">Other Income (Expense), Net - </w:t>
      </w:r>
      <w:r>
        <w:rPr>
          <w:rFonts w:ascii="Arial" w:cs="Arial" w:eastAsia="Arial" w:hAnsi="Arial"/>
          <w:sz w:val="18"/>
          <w:szCs w:val="18"/>
          <w:color w:val="000000"/>
        </w:rPr>
        <w:t>The change in other expense, net of $0.7 million, compared to the other income, net of $0.8 million in the prior year</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period, was primarily due to larger foreign currency exchange losses and decreased investment income.</w:t>
      </w:r>
    </w:p>
    <w:p>
      <w:pPr>
        <w:spacing w:after="0" w:line="170"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b w:val="1"/>
          <w:bCs w:val="1"/>
          <w:i w:val="1"/>
          <w:iCs w:val="1"/>
          <w:color w:val="1F282C"/>
        </w:rPr>
        <w:t xml:space="preserve">Income Tax Expense - </w:t>
      </w:r>
      <w:r>
        <w:rPr>
          <w:rFonts w:ascii="Arial" w:cs="Arial" w:eastAsia="Arial" w:hAnsi="Arial"/>
          <w:sz w:val="18"/>
          <w:szCs w:val="18"/>
          <w:color w:val="000000"/>
        </w:rPr>
        <w:t>The increase in income tax expense was primarily due to an increase in nondeductible executive compensation as well as a</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decrease in both the discrete tax benefits from stock activity and research and development credits. Excess tax benefits generated upon the settlement or exercise of stock awards are recognized as a reduction to income tax expense and, as a result, we expect that our annual effective income tax rate will fluctuate.</w:t>
      </w:r>
    </w:p>
    <w:p>
      <w:pPr>
        <w:spacing w:after="0" w:line="18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b w:val="1"/>
          <w:bCs w:val="1"/>
          <w:i w:val="1"/>
          <w:iCs w:val="1"/>
          <w:color w:val="1F282C"/>
        </w:rPr>
        <w:t xml:space="preserve">Adjusted EBITDA - </w:t>
      </w:r>
      <w:r>
        <w:rPr>
          <w:rFonts w:ascii="Arial" w:cs="Arial" w:eastAsia="Arial" w:hAnsi="Arial"/>
          <w:sz w:val="18"/>
          <w:szCs w:val="18"/>
          <w:color w:val="000000"/>
        </w:rPr>
        <w:t>Adjusted EBITDA, which is a non-GAAP measure of financial performance, consists of net income adjusted for depreciation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and amortization expense, investment income or loss, realized gain or loss from foreign currency on cash and investments held, income tax expense, stock-based compensation expense, and other adjustments as necessary for a fair presentation. Other adjustments include the expense impact from the disposals of certain capitalized internally developed software and cloud hosting arrangement implementation costs and an earn-out liability fair value adjustment. Additionally, as part of executing a lease amendment, we incurred accelerated depreciation, included within Depreciation and amortization of property and equipment, and offsetting accelerated tenant improvement benefit, which is included within Other. The following table provides a reconciliation of net income to Adjusted EBITDA: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gridSpan w:val="4"/>
          </w:tcPr>
          <w:p>
            <w:pPr>
              <w:jc w:val="right"/>
              <w:ind w:right="27"/>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7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327"/>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7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20,383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20,709</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Depreciation and amortization of property and equipment</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6,276</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Investment income</w:t>
            </w:r>
          </w:p>
        </w:tc>
        <w:tc>
          <w:tcPr>
            <w:tcW w:w="9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(972)</w:t>
            </w: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Realized (gain) loss from foreign currency on cash and investments held</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(127)</w:t>
            </w: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14,424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9,353</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r>
      <w:tr>
        <w:trPr>
          <w:trHeight w:val="223"/>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960" w:type="dxa"/>
            <w:vAlign w:val="bottom"/>
            <w:tcBorders>
              <w:top w:val="single" w:sz="8" w:color="auto"/>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52,785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0"/>
        <w:spacing w:after="0"/>
        <w:tabs>
          <w:tab w:leader="none" w:pos="5540" w:val="left"/>
          <w:tab w:leader="none" w:pos="81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22</w:t>
      </w:r>
      <w:r>
        <w:rPr>
          <w:sz w:val="20"/>
          <w:szCs w:val="20"/>
          <w:color w:val="auto"/>
        </w:rPr>
        <w:tab/>
      </w:r>
      <w:r>
        <w:rPr>
          <w:rFonts w:ascii="Arial" w:cs="Arial" w:eastAsia="Arial" w:hAnsi="Arial"/>
          <w:sz w:val="10"/>
          <w:szCs w:val="10"/>
          <w:b w:val="1"/>
          <w:bCs w:val="1"/>
          <w:color w:val="auto"/>
        </w:rPr>
        <w:t>Form 10-Q for the Quarterly Period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2" w:name="page23"/>
    <w:bookmarkEnd w:id="22"/>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b w:val="1"/>
          <w:bCs w:val="1"/>
          <w:i w:val="1"/>
          <w:iCs w:val="1"/>
          <w:color w:val="1F282C"/>
        </w:rPr>
        <w:t xml:space="preserve">Adjusted EBITDA Margin. </w:t>
      </w:r>
      <w:r>
        <w:rPr>
          <w:rFonts w:ascii="Arial" w:cs="Arial" w:eastAsia="Arial" w:hAnsi="Arial"/>
          <w:sz w:val="18"/>
          <w:szCs w:val="18"/>
          <w:color w:val="000000"/>
        </w:rPr>
        <w:t>Adjusted EBITDA Margin, which is a non-GAAP measure of financial performance, consists of Adjusted EBITDA</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divided by revenue. Margin, the comparable GAAP measure of financial performance, consists of net income divided by revenue. The following table provides a comparison of Margin to Adjusted EBITDA Margin: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0" w:type="dxa"/>
            <w:vAlign w:val="bottom"/>
            <w:gridSpan w:val="4"/>
          </w:tcPr>
          <w:p>
            <w:pPr>
              <w:jc w:val="center"/>
              <w:ind w:left="650"/>
              <w:spacing w:after="0"/>
              <w:rPr>
                <w:sz w:val="20"/>
                <w:szCs w:val="20"/>
                <w:color w:val="auto"/>
              </w:rPr>
            </w:pPr>
            <w:r>
              <w:rPr>
                <w:rFonts w:ascii="Arial" w:cs="Arial" w:eastAsia="Arial" w:hAnsi="Arial"/>
                <w:sz w:val="18"/>
                <w:szCs w:val="18"/>
                <w:b w:val="1"/>
                <w:bCs w:val="1"/>
                <w:color w:val="auto"/>
                <w:w w:val="90"/>
              </w:rPr>
              <w:t>Six Months Ended</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5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(In thousands, except Margin and Adjusted EBITDA Margin)</w:t>
            </w:r>
          </w:p>
        </w:tc>
        <w:tc>
          <w:tcPr>
            <w:tcW w:w="11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9"/>
                <w:szCs w:val="19"/>
                <w:color w:val="auto"/>
              </w:rPr>
            </w:pPr>
          </w:p>
        </w:tc>
      </w:tr>
      <w:tr>
        <w:trPr>
          <w:trHeight w:val="223"/>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184,633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149,765</w:t>
            </w:r>
          </w:p>
        </w:tc>
        <w:tc>
          <w:tcPr>
            <w:tcW w:w="180" w:type="dxa"/>
            <w:vAlign w:val="bottom"/>
            <w:shd w:val="clear" w:color="auto" w:fill="CFF0FC"/>
          </w:tcPr>
          <w:p>
            <w:pPr>
              <w:spacing w:after="0"/>
              <w:rPr>
                <w:sz w:val="19"/>
                <w:szCs w:val="19"/>
                <w:color w:val="auto"/>
              </w:rPr>
            </w:pPr>
          </w:p>
        </w:tc>
      </w:tr>
      <w:tr>
        <w:trPr>
          <w:trHeight w:val="229"/>
        </w:trPr>
        <w:tc>
          <w:tcPr>
            <w:tcW w:w="5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20,709</w:t>
            </w:r>
          </w:p>
        </w:tc>
        <w:tc>
          <w:tcPr>
            <w:tcW w:w="180" w:type="dxa"/>
            <w:vAlign w:val="bottom"/>
            <w:shd w:val="clear" w:color="auto" w:fill="CFF0FC"/>
          </w:tcPr>
          <w:p>
            <w:pPr>
              <w:spacing w:after="0"/>
              <w:rPr>
                <w:sz w:val="19"/>
                <w:szCs w:val="19"/>
                <w:color w:val="auto"/>
              </w:rPr>
            </w:pPr>
          </w:p>
        </w:tc>
      </w:tr>
      <w:tr>
        <w:trPr>
          <w:trHeight w:val="263"/>
        </w:trPr>
        <w:tc>
          <w:tcPr>
            <w:tcW w:w="5920" w:type="dxa"/>
            <w:vAlign w:val="bottom"/>
          </w:tcPr>
          <w:p>
            <w:pPr>
              <w:spacing w:after="0"/>
              <w:rPr>
                <w:sz w:val="20"/>
                <w:szCs w:val="20"/>
                <w:color w:val="auto"/>
              </w:rPr>
            </w:pPr>
            <w:r>
              <w:rPr>
                <w:rFonts w:ascii="Arial" w:cs="Arial" w:eastAsia="Arial" w:hAnsi="Arial"/>
                <w:sz w:val="18"/>
                <w:szCs w:val="18"/>
                <w:color w:val="auto"/>
              </w:rPr>
              <w:t>Margin</w:t>
            </w: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10"/>
        </w:trPr>
        <w:tc>
          <w:tcPr>
            <w:tcW w:w="592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EBITDA</w:t>
            </w:r>
          </w:p>
        </w:tc>
        <w:tc>
          <w:tcPr>
            <w:tcW w:w="11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52,785</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40,778</w:t>
            </w:r>
          </w:p>
        </w:tc>
        <w:tc>
          <w:tcPr>
            <w:tcW w:w="180" w:type="dxa"/>
            <w:vAlign w:val="bottom"/>
            <w:tcBorders>
              <w:bottom w:val="single" w:sz="8" w:color="CFF0FC"/>
            </w:tcBorders>
          </w:tcPr>
          <w:p>
            <w:pPr>
              <w:spacing w:after="0"/>
              <w:rPr>
                <w:sz w:val="19"/>
                <w:szCs w:val="19"/>
                <w:color w:val="auto"/>
              </w:rPr>
            </w:pPr>
          </w:p>
        </w:tc>
      </w:tr>
      <w:tr>
        <w:trPr>
          <w:trHeight w:val="223"/>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Margin</w:t>
            </w: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b w:val="1"/>
          <w:bCs w:val="1"/>
          <w:i w:val="1"/>
          <w:iCs w:val="1"/>
          <w:color w:val="1F282C"/>
        </w:rPr>
        <w:t xml:space="preserve">Non-GAAP Income per Share. </w:t>
      </w:r>
      <w:r>
        <w:rPr>
          <w:rFonts w:ascii="Arial" w:cs="Arial" w:eastAsia="Arial" w:hAnsi="Arial"/>
          <w:sz w:val="17"/>
          <w:szCs w:val="17"/>
          <w:color w:val="000000"/>
        </w:rPr>
        <w:t>Non-GAAP income per share, which is a non-GAAP measure of financial performance, consists of net income</w:t>
      </w:r>
      <w:r>
        <w:rPr>
          <w:rFonts w:ascii="Arial" w:cs="Arial" w:eastAsia="Arial" w:hAnsi="Arial"/>
          <w:sz w:val="17"/>
          <w:szCs w:val="17"/>
          <w:b w:val="1"/>
          <w:bCs w:val="1"/>
          <w:i w:val="1"/>
          <w:iCs w:val="1"/>
          <w:color w:val="1F282C"/>
        </w:rPr>
        <w:t xml:space="preserve"> </w:t>
      </w:r>
      <w:r>
        <w:rPr>
          <w:rFonts w:ascii="Arial" w:cs="Arial" w:eastAsia="Arial" w:hAnsi="Arial"/>
          <w:sz w:val="17"/>
          <w:szCs w:val="17"/>
          <w:color w:val="000000"/>
        </w:rPr>
        <w:t>adjusted for stock-based compensation expense, amortization expense related to intangible assets, realized gain or loss from foreign currency on cash and investments held, and other adjustments as necessary for a fair presentation, divided by the weighted average number of shares of common stock outstanding during each period. Other adjustments included the impact of the fair value adjustment for the EDIAdmin earn-out liability and accelerated tenant improvement benefit as part of executing a lease amendment. 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reconciliation of net income to non-GAAP income per share: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gridSpan w:val="4"/>
          </w:tcPr>
          <w:p>
            <w:pPr>
              <w:jc w:val="right"/>
              <w:ind w:right="27"/>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327"/>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20,383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14,424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Realized (gain) loss from foreign currency on cash and investments held</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Income tax effects of adjustments</w:t>
            </w:r>
          </w:p>
        </w:tc>
        <w:tc>
          <w:tcPr>
            <w:tcW w:w="9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(7,974)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(5,912)</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income</w:t>
            </w:r>
          </w:p>
        </w:tc>
        <w:tc>
          <w:tcPr>
            <w:tcW w:w="960" w:type="dxa"/>
            <w:vAlign w:val="bottom"/>
            <w:tcBorders>
              <w:top w:val="single" w:sz="8" w:color="auto"/>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32,593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Shares used to compute non-GAAP income per share</w:t>
            </w: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35,828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36,741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Basic</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0.91</w:t>
            </w:r>
          </w:p>
        </w:tc>
        <w:tc>
          <w:tcPr>
            <w:tcW w:w="160" w:type="dxa"/>
            <w:vAlign w:val="bottom"/>
          </w:tcPr>
          <w:p>
            <w:pPr>
              <w:spacing w:after="0"/>
              <w:rPr>
                <w:sz w:val="19"/>
                <w:szCs w:val="19"/>
                <w:color w:val="auto"/>
              </w:rPr>
            </w:pPr>
          </w:p>
        </w:tc>
        <w:tc>
          <w:tcPr>
            <w:tcW w:w="64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6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0"/>
        <w:spacing w:after="0"/>
        <w:tabs>
          <w:tab w:leader="none" w:pos="5540" w:val="left"/>
          <w:tab w:leader="none" w:pos="81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23</w:t>
      </w:r>
      <w:r>
        <w:rPr>
          <w:sz w:val="20"/>
          <w:szCs w:val="20"/>
          <w:color w:val="auto"/>
        </w:rPr>
        <w:tab/>
      </w:r>
      <w:r>
        <w:rPr>
          <w:rFonts w:ascii="Arial" w:cs="Arial" w:eastAsia="Arial" w:hAnsi="Arial"/>
          <w:sz w:val="10"/>
          <w:szCs w:val="10"/>
          <w:b w:val="1"/>
          <w:bCs w:val="1"/>
          <w:color w:val="auto"/>
        </w:rPr>
        <w:t>Form 10-Q for the Quarterly Period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3" w:name="page24"/>
    <w:bookmarkEnd w:id="23"/>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Liquidity and Capital Resources</w:t>
      </w:r>
    </w:p>
    <w:p>
      <w:pPr>
        <w:spacing w:after="0" w:line="121"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At June 30, 2021, our principal sources of liquidity were cash and cash equivalents, certificates of deposit and short-term investments totaling $233.4 million and accounts receivable, net of provision for credit losses, of $37.9 million. Certificates of deposit and investments are invested in accordance with our investment policy, with a goal of maintaining liquidity and capital preservation. Our cash equivalents and short-term investments are held in highly liquid money market funds, commercial paper, federal agency securities and corporate debt securities.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summary of activity within the condensed consolidated statements of cash flows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3"/>
          </w:tcPr>
          <w:p>
            <w:pPr>
              <w:jc w:val="center"/>
              <w:ind w:left="579"/>
              <w:spacing w:after="0"/>
              <w:rPr>
                <w:sz w:val="20"/>
                <w:szCs w:val="20"/>
                <w:color w:val="auto"/>
              </w:rPr>
            </w:pPr>
            <w:r>
              <w:rPr>
                <w:rFonts w:ascii="Arial" w:cs="Arial" w:eastAsia="Arial" w:hAnsi="Arial"/>
                <w:sz w:val="14"/>
                <w:szCs w:val="14"/>
                <w:b w:val="1"/>
                <w:bCs w:val="1"/>
                <w:color w:val="auto"/>
                <w:w w:val="93"/>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center"/>
              <w:ind w:left="599"/>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54,658</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(17,772)</w:t>
            </w:r>
          </w:p>
        </w:tc>
        <w:tc>
          <w:tcPr>
            <w:tcW w:w="52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(32,490)</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(2,276)</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(8,662)</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from Operating Activities</w:t>
      </w:r>
    </w:p>
    <w:p>
      <w:pPr>
        <w:spacing w:after="0" w:line="117"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color w:val="auto"/>
        </w:rPr>
        <w:t>The increase in cash provided by operating activities was primarily driven by the changes in assets and liabilities, principally the increases in deferred revenue and accrued compensation balances. Additionally, business expansion resulted in increased depreciation and amortization of property and equipment, amortization of intangibles assets, and stock-based compensation expense that contributed to the increase.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from 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decrease in net cash used in investing activities was primarily due to a decrease of net purchases of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from Financing Activities</w:t>
      </w:r>
    </w:p>
    <w:p>
      <w:pPr>
        <w:spacing w:after="0" w:line="11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The change in net cash used in financing activities was primarily due to the decreases in cash used for share repurchases and net proceeds from stock option exercises.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Effect of Foreign Currency Exchange Rate Changes</w:t>
      </w:r>
    </w:p>
    <w:p>
      <w:pPr>
        <w:spacing w:after="0" w:line="117" w:lineRule="exact"/>
        <w:rPr>
          <w:sz w:val="20"/>
          <w:szCs w:val="20"/>
          <w:color w:val="auto"/>
        </w:rPr>
      </w:pPr>
    </w:p>
    <w:p>
      <w:pPr>
        <w:ind w:right="360" w:firstLine="510"/>
        <w:spacing w:after="0" w:line="308" w:lineRule="auto"/>
        <w:rPr>
          <w:sz w:val="20"/>
          <w:szCs w:val="20"/>
          <w:color w:val="auto"/>
        </w:rPr>
      </w:pPr>
      <w:r>
        <w:rPr>
          <w:rFonts w:ascii="Arial" w:cs="Arial" w:eastAsia="Arial" w:hAnsi="Arial"/>
          <w:sz w:val="17"/>
          <w:szCs w:val="17"/>
          <w:color w:val="auto"/>
        </w:rPr>
        <w:t>For information regarding the effect of foreign currency exchange rate changes, refer to the section entitled “Foreign Currency Exchange Risk,” included in Part I, Item 3, “Quantitative and Qualitative Disclosures About Market Risk” of this Quarterly Report on Form 10-Q.</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Adequacy of Capital Resources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17" w:lineRule="exact"/>
        <w:rPr>
          <w:sz w:val="20"/>
          <w:szCs w:val="20"/>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to develop and implement new solutions and applications, if any;</w:t>
      </w:r>
    </w:p>
    <w:p>
      <w:pPr>
        <w:spacing w:after="0" w:line="130"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and marketing resources needed to further penetrate our market and gain acceptance of new solutions and applications that we may develop;</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expansion of our operations in the U.S. and internationally;</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response of competitors to our solutions and applications; 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239"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we anticipate that our expenditures will continue to increase as we expand our business.</w:t>
      </w:r>
    </w:p>
    <w:p>
      <w:pPr>
        <w:spacing w:after="0" w:line="170"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We believe our cash, cash equivalents, investments and our cash flows from operations will be sufficient to meet our working capital and capital expenditure requirements for at least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20574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80"/>
        <w:spacing w:after="0"/>
        <w:tabs>
          <w:tab w:leader="none" w:pos="5540" w:val="left"/>
          <w:tab w:leader="none" w:pos="81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24</w:t>
      </w:r>
      <w:r>
        <w:rPr>
          <w:sz w:val="20"/>
          <w:szCs w:val="20"/>
          <w:color w:val="auto"/>
        </w:rPr>
        <w:tab/>
      </w:r>
      <w:r>
        <w:rPr>
          <w:rFonts w:ascii="Arial" w:cs="Arial" w:eastAsia="Arial" w:hAnsi="Arial"/>
          <w:sz w:val="10"/>
          <w:szCs w:val="10"/>
          <w:b w:val="1"/>
          <w:bCs w:val="1"/>
          <w:color w:val="auto"/>
        </w:rPr>
        <w:t>Form 10-Q for the Quarterly Period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4" w:name="page25"/>
    <w:bookmarkEnd w:id="24"/>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six months ended June 30, 2021 and we do not expect that inflation or changing prices will materially affect our business in the foreseeable future.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Off-Balance Sheet Arrangements</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Contractual and Commercial Commitment Summary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contractual obligations and commercial commitments as of June 30, 2021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Payments Due by Period (in thousands)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5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99"/>
              <w:spacing w:after="0" w:line="147" w:lineRule="exact"/>
              <w:rPr>
                <w:sz w:val="20"/>
                <w:szCs w:val="20"/>
                <w:color w:val="auto"/>
              </w:rPr>
            </w:pPr>
            <w:r>
              <w:rPr>
                <w:rFonts w:ascii="Arial" w:cs="Arial" w:eastAsia="Arial" w:hAnsi="Arial"/>
                <w:sz w:val="14"/>
                <w:szCs w:val="14"/>
                <w:b w:val="1"/>
                <w:bCs w:val="1"/>
                <w:color w:val="auto"/>
                <w:w w:val="95"/>
              </w:rPr>
              <w:t>Less Than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8"/>
              </w:rPr>
              <w:t>More Than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5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3"/>
              </w:rPr>
              <w:t>Contractual Obligations</w:t>
            </w:r>
          </w:p>
        </w:tc>
        <w:tc>
          <w:tcPr>
            <w:tcW w:w="3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19"/>
              <w:spacing w:after="0" w:line="158" w:lineRule="exact"/>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5"/>
                <w:szCs w:val="15"/>
                <w:color w:val="auto"/>
              </w:rPr>
            </w:pPr>
          </w:p>
        </w:tc>
        <w:tc>
          <w:tcPr>
            <w:tcW w:w="860" w:type="dxa"/>
            <w:vAlign w:val="bottom"/>
          </w:tcPr>
          <w:p>
            <w:pPr>
              <w:jc w:val="right"/>
              <w:ind w:right="139"/>
              <w:spacing w:after="0" w:line="158" w:lineRule="exact"/>
              <w:rPr>
                <w:sz w:val="20"/>
                <w:szCs w:val="20"/>
                <w:color w:val="auto"/>
              </w:rPr>
            </w:pPr>
            <w:r>
              <w:rPr>
                <w:rFonts w:ascii="Arial" w:cs="Arial" w:eastAsia="Arial" w:hAnsi="Arial"/>
                <w:sz w:val="14"/>
                <w:szCs w:val="14"/>
                <w:b w:val="1"/>
                <w:bCs w:val="1"/>
                <w:color w:val="auto"/>
                <w:w w:val="99"/>
              </w:rPr>
              <w:t>3-5 Years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5 Years</w:t>
            </w:r>
          </w:p>
        </w:tc>
        <w:tc>
          <w:tcPr>
            <w:tcW w:w="220" w:type="dxa"/>
            <w:vAlign w:val="bottom"/>
          </w:tcPr>
          <w:p>
            <w:pPr>
              <w:spacing w:after="0"/>
              <w:rPr>
                <w:sz w:val="15"/>
                <w:szCs w:val="15"/>
                <w:color w:val="auto"/>
              </w:rPr>
            </w:pPr>
          </w:p>
        </w:tc>
        <w:tc>
          <w:tcPr>
            <w:tcW w:w="92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45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lease obligations, including imputed interest</w:t>
            </w:r>
          </w:p>
        </w:tc>
        <w:tc>
          <w:tcPr>
            <w:tcW w:w="6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4,766</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8,860</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7,527</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3,053</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24,206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spacing w:after="0"/>
              <w:rPr>
                <w:sz w:val="20"/>
                <w:szCs w:val="20"/>
                <w:color w:val="auto"/>
              </w:rPr>
            </w:pPr>
            <w:r>
              <w:rPr>
                <w:rFonts w:ascii="Arial" w:cs="Arial" w:eastAsia="Arial" w:hAnsi="Arial"/>
                <w:sz w:val="18"/>
                <w:szCs w:val="18"/>
                <w:color w:val="auto"/>
              </w:rPr>
              <w:t>Purchase commitment</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6,362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7,344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6"/>
        </w:trPr>
        <w:tc>
          <w:tcPr>
            <w:tcW w:w="458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419"/>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40" w:type="dxa"/>
            <w:vAlign w:val="bottom"/>
            <w:gridSpan w:val="8"/>
          </w:tcPr>
          <w:p>
            <w:pPr>
              <w:ind w:left="380"/>
              <w:spacing w:after="0"/>
              <w:rPr>
                <w:sz w:val="20"/>
                <w:szCs w:val="20"/>
                <w:color w:val="auto"/>
              </w:rPr>
            </w:pPr>
            <w:r>
              <w:rPr>
                <w:rFonts w:ascii="Arial" w:cs="Arial" w:eastAsia="Arial" w:hAnsi="Arial"/>
                <w:sz w:val="13"/>
                <w:szCs w:val="13"/>
                <w:b w:val="1"/>
                <w:bCs w:val="1"/>
                <w:color w:val="auto"/>
                <w:w w:val="88"/>
              </w:rPr>
              <w:t>Form 10-Q for the Quarterly Period ended June 30, 2021</w:t>
            </w:r>
          </w:p>
        </w:tc>
        <w:tc>
          <w:tcPr>
            <w:tcW w:w="0" w:type="dxa"/>
            <w:vAlign w:val="bottom"/>
          </w:tcPr>
          <w:p>
            <w:pPr>
              <w:spacing w:after="0"/>
              <w:rPr>
                <w:sz w:val="1"/>
                <w:szCs w:val="1"/>
                <w:color w:val="auto"/>
              </w:rPr>
            </w:pPr>
          </w:p>
        </w:tc>
      </w:tr>
      <w:tr>
        <w:trPr>
          <w:trHeight w:val="168"/>
        </w:trPr>
        <w:tc>
          <w:tcPr>
            <w:tcW w:w="1500" w:type="dxa"/>
            <w:vAlign w:val="bottom"/>
            <w:tcBorders>
              <w:bottom w:val="single" w:sz="8" w:color="9A9A9A"/>
            </w:tcBorders>
          </w:tcPr>
          <w:p>
            <w:pPr>
              <w:spacing w:after="0"/>
              <w:rPr>
                <w:sz w:val="14"/>
                <w:szCs w:val="14"/>
                <w:color w:val="auto"/>
              </w:rPr>
            </w:pPr>
          </w:p>
        </w:tc>
        <w:tc>
          <w:tcPr>
            <w:tcW w:w="30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5" w:name="page26"/>
    <w:bookmarkEnd w:id="25"/>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3.</w:t>
      </w:r>
      <w:r>
        <w:rPr>
          <w:sz w:val="20"/>
          <w:szCs w:val="20"/>
          <w:color w:val="auto"/>
        </w:rPr>
        <w:tab/>
      </w:r>
      <w:r>
        <w:rPr>
          <w:rFonts w:ascii="Arial" w:cs="Arial" w:eastAsia="Arial" w:hAnsi="Arial"/>
          <w:sz w:val="16"/>
          <w:szCs w:val="16"/>
          <w:b w:val="1"/>
          <w:bCs w:val="1"/>
          <w:color w:val="00AAE5"/>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Interest Rate Sensitivity Risk</w:t>
      </w:r>
    </w:p>
    <w:p>
      <w:pPr>
        <w:spacing w:after="0" w:line="117" w:lineRule="exact"/>
        <w:rPr>
          <w:sz w:val="20"/>
          <w:szCs w:val="20"/>
          <w:color w:val="auto"/>
        </w:rPr>
      </w:pPr>
    </w:p>
    <w:p>
      <w:pPr>
        <w:jc w:val="both"/>
        <w:ind w:right="260" w:firstLine="510"/>
        <w:spacing w:after="0" w:line="311" w:lineRule="auto"/>
        <w:rPr>
          <w:sz w:val="20"/>
          <w:szCs w:val="20"/>
          <w:color w:val="auto"/>
        </w:rPr>
      </w:pPr>
      <w:r>
        <w:rPr>
          <w:rFonts w:ascii="Arial" w:cs="Arial" w:eastAsia="Arial" w:hAnsi="Arial"/>
          <w:sz w:val="16"/>
          <w:szCs w:val="16"/>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cash, cash equivalents, and investments, we believe there is no material risk of exposure. We do not enter into investments for trading or speculative purposes.</w:t>
      </w:r>
    </w:p>
    <w:p>
      <w:pPr>
        <w:spacing w:after="0" w:line="149" w:lineRule="exact"/>
        <w:rPr>
          <w:sz w:val="20"/>
          <w:szCs w:val="20"/>
          <w:color w:val="auto"/>
        </w:rPr>
      </w:pPr>
    </w:p>
    <w:p>
      <w:pPr>
        <w:ind w:right="740" w:firstLine="510"/>
        <w:spacing w:after="0" w:line="277" w:lineRule="auto"/>
        <w:rPr>
          <w:sz w:val="20"/>
          <w:szCs w:val="20"/>
          <w:color w:val="auto"/>
        </w:rPr>
      </w:pPr>
      <w:r>
        <w:rPr>
          <w:rFonts w:ascii="Arial" w:cs="Arial" w:eastAsia="Arial" w:hAnsi="Arial"/>
          <w:sz w:val="18"/>
          <w:szCs w:val="18"/>
          <w:color w:val="auto"/>
        </w:rPr>
        <w:t>We did not have any variable interest rate outstanding debt as of June 30, 2021. Therefore, we do not have any material risk to interest rate fluctuations.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Foreign Currency Exchange Risk</w:t>
      </w:r>
    </w:p>
    <w:p>
      <w:pPr>
        <w:spacing w:after="0" w:line="117"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We have revenue, expenses, assets, and liabilities that are denominated in currencies other than the U.S. dollar, primarily the Australian dollar and Canadian dollar. As of June 30, 2021, we maintained approximately 6% of our total cash and cash equivalents outside of the U.S. in foreign currencies. We believe that a hypothetical 10% change in foreign currency exchange rates or an inability to access foreign funds would not affect our ability to meet our operational needs or result in a material foreign currency loss. As we expand internationally, our results of operations and cash flows may be impacted by changes in foreign currency exchange rates and would be adversely impacted when the U.S. dollar appreciates relative to other foreign currencies. We have not used any forward contracts or currency borrowings to hedge our exposure to foreign currency exchange risk, although we may do so in the future.</w:t>
      </w:r>
    </w:p>
    <w:p>
      <w:pPr>
        <w:spacing w:after="0" w:line="26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4.</w:t>
      </w:r>
      <w:r>
        <w:rPr>
          <w:sz w:val="20"/>
          <w:szCs w:val="20"/>
          <w:color w:val="auto"/>
        </w:rPr>
        <w:tab/>
      </w:r>
      <w:r>
        <w:rPr>
          <w:rFonts w:ascii="Arial" w:cs="Arial" w:eastAsia="Arial" w:hAnsi="Arial"/>
          <w:sz w:val="15"/>
          <w:szCs w:val="15"/>
          <w:b w:val="1"/>
          <w:bCs w:val="1"/>
          <w:color w:val="00AAE5"/>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Evaluation of Disclosure Controls and Procedures</w:t>
      </w:r>
    </w:p>
    <w:p>
      <w:pPr>
        <w:spacing w:after="0" w:line="117" w:lineRule="exact"/>
        <w:rPr>
          <w:sz w:val="20"/>
          <w:szCs w:val="20"/>
          <w:color w:val="auto"/>
        </w:rPr>
      </w:pPr>
    </w:p>
    <w:p>
      <w:pPr>
        <w:ind w:right="300" w:firstLine="510"/>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June 30,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Changes in Internal Control over Financial Reporting</w:t>
      </w:r>
    </w:p>
    <w:p>
      <w:pPr>
        <w:spacing w:after="0" w:line="225" w:lineRule="exact"/>
        <w:rPr>
          <w:sz w:val="20"/>
          <w:szCs w:val="20"/>
          <w:color w:val="auto"/>
        </w:rPr>
      </w:pPr>
    </w:p>
    <w:p>
      <w:pPr>
        <w:ind w:right="220" w:firstLine="510"/>
        <w:spacing w:after="0" w:line="273" w:lineRule="auto"/>
        <w:rPr>
          <w:sz w:val="20"/>
          <w:szCs w:val="20"/>
          <w:color w:val="auto"/>
        </w:rPr>
      </w:pPr>
      <w:r>
        <w:rPr>
          <w:rFonts w:ascii="Arial" w:cs="Arial" w:eastAsia="Arial" w:hAnsi="Arial"/>
          <w:sz w:val="17"/>
          <w:szCs w:val="17"/>
          <w:color w:val="auto"/>
        </w:rPr>
        <w:t>In December 2020, we acquired the Data Masons business. Pursuant to the SEC’s general guidance that an assessment of a recently acquired business may be omitted from our scope for a period not to exceed one year from the date of acquisition, the scope of our most recent assessment did not include Data Masons. We are currently in the process of incorporating internal controls specific to Data Masons that we believe are appropriate and necessary to consolidate and report upon our financial results. Our assessment of the effectiveness of internal control over financial reporting as of December 31, 2021 will include Data Masons. As of and for the three and six months ended June 30, 2021, excluding net intangible assets and goodwill, Data Masons represented approximately 3% of our consolidated assets and 6% of our consolidated revenues.</w:t>
      </w:r>
    </w:p>
    <w:p>
      <w:pPr>
        <w:spacing w:after="0" w:line="70"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With the exception of the internal control related to integration activities associated with our acquisition of Data Masons, there were no changes in our internal control over financial reporting during the quarter ended June 30, 2021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205740"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0"/>
        <w:spacing w:after="0"/>
        <w:tabs>
          <w:tab w:leader="none" w:pos="5540" w:val="left"/>
          <w:tab w:leader="none" w:pos="81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26</w:t>
      </w:r>
      <w:r>
        <w:rPr>
          <w:sz w:val="20"/>
          <w:szCs w:val="20"/>
          <w:color w:val="auto"/>
        </w:rPr>
        <w:tab/>
      </w:r>
      <w:r>
        <w:rPr>
          <w:rFonts w:ascii="Arial" w:cs="Arial" w:eastAsia="Arial" w:hAnsi="Arial"/>
          <w:sz w:val="10"/>
          <w:szCs w:val="10"/>
          <w:b w:val="1"/>
          <w:bCs w:val="1"/>
          <w:color w:val="auto"/>
        </w:rPr>
        <w:t>Form 10-Q for the Quarterly Period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6" w:name="page27"/>
    <w:bookmarkEnd w:id="26"/>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1.</w:t>
      </w:r>
      <w:r>
        <w:rPr>
          <w:sz w:val="20"/>
          <w:szCs w:val="20"/>
          <w:color w:val="auto"/>
        </w:rPr>
        <w:tab/>
      </w:r>
      <w:r>
        <w:rPr>
          <w:rFonts w:ascii="Arial" w:cs="Arial" w:eastAsia="Arial" w:hAnsi="Arial"/>
          <w:sz w:val="15"/>
          <w:szCs w:val="15"/>
          <w:b w:val="1"/>
          <w:bCs w:val="1"/>
          <w:color w:val="00AAE5"/>
        </w:rPr>
        <w:t>Legal Proceedings</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1A.</w:t>
      </w:r>
      <w:r>
        <w:rPr>
          <w:sz w:val="20"/>
          <w:szCs w:val="20"/>
          <w:color w:val="auto"/>
        </w:rPr>
        <w:tab/>
      </w:r>
      <w:r>
        <w:rPr>
          <w:rFonts w:ascii="Arial" w:cs="Arial" w:eastAsia="Arial" w:hAnsi="Arial"/>
          <w:sz w:val="16"/>
          <w:szCs w:val="16"/>
          <w:b w:val="1"/>
          <w:bCs w:val="1"/>
          <w:color w:val="00AAE5"/>
        </w:rPr>
        <w:t>Risk Factors</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2020, as filed with the SEC.</w:t>
      </w:r>
    </w:p>
    <w:p>
      <w:pPr>
        <w:spacing w:after="0" w:line="2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2.</w:t>
      </w:r>
      <w:r>
        <w:rPr>
          <w:sz w:val="20"/>
          <w:szCs w:val="20"/>
          <w:color w:val="auto"/>
        </w:rPr>
        <w:tab/>
      </w:r>
      <w:r>
        <w:rPr>
          <w:rFonts w:ascii="Arial" w:cs="Arial" w:eastAsia="Arial" w:hAnsi="Arial"/>
          <w:sz w:val="15"/>
          <w:szCs w:val="15"/>
          <w:b w:val="1"/>
          <w:bCs w:val="1"/>
          <w:color w:val="00AAE5"/>
        </w:rPr>
        <w:t>Unregistered Sales of Equity Securities and Use of Proceeds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1F282C"/>
        </w:rPr>
        <w:t>(c) Share Repurchases</w:t>
      </w:r>
    </w:p>
    <w:p>
      <w:pPr>
        <w:spacing w:after="0" w:line="121" w:lineRule="exact"/>
        <w:rPr>
          <w:sz w:val="20"/>
          <w:szCs w:val="20"/>
          <w:color w:val="auto"/>
        </w:rPr>
      </w:pPr>
    </w:p>
    <w:p>
      <w:pPr>
        <w:jc w:val="both"/>
        <w:ind w:right="100" w:firstLine="510"/>
        <w:spacing w:after="0" w:line="342" w:lineRule="auto"/>
        <w:rPr>
          <w:sz w:val="20"/>
          <w:szCs w:val="20"/>
          <w:color w:val="auto"/>
        </w:rPr>
      </w:pPr>
      <w:r>
        <w:rPr>
          <w:rFonts w:ascii="Arial" w:cs="Arial" w:eastAsia="Arial" w:hAnsi="Arial"/>
          <w:sz w:val="16"/>
          <w:szCs w:val="16"/>
          <w:color w:val="auto"/>
        </w:rPr>
        <w:t>Under a share repurchase program announced by our board of directors on November 2, 2019, we can repurchase up to a total of $50 million of our common stock in the open market through November 2, 2021. Our stock repurchase activity during the three months ended June 30, 2021 was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May Yet be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960" w:type="dxa"/>
            <w:vAlign w:val="bottom"/>
            <w:gridSpan w:val="2"/>
            <w:vMerge w:val="restart"/>
          </w:tcPr>
          <w:p>
            <w:pPr>
              <w:ind w:left="1780"/>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96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Paid per Share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23"/>
        </w:trPr>
        <w:tc>
          <w:tcPr>
            <w:tcW w:w="57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April 1 - 30, 2021</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31,050,000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3"/>
          </w:tcPr>
          <w:p>
            <w:pPr>
              <w:spacing w:after="0"/>
              <w:rPr>
                <w:sz w:val="20"/>
                <w:szCs w:val="20"/>
                <w:color w:val="auto"/>
              </w:rPr>
            </w:pPr>
            <w:r>
              <w:rPr>
                <w:rFonts w:ascii="Arial" w:cs="Arial" w:eastAsia="Arial" w:hAnsi="Arial"/>
                <w:sz w:val="18"/>
                <w:szCs w:val="18"/>
                <w:color w:val="auto"/>
              </w:rPr>
              <w:t>May 1 - 31, 2021</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31,050,000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June 1 - 30, 2021</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63,515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101.55</w:t>
            </w:r>
          </w:p>
        </w:tc>
        <w:tc>
          <w:tcPr>
            <w:tcW w:w="22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63,515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Total</w:t>
            </w: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101.55</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24,600,000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Arial" w:cs="Arial" w:eastAsia="Arial" w:hAnsi="Arial"/>
                <w:sz w:val="18"/>
                <w:szCs w:val="18"/>
                <w:b w:val="1"/>
                <w:bCs w:val="1"/>
                <w:color w:val="00AAE5"/>
              </w:rPr>
              <w:t>Item 3.</w:t>
            </w:r>
          </w:p>
        </w:tc>
        <w:tc>
          <w:tcPr>
            <w:tcW w:w="496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00AAE5"/>
              </w:rPr>
              <w:t>Defaults Upon Senior Securities</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80" w:type="dxa"/>
            <w:vAlign w:val="bottom"/>
            <w:vMerge w:val="continue"/>
          </w:tcPr>
          <w:p>
            <w:pPr>
              <w:spacing w:after="0"/>
              <w:rPr>
                <w:sz w:val="24"/>
                <w:szCs w:val="24"/>
                <w:color w:val="auto"/>
              </w:rPr>
            </w:pPr>
          </w:p>
        </w:tc>
        <w:tc>
          <w:tcPr>
            <w:tcW w:w="496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40" w:type="dxa"/>
            <w:vAlign w:val="bottom"/>
            <w:gridSpan w:val="3"/>
          </w:tcPr>
          <w:p>
            <w:pPr>
              <w:ind w:left="520"/>
              <w:spacing w:after="0"/>
              <w:rPr>
                <w:sz w:val="20"/>
                <w:szCs w:val="20"/>
                <w:color w:val="auto"/>
              </w:rPr>
            </w:pPr>
            <w:r>
              <w:rPr>
                <w:rFonts w:ascii="Arial" w:cs="Arial" w:eastAsia="Arial" w:hAnsi="Arial"/>
                <w:sz w:val="18"/>
                <w:szCs w:val="18"/>
                <w:color w:val="auto"/>
              </w:rPr>
              <w:t>Not Applicable.</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4.</w:t>
      </w:r>
      <w:r>
        <w:rPr>
          <w:sz w:val="20"/>
          <w:szCs w:val="20"/>
          <w:color w:val="auto"/>
        </w:rPr>
        <w:tab/>
      </w:r>
      <w:r>
        <w:rPr>
          <w:rFonts w:ascii="Arial" w:cs="Arial" w:eastAsia="Arial" w:hAnsi="Arial"/>
          <w:sz w:val="15"/>
          <w:szCs w:val="15"/>
          <w:b w:val="1"/>
          <w:bCs w:val="1"/>
          <w:color w:val="00AAE5"/>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5.</w:t>
      </w:r>
      <w:r>
        <w:rPr>
          <w:sz w:val="20"/>
          <w:szCs w:val="20"/>
          <w:color w:val="auto"/>
        </w:rPr>
        <w:tab/>
      </w:r>
      <w:r>
        <w:rPr>
          <w:rFonts w:ascii="Arial" w:cs="Arial" w:eastAsia="Arial" w:hAnsi="Arial"/>
          <w:sz w:val="17"/>
          <w:szCs w:val="17"/>
          <w:b w:val="1"/>
          <w:bCs w:val="1"/>
          <w:color w:val="00AAE5"/>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205740" cy="205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480"/>
        <w:spacing w:after="0"/>
        <w:tabs>
          <w:tab w:leader="none" w:pos="5540" w:val="left"/>
          <w:tab w:leader="none" w:pos="81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27</w:t>
      </w:r>
      <w:r>
        <w:rPr>
          <w:sz w:val="20"/>
          <w:szCs w:val="20"/>
          <w:color w:val="auto"/>
        </w:rPr>
        <w:tab/>
      </w:r>
      <w:r>
        <w:rPr>
          <w:rFonts w:ascii="Arial" w:cs="Arial" w:eastAsia="Arial" w:hAnsi="Arial"/>
          <w:sz w:val="10"/>
          <w:szCs w:val="10"/>
          <w:b w:val="1"/>
          <w:bCs w:val="1"/>
          <w:color w:val="auto"/>
        </w:rPr>
        <w:t>Form 10-Q for the Quarterly Period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7" w:name="page28"/>
    <w:bookmarkEnd w:id="27"/>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6.</w:t>
      </w:r>
      <w:r>
        <w:rPr>
          <w:sz w:val="20"/>
          <w:szCs w:val="20"/>
          <w:color w:val="auto"/>
        </w:rPr>
        <w:tab/>
      </w:r>
      <w:r>
        <w:rPr>
          <w:rFonts w:ascii="Arial" w:cs="Arial" w:eastAsia="Arial" w:hAnsi="Arial"/>
          <w:sz w:val="16"/>
          <w:szCs w:val="16"/>
          <w:b w:val="1"/>
          <w:bCs w:val="1"/>
          <w:color w:val="00AAE5"/>
        </w:rPr>
        <w:t>Exhibits</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 w:lineRule="exact"/>
        <w:rPr>
          <w:sz w:val="20"/>
          <w:szCs w:val="20"/>
          <w:color w:val="auto"/>
        </w:rPr>
      </w:pPr>
    </w:p>
    <w:p>
      <w:pPr>
        <w:ind w:left="680" w:right="100" w:hanging="674"/>
        <w:spacing w:after="0" w:line="259" w:lineRule="auto"/>
        <w:tabs>
          <w:tab w:leader="none" w:pos="6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68">
        <w:r>
          <w:rPr>
            <w:rFonts w:ascii="Arial" w:cs="Arial" w:eastAsia="Arial" w:hAnsi="Arial"/>
            <w:sz w:val="18"/>
            <w:szCs w:val="18"/>
            <w:u w:val="single" w:color="auto"/>
            <w:color w:val="0000EE"/>
          </w:rPr>
          <w:t>Ninth Amended and Restated Certificate of Incorporation (incorporated by reference to Exhibit 3.2 to our Current Report on Form 8-K filed with</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the SEC on May 21, 2020).</w:t>
        </w:r>
      </w:hyperlink>
    </w:p>
    <w:p>
      <w:pPr>
        <w:spacing w:after="0" w:line="91"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69">
        <w:r>
          <w:rPr>
            <w:rFonts w:ascii="Arial" w:cs="Arial" w:eastAsia="Arial" w:hAnsi="Arial"/>
            <w:sz w:val="16"/>
            <w:szCs w:val="16"/>
            <w:u w:val="single" w:color="auto"/>
            <w:color w:val="0000EE"/>
          </w:rPr>
          <w:t>Amended and Restated Bylaws (incorporated by reference to Exhibit 3.1 to our Current Report on Form 8-K filed with the SEC on October 17,</w:t>
        </w:r>
      </w:hyperlink>
    </w:p>
    <w:p>
      <w:pPr>
        <w:spacing w:after="0" w:line="23" w:lineRule="exact"/>
        <w:rPr>
          <w:sz w:val="20"/>
          <w:szCs w:val="20"/>
          <w:color w:val="auto"/>
        </w:rPr>
      </w:pPr>
    </w:p>
    <w:p>
      <w:pPr>
        <w:ind w:left="680"/>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2017).</w:t>
        </w:r>
      </w:hyperlink>
    </w:p>
    <w:p>
      <w:pPr>
        <w:spacing w:after="0" w:line="116"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30">
        <w:r>
          <w:rPr>
            <w:rFonts w:ascii="Arial" w:cs="Arial" w:eastAsia="Arial" w:hAnsi="Arial"/>
            <w:sz w:val="16"/>
            <w:szCs w:val="16"/>
            <w:u w:val="single" w:color="auto"/>
            <w:color w:val="0000EE"/>
          </w:rPr>
          <w:t>Certification of Principal Executive Officer pursuant to Rules 13a-14(a) under the Securities Exchange Act of 1934, as amended (filed herewith).</w:t>
        </w:r>
      </w:hyperlink>
    </w:p>
    <w:p>
      <w:pPr>
        <w:spacing w:after="0" w:line="131"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31">
        <w:r>
          <w:rPr>
            <w:rFonts w:ascii="Arial" w:cs="Arial" w:eastAsia="Arial" w:hAnsi="Arial"/>
            <w:sz w:val="16"/>
            <w:szCs w:val="16"/>
            <w:u w:val="single" w:color="auto"/>
            <w:color w:val="0000EE"/>
          </w:rPr>
          <w:t>Certification of Principal Financial Officer pursuant to Rules 13a-14(a) under the Securities Exchange Act of 1934, as amended (filed herewith).</w:t>
        </w:r>
      </w:hyperlink>
    </w:p>
    <w:p>
      <w:pPr>
        <w:spacing w:after="0" w:line="131" w:lineRule="exact"/>
        <w:rPr>
          <w:sz w:val="20"/>
          <w:szCs w:val="20"/>
          <w:color w:val="auto"/>
        </w:rPr>
      </w:pPr>
    </w:p>
    <w:p>
      <w:pPr>
        <w:ind w:left="680" w:right="240" w:hanging="674"/>
        <w:spacing w:after="0" w:line="277" w:lineRule="auto"/>
        <w:tabs>
          <w:tab w:leader="none" w:pos="66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32">
        <w:r>
          <w:rPr>
            <w:rFonts w:ascii="Arial" w:cs="Arial" w:eastAsia="Arial" w:hAnsi="Arial"/>
            <w:sz w:val="18"/>
            <w:szCs w:val="18"/>
            <w:u w:val="single" w:color="auto"/>
            <w:color w:val="0000EE"/>
          </w:rPr>
          <w:t>Certification of Chief Executive Officer and Chief Financial Officer pursuant to 18 U.S.C. Sec. 1350, as adopted pursuant to Section 906 of the</w:t>
        </w:r>
      </w:hyperlink>
      <w:r>
        <w:rPr>
          <w:rFonts w:ascii="Arial" w:cs="Arial" w:eastAsia="Arial" w:hAnsi="Arial"/>
          <w:sz w:val="18"/>
          <w:szCs w:val="18"/>
          <w:u w:val="single" w:color="auto"/>
          <w:color w:val="0000EE"/>
        </w:rPr>
        <w:t xml:space="preserve"> </w:t>
      </w:r>
      <w:hyperlink w:anchor="page32">
        <w:r>
          <w:rPr>
            <w:rFonts w:ascii="Arial" w:cs="Arial" w:eastAsia="Arial" w:hAnsi="Arial"/>
            <w:sz w:val="18"/>
            <w:szCs w:val="18"/>
            <w:u w:val="single" w:color="auto"/>
            <w:color w:val="0000EE"/>
          </w:rPr>
          <w:t>Sarbanes-Oxley Act of 2002 (filed herewith).</w:t>
        </w:r>
      </w:hyperlink>
    </w:p>
    <w:p>
      <w:pPr>
        <w:spacing w:after="0" w:line="89" w:lineRule="exact"/>
        <w:rPr>
          <w:sz w:val="20"/>
          <w:szCs w:val="20"/>
          <w:color w:val="auto"/>
        </w:rPr>
      </w:pPr>
    </w:p>
    <w:p>
      <w:pPr>
        <w:ind w:left="680" w:right="200" w:hanging="672"/>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(filed herewith). The XBRL instance document does not appear in the Interactive Data File because its tags are embedded within the Inline XBRL document.</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the Quarterly Report on Form 10-Q for the quarter ended June 30, 2021,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205740"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80"/>
        <w:spacing w:after="0"/>
        <w:tabs>
          <w:tab w:leader="none" w:pos="5540" w:val="left"/>
          <w:tab w:leader="none" w:pos="81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28</w:t>
      </w:r>
      <w:r>
        <w:rPr>
          <w:sz w:val="20"/>
          <w:szCs w:val="20"/>
          <w:color w:val="auto"/>
        </w:rPr>
        <w:tab/>
      </w:r>
      <w:r>
        <w:rPr>
          <w:rFonts w:ascii="Arial" w:cs="Arial" w:eastAsia="Arial" w:hAnsi="Arial"/>
          <w:sz w:val="10"/>
          <w:szCs w:val="10"/>
          <w:b w:val="1"/>
          <w:bCs w:val="1"/>
          <w:color w:val="auto"/>
        </w:rPr>
        <w:t>Form 10-Q for the Quarterly Period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8" w:name="page29"/>
    <w:bookmarkEnd w:id="28"/>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280" w:val="left"/>
        </w:tabs>
        <w:rPr>
          <w:sz w:val="20"/>
          <w:szCs w:val="20"/>
          <w:color w:val="auto"/>
        </w:rPr>
      </w:pPr>
      <w:r>
        <w:rPr>
          <w:rFonts w:ascii="Arial" w:cs="Arial" w:eastAsia="Arial" w:hAnsi="Arial"/>
          <w:sz w:val="18"/>
          <w:szCs w:val="18"/>
          <w:color w:val="auto"/>
        </w:rPr>
        <w:t>Dated: July 29, 2021</w:t>
      </w:r>
      <w:r>
        <w:rPr>
          <w:sz w:val="20"/>
          <w:szCs w:val="20"/>
          <w:color w:val="auto"/>
        </w:rPr>
        <w:tab/>
      </w:r>
      <w:r>
        <w:rPr>
          <w:rFonts w:ascii="Arial" w:cs="Arial" w:eastAsia="Arial" w:hAnsi="Arial"/>
          <w:sz w:val="17"/>
          <w:szCs w:val="17"/>
          <w:b w:val="1"/>
          <w:bCs w:val="1"/>
          <w:color w:val="auto"/>
        </w:rPr>
        <w:t>SPS COMMERCE, INC.</w:t>
      </w:r>
    </w:p>
    <w:p>
      <w:pPr>
        <w:spacing w:after="0" w:line="25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205740"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80"/>
        <w:spacing w:after="0"/>
        <w:tabs>
          <w:tab w:leader="none" w:pos="5540" w:val="left"/>
          <w:tab w:leader="none" w:pos="81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29</w:t>
      </w:r>
      <w:r>
        <w:rPr>
          <w:sz w:val="20"/>
          <w:szCs w:val="20"/>
          <w:color w:val="auto"/>
        </w:rPr>
        <w:tab/>
      </w:r>
      <w:r>
        <w:rPr>
          <w:rFonts w:ascii="Arial" w:cs="Arial" w:eastAsia="Arial" w:hAnsi="Arial"/>
          <w:sz w:val="10"/>
          <w:szCs w:val="10"/>
          <w:b w:val="1"/>
          <w:bCs w:val="1"/>
          <w:color w:val="auto"/>
        </w:rPr>
        <w:t>Form 10-Q for the Quarterly Period ended June 30, 2021</w:t>
      </w:r>
    </w:p>
    <w:p>
      <w:pPr>
        <w:sectPr>
          <w:pgSz w:w="11900" w:h="16838" w:orient="portrait"/>
          <w:cols w:equalWidth="0" w:num="1">
            <w:col w:w="11240"/>
          </w:cols>
          <w:pgMar w:left="320" w:top="129"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225"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38"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460" w:hanging="493"/>
        <w:spacing w:after="0" w:line="342"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000" w:right="8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20" w:right="80" w:hanging="500"/>
        <w:spacing w:after="0" w:line="286" w:lineRule="auto"/>
        <w:tabs>
          <w:tab w:leader="none" w:pos="15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20" w:right="40" w:hanging="500"/>
        <w:spacing w:after="0" w:line="263" w:lineRule="auto"/>
        <w:tabs>
          <w:tab w:leader="none" w:pos="1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20" w:right="260" w:hanging="500"/>
        <w:spacing w:after="0" w:line="286" w:lineRule="auto"/>
        <w:tabs>
          <w:tab w:leader="none" w:pos="15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40" w:hanging="493"/>
        <w:spacing w:after="0" w:line="342"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460" w:hanging="500"/>
        <w:spacing w:after="0" w:line="277" w:lineRule="auto"/>
        <w:tabs>
          <w:tab w:leader="none" w:pos="1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29, 2021</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225"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38"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460" w:hanging="493"/>
        <w:spacing w:after="0" w:line="342"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000" w:right="80" w:hanging="493"/>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20" w:right="80" w:hanging="500"/>
        <w:spacing w:after="0" w:line="286" w:lineRule="auto"/>
        <w:tabs>
          <w:tab w:leader="none" w:pos="15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20" w:right="40" w:hanging="500"/>
        <w:spacing w:after="0" w:line="263" w:lineRule="auto"/>
        <w:tabs>
          <w:tab w:leader="none" w:pos="1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20" w:right="260" w:hanging="500"/>
        <w:spacing w:after="0" w:line="286" w:lineRule="auto"/>
        <w:tabs>
          <w:tab w:leader="none" w:pos="15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40" w:hanging="493"/>
        <w:spacing w:after="0" w:line="342"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460" w:hanging="500"/>
        <w:spacing w:after="0" w:line="277" w:lineRule="auto"/>
        <w:tabs>
          <w:tab w:leader="none" w:pos="1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29, 2021</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June 30, 2021,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41"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July 29,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0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jpe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jpe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68" Type="http://schemas.openxmlformats.org/officeDocument/2006/relationships/hyperlink" Target="http://www.sec.gov/Archives/edgar/data/1092699/000119312520148645/d833455dex32.htm" TargetMode="External"/><Relationship Id="rId69" Type="http://schemas.openxmlformats.org/officeDocument/2006/relationships/hyperlink" Target="http://www.sec.gov/Archives/edgar/data/1092699/000119312517311896/d43031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2021-07-29T16:29:54Z</dcterms:created>
  <dcterms:modified xsi:type="dcterms:W3CDTF">2021-07-29T16:29:54Z</dcterms:modified>
</cp:coreProperties>
</file>