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ind w:left="0" w:right="0" w:hanging="49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001-34702</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SPS COMMERCE, INC.</w:t>
      </w:r>
    </w:p>
    <w:p>
      <w:pPr>
        <w:pStyle w:val="TextBody"/>
        <w:bidi w:val="0"/>
        <w:spacing w:before="0" w:after="0"/>
        <w:jc w:val="center"/>
        <w:rPr/>
      </w:pPr>
      <w:r>
        <w:rPr/>
        <w:drawing>
          <wp:inline distT="0" distB="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 cy="9048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(Exact Name of Registrant as Specified in its Charter)</w:t>
      </w:r>
    </w:p>
    <w:tbl>
      <w:tblPr>
        <w:tblW w:w="3719" w:type="dxa"/>
        <w:jc w:val="center"/>
        <w:tblInd w:w="0" w:type="dxa"/>
        <w:tblLayout w:type="fixed"/>
        <w:tblCellMar>
          <w:top w:w="28" w:type="dxa"/>
          <w:left w:w="28" w:type="dxa"/>
          <w:bottom w:w="28" w:type="dxa"/>
          <w:right w:w="28" w:type="dxa"/>
        </w:tblCellMar>
      </w:tblPr>
      <w:tblGrid>
        <w:gridCol w:w="819"/>
        <w:gridCol w:w="718"/>
        <w:gridCol w:w="727"/>
        <w:gridCol w:w="425"/>
        <w:gridCol w:w="425"/>
        <w:gridCol w:w="60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41-2015127</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(I.R.S. Employer</w:t>
            </w:r>
          </w:p>
          <w:p>
            <w:pPr>
              <w:pStyle w:val="TableContents"/>
              <w:bidi w:val="0"/>
              <w:spacing w:lineRule="auto" w:line="276" w:before="0" w:after="0"/>
              <w:jc w:val="center"/>
              <w:rPr>
                <w:rFonts w:ascii="Times New Roman;sans-serif" w:hAnsi="Times New Roman;sans-serif"/>
                <w:b/>
                <w:i/>
                <w:color w:val="000000"/>
                <w:sz w:val="16"/>
              </w:rPr>
            </w:pPr>
            <w:r>
              <w:rPr>
                <w:rFonts w:ascii="Times New Roman;sans-serif" w:hAnsi="Times New Roman;sans-serif"/>
                <w:b/>
                <w:i/>
                <w:color w:val="000000"/>
                <w:sz w:val="16"/>
              </w:rP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333 South Seventh Street, Suite 1000, Minneapolis, MN 55402</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including Zip Code)</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(612) 435-9400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11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31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 (Nasdaq Global Market)</w:t>
            </w:r>
          </w:p>
        </w:tc>
      </w:tr>
    </w:tbl>
    <w:p>
      <w:pPr>
        <w:pStyle w:val="TextBody"/>
        <w:bidi w:val="0"/>
        <w:spacing w:lineRule="auto" w:line="288" w:before="6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jc w:val="left"/>
        <w:rPr/>
      </w:pPr>
      <w:r>
        <w:rPr>
          <w:rFonts w:ascii="Times New Roman;sans-serif" w:hAnsi="Times New Roman;sans-serif"/>
          <w:b w:val="false"/>
          <w:color w:val="000000"/>
          <w:sz w:val="18"/>
        </w:rPr>
        <w:t>The number of shares of the registrant’s common stock, par value $0.001 per share, outstanding at October 19, 2023 wa</w:t>
      </w:r>
      <w:r>
        <w:rPr>
          <w:rFonts w:ascii="Times New Roman;sans-serif" w:hAnsi="Times New Roman;sans-serif"/>
          <w:b w:val="false"/>
          <w:color w:val="000000"/>
          <w:sz w:val="18"/>
          <w:shd w:fill="FFFFFF" w:val="clear"/>
        </w:rPr>
        <w:t>s 36,697,608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QUARTERLY REPORT ON FORM 10-Q</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TABLE OF CONTENTS</w:t>
      </w:r>
    </w:p>
    <w:tbl>
      <w:tblPr>
        <w:tblW w:w="10205" w:type="dxa"/>
        <w:jc w:val="center"/>
        <w:tblInd w:w="0" w:type="dxa"/>
        <w:tblLayout w:type="fixed"/>
        <w:tblCellMar>
          <w:top w:w="28" w:type="dxa"/>
          <w:left w:w="28" w:type="dxa"/>
          <w:bottom w:w="28" w:type="dxa"/>
          <w:right w:w="28" w:type="dxa"/>
        </w:tblCellMar>
      </w:tblPr>
      <w:tblGrid>
        <w:gridCol w:w="625"/>
        <w:gridCol w:w="547"/>
        <w:gridCol w:w="547"/>
        <w:gridCol w:w="2626"/>
        <w:gridCol w:w="2617"/>
        <w:gridCol w:w="2669"/>
        <w:gridCol w:w="167"/>
        <w:gridCol w:w="167"/>
        <w:gridCol w:w="240"/>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0">
              <w:r>
                <w:rPr>
                  <w:rStyle w:val="InternetLink"/>
                  <w:rFonts w:ascii="Times New Roman;sans-serif" w:hAnsi="Times New Roman;sans-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0">
              <w:r>
                <w:rPr>
                  <w:rStyle w:val="InternetLink"/>
                  <w:rFonts w:ascii="Times New Roman;sans-serif" w:hAnsi="Times New Roman;sans-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0">
              <w:r>
                <w:rPr>
                  <w:rStyle w:val="InternetLink"/>
                  <w:rFonts w:ascii="Times New Roman;sans-serif" w:hAnsi="Times New Roman;sans-serif"/>
                  <w:b w:val="false"/>
                  <w:strike w:val="false"/>
                  <w:dstrike w:val="false"/>
                  <w:color w:val="000000"/>
                  <w:sz w:val="20"/>
                  <w:u w:val="none"/>
                  <w:effect w:val="none"/>
                </w:rPr>
                <w:t>3</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6">
              <w:r>
                <w:rPr>
                  <w:rStyle w:val="InternetLink"/>
                  <w:rFonts w:ascii="Times New Roman;sans-serif" w:hAnsi="Times New Roman;sans-serif"/>
                  <w:b w:val="false"/>
                  <w:color w:val="0000FF"/>
                  <w:sz w:val="20"/>
                  <w:u w:val="single"/>
                </w:rPr>
                <w:t xml:space="preserve">Condensed Consolidated Balance Sheets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6">
              <w:r>
                <w:rPr>
                  <w:rStyle w:val="InternetLink"/>
                  <w:rFonts w:ascii="Times New Roman;sans-serif" w:hAnsi="Times New Roman;sans-serif"/>
                  <w:b w:val="false"/>
                  <w:strike w:val="false"/>
                  <w:dstrike w:val="false"/>
                  <w:color w:val="000000"/>
                  <w:sz w:val="20"/>
                  <w:u w:val="none"/>
                  <w:effect w:val="none"/>
                </w:rPr>
                <w:t>3</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9">
              <w:r>
                <w:rPr>
                  <w:rStyle w:val="InternetLink"/>
                  <w:rFonts w:ascii="Times New Roman;sans-serif" w:hAnsi="Times New Roman;sans-serif"/>
                  <w:b w:val="false"/>
                  <w:color w:val="0000FF"/>
                  <w:sz w:val="20"/>
                  <w:u w:val="single"/>
                </w:rPr>
                <w:t xml:space="preserve">Condensed Consolidated Statements of Comprehensive Income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9">
              <w:r>
                <w:rPr>
                  <w:rStyle w:val="InternetLink"/>
                  <w:rFonts w:ascii="Times New Roman;sans-serif" w:hAnsi="Times New Roman;sans-serif"/>
                  <w:b w:val="false"/>
                  <w:strike w:val="false"/>
                  <w:dstrike w:val="false"/>
                  <w:color w:val="000000"/>
                  <w:sz w:val="20"/>
                  <w:u w:val="none"/>
                  <w:effect w:val="none"/>
                </w:rPr>
                <w:t>4</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22">
              <w:r>
                <w:rPr>
                  <w:rStyle w:val="InternetLink"/>
                  <w:rFonts w:ascii="Times New Roman;sans-serif" w:hAnsi="Times New Roman;sans-serif"/>
                  <w:b w:val="false"/>
                  <w:color w:val="0000FF"/>
                  <w:sz w:val="20"/>
                  <w:u w:val="single"/>
                </w:rPr>
                <w:t xml:space="preserve">Condensed Consolidated Statements of Stockholders’ Equity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22">
              <w:r>
                <w:rPr>
                  <w:rStyle w:val="InternetLink"/>
                  <w:rFonts w:ascii="Times New Roman;sans-serif" w:hAnsi="Times New Roman;sans-serif"/>
                  <w:b w:val="false"/>
                  <w:strike w:val="false"/>
                  <w:dstrike w:val="false"/>
                  <w:color w:val="000000"/>
                  <w:sz w:val="20"/>
                  <w:u w:val="none"/>
                  <w:effect w:val="none"/>
                </w:rPr>
                <w:t>5</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25">
              <w:r>
                <w:rPr>
                  <w:rStyle w:val="InternetLink"/>
                  <w:rFonts w:ascii="Times New Roman;sans-serif" w:hAnsi="Times New Roman;sans-serif"/>
                  <w:b w:val="false"/>
                  <w:color w:val="0000FF"/>
                  <w:sz w:val="20"/>
                  <w:u w:val="single"/>
                </w:rPr>
                <w:t xml:space="preserve">Condensed Consolidated Statements of Cash Flows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25">
              <w:r>
                <w:rPr>
                  <w:rStyle w:val="InternetLink"/>
                  <w:rFonts w:ascii="Times New Roman;sans-serif" w:hAnsi="Times New Roman;sans-serif"/>
                  <w:b w:val="false"/>
                  <w:strike w:val="false"/>
                  <w:dstrike w:val="false"/>
                  <w:color w:val="000000"/>
                  <w:sz w:val="20"/>
                  <w:u w:val="none"/>
                  <w:effect w:val="none"/>
                </w:rPr>
                <w:t>6</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31">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31">
              <w:r>
                <w:rPr>
                  <w:rStyle w:val="InternetLink"/>
                  <w:rFonts w:ascii="Times New Roman;sans-serif" w:hAnsi="Times New Roman;sans-serif"/>
                  <w:b w:val="false"/>
                  <w:strike w:val="false"/>
                  <w:dstrike w:val="false"/>
                  <w:color w:val="000000"/>
                  <w:sz w:val="20"/>
                  <w:u w:val="none"/>
                  <w:effect w:val="none"/>
                </w:rPr>
                <w:t>7</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79">
              <w:r>
                <w:rPr>
                  <w:rStyle w:val="InternetLink"/>
                  <w:rFonts w:ascii="Times New Roman;sans-serif" w:hAnsi="Times New Roman;sans-serif"/>
                  <w:b w:val="false"/>
                  <w:strike w:val="false"/>
                  <w:dstrike w:val="false"/>
                  <w:color w:val="000000"/>
                  <w:sz w:val="20"/>
                  <w:u w:val="none"/>
                  <w:effect w:val="none"/>
                </w:rPr>
                <w:t>Item 2.</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79">
              <w:r>
                <w:rPr>
                  <w:rStyle w:val="InternetLink"/>
                  <w:rFonts w:ascii="Times New Roman;sans-serif" w:hAnsi="Times New Roman;sans-serif"/>
                  <w:b w:val="false"/>
                  <w:strike w:val="false"/>
                  <w:dstrike w:val="false"/>
                  <w:color w:val="000000"/>
                  <w:sz w:val="20"/>
                  <w:u w:val="none"/>
                  <w:effect w:val="none"/>
                </w:rPr>
                <w:t>18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09">
              <w:r>
                <w:rPr>
                  <w:rStyle w:val="InternetLink"/>
                  <w:rFonts w:ascii="Times New Roman;sans-serif" w:hAnsi="Times New Roman;sans-serif"/>
                  <w:b w:val="false"/>
                  <w:strike w:val="false"/>
                  <w:dstrike w:val="false"/>
                  <w:color w:val="000000"/>
                  <w:sz w:val="20"/>
                  <w:u w:val="none"/>
                  <w:effect w:val="none"/>
                </w:rPr>
                <w:t>Item 3.</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09">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09">
              <w:r>
                <w:rPr>
                  <w:rStyle w:val="InternetLink"/>
                  <w:rFonts w:ascii="Times New Roman;sans-serif" w:hAnsi="Times New Roman;sans-serif"/>
                  <w:b w:val="false"/>
                  <w:strike w:val="false"/>
                  <w:dstrike w:val="false"/>
                  <w:color w:val="000000"/>
                  <w:sz w:val="20"/>
                  <w:u w:val="none"/>
                  <w:effect w:val="none"/>
                </w:rPr>
                <w:t>26</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18">
              <w:r>
                <w:rPr>
                  <w:rStyle w:val="InternetLink"/>
                  <w:rFonts w:ascii="Times New Roman;sans-serif" w:hAnsi="Times New Roman;sans-serif"/>
                  <w:b w:val="false"/>
                  <w:strike w:val="false"/>
                  <w:dstrike w:val="false"/>
                  <w:color w:val="000000"/>
                  <w:sz w:val="20"/>
                  <w:u w:val="none"/>
                  <w:effect w:val="none"/>
                </w:rPr>
                <w:t>Item 4.</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18">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18">
              <w:r>
                <w:rPr>
                  <w:rStyle w:val="InternetLink"/>
                  <w:rFonts w:ascii="Times New Roman;sans-serif" w:hAnsi="Times New Roman;sans-serif"/>
                  <w:b w:val="false"/>
                  <w:strike w:val="false"/>
                  <w:dstrike w:val="false"/>
                  <w:color w:val="000000"/>
                  <w:sz w:val="20"/>
                  <w:u w:val="none"/>
                  <w:effect w:val="none"/>
                </w:rPr>
                <w:t>27</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21">
              <w:r>
                <w:rPr>
                  <w:rStyle w:val="InternetLink"/>
                  <w:rFonts w:ascii="Times New Roman;sans-serif" w:hAnsi="Times New Roman;sans-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24">
              <w:r>
                <w:rPr>
                  <w:rStyle w:val="InternetLink"/>
                  <w:rFonts w:ascii="Times New Roman;sans-serif" w:hAnsi="Times New Roman;sans-serif"/>
                  <w:b w:val="false"/>
                  <w:strike w:val="false"/>
                  <w:dstrike w:val="false"/>
                  <w:color w:val="000000"/>
                  <w:sz w:val="20"/>
                  <w:u w:val="none"/>
                  <w:effect w:val="none"/>
                </w:rPr>
                <w:t>Item 1.</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24">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24">
              <w:r>
                <w:rPr>
                  <w:rStyle w:val="InternetLink"/>
                  <w:rFonts w:ascii="Times New Roman;sans-serif" w:hAnsi="Times New Roman;sans-serif"/>
                  <w:b w:val="false"/>
                  <w:strike w:val="false"/>
                  <w:dstrike w:val="false"/>
                  <w:color w:val="000000"/>
                  <w:sz w:val="20"/>
                  <w:u w:val="none"/>
                  <w:effect w:val="none"/>
                </w:rPr>
                <w:t>28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27">
              <w:r>
                <w:rPr>
                  <w:rStyle w:val="InternetLink"/>
                  <w:rFonts w:ascii="Times New Roman;sans-serif" w:hAnsi="Times New Roman;sans-serif"/>
                  <w:b w:val="false"/>
                  <w:strike w:val="false"/>
                  <w:dstrike w:val="false"/>
                  <w:color w:val="000000"/>
                  <w:sz w:val="20"/>
                  <w:u w:val="none"/>
                  <w:effect w:val="none"/>
                </w:rPr>
                <w:t>Item 1A.</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27">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27">
              <w:r>
                <w:rPr>
                  <w:rStyle w:val="InternetLink"/>
                  <w:rFonts w:ascii="Times New Roman;sans-serif" w:hAnsi="Times New Roman;sans-serif"/>
                  <w:b w:val="false"/>
                  <w:strike w:val="false"/>
                  <w:dstrike w:val="false"/>
                  <w:color w:val="000000"/>
                  <w:sz w:val="20"/>
                  <w:u w:val="none"/>
                  <w:effect w:val="none"/>
                </w:rPr>
                <w:t>28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0">
              <w:r>
                <w:rPr>
                  <w:rStyle w:val="InternetLink"/>
                  <w:rFonts w:ascii="Times New Roman;sans-serif" w:hAnsi="Times New Roman;sans-serif"/>
                  <w:b w:val="false"/>
                  <w:strike w:val="false"/>
                  <w:dstrike w:val="false"/>
                  <w:color w:val="000000"/>
                  <w:sz w:val="20"/>
                  <w:u w:val="none"/>
                  <w:effect w:val="none"/>
                </w:rPr>
                <w:t>Item 2.</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0">
              <w:r>
                <w:rPr>
                  <w:rStyle w:val="InternetLink"/>
                  <w:rFonts w:ascii="Times New Roman;sans-serif" w:hAnsi="Times New Roman;sans-serif"/>
                  <w:b w:val="false"/>
                  <w:color w:val="000080"/>
                  <w:sz w:val="20"/>
                  <w:u w:val="single"/>
                </w:rPr>
                <w:t>Unregistered Sales of Equity Securitie</w:t>
              </w:r>
            </w:hyperlink>
            <w:hyperlink w:anchor="iac48b7b5fede4e59b2ff8c0d6f5e5954_130">
              <w:r>
                <w:rPr>
                  <w:rStyle w:val="InternetLink"/>
                  <w:rFonts w:ascii="Times New Roman;sans-serif" w:hAnsi="Times New Roman;sans-serif"/>
                  <w:b w:val="false"/>
                  <w:color w:val="000080"/>
                  <w:sz w:val="20"/>
                  <w:u w:val="single"/>
                </w:rPr>
                <w:t>s,</w:t>
              </w:r>
            </w:hyperlink>
            <w:hyperlink w:anchor="iac48b7b5fede4e59b2ff8c0d6f5e5954_130">
              <w:r>
                <w:rPr>
                  <w:rStyle w:val="InternetLink"/>
                  <w:rFonts w:ascii="Times New Roman;sans-serif" w:hAnsi="Times New Roman;sans-serif"/>
                  <w:b w:val="false"/>
                  <w:color w:val="000080"/>
                  <w:sz w:val="20"/>
                  <w:u w:val="single"/>
                </w:rPr>
                <w:t xml:space="preserve"> Use of Procee</w:t>
              </w:r>
            </w:hyperlink>
            <w:hyperlink w:anchor="iac48b7b5fede4e59b2ff8c0d6f5e5954_130">
              <w:r>
                <w:rPr>
                  <w:rStyle w:val="InternetLink"/>
                  <w:rFonts w:ascii="Times New Roman;sans-serif" w:hAnsi="Times New Roman;sans-serif"/>
                  <w:b w:val="false"/>
                  <w:color w:val="000080"/>
                  <w:sz w:val="20"/>
                  <w:u w:val="single"/>
                </w:rPr>
                <w:t>ds,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30">
              <w:r>
                <w:rPr>
                  <w:rStyle w:val="InternetLink"/>
                  <w:rFonts w:ascii="Times New Roman;sans-serif" w:hAnsi="Times New Roman;sans-serif"/>
                  <w:b w:val="false"/>
                  <w:strike w:val="false"/>
                  <w:dstrike w:val="false"/>
                  <w:color w:val="000000"/>
                  <w:sz w:val="20"/>
                  <w:u w:val="none"/>
                  <w:effect w:val="none"/>
                </w:rPr>
                <w:t>28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3">
              <w:r>
                <w:rPr>
                  <w:rStyle w:val="InternetLink"/>
                  <w:rFonts w:ascii="Times New Roman;sans-serif" w:hAnsi="Times New Roman;sans-serif"/>
                  <w:b w:val="false"/>
                  <w:strike w:val="false"/>
                  <w:dstrike w:val="false"/>
                  <w:color w:val="000000"/>
                  <w:sz w:val="20"/>
                  <w:u w:val="none"/>
                  <w:effect w:val="none"/>
                </w:rPr>
                <w:t>Item 3.</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3">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33">
              <w:r>
                <w:rPr>
                  <w:rStyle w:val="InternetLink"/>
                  <w:rFonts w:ascii="Times New Roman;sans-serif" w:hAnsi="Times New Roman;sans-serif"/>
                  <w:b w:val="false"/>
                  <w:strike w:val="false"/>
                  <w:dstrike w:val="false"/>
                  <w:color w:val="000000"/>
                  <w:sz w:val="20"/>
                  <w:u w:val="none"/>
                  <w:effect w:val="none"/>
                </w:rPr>
                <w:t>28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6">
              <w:r>
                <w:rPr>
                  <w:rStyle w:val="InternetLink"/>
                  <w:rFonts w:ascii="Times New Roman;sans-serif" w:hAnsi="Times New Roman;sans-serif"/>
                  <w:b w:val="false"/>
                  <w:strike w:val="false"/>
                  <w:dstrike w:val="false"/>
                  <w:color w:val="000000"/>
                  <w:sz w:val="20"/>
                  <w:u w:val="none"/>
                  <w:effect w:val="none"/>
                </w:rPr>
                <w:t>Item 4.</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6">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36">
              <w:r>
                <w:rPr>
                  <w:rStyle w:val="InternetLink"/>
                  <w:rFonts w:ascii="Times New Roman;sans-serif" w:hAnsi="Times New Roman;sans-serif"/>
                  <w:b w:val="false"/>
                  <w:strike w:val="false"/>
                  <w:dstrike w:val="false"/>
                  <w:color w:val="000000"/>
                  <w:sz w:val="20"/>
                  <w:u w:val="none"/>
                  <w:effect w:val="none"/>
                </w:rPr>
                <w:t>28</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9">
              <w:r>
                <w:rPr>
                  <w:rStyle w:val="InternetLink"/>
                  <w:rFonts w:ascii="Times New Roman;sans-serif" w:hAnsi="Times New Roman;sans-serif"/>
                  <w:b w:val="false"/>
                  <w:strike w:val="false"/>
                  <w:dstrike w:val="false"/>
                  <w:color w:val="000000"/>
                  <w:sz w:val="20"/>
                  <w:u w:val="none"/>
                  <w:effect w:val="none"/>
                </w:rPr>
                <w:t>Item 5.</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39">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39">
              <w:r>
                <w:rPr>
                  <w:rStyle w:val="InternetLink"/>
                  <w:rFonts w:ascii="Times New Roman;sans-serif" w:hAnsi="Times New Roman;sans-serif"/>
                  <w:b w:val="false"/>
                  <w:strike w:val="false"/>
                  <w:dstrike w:val="false"/>
                  <w:color w:val="000000"/>
                  <w:sz w:val="20"/>
                  <w:u w:val="none"/>
                  <w:effect w:val="none"/>
                </w:rPr>
                <w:t>29</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42">
              <w:r>
                <w:rPr>
                  <w:rStyle w:val="InternetLink"/>
                  <w:rFonts w:ascii="Times New Roman;sans-serif" w:hAnsi="Times New Roman;sans-serif"/>
                  <w:b w:val="false"/>
                  <w:strike w:val="false"/>
                  <w:dstrike w:val="false"/>
                  <w:color w:val="000000"/>
                  <w:sz w:val="20"/>
                  <w:u w:val="none"/>
                  <w:effect w:val="none"/>
                </w:rPr>
                <w:t>Item 6.</w:t>
              </w:r>
            </w:hyperlink>
          </w:p>
        </w:tc>
        <w:tc>
          <w:tcPr>
            <w:tcW w:w="7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42">
              <w:r>
                <w:rPr>
                  <w:rStyle w:val="InternetLink"/>
                  <w:rFonts w:ascii="Times New Roman;sans-serif" w:hAnsi="Times New Roman;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42">
              <w:r>
                <w:rPr>
                  <w:rStyle w:val="InternetLink"/>
                  <w:rFonts w:ascii="Times New Roman;sans-serif" w:hAnsi="Times New Roman;sans-serif"/>
                  <w:b w:val="false"/>
                  <w:strike w:val="false"/>
                  <w:dstrike w:val="false"/>
                  <w:color w:val="000000"/>
                  <w:sz w:val="20"/>
                  <w:u w:val="none"/>
                  <w:effect w:val="none"/>
                </w:rPr>
                <w:t>29</w:t>
              </w:r>
            </w:hyperlink>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c48b7b5fede4e59b2ff8c0d6f5e5954_145">
              <w:r>
                <w:rPr>
                  <w:rStyle w:val="InternetLink"/>
                  <w:rFonts w:ascii="Times New Roman;sans-serif" w:hAnsi="Times New Roman;sans-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8b7b5fede4e59b2ff8c0d6f5e5954_145">
              <w:r>
                <w:rPr>
                  <w:rStyle w:val="InternetLink"/>
                  <w:rFonts w:ascii="Times New Roman;sans-serif" w:hAnsi="Times New Roman;sans-serif"/>
                  <w:b w:val="false"/>
                  <w:strike w:val="false"/>
                  <w:dstrike w:val="false"/>
                  <w:color w:val="000000"/>
                  <w:sz w:val="20"/>
                  <w:u w:val="none"/>
                  <w:effect w:val="none"/>
                </w:rPr>
                <w:t>30</w:t>
              </w:r>
            </w:hyperlink>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for purposes of the Quarterly Report on Form 10-Q,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50265"/>
                <wp:effectExtent l="0" t="0" r="0" b="0"/>
                <wp:wrapNone/>
                <wp:docPr id="3" name="Frame2"/>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AAE5"/>
          <w:sz w:val="20"/>
        </w:rPr>
      </w:pPr>
      <w:r>
        <w:rPr>
          <w:rFonts w:ascii="Times New Roman;sans-serif" w:hAnsi="Times New Roman;sans-serif"/>
          <w:b/>
          <w:color w:val="00AAE5"/>
          <w:sz w:val="20"/>
        </w:rPr>
        <w:t>Item 1. Financial Statements</w:t>
      </w:r>
    </w:p>
    <w:p>
      <w:pPr>
        <w:pStyle w:val="TextBody"/>
        <w:bidi w:val="0"/>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915"/>
        <w:gridCol w:w="2396"/>
        <w:gridCol w:w="2352"/>
        <w:gridCol w:w="206"/>
        <w:gridCol w:w="775"/>
        <w:gridCol w:w="114"/>
        <w:gridCol w:w="109"/>
        <w:gridCol w:w="109"/>
        <w:gridCol w:w="109"/>
        <w:gridCol w:w="201"/>
        <w:gridCol w:w="757"/>
        <w:gridCol w:w="162"/>
      </w:tblGrid>
      <w:tr>
        <w:trPr/>
        <w:tc>
          <w:tcPr>
            <w:tcW w:w="2915"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(unaudited)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162,893 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Short-term investments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51,412 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Allowance for credit losses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w:t>
            </w:r>
          </w:p>
        </w:tc>
        <w:tc>
          <w:tcPr>
            <w:tcW w:w="981" w:type="dxa"/>
            <w:gridSpan w:val="2"/>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45,141 </w:t>
            </w:r>
          </w:p>
        </w:tc>
        <w:tc>
          <w:tcPr>
            <w:tcW w:w="114"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39,435 </w:t>
            </w:r>
          </w:p>
        </w:tc>
        <w:tc>
          <w:tcPr>
            <w:tcW w:w="162"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359,739 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322,814 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252,045 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197,284 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88,352 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costs,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787,408 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672,914 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compensation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132,871 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 non-current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160,564 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135,841 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stock, $0.001 par value; 5,000,000 shares authorized; 0 shares issued and outstanding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$0.001 par value; 110,000,000 shares authorized; 38,847,028 and 38,309,144 shares issued; and 36,695,930 and 36,158,046 shares outstanding, respectively</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at cost; 2,151,098 shares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520,313 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240,034 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193,221 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stockholders’ equity</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626,844 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537,073 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787,408 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672,914 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50265"/>
                <wp:effectExtent l="0" t="0" r="0" b="0"/>
                <wp:wrapNone/>
                <wp:docPr id="6" name="Frame3"/>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1868"/>
        <w:gridCol w:w="1360"/>
        <w:gridCol w:w="136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6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 net of tax of $190, $53, $459 and $49,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 on investments into earnings, net of tax of $(137), $(13), $(390), and $(17),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to compute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50265"/>
                <wp:effectExtent l="0" t="0" r="0" b="0"/>
                <wp:wrapNone/>
                <wp:docPr id="9" name="Frame4"/>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STOCKHOLDERS’ EQUITY</w:t>
      </w:r>
    </w:p>
    <w:tbl>
      <w:tblPr>
        <w:tblW w:w="10505" w:type="dxa"/>
        <w:jc w:val="center"/>
        <w:tblInd w:w="0" w:type="dxa"/>
        <w:tblLayout w:type="fixed"/>
        <w:tblCellMar>
          <w:top w:w="28" w:type="dxa"/>
          <w:left w:w="28" w:type="dxa"/>
          <w:bottom w:w="28" w:type="dxa"/>
          <w:right w:w="28" w:type="dxa"/>
        </w:tblCellMar>
      </w:tblPr>
      <w:tblGrid>
        <w:gridCol w:w="562"/>
        <w:gridCol w:w="244"/>
        <w:gridCol w:w="245"/>
        <w:gridCol w:w="398"/>
        <w:gridCol w:w="398"/>
        <w:gridCol w:w="171"/>
        <w:gridCol w:w="109"/>
        <w:gridCol w:w="109"/>
        <w:gridCol w:w="109"/>
        <w:gridCol w:w="181"/>
        <w:gridCol w:w="286"/>
        <w:gridCol w:w="109"/>
        <w:gridCol w:w="109"/>
        <w:gridCol w:w="109"/>
        <w:gridCol w:w="109"/>
        <w:gridCol w:w="360"/>
        <w:gridCol w:w="361"/>
        <w:gridCol w:w="171"/>
        <w:gridCol w:w="109"/>
        <w:gridCol w:w="109"/>
        <w:gridCol w:w="109"/>
        <w:gridCol w:w="181"/>
        <w:gridCol w:w="631"/>
        <w:gridCol w:w="109"/>
        <w:gridCol w:w="109"/>
        <w:gridCol w:w="109"/>
        <w:gridCol w:w="109"/>
        <w:gridCol w:w="181"/>
        <w:gridCol w:w="616"/>
        <w:gridCol w:w="109"/>
        <w:gridCol w:w="109"/>
        <w:gridCol w:w="109"/>
        <w:gridCol w:w="109"/>
        <w:gridCol w:w="181"/>
        <w:gridCol w:w="616"/>
        <w:gridCol w:w="109"/>
        <w:gridCol w:w="109"/>
        <w:gridCol w:w="109"/>
        <w:gridCol w:w="109"/>
        <w:gridCol w:w="239"/>
        <w:gridCol w:w="636"/>
        <w:gridCol w:w="146"/>
        <w:gridCol w:w="109"/>
        <w:gridCol w:w="109"/>
        <w:gridCol w:w="109"/>
        <w:gridCol w:w="185"/>
        <w:gridCol w:w="632"/>
        <w:gridCol w:w="159"/>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thousands, except shares) (unaudited)</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June 30,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36,029,477 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2,044,549 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497,020 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108,240 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(102,234)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102,234 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September 30,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36,037,964 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2,146,783 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(4,660)</w:t>
            </w:r>
          </w:p>
        </w:tc>
        <w:tc>
          <w:tcPr>
            <w:tcW w:w="14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507,663 </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June 30,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36,646,819 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508,484 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600,981 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10,780 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September 30, 2023</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36,695,930 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(4,650)</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626,844 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70" w:type="dxa"/>
        <w:jc w:val="center"/>
        <w:tblInd w:w="0" w:type="dxa"/>
        <w:tblLayout w:type="fixed"/>
        <w:tblCellMar>
          <w:top w:w="28" w:type="dxa"/>
          <w:left w:w="28" w:type="dxa"/>
          <w:bottom w:w="28" w:type="dxa"/>
          <w:right w:w="28" w:type="dxa"/>
        </w:tblCellMar>
      </w:tblPr>
      <w:tblGrid>
        <w:gridCol w:w="629"/>
        <w:gridCol w:w="210"/>
        <w:gridCol w:w="212"/>
        <w:gridCol w:w="398"/>
        <w:gridCol w:w="398"/>
        <w:gridCol w:w="196"/>
        <w:gridCol w:w="109"/>
        <w:gridCol w:w="109"/>
        <w:gridCol w:w="109"/>
        <w:gridCol w:w="217"/>
        <w:gridCol w:w="343"/>
        <w:gridCol w:w="131"/>
        <w:gridCol w:w="109"/>
        <w:gridCol w:w="109"/>
        <w:gridCol w:w="109"/>
        <w:gridCol w:w="360"/>
        <w:gridCol w:w="361"/>
        <w:gridCol w:w="196"/>
        <w:gridCol w:w="109"/>
        <w:gridCol w:w="109"/>
        <w:gridCol w:w="109"/>
        <w:gridCol w:w="181"/>
        <w:gridCol w:w="631"/>
        <w:gridCol w:w="109"/>
        <w:gridCol w:w="109"/>
        <w:gridCol w:w="109"/>
        <w:gridCol w:w="109"/>
        <w:gridCol w:w="181"/>
        <w:gridCol w:w="616"/>
        <w:gridCol w:w="109"/>
        <w:gridCol w:w="109"/>
        <w:gridCol w:w="109"/>
        <w:gridCol w:w="109"/>
        <w:gridCol w:w="181"/>
        <w:gridCol w:w="616"/>
        <w:gridCol w:w="109"/>
        <w:gridCol w:w="109"/>
        <w:gridCol w:w="109"/>
        <w:gridCol w:w="109"/>
        <w:gridCol w:w="239"/>
        <w:gridCol w:w="636"/>
        <w:gridCol w:w="146"/>
        <w:gridCol w:w="109"/>
        <w:gridCol w:w="109"/>
        <w:gridCol w:w="109"/>
        <w:gridCol w:w="185"/>
        <w:gridCol w:w="632"/>
        <w:gridCol w:w="159"/>
      </w:tblGrid>
      <w:tr>
        <w:trPr/>
        <w:tc>
          <w:tcPr>
            <w:tcW w:w="6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2021</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36,009,257 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1,789,353 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24,053 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348,621 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(357,430)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357,430 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(42,700)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September 30,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36,037,964 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2,146,783 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(4,660)</w:t>
            </w:r>
          </w:p>
        </w:tc>
        <w:tc>
          <w:tcPr>
            <w:tcW w:w="14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507,663 </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December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36,158,046 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476,117 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537,073 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34,192 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pursuant to stock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Employee stock purchase plan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investments,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gain on investments into earnings,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Balances, September 30, 2023</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36,695,930 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2,151,098 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(128,892)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(4,650)</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626,844 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color w:val="000000"/>
          <w:sz w:val="16"/>
          <w:shd w:fill="FFFFFF" w:val="clear"/>
        </w:rPr>
        <w:t>See accompanying notes to these condensed consolidated financial statements.</w:t>
      </w:r>
      <w:r>
        <w:rPr>
          <w:rFonts w:ascii="Times New Roman;sans-serif" w:hAnsi="Times New Roman;sans-serif"/>
          <w:b w:val="false"/>
          <w:color w:val="000000"/>
          <w:sz w:val="16"/>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50265"/>
                <wp:effectExtent l="0" t="0" r="0" b="0"/>
                <wp:wrapNone/>
                <wp:docPr id="12" name="Frame5"/>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color w:val="000000"/>
                                <w:sz w:val="12"/>
                              </w:rPr>
                            </w:pPr>
                            <w:r>
                              <w:rPr>
                                <w:rFonts w:ascii="Times New Roman;sans-serif" w:hAnsi="Times New Roman;sans-serif"/>
                                <w:b/>
                                <w:color w:val="000000"/>
                                <w:sz w:val="12"/>
                              </w:rPr>
                              <w:t>Form 10-Q for the Quarterly Period ended 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CONDENSED CONSOLIDATED STATEMENTS OF CASH FLOWS</w:t>
      </w:r>
    </w:p>
    <w:tbl>
      <w:tblPr>
        <w:tblW w:w="8723" w:type="dxa"/>
        <w:jc w:val="center"/>
        <w:tblInd w:w="0" w:type="dxa"/>
        <w:tblLayout w:type="fixed"/>
        <w:tblCellMar>
          <w:top w:w="28" w:type="dxa"/>
          <w:left w:w="28" w:type="dxa"/>
          <w:bottom w:w="28" w:type="dxa"/>
          <w:right w:w="28" w:type="dxa"/>
        </w:tblCellMar>
      </w:tblPr>
      <w:tblGrid>
        <w:gridCol w:w="2193"/>
        <w:gridCol w:w="1930"/>
        <w:gridCol w:w="1936"/>
        <w:gridCol w:w="211"/>
        <w:gridCol w:w="826"/>
        <w:gridCol w:w="109"/>
        <w:gridCol w:w="109"/>
        <w:gridCol w:w="109"/>
        <w:gridCol w:w="109"/>
        <w:gridCol w:w="211"/>
        <w:gridCol w:w="826"/>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50265"/>
                <wp:effectExtent l="0" t="0" r="0" b="0"/>
                <wp:wrapNone/>
                <wp:docPr id="15" name="Frame6"/>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SPS COMMERCE, INC. AND SUBSIDIARIES</w:t>
      </w:r>
    </w:p>
    <w:p>
      <w:pPr>
        <w:pStyle w:val="TextBody"/>
        <w:bidi w:val="0"/>
        <w:spacing w:lineRule="auto" w:line="288" w:before="0" w:after="0"/>
        <w:jc w:val="center"/>
        <w:rPr>
          <w:rFonts w:ascii="Times New Roman;sans-serif" w:hAnsi="Times New Roman;sans-serif"/>
          <w:b/>
          <w:color w:val="00AAE5"/>
          <w:sz w:val="20"/>
        </w:rPr>
      </w:pPr>
      <w:r>
        <w:rPr>
          <w:rFonts w:ascii="Times New Roman;sans-serif" w:hAnsi="Times New Roman;sans-serif"/>
          <w:b/>
          <w:color w:val="00AAE5"/>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A – General</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Business Description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Basis of Presentation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2022,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Use of Estimates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240" w:after="283"/>
        <w:jc w:val="left"/>
        <w:rPr>
          <w:rFonts w:ascii="Times New Roman;sans-serif" w:hAnsi="Times New Roman;sans-serif"/>
          <w:b/>
          <w:i/>
          <w:color w:val="1F282C"/>
          <w:sz w:val="20"/>
          <w:shd w:fill="FFFFFF" w:val="clear"/>
        </w:rPr>
      </w:pPr>
      <w:r>
        <w:rPr>
          <w:rFonts w:ascii="Times New Roman;sans-serif" w:hAnsi="Times New Roman;sans-serif"/>
          <w:b/>
          <w:i/>
          <w:color w:val="1F282C"/>
          <w:sz w:val="20"/>
          <w:shd w:fill="FFFFFF" w:val="clear"/>
        </w:rPr>
        <w:t>Significant Accounting Policies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shd w:fill="FFFFFF" w:val="clear"/>
        </w:rPr>
        <w:t xml:space="preserve">There were no material changes in our significant accounting policies during the nine months ended September 30, 2023. See Note A to the consolidated financial statements included in our Annual Report on Form 10-K for the year ended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as filed with the SEC, for additional information regarding our significant accounting policies.</w:t>
      </w:r>
    </w:p>
    <w:p>
      <w:pPr>
        <w:pStyle w:val="TextBody"/>
        <w:bidi w:val="0"/>
        <w:spacing w:lineRule="auto" w:line="288" w:before="240" w:after="283"/>
        <w:jc w:val="left"/>
        <w:rPr>
          <w:rFonts w:ascii="Times New Roman;sans-serif" w:hAnsi="Times New Roman;sans-serif"/>
          <w:b/>
          <w:i/>
          <w:color w:val="1F282C"/>
          <w:sz w:val="20"/>
          <w:shd w:fill="FFFFFF" w:val="clear"/>
        </w:rPr>
      </w:pPr>
      <w:r>
        <w:rPr>
          <w:rFonts w:ascii="Times New Roman;sans-serif" w:hAnsi="Times New Roman;sans-serif"/>
          <w:b/>
          <w:i/>
          <w:color w:val="1F282C"/>
          <w:sz w:val="20"/>
          <w:shd w:fill="FFFFFF" w:val="clear"/>
        </w:rPr>
        <w:t>Accounting Pronouncements Recently Adopted</w:t>
      </w:r>
    </w:p>
    <w:tbl>
      <w:tblPr>
        <w:tblW w:w="10205" w:type="dxa"/>
        <w:jc w:val="left"/>
        <w:tblInd w:w="0" w:type="dxa"/>
        <w:tblLayout w:type="fixed"/>
        <w:tblCellMar>
          <w:top w:w="28" w:type="dxa"/>
          <w:left w:w="28" w:type="dxa"/>
          <w:bottom w:w="28" w:type="dxa"/>
          <w:right w:w="28" w:type="dxa"/>
        </w:tblCellMar>
      </w:tblPr>
      <w:tblGrid>
        <w:gridCol w:w="929"/>
        <w:gridCol w:w="816"/>
        <w:gridCol w:w="826"/>
        <w:gridCol w:w="298"/>
        <w:gridCol w:w="259"/>
        <w:gridCol w:w="260"/>
        <w:gridCol w:w="1202"/>
        <w:gridCol w:w="1202"/>
        <w:gridCol w:w="1214"/>
        <w:gridCol w:w="284"/>
        <w:gridCol w:w="284"/>
        <w:gridCol w:w="285"/>
        <w:gridCol w:w="907"/>
        <w:gridCol w:w="593"/>
        <w:gridCol w:w="84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Issuance</w:t>
            </w:r>
          </w:p>
        </w:tc>
        <w:tc>
          <w:tcPr>
            <w:tcW w:w="3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 of Adoption</w:t>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Financial Statements</w:t>
            </w:r>
          </w:p>
        </w:tc>
      </w:tr>
      <w:tr>
        <w:trPr/>
        <w:tc>
          <w:tcPr>
            <w:tcW w:w="2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 xml:space="preserve">ASU 2021-08, </w:t>
            </w:r>
            <w:r>
              <w:rPr>
                <w:rFonts w:ascii="Times New Roman;sans-serif" w:hAnsi="Times New Roman;sans-serif"/>
                <w:b w:val="false"/>
                <w:color w:val="000000"/>
                <w:sz w:val="20"/>
              </w:rPr>
              <w:t>Business Combinations (Topic 805) - Accounting for Contract Assets and Contract Liabilities from Contracts with Customers</w:t>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2021</w:t>
            </w:r>
          </w:p>
        </w:tc>
        <w:tc>
          <w:tcPr>
            <w:tcW w:w="3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This amendment requires that an acquirer recognize and measure contract assets and contract liabilities acquired in a business combination in accordance with Topic 606, effective for all business combinations in the year of adoption and thereafter.</w:t>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2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adoption of this standard has not had a material impact on the purchase accounting for business combinations.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50265"/>
                <wp:effectExtent l="0" t="0" r="0" b="0"/>
                <wp:wrapNone/>
                <wp:docPr id="18" name="Frame7"/>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bookmarkStart w:id="0" w:name="ib05b6e0215d94fd7bc5dad9ecff1834f_2264"/>
      <w:bookmarkEnd w:id="0"/>
      <w:r>
        <w:rPr>
          <w:rFonts w:ascii="Times New Roman;sans-serif" w:hAnsi="Times New Roman;sans-serif"/>
          <w:b/>
          <w:color w:val="00AAE5"/>
          <w:sz w:val="20"/>
        </w:rPr>
        <w:t>NOTE B – Business Acquisitions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InterTrade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October 4, 2022, we acquired all of the outstanding equity ownership interests of Canadian based InterTrade Systems Inc. ("InterTrade"), a leading EDI provider within the apparel and general merchandising markets. Pursuant to the definitive agreement, the purchase price was $49.1 million, including estimated post-closing adjustments. During the quarter ended June 30, 2023, provisional amounts were adjusted by $3.1 million, primarily relating to a $3.9 million decrease in estimated value of intangible assets and the corresponding $1.0 million change to the deferred tax position, with the offsets to goodwill. During the quarter ended September 30, 2023, there were no significant adjustments made to provisional amounts. The purchase accounting has been finalized as of September 30, 2023.</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TIE Kinetix</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September 13, 2023, we acquired all of the outstanding equity ownership interests of TIE Kinetix Holding B.V. ("TIE Kinetix"), a leading provider of supply chain digitalization including EDI and e-invoicing in Europe. Pursuant to the definitive agreement, the purchase price was €63.9 million ($68.7 million at the September 13, 2023 exchange rate), net of cash acquired. The purchase accounting for the acquisition has not been finalized as of September 30, 2023; provisional amounts are primarily related to intangible assets and tax components. We expect to finalize the allocation of the purchase price within the one-year measurement period following the acquisition.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Price Allocations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accounted for the acquisitions as business combinations. We allocated the purchase price to the tangible and identifiable intangible assets acquired and liabilities assumed based on their estimated fair values as of the acquisition date.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the assets acquired and liabilities assumed at the acquisition dates:</w:t>
      </w:r>
    </w:p>
    <w:tbl>
      <w:tblPr>
        <w:tblW w:w="10205" w:type="dxa"/>
        <w:jc w:val="left"/>
        <w:tblInd w:w="0" w:type="dxa"/>
        <w:tblLayout w:type="fixed"/>
        <w:tblCellMar>
          <w:top w:w="28" w:type="dxa"/>
          <w:left w:w="28" w:type="dxa"/>
          <w:bottom w:w="28" w:type="dxa"/>
          <w:right w:w="28" w:type="dxa"/>
        </w:tblCellMar>
      </w:tblPr>
      <w:tblGrid>
        <w:gridCol w:w="998"/>
        <w:gridCol w:w="750"/>
        <w:gridCol w:w="708"/>
        <w:gridCol w:w="388"/>
        <w:gridCol w:w="1327"/>
        <w:gridCol w:w="200"/>
        <w:gridCol w:w="109"/>
        <w:gridCol w:w="109"/>
        <w:gridCol w:w="109"/>
        <w:gridCol w:w="211"/>
        <w:gridCol w:w="653"/>
        <w:gridCol w:w="109"/>
        <w:gridCol w:w="109"/>
        <w:gridCol w:w="109"/>
        <w:gridCol w:w="109"/>
        <w:gridCol w:w="388"/>
        <w:gridCol w:w="1327"/>
        <w:gridCol w:w="200"/>
        <w:gridCol w:w="109"/>
        <w:gridCol w:w="109"/>
        <w:gridCol w:w="109"/>
        <w:gridCol w:w="380"/>
        <w:gridCol w:w="1302"/>
        <w:gridCol w:w="283"/>
      </w:tblGrid>
      <w:tr>
        <w:trPr/>
        <w:tc>
          <w:tcPr>
            <w:tcW w:w="99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InterTrade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TIE Kinetix</w:t>
            </w:r>
          </w:p>
        </w:tc>
      </w:tr>
      <w:tr>
        <w:trPr/>
        <w:tc>
          <w:tcPr>
            <w:tcW w:w="24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Acquisition Date Estimated Fair Value as of </w:t>
              <w:b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Acquisition Date Estimated Fair Value as of </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Acquisition Date Estimated Fair Value as of </w:t>
              <w:br/>
              <w:t>September 30, 2023</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transaction date</w:t>
            </w:r>
          </w:p>
        </w:tc>
        <w:tc>
          <w:tcPr>
            <w:tcW w:w="3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Post-closing adjustments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73,558 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assets and liabilities acquired: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 and liabilities acquired</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23,354 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50265"/>
                <wp:effectExtent l="0" t="0" r="0" b="0"/>
                <wp:wrapNone/>
                <wp:docPr id="21" name="Frame8"/>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useful lives for each acquired intangible asset:</w:t>
      </w:r>
    </w:p>
    <w:tbl>
      <w:tblPr>
        <w:tblW w:w="4515" w:type="dxa"/>
        <w:jc w:val="left"/>
        <w:tblInd w:w="0" w:type="dxa"/>
        <w:tblLayout w:type="fixed"/>
        <w:tblCellMar>
          <w:top w:w="28" w:type="dxa"/>
          <w:left w:w="28" w:type="dxa"/>
          <w:bottom w:w="28" w:type="dxa"/>
          <w:right w:w="28" w:type="dxa"/>
        </w:tblCellMar>
      </w:tblPr>
      <w:tblGrid>
        <w:gridCol w:w="749"/>
        <w:gridCol w:w="659"/>
        <w:gridCol w:w="661"/>
        <w:gridCol w:w="300"/>
        <w:gridCol w:w="300"/>
        <w:gridCol w:w="301"/>
        <w:gridCol w:w="180"/>
        <w:gridCol w:w="180"/>
        <w:gridCol w:w="180"/>
        <w:gridCol w:w="294"/>
        <w:gridCol w:w="294"/>
        <w:gridCol w:w="417"/>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InterTrade</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TIE Kinetix</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 years</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 years</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 years</w:t>
            </w:r>
          </w:p>
        </w:tc>
      </w:tr>
    </w:tbl>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Acquisition Activity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had other acquisition activity resulting in a total purchase price of $1.5 million, paid in cash. Assets acquired were primarily comprised of developed technology and customer relationships, totaling $0.9 million of estimated fair value. The remainder of the consideration transferred, $0.6 million, was allocated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AAE5"/>
          <w:sz w:val="20"/>
        </w:rPr>
        <w:t>NOTE C – Revenue</w:t>
      </w:r>
      <w:r>
        <w:rPr>
          <w:color w:val="000000"/>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the following revenue streams:</w:t>
      </w:r>
    </w:p>
    <w:tbl>
      <w:tblPr>
        <w:tblW w:w="7365" w:type="dxa"/>
        <w:jc w:val="center"/>
        <w:tblInd w:w="0" w:type="dxa"/>
        <w:tblLayout w:type="fixed"/>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the amount that reflects the consideration we are contractually and legally entitled to, as well as the amount we expect to collect, in exchange for those services.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Recurring Revenues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that the recurring revenue contracts are for one year or less, we have applied the optional exemption to not disclose information about the remaining performance obligations for recurring revenue contracts.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One-time Revenues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One-time revenues consist of set-up fees and miscellaneous fees from customers.</w:t>
      </w:r>
    </w:p>
    <w:p>
      <w:pPr>
        <w:pStyle w:val="TextBody"/>
        <w:bidi w:val="0"/>
        <w:spacing w:lineRule="auto" w:line="288" w:before="180" w:after="283"/>
        <w:jc w:val="left"/>
        <w:rPr>
          <w:rFonts w:ascii="Times New Roman;sans-serif" w:hAnsi="Times New Roman;sans-serif"/>
          <w:b w:val="false"/>
          <w:i/>
          <w:color w:val="1F282C"/>
          <w:sz w:val="20"/>
        </w:rPr>
      </w:pPr>
      <w:r>
        <w:rPr>
          <w:rFonts w:ascii="Times New Roman;sans-serif" w:hAnsi="Times New Roman;sans-serif"/>
          <w:b w:val="false"/>
          <w:i/>
          <w:color w:val="1F282C"/>
          <w:sz w:val="20"/>
        </w:rPr>
        <w:t>Set-up revenues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 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50265"/>
                <wp:effectExtent l="0" t="0" r="0" b="0"/>
                <wp:wrapNone/>
                <wp:docPr id="24" name="Frame9"/>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activity of the portion of the deferred revenue liability relating to set-up fees: </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entire balance of deferred set-up fees will be recognized within two years. Those that will be recognized within the next year are classified as current, whereas the remainder are classified as non-current.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Miscellaneous one-time revenues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Miscellaneous one-time fees consist of professional services and testing and certification.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D – Deferred Costs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deferred costs activity was as follows:</w:t>
      </w:r>
    </w:p>
    <w:tbl>
      <w:tblPr>
        <w:tblW w:w="7680"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E – Fair Value Measurements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Cash Equivalents and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as measured at fair value on a recurring basis, consisted of the following:</w:t>
      </w:r>
    </w:p>
    <w:tbl>
      <w:tblPr>
        <w:tblW w:w="10387" w:type="dxa"/>
        <w:jc w:val="left"/>
        <w:tblInd w:w="0" w:type="dxa"/>
        <w:tblLayout w:type="fixed"/>
        <w:tblCellMar>
          <w:top w:w="28" w:type="dxa"/>
          <w:left w:w="28" w:type="dxa"/>
          <w:bottom w:w="28" w:type="dxa"/>
          <w:right w:w="28" w:type="dxa"/>
        </w:tblCellMar>
      </w:tblPr>
      <w:tblGrid>
        <w:gridCol w:w="457"/>
        <w:gridCol w:w="363"/>
        <w:gridCol w:w="306"/>
        <w:gridCol w:w="109"/>
        <w:gridCol w:w="109"/>
        <w:gridCol w:w="109"/>
        <w:gridCol w:w="220"/>
        <w:gridCol w:w="175"/>
        <w:gridCol w:w="176"/>
        <w:gridCol w:w="109"/>
        <w:gridCol w:w="109"/>
        <w:gridCol w:w="109"/>
        <w:gridCol w:w="211"/>
        <w:gridCol w:w="826"/>
        <w:gridCol w:w="109"/>
        <w:gridCol w:w="109"/>
        <w:gridCol w:w="109"/>
        <w:gridCol w:w="109"/>
        <w:gridCol w:w="237"/>
        <w:gridCol w:w="525"/>
        <w:gridCol w:w="124"/>
        <w:gridCol w:w="109"/>
        <w:gridCol w:w="109"/>
        <w:gridCol w:w="109"/>
        <w:gridCol w:w="211"/>
        <w:gridCol w:w="826"/>
        <w:gridCol w:w="109"/>
        <w:gridCol w:w="109"/>
        <w:gridCol w:w="109"/>
        <w:gridCol w:w="109"/>
        <w:gridCol w:w="211"/>
        <w:gridCol w:w="826"/>
        <w:gridCol w:w="109"/>
        <w:gridCol w:w="109"/>
        <w:gridCol w:w="109"/>
        <w:gridCol w:w="109"/>
        <w:gridCol w:w="237"/>
        <w:gridCol w:w="525"/>
        <w:gridCol w:w="124"/>
        <w:gridCol w:w="109"/>
        <w:gridCol w:w="109"/>
        <w:gridCol w:w="109"/>
        <w:gridCol w:w="211"/>
        <w:gridCol w:w="82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50265"/>
                <wp:effectExtent l="0" t="0" r="0" b="0"/>
                <wp:wrapNone/>
                <wp:docPr id="27" name="Frame10"/>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F – Allowance for Credit Losses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activity, included in accounts receivable, net, was as follows:</w:t>
      </w:r>
    </w:p>
    <w:tbl>
      <w:tblPr>
        <w:tblW w:w="4734" w:type="dxa"/>
        <w:jc w:val="center"/>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G – Property and Equipment, Net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7448" w:type="dxa"/>
        <w:jc w:val="left"/>
        <w:tblInd w:w="0" w:type="dxa"/>
        <w:tblLayout w:type="fixed"/>
        <w:tblCellMar>
          <w:top w:w="28" w:type="dxa"/>
          <w:left w:w="28" w:type="dxa"/>
          <w:bottom w:w="28" w:type="dxa"/>
          <w:right w:w="28" w:type="dxa"/>
        </w:tblCellMar>
      </w:tblPr>
      <w:tblGrid>
        <w:gridCol w:w="1486"/>
        <w:gridCol w:w="1310"/>
        <w:gridCol w:w="1313"/>
        <w:gridCol w:w="109"/>
        <w:gridCol w:w="109"/>
        <w:gridCol w:w="109"/>
        <w:gridCol w:w="231"/>
        <w:gridCol w:w="790"/>
        <w:gridCol w:w="119"/>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(72,358)</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H – Goodwill and Intangible Assets, Net</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Goodwill</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in goodwill was as follows:</w:t>
      </w:r>
    </w:p>
    <w:tbl>
      <w:tblPr>
        <w:tblW w:w="6748" w:type="dxa"/>
        <w:jc w:val="left"/>
        <w:tblInd w:w="0" w:type="dxa"/>
        <w:tblLayout w:type="fixed"/>
        <w:tblCellMar>
          <w:top w:w="28" w:type="dxa"/>
          <w:left w:w="28" w:type="dxa"/>
          <w:bottom w:w="28" w:type="dxa"/>
          <w:right w:w="28" w:type="dxa"/>
        </w:tblCellMar>
      </w:tblPr>
      <w:tblGrid>
        <w:gridCol w:w="1877"/>
        <w:gridCol w:w="1653"/>
        <w:gridCol w:w="1659"/>
        <w:gridCol w:w="276"/>
        <w:gridCol w:w="1082"/>
        <w:gridCol w:w="201"/>
      </w:tblGrid>
      <w:tr>
        <w:trPr/>
        <w:tc>
          <w:tcPr>
            <w:tcW w:w="1877"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from business acquisition(s)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from provisional purchase accounting amount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1F282C"/>
          <w:sz w:val="20"/>
        </w:rPr>
      </w:pPr>
      <w:r>
        <w:rPr>
          <w:rFonts w:ascii="Times New Roman;sans-serif" w:hAnsi="Times New Roman;sans-serif"/>
          <w:b/>
          <w:i/>
          <w:color w:val="1F282C"/>
          <w:sz w:val="20"/>
        </w:rPr>
        <w:t>Intangible Assets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w:t>
      </w:r>
    </w:p>
    <w:tbl>
      <w:tblPr>
        <w:tblW w:w="10205" w:type="dxa"/>
        <w:jc w:val="center"/>
        <w:tblInd w:w="0" w:type="dxa"/>
        <w:tblLayout w:type="fixed"/>
        <w:tblCellMar>
          <w:top w:w="28" w:type="dxa"/>
          <w:left w:w="28" w:type="dxa"/>
          <w:bottom w:w="28" w:type="dxa"/>
          <w:right w:w="28" w:type="dxa"/>
        </w:tblCellMar>
      </w:tblPr>
      <w:tblGrid>
        <w:gridCol w:w="635"/>
        <w:gridCol w:w="559"/>
        <w:gridCol w:w="521"/>
        <w:gridCol w:w="211"/>
        <w:gridCol w:w="826"/>
        <w:gridCol w:w="109"/>
        <w:gridCol w:w="109"/>
        <w:gridCol w:w="109"/>
        <w:gridCol w:w="109"/>
        <w:gridCol w:w="211"/>
        <w:gridCol w:w="786"/>
        <w:gridCol w:w="109"/>
        <w:gridCol w:w="109"/>
        <w:gridCol w:w="109"/>
        <w:gridCol w:w="109"/>
        <w:gridCol w:w="211"/>
        <w:gridCol w:w="667"/>
        <w:gridCol w:w="109"/>
        <w:gridCol w:w="109"/>
        <w:gridCol w:w="109"/>
        <w:gridCol w:w="109"/>
        <w:gridCol w:w="211"/>
        <w:gridCol w:w="826"/>
        <w:gridCol w:w="109"/>
        <w:gridCol w:w="109"/>
        <w:gridCol w:w="109"/>
        <w:gridCol w:w="109"/>
        <w:gridCol w:w="816"/>
        <w:gridCol w:w="816"/>
        <w:gridCol w:w="1165"/>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 years</w:t>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 years</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50265"/>
                <wp:effectExtent l="0" t="0" r="0" b="0"/>
                <wp:wrapNone/>
                <wp:docPr id="30" name="Frame11"/>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646"/>
        <w:gridCol w:w="569"/>
        <w:gridCol w:w="535"/>
        <w:gridCol w:w="211"/>
        <w:gridCol w:w="826"/>
        <w:gridCol w:w="109"/>
        <w:gridCol w:w="109"/>
        <w:gridCol w:w="109"/>
        <w:gridCol w:w="109"/>
        <w:gridCol w:w="211"/>
        <w:gridCol w:w="788"/>
        <w:gridCol w:w="109"/>
        <w:gridCol w:w="109"/>
        <w:gridCol w:w="109"/>
        <w:gridCol w:w="109"/>
        <w:gridCol w:w="249"/>
        <w:gridCol w:w="568"/>
        <w:gridCol w:w="129"/>
        <w:gridCol w:w="109"/>
        <w:gridCol w:w="109"/>
        <w:gridCol w:w="109"/>
        <w:gridCol w:w="211"/>
        <w:gridCol w:w="721"/>
        <w:gridCol w:w="109"/>
        <w:gridCol w:w="109"/>
        <w:gridCol w:w="109"/>
        <w:gridCol w:w="109"/>
        <w:gridCol w:w="848"/>
        <w:gridCol w:w="848"/>
        <w:gridCol w:w="1210"/>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1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 years</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future annual amortization expense related to intangible assets is as follows:</w:t>
      </w:r>
    </w:p>
    <w:tbl>
      <w:tblPr>
        <w:tblW w:w="3351" w:type="dxa"/>
        <w:jc w:val="center"/>
        <w:tblInd w:w="0" w:type="dxa"/>
        <w:tblLayout w:type="fixed"/>
        <w:tblCellMar>
          <w:top w:w="28" w:type="dxa"/>
          <w:left w:w="28" w:type="dxa"/>
          <w:bottom w:w="28" w:type="dxa"/>
          <w:right w:w="28" w:type="dxa"/>
        </w:tblCellMar>
      </w:tblPr>
      <w:tblGrid>
        <w:gridCol w:w="782"/>
        <w:gridCol w:w="688"/>
        <w:gridCol w:w="690"/>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I – Commitments and Contingencies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Leases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6525" w:type="dxa"/>
        <w:jc w:val="center"/>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w:t>
      </w:r>
    </w:p>
    <w:tbl>
      <w:tblPr>
        <w:tblW w:w="8064" w:type="dxa"/>
        <w:jc w:val="center"/>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was as follows:</w:t>
      </w:r>
    </w:p>
    <w:tbl>
      <w:tblPr>
        <w:tblW w:w="6342" w:type="dxa"/>
        <w:jc w:val="center"/>
        <w:tblInd w:w="0" w:type="dxa"/>
        <w:tblLayout w:type="fixed"/>
        <w:tblCellMar>
          <w:top w:w="28" w:type="dxa"/>
          <w:left w:w="28" w:type="dxa"/>
          <w:bottom w:w="28" w:type="dxa"/>
          <w:right w:w="28" w:type="dxa"/>
        </w:tblCellMar>
      </w:tblPr>
      <w:tblGrid>
        <w:gridCol w:w="1207"/>
        <w:gridCol w:w="1059"/>
        <w:gridCol w:w="1064"/>
        <w:gridCol w:w="254"/>
        <w:gridCol w:w="254"/>
        <w:gridCol w:w="632"/>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50265"/>
                <wp:effectExtent l="0" t="0" r="0" b="0"/>
                <wp:wrapNone/>
                <wp:docPr id="33" name="Frame12"/>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our future minimum payments under operating leases were as follows:</w:t>
      </w:r>
    </w:p>
    <w:tbl>
      <w:tblPr>
        <w:tblW w:w="3741" w:type="dxa"/>
        <w:jc w:val="center"/>
        <w:tblInd w:w="0" w:type="dxa"/>
        <w:tblLayout w:type="fixed"/>
        <w:tblCellMar>
          <w:top w:w="28" w:type="dxa"/>
          <w:left w:w="28" w:type="dxa"/>
          <w:bottom w:w="28" w:type="dxa"/>
          <w:right w:w="28" w:type="dxa"/>
        </w:tblCellMar>
      </w:tblPr>
      <w:tblGrid>
        <w:gridCol w:w="961"/>
        <w:gridCol w:w="846"/>
        <w:gridCol w:w="848"/>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gross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Purchase Commitments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separate noncancelable agreements with computing infrastructure, productivity software, customer relationship management, and performance and security data analytics vendors for services through 2026. At September 30, 2023, our remaining purchase commitments and estimated purchase timing were as follows:</w:t>
      </w:r>
    </w:p>
    <w:tbl>
      <w:tblPr>
        <w:tblW w:w="3830" w:type="dxa"/>
        <w:jc w:val="left"/>
        <w:tblInd w:w="0" w:type="dxa"/>
        <w:tblLayout w:type="fixed"/>
        <w:tblCellMar>
          <w:top w:w="28" w:type="dxa"/>
          <w:left w:w="28" w:type="dxa"/>
          <w:bottom w:w="28" w:type="dxa"/>
          <w:right w:w="28" w:type="dxa"/>
        </w:tblCellMar>
      </w:tblPr>
      <w:tblGrid>
        <w:gridCol w:w="993"/>
        <w:gridCol w:w="874"/>
        <w:gridCol w:w="877"/>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future purchases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J – Stockholders’ Equity</w:t>
      </w:r>
    </w:p>
    <w:p>
      <w:pPr>
        <w:pStyle w:val="TextBody"/>
        <w:bidi w:val="0"/>
        <w:spacing w:lineRule="auto" w:line="288" w:before="240" w:after="283"/>
        <w:jc w:val="left"/>
        <w:rPr/>
      </w:pPr>
      <w:r>
        <w:rPr>
          <w:rFonts w:ascii="Times New Roman;sans-serif" w:hAnsi="Times New Roman;sans-serif"/>
          <w:b/>
          <w:i/>
          <w:color w:val="000000"/>
          <w:sz w:val="20"/>
        </w:rPr>
        <w:t>Share</w:t>
      </w:r>
      <w:r>
        <w:rPr>
          <w:color w:val="1F282C"/>
        </w:rPr>
        <w:t xml:space="preserve"> </w:t>
      </w:r>
      <w:r>
        <w:rPr>
          <w:rFonts w:ascii="Times New Roman;sans-serif" w:hAnsi="Times New Roman;sans-serif"/>
          <w:b/>
          <w:i/>
          <w:color w:val="1F282C"/>
          <w:sz w:val="20"/>
        </w:rPr>
        <w:t>Repurchase Programs</w:t>
      </w:r>
    </w:p>
    <w:p>
      <w:pPr>
        <w:pStyle w:val="TextBody"/>
        <w:bidi w:val="0"/>
        <w:spacing w:lineRule="auto" w:line="288" w:before="120" w:after="283"/>
        <w:ind w:left="0" w:right="0" w:firstLine="720"/>
        <w:jc w:val="left"/>
        <w:rPr/>
      </w:pPr>
      <w:r>
        <w:rPr>
          <w:rFonts w:ascii="Times New Roman;sans-serif" w:hAnsi="Times New Roman;sans-serif"/>
          <w:b w:val="false"/>
          <w:color w:val="212529"/>
          <w:sz w:val="20"/>
        </w:rPr>
        <w:t xml:space="preserve">Our board of directors has authorized multiple non-concurrent programs to repurchase our common stock. Details of the programs and activity thereunder through </w:t>
      </w:r>
      <w:r>
        <w:rPr>
          <w:rFonts w:ascii="Times New Roman;sans-serif" w:hAnsi="Times New Roman;sans-serif"/>
          <w:b w:val="false"/>
          <w:color w:val="000000"/>
          <w:sz w:val="20"/>
        </w:rPr>
        <w:t>September 30, 2023 were as follows:</w:t>
      </w:r>
    </w:p>
    <w:tbl>
      <w:tblPr>
        <w:tblW w:w="10205" w:type="dxa"/>
        <w:jc w:val="left"/>
        <w:tblInd w:w="0" w:type="dxa"/>
        <w:tblLayout w:type="fixed"/>
        <w:tblCellMar>
          <w:top w:w="28" w:type="dxa"/>
          <w:left w:w="28" w:type="dxa"/>
          <w:bottom w:w="28" w:type="dxa"/>
          <w:right w:w="28" w:type="dxa"/>
        </w:tblCellMar>
      </w:tblPr>
      <w:tblGrid>
        <w:gridCol w:w="339"/>
        <w:gridCol w:w="298"/>
        <w:gridCol w:w="299"/>
        <w:gridCol w:w="399"/>
        <w:gridCol w:w="351"/>
        <w:gridCol w:w="301"/>
        <w:gridCol w:w="324"/>
        <w:gridCol w:w="324"/>
        <w:gridCol w:w="325"/>
        <w:gridCol w:w="109"/>
        <w:gridCol w:w="109"/>
        <w:gridCol w:w="109"/>
        <w:gridCol w:w="697"/>
        <w:gridCol w:w="510"/>
        <w:gridCol w:w="361"/>
        <w:gridCol w:w="109"/>
        <w:gridCol w:w="109"/>
        <w:gridCol w:w="109"/>
        <w:gridCol w:w="254"/>
        <w:gridCol w:w="868"/>
        <w:gridCol w:w="131"/>
        <w:gridCol w:w="109"/>
        <w:gridCol w:w="109"/>
        <w:gridCol w:w="109"/>
        <w:gridCol w:w="539"/>
        <w:gridCol w:w="654"/>
        <w:gridCol w:w="280"/>
        <w:gridCol w:w="109"/>
        <w:gridCol w:w="109"/>
        <w:gridCol w:w="109"/>
        <w:gridCol w:w="317"/>
        <w:gridCol w:w="1085"/>
        <w:gridCol w:w="241"/>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Value Available for Future Repurchase</w:t>
            </w:r>
          </w:p>
        </w:tc>
      </w:tr>
      <w:tr>
        <w:trPr/>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r>
      <w:tr>
        <w:trPr/>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 Program</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2021</w:t>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 Program</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2022</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ans-serif" w:hAnsi="Times New Roman;sans-serif"/>
          <w:b w:val="false"/>
          <w:color w:val="212529"/>
          <w:sz w:val="20"/>
          <w:shd w:fill="FFFFFF" w:val="clear"/>
        </w:rPr>
        <w:t xml:space="preserve">The </w:t>
      </w:r>
      <w:r>
        <w:rPr>
          <w:rFonts w:ascii="Times New Roman;sans-serif" w:hAnsi="Times New Roman;sans-serif"/>
          <w:b w:val="false"/>
          <w:color w:val="000000"/>
          <w:sz w:val="20"/>
        </w:rPr>
        <w:t>share</w:t>
      </w:r>
      <w:r>
        <w:rPr>
          <w:color w:val="212529"/>
          <w:shd w:fill="FFFFFF" w:val="clear"/>
        </w:rPr>
        <w:t xml:space="preserve"> </w:t>
      </w:r>
      <w:r>
        <w:rPr>
          <w:rFonts w:ascii="Times New Roman;sans-serif" w:hAnsi="Times New Roman;sans-serif"/>
          <w:b w:val="false"/>
          <w:color w:val="000000"/>
          <w:sz w:val="20"/>
        </w:rPr>
        <w:t>repurchase activity by period was as follows:</w:t>
      </w:r>
    </w:p>
    <w:tbl>
      <w:tblPr>
        <w:tblW w:w="8444" w:type="dxa"/>
        <w:jc w:val="left"/>
        <w:tblInd w:w="0" w:type="dxa"/>
        <w:tblLayout w:type="fixed"/>
        <w:tblCellMar>
          <w:top w:w="28" w:type="dxa"/>
          <w:left w:w="28" w:type="dxa"/>
          <w:bottom w:w="28" w:type="dxa"/>
          <w:right w:w="28" w:type="dxa"/>
        </w:tblCellMar>
      </w:tblPr>
      <w:tblGrid>
        <w:gridCol w:w="1407"/>
        <w:gridCol w:w="1236"/>
        <w:gridCol w:w="1241"/>
        <w:gridCol w:w="211"/>
        <w:gridCol w:w="406"/>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per share amounts)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repurchased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50265"/>
                <wp:effectExtent l="0" t="0" r="0" b="0"/>
                <wp:wrapNone/>
                <wp:docPr id="36" name="Frame13"/>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K – Stock-Based Compensation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w:t>
      </w:r>
      <w:r>
        <w:rPr>
          <w:rFonts w:ascii="Times New Roman;sans-serif" w:hAnsi="Times New Roman;sans-serif"/>
          <w:b w:val="false"/>
          <w:color w:val="212529"/>
          <w:sz w:val="20"/>
        </w:rPr>
        <w:t>September 30, 2023</w:t>
      </w:r>
      <w:r>
        <w:rPr>
          <w:rFonts w:ascii="Times New Roman;sans-serif" w:hAnsi="Times New Roman;sans-serif"/>
          <w:b w:val="false"/>
          <w:color w:val="000000"/>
          <w:sz w:val="20"/>
        </w:rPr>
        <w:t>, there were 12.8 million shares available for grant under approved equity compensation plans.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allocated in the condensed consolidated statements of comprehensive income as follows:</w:t>
      </w:r>
    </w:p>
    <w:tbl>
      <w:tblPr>
        <w:tblW w:w="7395"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grant type or plan was as follows:</w:t>
      </w:r>
    </w:p>
    <w:tbl>
      <w:tblPr>
        <w:tblW w:w="6765" w:type="dxa"/>
        <w:jc w:val="left"/>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DSUs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401(k) stock match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$50.3 million of unrecognized stock-based compensation expense under our equity compensation plans, which is expected to be recognized on a primarily straight-line basis over a weighted average period of 2.4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50265"/>
                <wp:effectExtent l="0" t="0" r="0" b="0"/>
                <wp:wrapNone/>
                <wp:docPr id="39" name="Frame14"/>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Stock Options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stock option activity was as follows:</w:t>
      </w:r>
    </w:p>
    <w:tbl>
      <w:tblPr>
        <w:tblW w:w="5886" w:type="dxa"/>
        <w:jc w:val="left"/>
        <w:tblInd w:w="0" w:type="dxa"/>
        <w:tblLayout w:type="fixed"/>
        <w:tblCellMar>
          <w:top w:w="28" w:type="dxa"/>
          <w:left w:w="28" w:type="dxa"/>
          <w:bottom w:w="28" w:type="dxa"/>
          <w:right w:w="28" w:type="dxa"/>
        </w:tblCellMar>
      </w:tblPr>
      <w:tblGrid>
        <w:gridCol w:w="1026"/>
        <w:gridCol w:w="903"/>
        <w:gridCol w:w="905"/>
        <w:gridCol w:w="449"/>
        <w:gridCol w:w="451"/>
        <w:gridCol w:w="326"/>
        <w:gridCol w:w="109"/>
        <w:gridCol w:w="109"/>
        <w:gridCol w:w="109"/>
        <w:gridCol w:w="322"/>
        <w:gridCol w:w="942"/>
        <w:gridCol w:w="23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Options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 xml:space="preserve">Exercise Price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(154,279)</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end of period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446,131 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Of the total outstanding options at September 30, 2023, 0.4 million were exercisable. The outstanding and exercisable options had a weighted average exercise price of $59.61 per share and a weighted average remaining contractual life of 2.9 years.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options granted during the nine months ended September 30, 2023 was $56.29 per share. This was estimated on the date of grant using the Black-Scholes option pricing model with the following weighted-average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Performance Share Units, Restricted Stock Units and Awards, and Deferred Stock Units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shd w:fill="FFFFFF" w:val="clear"/>
        </w:rPr>
        <w:t xml:space="preserve">In each of the quarters ended March 31, 2023, 2022, 2021, and 2020 we granted PSU awards with a target performance level. </w:t>
      </w:r>
      <w:r>
        <w:rPr>
          <w:rFonts w:ascii="Times New Roman;sans-serif" w:hAnsi="Times New Roman;sans-serif"/>
          <w:b w:val="false"/>
          <w:color w:val="000000"/>
          <w:sz w:val="20"/>
        </w:rPr>
        <w:t xml:space="preserve">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PSU awards granted in 2020 vested at the maximum performance level and 0.1 million shares of common stock were issued.</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Activity for our PSUs, RSUs, RSAs, and DSUs in aggregate was as follows:</w:t>
      </w:r>
    </w:p>
    <w:tbl>
      <w:tblPr>
        <w:tblW w:w="6165" w:type="dxa"/>
        <w:jc w:val="center"/>
        <w:tblInd w:w="0" w:type="dxa"/>
        <w:tblLayout w:type="fixed"/>
        <w:tblCellMar>
          <w:top w:w="28" w:type="dxa"/>
          <w:left w:w="28" w:type="dxa"/>
          <w:bottom w:w="28" w:type="dxa"/>
          <w:right w:w="28" w:type="dxa"/>
        </w:tblCellMar>
      </w:tblPr>
      <w:tblGrid>
        <w:gridCol w:w="1026"/>
        <w:gridCol w:w="903"/>
        <w:gridCol w:w="905"/>
        <w:gridCol w:w="449"/>
        <w:gridCol w:w="451"/>
        <w:gridCol w:w="109"/>
        <w:gridCol w:w="109"/>
        <w:gridCol w:w="109"/>
        <w:gridCol w:w="109"/>
        <w:gridCol w:w="387"/>
        <w:gridCol w:w="1325"/>
        <w:gridCol w:w="283"/>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w:t>
              <w:br/>
              <w:t xml:space="preserve">Date Fair Value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beginning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common stock issued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end of period</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PSUs, RSUs, RSAs, and DSUs outstanding at September 30, 2023 included 0.1 million units that have vested, but the shares of common stock have not yet been issued, pursuant to the terms of the underlying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50265"/>
                <wp:effectExtent l="0" t="0" r="0" b="0"/>
                <wp:wrapNone/>
                <wp:docPr id="42" name="Frame15"/>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Employee Stock Purchase Plan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ESPP activity was as follows:</w:t>
      </w:r>
    </w:p>
    <w:p>
      <w:pPr>
        <w:pStyle w:val="TextBody"/>
        <w:bidi w:val="0"/>
        <w:spacing w:before="120" w:after="283"/>
        <w:ind w:left="0" w:right="0" w:firstLine="720"/>
        <w:jc w:val="left"/>
        <w:rPr/>
      </w:pPr>
      <w:r>
        <w:rPr/>
      </w:r>
    </w:p>
    <w:tbl>
      <w:tblPr>
        <w:tblW w:w="7004" w:type="dxa"/>
        <w:jc w:val="left"/>
        <w:tblInd w:w="0" w:type="dxa"/>
        <w:tblLayout w:type="fixed"/>
        <w:tblCellMar>
          <w:top w:w="28" w:type="dxa"/>
          <w:left w:w="28" w:type="dxa"/>
          <w:bottom w:w="28" w:type="dxa"/>
          <w:right w:w="28" w:type="dxa"/>
        </w:tblCellMar>
      </w:tblPr>
      <w:tblGrid>
        <w:gridCol w:w="918"/>
        <w:gridCol w:w="807"/>
        <w:gridCol w:w="8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total of 1.7 million shares of common stock are reserved for issuance under the ESPP as of September 30, 2023.</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was estimated based on the market price of our common stock at the beginning of the offering period using the following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NOTE L – Income Taxes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our interim provision for income taxes by applying our estimated annual effective tax rate to our year-to-date pre-tax income and adjust the provision for discrete tax items recorded in the period. Our provisions for income taxes includes current federal, state, and foreign income tax expense, as well as deferred tax expense.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AAE5"/>
          <w:sz w:val="20"/>
        </w:rPr>
      </w:pPr>
      <w:r>
        <w:rPr>
          <w:rFonts w:ascii="Times New Roman;sans-serif" w:hAnsi="Times New Roman;sans-serif"/>
          <w:b/>
          <w:color w:val="00AAE5"/>
          <w:sz w:val="20"/>
        </w:rPr>
        <w:t>NOTE M – Other Income and Expense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included the following: </w:t>
      </w:r>
    </w:p>
    <w:tbl>
      <w:tblPr>
        <w:tblW w:w="10205" w:type="dxa"/>
        <w:jc w:val="center"/>
        <w:tblInd w:w="0" w:type="dxa"/>
        <w:tblLayout w:type="fixed"/>
        <w:tblCellMar>
          <w:top w:w="28" w:type="dxa"/>
          <w:left w:w="28" w:type="dxa"/>
          <w:bottom w:w="28" w:type="dxa"/>
          <w:right w:w="28" w:type="dxa"/>
        </w:tblCellMar>
      </w:tblPr>
      <w:tblGrid>
        <w:gridCol w:w="1979"/>
        <w:gridCol w:w="1734"/>
        <w:gridCol w:w="1733"/>
        <w:gridCol w:w="211"/>
        <w:gridCol w:w="616"/>
        <w:gridCol w:w="109"/>
        <w:gridCol w:w="109"/>
        <w:gridCol w:w="109"/>
        <w:gridCol w:w="109"/>
        <w:gridCol w:w="211"/>
        <w:gridCol w:w="534"/>
        <w:gridCol w:w="109"/>
        <w:gridCol w:w="109"/>
        <w:gridCol w:w="109"/>
        <w:gridCol w:w="109"/>
        <w:gridCol w:w="211"/>
        <w:gridCol w:w="616"/>
        <w:gridCol w:w="109"/>
        <w:gridCol w:w="109"/>
        <w:gridCol w:w="109"/>
        <w:gridCol w:w="109"/>
        <w:gridCol w:w="211"/>
        <w:gridCol w:w="684"/>
        <w:gridCol w:w="157"/>
      </w:tblGrid>
      <w:tr>
        <w:trPr/>
        <w:tc>
          <w:tcPr>
            <w:tcW w:w="197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50265"/>
                <wp:effectExtent l="0" t="0" r="0" b="0"/>
                <wp:wrapNone/>
                <wp:docPr id="45" name="Frame16"/>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jc w:val="left"/>
        <w:rPr>
          <w:rFonts w:ascii="Times New Roman;sans-serif" w:hAnsi="Times New Roman;sans-serif"/>
          <w:b/>
          <w:color w:val="00AAE5"/>
          <w:sz w:val="20"/>
        </w:rPr>
      </w:pPr>
      <w:r>
        <w:rPr>
          <w:rFonts w:ascii="Times New Roman;sans-serif" w:hAnsi="Times New Roman;sans-serif"/>
          <w:b/>
          <w:color w:val="00AAE5"/>
          <w:sz w:val="20"/>
        </w:rPr>
        <w:t>NOTE N – Net Income Per Share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and computation of basic and diluted net income per share were as follows:</w:t>
      </w:r>
    </w:p>
    <w:tbl>
      <w:tblPr>
        <w:tblW w:w="9764" w:type="dxa"/>
        <w:jc w:val="center"/>
        <w:tblInd w:w="0" w:type="dxa"/>
        <w:tblLayout w:type="fixed"/>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w:t>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potential common shares that were excluded from the calculation of diluted net income per share as they were anti-dilutive was as follows:</w:t>
      </w:r>
    </w:p>
    <w:tbl>
      <w:tblPr>
        <w:tblW w:w="5489" w:type="dxa"/>
        <w:jc w:val="center"/>
        <w:tblInd w:w="0" w:type="dxa"/>
        <w:tblLayout w:type="fixed"/>
        <w:tblCellMar>
          <w:top w:w="28" w:type="dxa"/>
          <w:left w:w="28" w:type="dxa"/>
          <w:bottom w:w="28" w:type="dxa"/>
          <w:right w:w="28" w:type="dxa"/>
        </w:tblCellMar>
      </w:tblPr>
      <w:tblGrid>
        <w:gridCol w:w="622"/>
        <w:gridCol w:w="548"/>
        <w:gridCol w:w="554"/>
        <w:gridCol w:w="180"/>
        <w:gridCol w:w="181"/>
        <w:gridCol w:w="178"/>
        <w:gridCol w:w="178"/>
        <w:gridCol w:w="178"/>
        <w:gridCol w:w="178"/>
        <w:gridCol w:w="233"/>
        <w:gridCol w:w="233"/>
        <w:gridCol w:w="178"/>
        <w:gridCol w:w="109"/>
        <w:gridCol w:w="109"/>
        <w:gridCol w:w="109"/>
        <w:gridCol w:w="180"/>
        <w:gridCol w:w="181"/>
        <w:gridCol w:w="165"/>
        <w:gridCol w:w="165"/>
        <w:gridCol w:w="165"/>
        <w:gridCol w:w="165"/>
        <w:gridCol w:w="233"/>
        <w:gridCol w:w="233"/>
        <w:gridCol w:w="234"/>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color w:val="00AAE5"/>
          <w:sz w:val="20"/>
        </w:rPr>
      </w:pPr>
      <w:r>
        <w:rPr>
          <w:rFonts w:ascii="Times New Roman;sans-serif" w:hAnsi="Times New Roman;sans-serif"/>
          <w:b/>
          <w:color w:val="00AAE5"/>
          <w:sz w:val="20"/>
        </w:rPr>
        <w:t>NOTE O – Geographic Information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Domestic revenue, which we define as revenue that was attributable to customers based within the U.S., was as follows:</w:t>
      </w:r>
    </w:p>
    <w:tbl>
      <w:tblPr>
        <w:tblW w:w="5469" w:type="dxa"/>
        <w:jc w:val="left"/>
        <w:tblInd w:w="0" w:type="dxa"/>
        <w:tblLayout w:type="fixed"/>
        <w:tblCellMar>
          <w:top w:w="28" w:type="dxa"/>
          <w:left w:w="28" w:type="dxa"/>
          <w:bottom w:w="28" w:type="dxa"/>
          <w:right w:w="28" w:type="dxa"/>
        </w:tblCellMar>
      </w:tblPr>
      <w:tblGrid>
        <w:gridCol w:w="570"/>
        <w:gridCol w:w="501"/>
        <w:gridCol w:w="503"/>
        <w:gridCol w:w="180"/>
        <w:gridCol w:w="181"/>
        <w:gridCol w:w="333"/>
        <w:gridCol w:w="134"/>
        <w:gridCol w:w="134"/>
        <w:gridCol w:w="134"/>
        <w:gridCol w:w="180"/>
        <w:gridCol w:w="181"/>
        <w:gridCol w:w="333"/>
        <w:gridCol w:w="109"/>
        <w:gridCol w:w="109"/>
        <w:gridCol w:w="109"/>
        <w:gridCol w:w="180"/>
        <w:gridCol w:w="181"/>
        <w:gridCol w:w="313"/>
        <w:gridCol w:w="126"/>
        <w:gridCol w:w="126"/>
        <w:gridCol w:w="126"/>
        <w:gridCol w:w="180"/>
        <w:gridCol w:w="181"/>
        <w:gridCol w:w="365"/>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revenue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single jurisdiction outside of the U.S. had revenues in excess of 10%.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located at subsidiary and office locations outside of the U.S. was as follows:</w:t>
      </w:r>
    </w:p>
    <w:tbl>
      <w:tblPr>
        <w:tblW w:w="6177" w:type="dxa"/>
        <w:jc w:val="left"/>
        <w:tblInd w:w="0" w:type="dxa"/>
        <w:tblLayout w:type="fixed"/>
        <w:tblCellMar>
          <w:top w:w="28" w:type="dxa"/>
          <w:left w:w="28" w:type="dxa"/>
          <w:bottom w:w="28" w:type="dxa"/>
          <w:right w:w="28" w:type="dxa"/>
        </w:tblCellMar>
      </w:tblPr>
      <w:tblGrid>
        <w:gridCol w:w="1146"/>
        <w:gridCol w:w="1008"/>
        <w:gridCol w:w="1011"/>
        <w:gridCol w:w="254"/>
        <w:gridCol w:w="254"/>
        <w:gridCol w:w="632"/>
        <w:gridCol w:w="109"/>
        <w:gridCol w:w="109"/>
        <w:gridCol w:w="109"/>
        <w:gridCol w:w="314"/>
        <w:gridCol w:w="314"/>
        <w:gridCol w:w="917"/>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property and equipment</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50265"/>
                <wp:effectExtent l="0" t="0" r="0" b="0"/>
                <wp:wrapNone/>
                <wp:docPr id="48" name="Frame17"/>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This Quarterly Report on Form 10-Q contains forward-looking statements</w:t>
      </w:r>
      <w:r>
        <w:rPr>
          <w:color w:val="000000"/>
        </w:rPr>
        <w:t xml:space="preserve"> </w:t>
      </w:r>
      <w:r>
        <w:rPr>
          <w:rFonts w:ascii="Times New Roman;sans-serif" w:hAnsi="Times New Roman;sans-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2022,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AAE5"/>
          <w:sz w:val="20"/>
        </w:rPr>
      </w:pPr>
      <w:r>
        <w:rPr>
          <w:rFonts w:ascii="Times New Roman;sans-serif" w:hAnsi="Times New Roman;sans-serif"/>
          <w:b/>
          <w:color w:val="00AAE5"/>
          <w:sz w:val="20"/>
        </w:rPr>
        <w:t>Overview</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SPS Commerce is a leading provider of cloud-based supply chain management services across our global retail network. Our products make it easier for retailers, grocers, distributors, suppliers, and logistics firms to communicate and collaborate by simplifying how they manage and share item, inventory, order and sales data across omnichannel retail channels. We deliver our products using a full-service model, which includes industry-leading technology and a team of experts that optimize, update, and operate the technology on customers' behalf.</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enable customers to increase supply chain performance, optimize inventory levels and sell-through, reduce operational costs, improve order visibility, and satisfy consumer demands for a seamless omnichannel experience.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AAE5"/>
          <w:sz w:val="20"/>
        </w:rPr>
      </w:pPr>
      <w:r>
        <w:rPr>
          <w:rFonts w:ascii="Times New Roman;sans-serif" w:hAnsi="Times New Roman;sans-serif"/>
          <w:b/>
          <w:color w:val="00AAE5"/>
          <w:sz w:val="20"/>
        </w:rPr>
        <w:t>Key Financial Terms, Metrics and Non-GAAP Measures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several key financial terms, metrics, and non-GAAP measures as discussed in our Annual Report on Form 10-K for the year ended December 31, 2022, as filed with the SEC, under the heading “Management’s Discussion and Analysis of Financial Condition and Results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lineRule="auto" w:line="27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76" w:before="120" w:after="283"/>
        <w:jc w:val="left"/>
        <w:rPr>
          <w:color w:val="000000"/>
        </w:rPr>
      </w:pPr>
      <w:r>
        <w:rPr>
          <w:color w:val="000000"/>
        </w:rPr>
        <w:t>    </w:t>
      </w:r>
      <w:r>
        <w:rPr>
          <w:rFonts w:ascii="Times New Roman;sans-serif" w:hAnsi="Times New Roman;sans-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50265"/>
                <wp:effectExtent l="0" t="0" r="0" b="0"/>
                <wp:wrapNone/>
                <wp:docPr id="51" name="Frame18"/>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Three Months Ended September 30, 2023 Compared to Three Months Ended September 30, 2022</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66"/>
        <w:gridCol w:w="566"/>
        <w:gridCol w:w="560"/>
        <w:gridCol w:w="211"/>
        <w:gridCol w:w="826"/>
        <w:gridCol w:w="109"/>
        <w:gridCol w:w="109"/>
        <w:gridCol w:w="109"/>
        <w:gridCol w:w="109"/>
        <w:gridCol w:w="308"/>
        <w:gridCol w:w="308"/>
        <w:gridCol w:w="518"/>
        <w:gridCol w:w="109"/>
        <w:gridCol w:w="109"/>
        <w:gridCol w:w="109"/>
        <w:gridCol w:w="211"/>
        <w:gridCol w:w="826"/>
        <w:gridCol w:w="109"/>
        <w:gridCol w:w="109"/>
        <w:gridCol w:w="109"/>
        <w:gridCol w:w="109"/>
        <w:gridCol w:w="308"/>
        <w:gridCol w:w="308"/>
        <w:gridCol w:w="518"/>
        <w:gridCol w:w="109"/>
        <w:gridCol w:w="109"/>
        <w:gridCol w:w="109"/>
        <w:gridCol w:w="211"/>
        <w:gridCol w:w="721"/>
        <w:gridCol w:w="109"/>
        <w:gridCol w:w="109"/>
        <w:gridCol w:w="109"/>
        <w:gridCol w:w="109"/>
        <w:gridCol w:w="327"/>
        <w:gridCol w:w="330"/>
        <w:gridCol w:w="320"/>
      </w:tblGrid>
      <w:tr>
        <w:trPr/>
        <w:tc>
          <w:tcPr>
            <w:tcW w:w="8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Amounts in column may not foot due to rounding</w:t>
            </w:r>
          </w:p>
        </w:tc>
      </w:tr>
    </w:tbl>
    <w:p>
      <w:pPr>
        <w:pStyle w:val="TextBody"/>
        <w:bidi w:val="0"/>
        <w:spacing w:lineRule="auto" w:line="288" w:before="240" w:after="283"/>
        <w:ind w:left="0" w:right="0" w:firstLine="720"/>
        <w:jc w:val="left"/>
        <w:rPr/>
      </w:pPr>
      <w:r>
        <w:rPr>
          <w:rFonts w:ascii="Times New Roman;sans-serif" w:hAnsi="Times New Roman;sans-serif"/>
          <w:b/>
          <w:i/>
          <w:color w:val="1F282C"/>
          <w:sz w:val="20"/>
        </w:rPr>
        <w:t>Revenues</w:t>
      </w:r>
      <w:r>
        <w:rPr>
          <w:color w:val="000000"/>
        </w:rPr>
        <w:t xml:space="preserve"> </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Revenues increased for the 91st consecutive quarter. The increase in revenue resulted from two primary factors: the increase in recurring revenue customers, which is driven primarily by continued business growth and by business acquisitions, and the increase in average recurring revenues per recurring revenue customer, which we also refer to as wallet share.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number of recurring revenue customers increased 13% to 44,500 at </w:t>
      </w:r>
      <w:r>
        <w:rPr>
          <w:rFonts w:ascii="Times New Roman;sans-serif" w:hAnsi="Times New Roman;sans-serif"/>
          <w:b w:val="false"/>
          <w:color w:val="1F282C"/>
          <w:sz w:val="20"/>
        </w:rPr>
        <w:t>September 30, 2023</w:t>
      </w:r>
      <w:r>
        <w:rPr>
          <w:color w:val="000000"/>
        </w:rPr>
        <w:t xml:space="preserve"> </w:t>
      </w:r>
      <w:r>
        <w:rPr>
          <w:rFonts w:ascii="Times New Roman;sans-serif" w:hAnsi="Times New Roman;sans-serif"/>
          <w:b w:val="false"/>
          <w:color w:val="000000"/>
          <w:sz w:val="20"/>
        </w:rPr>
        <w:t xml:space="preserve">from 39,550 at </w:t>
      </w:r>
      <w:r>
        <w:rPr>
          <w:rFonts w:ascii="Times New Roman;sans-serif" w:hAnsi="Times New Roman;sans-serif"/>
          <w:b w:val="false"/>
          <w:color w:val="1F282C"/>
          <w:sz w:val="20"/>
        </w:rPr>
        <w:t>September 30, 2022 primarily due to sales and marketing efforts to acquire new customers and due to recent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Wallet share increased 7% to $11,650 for the three months ended </w:t>
      </w:r>
      <w:r>
        <w:rPr>
          <w:rFonts w:ascii="Times New Roman;sans-serif" w:hAnsi="Times New Roman;sans-serif"/>
          <w:b w:val="false"/>
          <w:color w:val="1F282C"/>
          <w:sz w:val="20"/>
        </w:rPr>
        <w:t>September 30, 2023</w:t>
      </w:r>
      <w:r>
        <w:rPr>
          <w:color w:val="000000"/>
        </w:rPr>
        <w:t xml:space="preserve"> </w:t>
      </w:r>
      <w:r>
        <w:rPr>
          <w:rFonts w:ascii="Times New Roman;sans-serif" w:hAnsi="Times New Roman;sans-serif"/>
          <w:b w:val="false"/>
          <w:color w:val="000000"/>
          <w:sz w:val="20"/>
        </w:rPr>
        <w:t>from $10,900 for the same period in 2022. This was primarily attributable to increased usage of our products by our recurring revenue customers.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Recurring revenues increased 20% to $127.4 million for the three months ended </w:t>
      </w:r>
      <w:r>
        <w:rPr>
          <w:rFonts w:ascii="Times New Roman;sans-serif" w:hAnsi="Times New Roman;sans-serif"/>
          <w:b w:val="false"/>
          <w:color w:val="1F282C"/>
          <w:sz w:val="20"/>
        </w:rPr>
        <w:t xml:space="preserve">September 30, 2023 compared to the three months ended September 30, 2022. Recurring revenues </w:t>
      </w:r>
      <w:r>
        <w:rPr>
          <w:rFonts w:ascii="Times New Roman;sans-serif" w:hAnsi="Times New Roman;sans-serif"/>
          <w:b w:val="false"/>
          <w:color w:val="000000"/>
          <w:sz w:val="20"/>
        </w:rPr>
        <w:t xml:space="preserve">accounted for 94% of our total revenues for the three months ended </w:t>
      </w:r>
      <w:r>
        <w:rPr>
          <w:rFonts w:ascii="Times New Roman;sans-serif" w:hAnsi="Times New Roman;sans-serif"/>
          <w:b w:val="false"/>
          <w:color w:val="1F282C"/>
          <w:sz w:val="20"/>
        </w:rPr>
        <w:t>September 30, 2023 compared to 93% for the three months ended September 30, 2022</w:t>
      </w:r>
      <w:r>
        <w:rPr>
          <w:rFonts w:ascii="Times New Roman;sans-serif" w:hAnsi="Times New Roman;sans-serif"/>
          <w:b w:val="false"/>
          <w:color w:val="000000"/>
          <w:sz w:val="20"/>
        </w:rPr>
        <w:t>. We anticipate that the number of recurring revenue customers and wallet share will continue to increase as we execute our growth strategy focused on further penetration of our market.</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Cost of Revenues -</w:t>
      </w:r>
      <w:r>
        <w:rPr>
          <w:color w:val="1F282C"/>
        </w:rPr>
        <w:t xml:space="preserve"> </w:t>
      </w:r>
      <w:r>
        <w:rPr>
          <w:rFonts w:ascii="Times New Roman;sans-serif" w:hAnsi="Times New Roman;sans-serif"/>
          <w:b w:val="false"/>
          <w:color w:val="000000"/>
          <w:sz w:val="20"/>
        </w:rPr>
        <w:t>The increase in cost of revenues was primarily due to increased headcount, which resulted in an increase of $5.5 million in personnel-related costs.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Sales and Marketing Expenses -</w:t>
      </w:r>
      <w:r>
        <w:rPr>
          <w:color w:val="1F282C"/>
        </w:rPr>
        <w:t xml:space="preserve"> </w:t>
      </w:r>
      <w:r>
        <w:rPr>
          <w:rFonts w:ascii="Times New Roman;sans-serif" w:hAnsi="Times New Roman;sans-serif"/>
          <w:b w:val="false"/>
          <w:color w:val="000000"/>
          <w:sz w:val="20"/>
        </w:rPr>
        <w:t>The increase in sales and marketing expense was primarily due to increased headcount, which resulted in an increase of $3.2 million in personnel-related costs.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Research and Development Expenses -</w:t>
      </w:r>
      <w:r>
        <w:rPr>
          <w:color w:val="000000"/>
        </w:rPr>
        <w:t xml:space="preserve"> </w:t>
      </w:r>
      <w:r>
        <w:rPr>
          <w:rFonts w:ascii="Times New Roman;sans-serif" w:hAnsi="Times New Roman;sans-serif"/>
          <w:b w:val="false"/>
          <w:color w:val="000000"/>
          <w:sz w:val="20"/>
        </w:rPr>
        <w:t>The increase in research and development expense was primarily due to increased headcount, which resulted in an increase of $1.8 million in personnel-related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50265"/>
                <wp:effectExtent l="0" t="0" r="0" b="0"/>
                <wp:wrapNone/>
                <wp:docPr id="54" name="Frame19"/>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General and Administrative Expenses </w:t>
      </w:r>
      <w:r>
        <w:rPr>
          <w:rFonts w:ascii="Times New Roman;sans-serif" w:hAnsi="Times New Roman;sans-serif"/>
          <w:b w:val="false"/>
          <w:color w:val="1F282C"/>
          <w:sz w:val="20"/>
        </w:rPr>
        <w:t xml:space="preserve">- </w:t>
      </w:r>
      <w:r>
        <w:rPr>
          <w:rFonts w:ascii="Times New Roman;sans-serif" w:hAnsi="Times New Roman;sans-serif"/>
          <w:b w:val="false"/>
          <w:color w:val="000000"/>
          <w:sz w:val="20"/>
        </w:rPr>
        <w:t xml:space="preserve">The increase in general and administrative expense was primarily related to increased stock-based compensation of $2.1 million. Additionally, the increase was due to supporting continued business growth, including an increase in headcount which resulted in an increase in personnel-related costs of $1.8 million. Finally, there was an increase in credit loss expense of $1.3 million due primarily to overall business growth. </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Amortization of Intangible Assets -</w:t>
      </w:r>
      <w:r>
        <w:rPr>
          <w:color w:val="1F282C"/>
        </w:rPr>
        <w:t xml:space="preserve"> </w:t>
      </w:r>
      <w:r>
        <w:rPr>
          <w:rFonts w:ascii="Times New Roman;sans-serif" w:hAnsi="Times New Roman;sans-serif"/>
          <w:b w:val="false"/>
          <w:color w:val="000000"/>
          <w:sz w:val="20"/>
        </w:rPr>
        <w:t>The increase in amortization of intangible assets was driven by acquired intangible assets related to recent business combinations.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Other Income (Expense), Net -</w:t>
      </w:r>
      <w:r>
        <w:rPr>
          <w:color w:val="1F282C"/>
        </w:rPr>
        <w:t xml:space="preserve"> </w:t>
      </w:r>
      <w:r>
        <w:rPr>
          <w:rFonts w:ascii="Times New Roman;sans-serif" w:hAnsi="Times New Roman;sans-serif"/>
          <w:b w:val="false"/>
          <w:color w:val="000000"/>
          <w:sz w:val="20"/>
        </w:rPr>
        <w:t>The increase in other income (expense), net was primarily due to favorable investment returns and foreign currency exchange rate changes.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Income Tax Expense -</w:t>
      </w:r>
      <w:r>
        <w:rPr>
          <w:color w:val="1F282C"/>
        </w:rPr>
        <w:t xml:space="preserve"> </w:t>
      </w:r>
      <w:r>
        <w:rPr>
          <w:rFonts w:ascii="Times New Roman;sans-serif" w:hAnsi="Times New Roman;sans-serif"/>
          <w:b w:val="false"/>
          <w:color w:val="000000"/>
          <w:sz w:val="20"/>
        </w:rPr>
        <w:t>The increase in income tax expense was primarily driven by the increase in pre-tax income, and reduction in the excess tax deductions from the current period equity award settlements as compared to prior year. Excess tax benefits generated upon the settlement or exercise of stock awards are recognized as a reduction to income tax expense and, as a result, we expect that our annual effective income tax rate will fluctuate.</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Adjusted EBITDA - </w:t>
      </w:r>
      <w:r>
        <w:rPr>
          <w:rFonts w:ascii="Times New Roman;sans-serif" w:hAnsi="Times New Roman;sans-serif"/>
          <w:b w:val="false"/>
          <w:color w:val="000000"/>
          <w:sz w:val="20"/>
        </w:rPr>
        <w:t xml:space="preserve">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 Other adjustments included the expense impact from acquisition-related employee severance costs. Net income is the comparable GAAP measure of financial performance.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EBITDA:</w:t>
      </w:r>
    </w:p>
    <w:tbl>
      <w:tblPr>
        <w:tblW w:w="8408" w:type="dxa"/>
        <w:jc w:val="left"/>
        <w:tblInd w:w="0" w:type="dxa"/>
        <w:tblLayout w:type="fixed"/>
        <w:tblCellMar>
          <w:top w:w="28" w:type="dxa"/>
          <w:left w:w="28" w:type="dxa"/>
          <w:bottom w:w="28" w:type="dxa"/>
          <w:right w:w="28" w:type="dxa"/>
        </w:tblCellMar>
      </w:tblPr>
      <w:tblGrid>
        <w:gridCol w:w="2154"/>
        <w:gridCol w:w="1898"/>
        <w:gridCol w:w="1902"/>
        <w:gridCol w:w="211"/>
        <w:gridCol w:w="721"/>
        <w:gridCol w:w="109"/>
        <w:gridCol w:w="109"/>
        <w:gridCol w:w="109"/>
        <w:gridCol w:w="109"/>
        <w:gridCol w:w="211"/>
        <w:gridCol w:w="721"/>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ans-serif" w:hAnsi="Times New Roman;sans-serif"/>
          <w:b/>
          <w:i/>
          <w:color w:val="1F282C"/>
          <w:sz w:val="20"/>
        </w:rPr>
        <w:t>Adjusted EBITDA Margin -</w:t>
      </w:r>
      <w:r>
        <w:rPr>
          <w:color w:val="000000"/>
        </w:rPr>
        <w:t xml:space="preserve"> </w:t>
      </w:r>
      <w:r>
        <w:rPr>
          <w:rFonts w:ascii="Times New Roman;sans-serif" w:hAnsi="Times New Roman;sans-serif"/>
          <w:b w:val="false"/>
          <w:color w:val="000000"/>
          <w:sz w:val="20"/>
        </w:rPr>
        <w:t>Adjusted EBITDA Margin</w:t>
      </w:r>
      <w:r>
        <w:rPr>
          <w:color w:val="1F282C"/>
        </w:rPr>
        <w:t xml:space="preserve"> </w:t>
      </w:r>
      <w:r>
        <w:rPr>
          <w:rFonts w:ascii="Times New Roman;sans-serif" w:hAnsi="Times New Roman;sans-serif"/>
          <w:b w:val="false"/>
          <w:color w:val="000000"/>
          <w:sz w:val="20"/>
        </w:rPr>
        <w:t xml:space="preserve">consists of Adjusted EBITDA divided by revenue. Margin, the comparable GAAP measure of financial performance, consists of net income divided by revenue.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comparison of Margin to Adjusted EBITDA Margin:</w:t>
      </w:r>
    </w:p>
    <w:tbl>
      <w:tblPr>
        <w:tblW w:w="6930" w:type="dxa"/>
        <w:jc w:val="left"/>
        <w:tblInd w:w="0" w:type="dxa"/>
        <w:tblLayout w:type="fixed"/>
        <w:tblCellMar>
          <w:top w:w="28" w:type="dxa"/>
          <w:left w:w="28" w:type="dxa"/>
          <w:bottom w:w="28" w:type="dxa"/>
          <w:right w:w="28" w:type="dxa"/>
        </w:tblCellMar>
      </w:tblPr>
      <w:tblGrid>
        <w:gridCol w:w="1641"/>
        <w:gridCol w:w="1442"/>
        <w:gridCol w:w="1447"/>
        <w:gridCol w:w="224"/>
        <w:gridCol w:w="224"/>
        <w:gridCol w:w="557"/>
        <w:gridCol w:w="115"/>
        <w:gridCol w:w="115"/>
        <w:gridCol w:w="115"/>
        <w:gridCol w:w="224"/>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Margin and Adjusted EBITDA Margin)</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114,486</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w:t>
            </w:r>
          </w:p>
        </w:tc>
        <w:tc>
          <w:tcPr>
            <w:tcW w:w="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50265"/>
                <wp:effectExtent l="0" t="0" r="0" b="0"/>
                <wp:wrapNone/>
                <wp:docPr id="57" name="Frame20"/>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Non-GAAP Income per Share - </w:t>
      </w:r>
      <w:r>
        <w:rPr>
          <w:rFonts w:ascii="Times New Roman;sans-serif" w:hAnsi="Times New Roman;sans-serif"/>
          <w:b w:val="false"/>
          <w:color w:val="000000"/>
          <w:sz w:val="20"/>
        </w:rPr>
        <w:t xml:space="preserve">Non-GAAP income per share consists of net income adjusted for stock-based compensation expense, amortization expense related to intangible assets, realized gain or loss from foreign currency on cash and investments held, other adjustments as necessary for a fair presentation, including the expense impact from acquisition-related employee severance costs, and the corresponding tax impacts of the adjustments to net income, divided by the weighted average number of shares of common and diluted stock outstanding during each period. Net income per share, the comparable GAAP measure of financial performance, consists of net income divided by the weighted average number of shares of common and diluted stock outstanding during each period.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per share to non-GAAP income per share:</w:t>
      </w:r>
    </w:p>
    <w:tbl>
      <w:tblPr>
        <w:tblW w:w="8409" w:type="dxa"/>
        <w:jc w:val="left"/>
        <w:tblInd w:w="0" w:type="dxa"/>
        <w:tblLayout w:type="fixed"/>
        <w:tblCellMar>
          <w:top w:w="28" w:type="dxa"/>
          <w:left w:w="28" w:type="dxa"/>
          <w:bottom w:w="28" w:type="dxa"/>
          <w:right w:w="28" w:type="dxa"/>
        </w:tblCellMar>
      </w:tblPr>
      <w:tblGrid>
        <w:gridCol w:w="2157"/>
        <w:gridCol w:w="1896"/>
        <w:gridCol w:w="1902"/>
        <w:gridCol w:w="211"/>
        <w:gridCol w:w="721"/>
        <w:gridCol w:w="109"/>
        <w:gridCol w:w="109"/>
        <w:gridCol w:w="109"/>
        <w:gridCol w:w="109"/>
        <w:gridCol w:w="211"/>
        <w:gridCol w:w="721"/>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net income and non-GAAP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50265"/>
                <wp:effectExtent l="0" t="0" r="0" b="0"/>
                <wp:wrapNone/>
                <wp:docPr id="60" name="Frame21"/>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Nine Months Ended September 30, 2023 Compared to Nine Months Ended September 30, 2022</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866"/>
        <w:gridCol w:w="566"/>
        <w:gridCol w:w="560"/>
        <w:gridCol w:w="211"/>
        <w:gridCol w:w="826"/>
        <w:gridCol w:w="109"/>
        <w:gridCol w:w="109"/>
        <w:gridCol w:w="109"/>
        <w:gridCol w:w="109"/>
        <w:gridCol w:w="308"/>
        <w:gridCol w:w="308"/>
        <w:gridCol w:w="518"/>
        <w:gridCol w:w="109"/>
        <w:gridCol w:w="109"/>
        <w:gridCol w:w="109"/>
        <w:gridCol w:w="211"/>
        <w:gridCol w:w="826"/>
        <w:gridCol w:w="109"/>
        <w:gridCol w:w="109"/>
        <w:gridCol w:w="109"/>
        <w:gridCol w:w="109"/>
        <w:gridCol w:w="308"/>
        <w:gridCol w:w="308"/>
        <w:gridCol w:w="518"/>
        <w:gridCol w:w="109"/>
        <w:gridCol w:w="109"/>
        <w:gridCol w:w="109"/>
        <w:gridCol w:w="211"/>
        <w:gridCol w:w="721"/>
        <w:gridCol w:w="109"/>
        <w:gridCol w:w="109"/>
        <w:gridCol w:w="109"/>
        <w:gridCol w:w="109"/>
        <w:gridCol w:w="327"/>
        <w:gridCol w:w="330"/>
        <w:gridCol w:w="320"/>
      </w:tblGrid>
      <w:tr>
        <w:trPr/>
        <w:tc>
          <w:tcPr>
            <w:tcW w:w="8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of revenue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Amounts in column may not foot due to rounding</w:t>
            </w:r>
          </w:p>
        </w:tc>
      </w:tr>
    </w:tbl>
    <w:p>
      <w:pPr>
        <w:pStyle w:val="TextBody"/>
        <w:bidi w:val="0"/>
        <w:spacing w:lineRule="auto" w:line="288" w:before="240" w:after="283"/>
        <w:ind w:left="0" w:right="0" w:firstLine="720"/>
        <w:jc w:val="left"/>
        <w:rPr/>
      </w:pPr>
      <w:r>
        <w:rPr>
          <w:rFonts w:ascii="Times New Roman;sans-serif" w:hAnsi="Times New Roman;sans-serif"/>
          <w:b/>
          <w:i/>
          <w:color w:val="1F282C"/>
          <w:sz w:val="20"/>
        </w:rPr>
        <w:t>Revenues</w:t>
      </w:r>
      <w:r>
        <w:rPr>
          <w:color w:val="000000"/>
        </w:rPr>
        <w:t xml:space="preserve"> </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The increase in revenue resulted from two primary factors: the increase in recurring revenue customers, which is driven primarily by continued business growth and by business acquisitions, and the increase in average recurring revenues per recurring revenue customer, which we also refer to as wallet share.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number of recurring revenue customers increased 13% to 44,500 at </w:t>
      </w:r>
      <w:r>
        <w:rPr>
          <w:rFonts w:ascii="Times New Roman;sans-serif" w:hAnsi="Times New Roman;sans-serif"/>
          <w:b w:val="false"/>
          <w:color w:val="1F282C"/>
          <w:sz w:val="20"/>
        </w:rPr>
        <w:t>September 30, 2023</w:t>
      </w:r>
      <w:r>
        <w:rPr>
          <w:color w:val="000000"/>
        </w:rPr>
        <w:t xml:space="preserve"> </w:t>
      </w:r>
      <w:r>
        <w:rPr>
          <w:rFonts w:ascii="Times New Roman;sans-serif" w:hAnsi="Times New Roman;sans-serif"/>
          <w:b w:val="false"/>
          <w:color w:val="000000"/>
          <w:sz w:val="20"/>
        </w:rPr>
        <w:t xml:space="preserve">from 39,550 at </w:t>
      </w:r>
      <w:r>
        <w:rPr>
          <w:rFonts w:ascii="Times New Roman;sans-serif" w:hAnsi="Times New Roman;sans-serif"/>
          <w:b w:val="false"/>
          <w:color w:val="1F282C"/>
          <w:sz w:val="20"/>
        </w:rPr>
        <w:t>September 30, 2022 primarily due to sales and marketing efforts to acquire new customers and due to recent acquisitions</w:t>
      </w:r>
      <w:r>
        <w:rPr>
          <w:rFonts w:ascii="Times New Roman;sans-serif" w:hAnsi="Times New Roman;sans-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Wallet share increased 7% to $11,250 for the nine months ended </w:t>
      </w:r>
      <w:r>
        <w:rPr>
          <w:rFonts w:ascii="Times New Roman;sans-serif" w:hAnsi="Times New Roman;sans-serif"/>
          <w:b w:val="false"/>
          <w:color w:val="1F282C"/>
          <w:sz w:val="20"/>
        </w:rPr>
        <w:t>September 30, 2023</w:t>
      </w:r>
      <w:r>
        <w:rPr>
          <w:color w:val="000000"/>
        </w:rPr>
        <w:t xml:space="preserve"> </w:t>
      </w:r>
      <w:r>
        <w:rPr>
          <w:rFonts w:ascii="Times New Roman;sans-serif" w:hAnsi="Times New Roman;sans-serif"/>
          <w:b w:val="false"/>
          <w:color w:val="000000"/>
          <w:sz w:val="20"/>
        </w:rPr>
        <w:t>from $10,550 for the same period in 2022. The increase was primarily attributable to increased usage of our solutions by our recurring revenue customers.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Recurring revenues increased 20% to $366.2 million for the nine months ended </w:t>
      </w:r>
      <w:r>
        <w:rPr>
          <w:rFonts w:ascii="Times New Roman;sans-serif" w:hAnsi="Times New Roman;sans-serif"/>
          <w:b w:val="false"/>
          <w:color w:val="1F282C"/>
          <w:sz w:val="20"/>
        </w:rPr>
        <w:t xml:space="preserve">September 30, 2023 compared to the </w:t>
      </w:r>
      <w:r>
        <w:rPr>
          <w:rFonts w:ascii="Times New Roman;sans-serif" w:hAnsi="Times New Roman;sans-serif"/>
          <w:b w:val="false"/>
          <w:color w:val="000000"/>
          <w:sz w:val="20"/>
        </w:rPr>
        <w:t xml:space="preserve">nine </w:t>
      </w:r>
      <w:r>
        <w:rPr>
          <w:rFonts w:ascii="Times New Roman;sans-serif" w:hAnsi="Times New Roman;sans-serif"/>
          <w:b w:val="false"/>
          <w:color w:val="1F282C"/>
          <w:sz w:val="20"/>
        </w:rPr>
        <w:t xml:space="preserve">months ended September 30, 2022. Recurring revenues </w:t>
      </w:r>
      <w:r>
        <w:rPr>
          <w:rFonts w:ascii="Times New Roman;sans-serif" w:hAnsi="Times New Roman;sans-serif"/>
          <w:b w:val="false"/>
          <w:color w:val="000000"/>
          <w:sz w:val="20"/>
        </w:rPr>
        <w:t xml:space="preserve">from recurring revenue customers accounted for 93% of our total revenues for the nine months ended </w:t>
      </w:r>
      <w:r>
        <w:rPr>
          <w:rFonts w:ascii="Times New Roman;sans-serif" w:hAnsi="Times New Roman;sans-serif"/>
          <w:b w:val="false"/>
          <w:color w:val="1F282C"/>
          <w:sz w:val="20"/>
        </w:rPr>
        <w:t xml:space="preserve">September 30, 2023 </w:t>
      </w:r>
      <w:r>
        <w:rPr>
          <w:rFonts w:ascii="Times New Roman;sans-serif" w:hAnsi="Times New Roman;sans-serif"/>
          <w:b w:val="false"/>
          <w:color w:val="000000"/>
          <w:sz w:val="20"/>
        </w:rPr>
        <w:t>and 2022, respectively. We anticipate that the number of recurring revenue customers and wallet share will continue to increase as we execute our growth strategy focused on further penetrations of our market.</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Cost of Revenues -</w:t>
      </w:r>
      <w:r>
        <w:rPr>
          <w:color w:val="1F282C"/>
        </w:rPr>
        <w:t xml:space="preserve"> </w:t>
      </w:r>
      <w:r>
        <w:rPr>
          <w:rFonts w:ascii="Times New Roman;sans-serif" w:hAnsi="Times New Roman;sans-serif"/>
          <w:b w:val="false"/>
          <w:color w:val="000000"/>
          <w:sz w:val="20"/>
        </w:rPr>
        <w:t>The increase in cost of revenues was primarily due to increased headcount, which resulted in increases of $16.3 million in personnel-related costs and $2.0 million of software subscriptions. Additionally, the increase was due to a $1.1 million increase in stock-based compensation.</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Sales and Marketing Expenses -</w:t>
      </w:r>
      <w:r>
        <w:rPr>
          <w:color w:val="1F282C"/>
        </w:rPr>
        <w:t xml:space="preserve"> </w:t>
      </w:r>
      <w:r>
        <w:rPr>
          <w:rFonts w:ascii="Times New Roman;sans-serif" w:hAnsi="Times New Roman;sans-serif"/>
          <w:b w:val="false"/>
          <w:color w:val="000000"/>
          <w:sz w:val="20"/>
        </w:rPr>
        <w:t>The increase in sales and marketing expense was primarily due to increased headcount, which resulted in increases of $10.2 million in personnel-related costs and $1.9 million in variable compensation earned by sales personnel and referral partners. Additionally, the increase was due to a $1.5 million increase in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50265"/>
                <wp:effectExtent l="0" t="0" r="0" b="0"/>
                <wp:wrapNone/>
                <wp:docPr id="63" name="Frame22"/>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ind w:left="0" w:right="0" w:firstLine="720"/>
        <w:jc w:val="left"/>
        <w:rPr/>
      </w:pPr>
      <w:r>
        <w:rPr>
          <w:rFonts w:ascii="Times New Roman;sans-serif" w:hAnsi="Times New Roman;sans-serif"/>
          <w:b/>
          <w:i/>
          <w:color w:val="1F282C"/>
          <w:sz w:val="20"/>
        </w:rPr>
        <w:t>Research and Development Expenses -</w:t>
      </w:r>
      <w:r>
        <w:rPr>
          <w:color w:val="000000"/>
        </w:rPr>
        <w:t xml:space="preserve"> </w:t>
      </w:r>
      <w:r>
        <w:rPr>
          <w:rFonts w:ascii="Times New Roman;sans-serif" w:hAnsi="Times New Roman;sans-serif"/>
          <w:b w:val="false"/>
          <w:color w:val="000000"/>
          <w:sz w:val="20"/>
        </w:rPr>
        <w:t>The increase in research and development expense was primarily due to increased headcount, which resulted in an increase of $4.1 million in personnel-related costs. Additionally, the increase was due to a $1.1 million increase in stock-based compensation.</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General and Administrative Expenses </w:t>
      </w:r>
      <w:r>
        <w:rPr>
          <w:rFonts w:ascii="Times New Roman;sans-serif" w:hAnsi="Times New Roman;sans-serif"/>
          <w:b w:val="false"/>
          <w:color w:val="1F282C"/>
          <w:sz w:val="20"/>
        </w:rPr>
        <w:t xml:space="preserve">- </w:t>
      </w:r>
      <w:r>
        <w:rPr>
          <w:rFonts w:ascii="Times New Roman;sans-serif" w:hAnsi="Times New Roman;sans-serif"/>
          <w:b w:val="false"/>
          <w:color w:val="000000"/>
          <w:sz w:val="20"/>
        </w:rPr>
        <w:t xml:space="preserve">The increase in general and administrative expense was primarily related to increased stock-based compensation of $6.7 million. Additionally, the increase was due to supporting continued business growth, including an increase in headcount which resulted in an increases in personnel-related costs of $4.3 million and software subscriptions of $1.0 million. Finally, there was an increase in credit loss expense of $1.1 million due primarily to overall business growth. </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Amortization of Intangible Assets -</w:t>
      </w:r>
      <w:r>
        <w:rPr>
          <w:color w:val="1F282C"/>
        </w:rPr>
        <w:t xml:space="preserve"> </w:t>
      </w:r>
      <w:r>
        <w:rPr>
          <w:rFonts w:ascii="Times New Roman;sans-serif" w:hAnsi="Times New Roman;sans-serif"/>
          <w:b w:val="false"/>
          <w:color w:val="000000"/>
          <w:sz w:val="20"/>
        </w:rPr>
        <w:t>The increase in amortization of intangible assets was driven by acquired intangible assets related to recent business combinations.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Other Income (Expense), Net -</w:t>
      </w:r>
      <w:r>
        <w:rPr>
          <w:color w:val="1F282C"/>
        </w:rPr>
        <w:t xml:space="preserve"> </w:t>
      </w:r>
      <w:r>
        <w:rPr>
          <w:rFonts w:ascii="Times New Roman;sans-serif" w:hAnsi="Times New Roman;sans-serif"/>
          <w:b w:val="false"/>
          <w:color w:val="000000"/>
          <w:sz w:val="20"/>
        </w:rPr>
        <w:t>The increase in other income (expense), net was primarily due to favorable investment returns and foreign currency exchange rate changes.</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Income Tax Expense - </w:t>
      </w:r>
      <w:r>
        <w:rPr>
          <w:rFonts w:ascii="Times New Roman;sans-serif" w:hAnsi="Times New Roman;sans-serif"/>
          <w:b w:val="false"/>
          <w:color w:val="1F282C"/>
          <w:sz w:val="20"/>
        </w:rPr>
        <w:t>The increase in income tax expense was primarily driven by the increase in pre-tax income, as partially offset by the change in the excess tax deductions due to the current period equity award settlements. Excess tax benefits generated upon the settlement or exercise of stock awards are recognized as a reduction to income tax expense and, as a result, we expect that our annual effective income tax rate will fluctuate.</w:t>
      </w:r>
    </w:p>
    <w:p>
      <w:pPr>
        <w:pStyle w:val="TextBody"/>
        <w:bidi w:val="0"/>
        <w:spacing w:lineRule="auto" w:line="288" w:before="240" w:after="283"/>
        <w:ind w:left="0" w:right="0" w:firstLine="720"/>
        <w:jc w:val="left"/>
        <w:rPr/>
      </w:pPr>
      <w:r>
        <w:rPr>
          <w:rFonts w:ascii="Times New Roman;sans-serif" w:hAnsi="Times New Roman;sans-serif"/>
          <w:b/>
          <w:i/>
          <w:color w:val="1F282C"/>
          <w:sz w:val="20"/>
        </w:rPr>
        <w:t>Adjusted EBITDA -</w:t>
      </w:r>
      <w:r>
        <w:rPr>
          <w:color w:val="1F282C"/>
        </w:rPr>
        <w:t xml:space="preserve"> </w:t>
      </w:r>
      <w:r>
        <w:rPr>
          <w:rFonts w:ascii="Times New Roman;sans-serif" w:hAnsi="Times New Roman;sans-serif"/>
          <w:b w:val="false"/>
          <w:color w:val="000000"/>
          <w:sz w:val="20"/>
        </w:rPr>
        <w:t xml:space="preserve">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 Other adjustments included the expense impacts from acquisition-related employee severance costs and disposals of certain capitalized internally developed software. Net income is the comparable GAAP measure of financial performance.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to Adjusted EBITDA:</w:t>
      </w:r>
    </w:p>
    <w:tbl>
      <w:tblPr>
        <w:tblW w:w="8513" w:type="dxa"/>
        <w:jc w:val="left"/>
        <w:tblInd w:w="0" w:type="dxa"/>
        <w:tblLayout w:type="fixed"/>
        <w:tblCellMar>
          <w:top w:w="28" w:type="dxa"/>
          <w:left w:w="28" w:type="dxa"/>
          <w:bottom w:w="28" w:type="dxa"/>
          <w:right w:w="28" w:type="dxa"/>
        </w:tblCellMar>
      </w:tblPr>
      <w:tblGrid>
        <w:gridCol w:w="2154"/>
        <w:gridCol w:w="1898"/>
        <w:gridCol w:w="1902"/>
        <w:gridCol w:w="211"/>
        <w:gridCol w:w="826"/>
        <w:gridCol w:w="109"/>
        <w:gridCol w:w="109"/>
        <w:gridCol w:w="109"/>
        <w:gridCol w:w="109"/>
        <w:gridCol w:w="211"/>
        <w:gridCol w:w="721"/>
        <w:gridCol w:w="154"/>
      </w:tblGrid>
      <w:tr>
        <w:trPr/>
        <w:tc>
          <w:tcPr>
            <w:tcW w:w="215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ans-serif" w:hAnsi="Times New Roman;sans-serif"/>
          <w:b/>
          <w:i/>
          <w:color w:val="1F282C"/>
          <w:sz w:val="20"/>
        </w:rPr>
        <w:t>Adjusted EBITDA Margin -</w:t>
      </w:r>
      <w:r>
        <w:rPr>
          <w:color w:val="000000"/>
        </w:rPr>
        <w:t xml:space="preserve"> </w:t>
      </w:r>
      <w:r>
        <w:rPr>
          <w:rFonts w:ascii="Times New Roman;sans-serif" w:hAnsi="Times New Roman;sans-serif"/>
          <w:b w:val="false"/>
          <w:color w:val="000000"/>
          <w:sz w:val="20"/>
        </w:rPr>
        <w:t>Adjusted EBITDA Margin consists of Adjusted EBITDA divided by revenue. Margin, the comparable GAAP measure of financial performance, consists of net income divided by revenue.</w:t>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50265"/>
                <wp:effectExtent l="0" t="0" r="0" b="0"/>
                <wp:wrapNone/>
                <wp:docPr id="66" name="Frame23"/>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comparison of Margin to Adjusted EBITDA Margin:</w:t>
      </w:r>
    </w:p>
    <w:tbl>
      <w:tblPr>
        <w:tblW w:w="6886" w:type="dxa"/>
        <w:jc w:val="left"/>
        <w:tblInd w:w="0" w:type="dxa"/>
        <w:tblLayout w:type="fixed"/>
        <w:tblCellMar>
          <w:top w:w="28" w:type="dxa"/>
          <w:left w:w="28" w:type="dxa"/>
          <w:bottom w:w="28" w:type="dxa"/>
          <w:right w:w="28" w:type="dxa"/>
        </w:tblCellMar>
      </w:tblPr>
      <w:tblGrid>
        <w:gridCol w:w="1641"/>
        <w:gridCol w:w="1442"/>
        <w:gridCol w:w="1447"/>
        <w:gridCol w:w="211"/>
        <w:gridCol w:w="224"/>
        <w:gridCol w:w="557"/>
        <w:gridCol w:w="109"/>
        <w:gridCol w:w="109"/>
        <w:gridCol w:w="109"/>
        <w:gridCol w:w="211"/>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Margin and Adjusted EBITDA Margin)</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328,857</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w:t>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97,317</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pPr>
      <w:r>
        <w:rPr>
          <w:rFonts w:ascii="Times New Roman;sans-serif" w:hAnsi="Times New Roman;sans-serif"/>
          <w:b/>
          <w:i/>
          <w:color w:val="1F282C"/>
          <w:sz w:val="20"/>
        </w:rPr>
        <w:t xml:space="preserve">Non-GAAP Income per Share - </w:t>
      </w:r>
      <w:r>
        <w:rPr>
          <w:rFonts w:ascii="Times New Roman;sans-serif" w:hAnsi="Times New Roman;sans-serif"/>
          <w:b w:val="false"/>
          <w:color w:val="000000"/>
          <w:sz w:val="20"/>
        </w:rPr>
        <w:t xml:space="preserve">Non-GAAP income per share consists of net income adjusted for stock-based compensation expense, amortization expense related to intangible assets, realized gain or loss from foreign currency on cash and investments held, other adjustments as necessary for a fair presentation, including the expense impacts from acquisition-related employee severance costs and disposals of certain capitalized internally developed software, and the corresponding tax impacts of the adjustments to net income, divided by the weighted average number of shares of common and diluted stock outstanding during each period. Net income per share, the comparable GAAP measure of financial performance, consists of net income divided by the weighted average number of shares of common and diluted stock outstanding during each period.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income per share to non-GAAP income per share:</w:t>
      </w:r>
    </w:p>
    <w:tbl>
      <w:tblPr>
        <w:tblW w:w="8409" w:type="dxa"/>
        <w:jc w:val="left"/>
        <w:tblInd w:w="0" w:type="dxa"/>
        <w:tblLayout w:type="fixed"/>
        <w:tblCellMar>
          <w:top w:w="28" w:type="dxa"/>
          <w:left w:w="28" w:type="dxa"/>
          <w:bottom w:w="28" w:type="dxa"/>
          <w:right w:w="28" w:type="dxa"/>
        </w:tblCellMar>
      </w:tblPr>
      <w:tblGrid>
        <w:gridCol w:w="2157"/>
        <w:gridCol w:w="1896"/>
        <w:gridCol w:w="1902"/>
        <w:gridCol w:w="211"/>
        <w:gridCol w:w="721"/>
        <w:gridCol w:w="109"/>
        <w:gridCol w:w="109"/>
        <w:gridCol w:w="109"/>
        <w:gridCol w:w="109"/>
        <w:gridCol w:w="211"/>
        <w:gridCol w:w="721"/>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from foreign currency on cash and investments held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net income and non-GAAP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 to net income per share,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50265"/>
                <wp:effectExtent l="0" t="0" r="0" b="0"/>
                <wp:wrapNone/>
                <wp:docPr id="69" name="Frame24"/>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 xml:space="preserve">Critical Accounting Policies and Estimates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discussion of our financial condition and results of operations is based upon our condensed consolidated financial statements, which are prepared in accordance with GAAP and with the instructions to Form 10-Q and Rule 10-01 of Regulation S-X.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2022,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AAE5"/>
          <w:sz w:val="20"/>
        </w:rPr>
      </w:pPr>
      <w:r>
        <w:rPr>
          <w:rFonts w:ascii="Times New Roman;sans-serif" w:hAnsi="Times New Roman;sans-serif"/>
          <w:b/>
          <w:color w:val="00AAE5"/>
          <w:sz w:val="20"/>
        </w:rPr>
        <w:t xml:space="preserve">Liquidity and Capital Resources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 our principal sources of liquidity were cash and cash equivalents and short-term investments totaling $239.3 million and net accounts receivable of $45.1 million. Our investments are selected in accordance with our investment policy, with a goal of maintaining liquidity and capital preservation. Our cash equivalents and short-term investments are held in highly liquid money market funds, certificates of deposits, and commercial paper.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activity within the condensed consolidated statements of cash flows was as follows:</w:t>
      </w:r>
    </w:p>
    <w:tbl>
      <w:tblPr>
        <w:tblW w:w="6669" w:type="dxa"/>
        <w:jc w:val="left"/>
        <w:tblInd w:w="0" w:type="dxa"/>
        <w:tblLayout w:type="fixed"/>
        <w:tblCellMar>
          <w:top w:w="28" w:type="dxa"/>
          <w:left w:w="28" w:type="dxa"/>
          <w:bottom w:w="28" w:type="dxa"/>
          <w:right w:w="28" w:type="dxa"/>
        </w:tblCellMar>
      </w:tblPr>
      <w:tblGrid>
        <w:gridCol w:w="1525"/>
        <w:gridCol w:w="1343"/>
        <w:gridCol w:w="1347"/>
        <w:gridCol w:w="211"/>
        <w:gridCol w:w="721"/>
        <w:gridCol w:w="109"/>
        <w:gridCol w:w="109"/>
        <w:gridCol w:w="109"/>
        <w:gridCol w:w="109"/>
        <w:gridCol w:w="211"/>
        <w:gridCol w:w="72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i/>
          <w:color w:val="1F282C"/>
          <w:sz w:val="20"/>
        </w:rPr>
        <w:t>Net Cash Flows from Operating Activities</w:t>
      </w:r>
      <w:r>
        <w:rPr>
          <w:color w:val="1F282C"/>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provided by operating activities was primarily driven by changes in the amount and timing of settlement of operating assets and liabilities, in addition to increased net income.</w:t>
      </w:r>
    </w:p>
    <w:p>
      <w:pPr>
        <w:pStyle w:val="TextBody"/>
        <w:bidi w:val="0"/>
        <w:spacing w:lineRule="auto" w:line="288" w:before="240" w:after="283"/>
        <w:jc w:val="left"/>
        <w:rPr/>
      </w:pPr>
      <w:r>
        <w:rPr>
          <w:rFonts w:ascii="Times New Roman;sans-serif" w:hAnsi="Times New Roman;sans-serif"/>
          <w:b/>
          <w:i/>
          <w:color w:val="1F282C"/>
          <w:sz w:val="20"/>
        </w:rPr>
        <w:t>Net Cash Flows from Investing Activities</w:t>
      </w:r>
      <w:r>
        <w:rPr>
          <w:color w:val="1F282C"/>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cash used in investing activities was primarily due to acquisition activity.</w:t>
      </w:r>
    </w:p>
    <w:p>
      <w:pPr>
        <w:pStyle w:val="TextBody"/>
        <w:bidi w:val="0"/>
        <w:spacing w:lineRule="auto" w:line="288" w:before="240" w:after="283"/>
        <w:jc w:val="left"/>
        <w:rPr/>
      </w:pPr>
      <w:r>
        <w:rPr>
          <w:rFonts w:ascii="Times New Roman;sans-serif" w:hAnsi="Times New Roman;sans-serif"/>
          <w:b/>
          <w:i/>
          <w:color w:val="1F282C"/>
          <w:sz w:val="20"/>
        </w:rPr>
        <w:t>Net Cash Flows from Financing Activities</w:t>
      </w:r>
      <w:r>
        <w:rPr>
          <w:color w:val="1F282C"/>
        </w:rPr>
        <w:t xml:space="preserv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cash provided by (used in) financing activities was primarily due to the decrease in cash used for share repurchases.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50265"/>
                <wp:effectExtent l="0" t="0" r="0" b="0"/>
                <wp:wrapNone/>
                <wp:docPr id="72" name="Frame25"/>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Contractual and Commercial Commitment Summary</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Our contractual obligations and commercial commitments as o</w:t>
      </w:r>
      <w:r>
        <w:rPr>
          <w:rFonts w:ascii="Times New Roman;sans-serif" w:hAnsi="Times New Roman;sans-serif"/>
          <w:b w:val="false"/>
          <w:color w:val="000000"/>
          <w:sz w:val="20"/>
          <w:shd w:fill="FFFFFF" w:val="clear"/>
        </w:rPr>
        <w:t xml:space="preserve">f </w:t>
      </w:r>
      <w:r>
        <w:rPr>
          <w:rFonts w:ascii="Times New Roman;sans-serif" w:hAnsi="Times New Roman;sans-serif"/>
          <w:b w:val="false"/>
          <w:color w:val="1F282C"/>
          <w:sz w:val="20"/>
          <w:shd w:fill="FFFFFF" w:val="clear"/>
        </w:rPr>
        <w:t xml:space="preserve">September 30, 2023 </w:t>
      </w:r>
      <w:r>
        <w:rPr>
          <w:rFonts w:ascii="Times New Roman;sans-serif" w:hAnsi="Times New Roman;sans-serif"/>
          <w:b w:val="false"/>
          <w:color w:val="000000"/>
          <w:sz w:val="20"/>
        </w:rPr>
        <w:t>are summarized below:</w:t>
      </w:r>
    </w:p>
    <w:tbl>
      <w:tblPr>
        <w:tblW w:w="10205" w:type="dxa"/>
        <w:jc w:val="left"/>
        <w:tblInd w:w="0" w:type="dxa"/>
        <w:tblLayout w:type="fixed"/>
        <w:tblCellMar>
          <w:top w:w="28" w:type="dxa"/>
          <w:left w:w="28" w:type="dxa"/>
          <w:bottom w:w="28" w:type="dxa"/>
          <w:right w:w="28" w:type="dxa"/>
        </w:tblCellMar>
      </w:tblPr>
      <w:tblGrid>
        <w:gridCol w:w="1438"/>
        <w:gridCol w:w="1245"/>
        <w:gridCol w:w="1240"/>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8"/>
        <w:gridCol w:w="460"/>
        <w:gridCol w:w="138"/>
        <w:gridCol w:w="109"/>
        <w:gridCol w:w="109"/>
        <w:gridCol w:w="109"/>
        <w:gridCol w:w="211"/>
        <w:gridCol w:w="721"/>
        <w:gridCol w:w="158"/>
      </w:tblGrid>
      <w:tr>
        <w:trPr/>
        <w:tc>
          <w:tcPr>
            <w:tcW w:w="143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including imputed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Future Capital Requirements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costs to develop and implement new products and applications, if 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expansion of our operations in the U.S.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response of competitors to our products and applications;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use of capital for acquisitions.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cash, cash equivalents, investments, and cash flows from our operations will be sufficient to meet our working capital and capital expenditure requirements for at least the next twelve months.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Off-Balance Sheet Arrangements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Foreign Currency Exchange and Inflation Rate Changes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Inflation and changing prices did not have a material effect on our business during the nine months ended </w:t>
      </w:r>
      <w:r>
        <w:rPr>
          <w:rFonts w:ascii="Times New Roman;sans-serif" w:hAnsi="Times New Roman;sans-serif"/>
          <w:b w:val="false"/>
          <w:color w:val="1F282C"/>
          <w:sz w:val="20"/>
          <w:shd w:fill="FFFFFF" w:val="clear"/>
        </w:rPr>
        <w:t xml:space="preserve">September 30, 2023 </w:t>
      </w:r>
      <w:r>
        <w:rPr>
          <w:rFonts w:ascii="Times New Roman;sans-serif" w:hAnsi="Times New Roman;sans-serif"/>
          <w:b w:val="false"/>
          <w:color w:val="000000"/>
          <w:sz w:val="20"/>
        </w:rPr>
        <w:t>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Interest Rate Sensitivity Risk</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We did not have any variable interest rate outstanding debt as of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 Therefore, we do not have any material risk to interest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50265"/>
                <wp:effectExtent l="0" t="0" r="0" b="0"/>
                <wp:wrapNone/>
                <wp:docPr id="75" name="Frame26"/>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Foreign Currency Exchange Risk</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Our sales are primarily denominated in U.S. dollars. Our expenses are generally denominated in the local currencies in which our operations are located. As of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 xml:space="preserve">, we maintained 12% of our total cash and cash equivalents and investments in foreign currencies.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used any forward contracts or currency borrowings to hedge our exposure to foreign currency exchange risk, although we may do so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4.    Controls and Procedures</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Evaluation of Disclosure Controls and Procedures</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1F282C"/>
          <w:sz w:val="20"/>
        </w:rPr>
      </w:pPr>
      <w:r>
        <w:rPr>
          <w:rFonts w:ascii="Times New Roman;sans-serif" w:hAnsi="Times New Roman;sans-serif"/>
          <w:b/>
          <w:i/>
          <w:color w:val="1F282C"/>
          <w:sz w:val="20"/>
        </w:rPr>
        <w:t>Changes in Internal Control over Financial Reporting</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There were no changes in our internal control over financial reporting during the quarter ended </w:t>
      </w:r>
      <w:r>
        <w:rPr>
          <w:rFonts w:ascii="Times New Roman;sans-serif" w:hAnsi="Times New Roman;sans-serif"/>
          <w:b w:val="false"/>
          <w:color w:val="1F282C"/>
          <w:sz w:val="20"/>
          <w:shd w:fill="FFFFFF" w:val="clear"/>
        </w:rPr>
        <w:t>September 30, 2023</w:t>
      </w:r>
      <w:r>
        <w:rPr>
          <w:color w:val="000000"/>
        </w:rPr>
        <w:t xml:space="preserve"> </w:t>
      </w:r>
      <w:r>
        <w:rPr>
          <w:rFonts w:ascii="Times New Roman;sans-serif" w:hAnsi="Times New Roman;sans-serif"/>
          <w:b w:val="false"/>
          <w:color w:val="000000"/>
          <w:sz w:val="20"/>
        </w:rPr>
        <w:t>that have materially affected, or are reasonably likely to materially affect, our internal control over financial reporting.</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acquired the InterTrade business and in September 2023, we acquired the TIE Kinetix business. Pursuant to the SEC’s general guidance that the assessment of a recently acquired business' internal control over financial reporting may be omitted in the year of acquisition, the scope of our most recent assessment did not include InterTrade or TIE Kinetix. We are currently in the process of incorporating internal controls specific to InterTrade and TIE Kinetix that we believe are appropriate and necessary to consolidate and report upon our financial results.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 xml:space="preserve">, excluding net intangible assets and goodwill, InterTrade and TIE Kinetix combined represented 4.5% of our consolidated assets. For the </w:t>
      </w:r>
      <w:r>
        <w:rPr>
          <w:rFonts w:ascii="Times New Roman;sans-serif" w:hAnsi="Times New Roman;sans-serif"/>
          <w:b w:val="false"/>
          <w:color w:val="000000"/>
          <w:sz w:val="20"/>
          <w:shd w:fill="FFFFFF" w:val="clear"/>
        </w:rPr>
        <w:t>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1F282C"/>
          <w:sz w:val="20"/>
          <w:shd w:fill="FFFFFF" w:val="clear"/>
        </w:rPr>
        <w:t>September 30, 2023</w:t>
      </w:r>
      <w:r>
        <w:rPr>
          <w:rFonts w:ascii="Times New Roman;sans-serif" w:hAnsi="Times New Roman;sans-serif"/>
          <w:b w:val="false"/>
          <w:color w:val="000000"/>
          <w:sz w:val="20"/>
        </w:rPr>
        <w:t>, InterTrade and TIE Kinetix combined represented 3.2% of our consolidated revenues.</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50265"/>
                <wp:effectExtent l="0" t="0" r="0" b="0"/>
                <wp:wrapNone/>
                <wp:docPr id="78" name="Frame27"/>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1.    Legal Proceedings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1A.    Risk Factors</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There have been no material changes in our risk factors from those disclosed under the heading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our Annual Report on Form 10-K for the year ended December 31, 2022, as filed with the SEC, except for the below which replaces the risk factor titled, </w:t>
      </w:r>
      <w:r>
        <w:rPr>
          <w:color w:val="000000"/>
        </w:rPr>
        <w:t>“</w:t>
      </w:r>
      <w:r>
        <w:rPr>
          <w:rFonts w:ascii="Times New Roman;sans-serif" w:hAnsi="Times New Roman;sans-serif"/>
          <w:b w:val="false"/>
          <w:i/>
          <w:color w:val="000000"/>
          <w:sz w:val="20"/>
        </w:rPr>
        <w:t xml:space="preserve">If we fail to attract, retain, and train members of our senior management team, including our Chief Executive Officer and other key personnel, our business plan would be impacted, and we might not be able to implement it successfully.”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If we fail to attract, retain, and train members of our senior management team and other key personnel, or if we are not able to successfully manage the transition of our Chief Executive Officer or our President and Chief Operating Officer, our business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Further, we have announced the planned retirement of our Chief Executive Officer, Archie Black, and the appointment of his successor, Chad Collins, effective October 2, 2023, and the planned retirement of our President and Chief Operating Officer, James Frome, effective December 31, 2024. </w:t>
      </w:r>
      <w:r>
        <w:rPr>
          <w:rFonts w:ascii="Times New Roman;sans-serif" w:hAnsi="Times New Roman;sans-serif"/>
          <w:b w:val="false"/>
          <w:color w:val="000000"/>
          <w:sz w:val="20"/>
          <w:shd w:fill="FFFFFF" w:val="clear"/>
        </w:rPr>
        <w:t xml:space="preserve">Leadership transitions and management changes involve inherent risks, can be difficult to manage and may cause uncertainty or a disruption, which could adversely affect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2.    Unregistered Sales of Equity Securities, Use of Proceeds, and Issuer Purchases of Equity Securities</w:t>
      </w:r>
    </w:p>
    <w:p>
      <w:pPr>
        <w:pStyle w:val="TextBody"/>
        <w:bidi w:val="0"/>
        <w:spacing w:lineRule="auto" w:line="288" w:before="120" w:after="283"/>
        <w:jc w:val="left"/>
        <w:rPr/>
      </w:pPr>
      <w:r>
        <w:rPr>
          <w:rFonts w:ascii="Times New Roman;sans-serif" w:hAnsi="Times New Roman;sans-serif"/>
          <w:b/>
          <w:color w:val="1F282C"/>
          <w:sz w:val="20"/>
        </w:rPr>
        <w:t xml:space="preserve">(c) </w:t>
      </w:r>
      <w:r>
        <w:rPr>
          <w:rFonts w:ascii="Times New Roman;sans-serif" w:hAnsi="Times New Roman;sans-serif"/>
          <w:b/>
          <w:color w:val="000000"/>
          <w:sz w:val="20"/>
        </w:rPr>
        <w:t>Share</w:t>
      </w:r>
      <w:r>
        <w:rPr>
          <w:color w:val="1F282C"/>
        </w:rPr>
        <w:t xml:space="preserve"> </w:t>
      </w:r>
      <w:r>
        <w:rPr>
          <w:rFonts w:ascii="Times New Roman;sans-serif" w:hAnsi="Times New Roman;sans-serif"/>
          <w:b/>
          <w:color w:val="1F282C"/>
          <w:sz w:val="20"/>
        </w:rPr>
        <w:t>Repurchases</w:t>
      </w:r>
    </w:p>
    <w:p>
      <w:pPr>
        <w:pStyle w:val="TextBody"/>
        <w:bidi w:val="0"/>
        <w:spacing w:lineRule="auto" w:line="288" w:before="120" w:after="283"/>
        <w:ind w:left="0" w:right="0" w:firstLine="720"/>
        <w:jc w:val="left"/>
        <w:rPr/>
      </w:pPr>
      <w:r>
        <w:rPr>
          <w:rFonts w:ascii="Times New Roman;sans-serif" w:hAnsi="Times New Roman;sans-serif"/>
          <w:b w:val="false"/>
          <w:color w:val="212529"/>
          <w:sz w:val="20"/>
        </w:rPr>
        <w:t xml:space="preserve">On July 26, 2022 (announced July 27, 2022), our board of directors authorized a program </w:t>
      </w:r>
      <w:r>
        <w:rPr>
          <w:rFonts w:ascii="Times New Roman;sans-serif" w:hAnsi="Times New Roman;sans-serif"/>
          <w:b w:val="false"/>
          <w:color w:val="000000"/>
          <w:sz w:val="20"/>
        </w:rPr>
        <w:t xml:space="preserve">to repurchase up to $50.0 million of our common stock. Under the program, purchases may be made from time to time in the open market or in privately negotiated purchases, or both. The new share repurchase program became effective August 26, 2022 and expires on July 26, 2024. </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We did not make any repurchases under the program during the quarter ended September 30, 2023. </w:t>
      </w:r>
      <w:r>
        <w:rPr>
          <w:rFonts w:ascii="Times New Roman;sans-serif" w:hAnsi="Times New Roman;sans-serif"/>
          <w:b w:val="false"/>
          <w:color w:val="000000"/>
          <w:sz w:val="20"/>
          <w:shd w:fill="FFFFFF" w:val="clear"/>
        </w:rPr>
        <w:t xml:space="preserve">For more information regarding our </w:t>
      </w:r>
      <w:r>
        <w:rPr>
          <w:rFonts w:ascii="Times New Roman;sans-serif" w:hAnsi="Times New Roman;sans-serif"/>
          <w:b w:val="false"/>
          <w:color w:val="000000"/>
          <w:sz w:val="20"/>
        </w:rPr>
        <w:t>share</w:t>
      </w:r>
      <w:r>
        <w:rPr>
          <w:color w:val="000000"/>
          <w:shd w:fill="FFFFFF" w:val="clear"/>
        </w:rPr>
        <w:t xml:space="preserve"> </w:t>
      </w:r>
      <w:r>
        <w:rPr>
          <w:rFonts w:ascii="Times New Roman;sans-serif" w:hAnsi="Times New Roman;sans-serif"/>
          <w:b w:val="false"/>
          <w:color w:val="000000"/>
          <w:sz w:val="20"/>
          <w:shd w:fill="FFFFFF" w:val="clear"/>
        </w:rPr>
        <w:t xml:space="preserve">repurchase programs, refer to Note </w:t>
      </w:r>
      <w:r>
        <w:rPr>
          <w:rFonts w:ascii="Times New Roman;sans-serif" w:hAnsi="Times New Roman;sans-serif"/>
          <w:b w:val="false"/>
          <w:color w:val="000000"/>
          <w:sz w:val="20"/>
        </w:rPr>
        <w:t>J</w:t>
      </w:r>
      <w:r>
        <w:rPr>
          <w:color w:val="000000"/>
          <w:shd w:fill="FFFFFF" w:val="clear"/>
        </w:rPr>
        <w:t xml:space="preserve"> </w:t>
      </w:r>
      <w:r>
        <w:rPr>
          <w:rFonts w:ascii="Times New Roman;sans-serif" w:hAnsi="Times New Roman;sans-serif"/>
          <w:b w:val="false"/>
          <w:color w:val="000000"/>
          <w:sz w:val="20"/>
          <w:shd w:fill="FFFFFF" w:val="clear"/>
        </w:rPr>
        <w:t>to our condensed consolidated financial statements, included in Part I of this Quarterly Report on Form 10-Q.</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3.    Defaults Upon Senior Securities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4.    Mine Safety Disclosures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50265"/>
                <wp:effectExtent l="0" t="0" r="0" b="0"/>
                <wp:wrapNone/>
                <wp:docPr id="81" name="Frame28"/>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ind w:left="0" w:right="0" w:hanging="1440"/>
        <w:jc w:val="left"/>
        <w:rPr>
          <w:rFonts w:ascii="Times New Roman;sans-serif" w:hAnsi="Times New Roman;sans-serif"/>
          <w:b/>
          <w:color w:val="00AAE5"/>
          <w:sz w:val="20"/>
        </w:rPr>
      </w:pPr>
      <w:r>
        <w:rPr>
          <w:rFonts w:ascii="Times New Roman;sans-serif" w:hAnsi="Times New Roman;sans-serif"/>
          <w:b/>
          <w:color w:val="00AAE5"/>
          <w:sz w:val="20"/>
        </w:rPr>
        <w:t>Item 5.    Other Information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Insider Adoption or Termination of Trading Arrangements</w:t>
      </w:r>
    </w:p>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following directors and officers (as defined in Rule 16a-1(f) of the Exchange Act) adopted written plans for the sale of our securities that are intended to satisfy the affirmative defense conditions of Rule 10b5-1(c) of the Exchange Act:</w:t>
      </w:r>
    </w:p>
    <w:tbl>
      <w:tblPr>
        <w:tblW w:w="10205" w:type="dxa"/>
        <w:jc w:val="left"/>
        <w:tblInd w:w="0" w:type="dxa"/>
        <w:tblLayout w:type="fixed"/>
        <w:tblCellMar>
          <w:top w:w="28" w:type="dxa"/>
          <w:left w:w="28" w:type="dxa"/>
          <w:bottom w:w="28" w:type="dxa"/>
          <w:right w:w="28" w:type="dxa"/>
        </w:tblCellMar>
      </w:tblPr>
      <w:tblGrid>
        <w:gridCol w:w="478"/>
        <w:gridCol w:w="348"/>
        <w:gridCol w:w="331"/>
        <w:gridCol w:w="650"/>
        <w:gridCol w:w="650"/>
        <w:gridCol w:w="659"/>
        <w:gridCol w:w="359"/>
        <w:gridCol w:w="359"/>
        <w:gridCol w:w="360"/>
        <w:gridCol w:w="510"/>
        <w:gridCol w:w="397"/>
        <w:gridCol w:w="376"/>
        <w:gridCol w:w="545"/>
        <w:gridCol w:w="545"/>
        <w:gridCol w:w="546"/>
        <w:gridCol w:w="109"/>
        <w:gridCol w:w="869"/>
        <w:gridCol w:w="869"/>
        <w:gridCol w:w="1245"/>
      </w:tblGrid>
      <w:tr>
        <w:trPr/>
        <w:tc>
          <w:tcPr>
            <w:tcW w:w="47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Adoption Date</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Earliest Sale Date</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or Termination Date</w:t>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Shares of the Company's Common Stock to be Sold</w:t>
            </w:r>
          </w:p>
        </w:tc>
      </w:tr>
      <w:tr>
        <w:trPr/>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Archie Black</w:t>
            </w:r>
          </w:p>
        </w:tc>
        <w:tc>
          <w:tcPr>
            <w:tcW w:w="1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Chief Executive Officer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and Director</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2023</w:t>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2023</w:t>
            </w:r>
          </w:p>
        </w:tc>
        <w:tc>
          <w:tcPr>
            <w:tcW w:w="1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34,482</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 2023</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2023</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30, 2024</w:t>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47,608</w:t>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 Soran</w:t>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 2024</w:t>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6,052</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Marty Reaume</w:t>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6,570</w:t>
            </w:r>
          </w:p>
        </w:tc>
      </w:tr>
    </w:tbl>
    <w:p>
      <w:pPr>
        <w:pStyle w:val="TextBody"/>
        <w:bidi w:val="0"/>
        <w:spacing w:lineRule="auto" w:line="268" w:before="0" w:after="0"/>
        <w:jc w:val="left"/>
        <w:rPr/>
      </w:pPr>
      <w:r>
        <w:rPr>
          <w:rFonts w:ascii="Times New Roman;sans-serif" w:hAnsi="Times New Roman;sans-serif"/>
          <w:b w:val="false"/>
          <w:i/>
          <w:color w:val="000000"/>
          <w:sz w:val="12"/>
        </w:rPr>
        <w:t>(1)</w:t>
      </w:r>
      <w:r>
        <w:rPr>
          <w:color w:val="000000"/>
        </w:rPr>
        <w:t xml:space="preserve"> </w:t>
      </w:r>
      <w:r>
        <w:rPr>
          <w:rFonts w:ascii="Times New Roman;sans-serif" w:hAnsi="Times New Roman;sans-serif"/>
          <w:b w:val="false"/>
          <w:i/>
          <w:color w:val="000000"/>
          <w:sz w:val="18"/>
        </w:rPr>
        <w:t>As previously reported, effective October 2, 2023 Archie Black retired as the Company's Chief Executive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Rule 10b5-1(c) trading arrangements or non-Rule 10b5-1(c) trading arrangements adopted, modified or terminated by the Company's officers and directors during the three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AAE5"/>
          <w:sz w:val="20"/>
        </w:rPr>
      </w:pPr>
      <w:r>
        <w:rPr>
          <w:rFonts w:ascii="Times New Roman;sans-serif" w:hAnsi="Times New Roman;sans-serif"/>
          <w:b/>
          <w:color w:val="00AAE5"/>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47"/>
        <w:gridCol w:w="2647"/>
        <w:gridCol w:w="377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57">
              <w:r>
                <w:rPr>
                  <w:rStyle w:val="InternetLink"/>
                  <w:rFonts w:ascii="Times New Roman;sans-serif" w:hAnsi="Times New Roman;sans-serif"/>
                  <w:b w:val="false"/>
                  <w:color w:val="0000EE"/>
                  <w:sz w:val="20"/>
                  <w:u w:val="single"/>
                </w:rPr>
                <w:t>Ninth Amended and Restated Certificate of Incorporation (incorporated by reference to Exhibit 3.2 to our Current Report on Form 8-K filed with the SEC on May 21, 2020).</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8">
              <w:r>
                <w:rPr>
                  <w:rStyle w:val="InternetLink"/>
                  <w:rFonts w:ascii="Times New Roman;sans-serif" w:hAnsi="Times New Roman;sans-serif"/>
                  <w:b w:val="false"/>
                  <w:color w:val="0000EE"/>
                  <w:sz w:val="20"/>
                  <w:u w:val="single"/>
                </w:rPr>
                <w:t>Amended and Restated Bylaws (incorporated by reference to Exhibit 3.2 to our Form 10-K filed with the SEC on February 21,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9">
              <w:r>
                <w:rPr>
                  <w:rStyle w:val="InternetLink"/>
                  <w:rFonts w:ascii="Times New Roman;sans-serif" w:hAnsi="Times New Roman;sans-serif"/>
                  <w:b w:val="false"/>
                  <w:color w:val="0000FF"/>
                  <w:sz w:val="20"/>
                  <w:u w:val="single"/>
                </w:rPr>
                <w:t>Offer Letter between Chad Collins and SPS Commerce, Inc., dated as of July 6, 2023 (incorporated by reference to Exhibit 10.1 to our Current Report on Form 8-K filed with the SEC on July 6,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Times New Roman;sans-serif" w:hAnsi="Times New Roman;sans-serif"/>
                  <w:b w:val="false"/>
                  <w:color w:val="0000FF"/>
                  <w:sz w:val="20"/>
                  <w:u w:val="single"/>
                </w:rPr>
                <w:t>Executive Severance and Change in Control Agreement, effective as of October 2, 2023, by and between Chad Collins and SPS Commerce, Inc. (incorporated by reference to Exhibit 10.2 to our Current Report on Form 8-K filed with the SEC on July 6,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3exhibitex311ceo.htm">
              <w:r>
                <w:rPr>
                  <w:rStyle w:val="InternetLink"/>
                  <w:rFonts w:ascii="Times New Roman;sans-serif" w:hAnsi="Times New Roman;sans-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3exhibitex312cfo.htm">
              <w:r>
                <w:rPr>
                  <w:rStyle w:val="InternetLink"/>
                  <w:rFonts w:ascii="Times New Roman;sans-serif" w:hAnsi="Times New Roman;sans-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_2023exhibitex321ceocfo.htm">
              <w:r>
                <w:rPr>
                  <w:rStyle w:val="InternetLink"/>
                  <w:rFonts w:ascii="Times New Roman;sans-serif" w:hAnsi="Times New Roman;sans-serif"/>
                  <w:b w:val="false"/>
                  <w:color w:val="0000EE"/>
                  <w:sz w:val="20"/>
                  <w:u w:val="single"/>
                </w:rPr>
                <w:t>Certification of Chief Executive Officer and Chief Financial Officer pursuant to 18 U.S.C. Sec. 1350, as adopted pursuant to Section 906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Interactive Data Files Pursuant to Rule 405 of Regulation S-T (filed herewith).</w:t>
            </w:r>
            <w:r>
              <w:rPr>
                <w:color w:val="000000"/>
              </w:rPr>
              <w:t xml:space="preserve"> </w:t>
            </w:r>
            <w:r>
              <w:rPr>
                <w:rFonts w:ascii="Times New Roman;sans-serif" w:hAnsi="Times New Roman;sans-serif"/>
                <w:b w:val="false"/>
                <w:color w:val="000000"/>
                <w:sz w:val="20"/>
              </w:rPr>
              <w:t>The XBRL instance document does not appear in the Interactive Data File because its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cover page from the Quarterly Report on Form 10-Q for the quarter ended September 30, 2023,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50265"/>
                <wp:effectExtent l="0" t="0" r="0" b="0"/>
                <wp:wrapNone/>
                <wp:docPr id="84" name="Frame29"/>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61"/>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62"/>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ac48b7b5fede4e59b2ff8c0d6f5e5954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360" w:after="283"/>
        <w:jc w:val="center"/>
        <w:rPr>
          <w:rFonts w:ascii="Times New Roman;sans-serif" w:hAnsi="Times New Roman;sans-serif"/>
          <w:b/>
          <w:color w:val="00AAE5"/>
          <w:sz w:val="20"/>
        </w:rPr>
      </w:pPr>
      <w:r>
        <w:rPr>
          <w:rFonts w:ascii="Times New Roman;sans-serif" w:hAnsi="Times New Roman;sans-serif"/>
          <w:b/>
          <w:color w:val="00AAE5"/>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615" w:type="dxa"/>
        <w:jc w:val="left"/>
        <w:tblInd w:w="0" w:type="dxa"/>
        <w:tblLayout w:type="fixed"/>
        <w:tblCellMar>
          <w:top w:w="28" w:type="dxa"/>
          <w:left w:w="28" w:type="dxa"/>
          <w:bottom w:w="28" w:type="dxa"/>
          <w:right w:w="28" w:type="dxa"/>
        </w:tblCellMar>
      </w:tblPr>
      <w:tblGrid>
        <w:gridCol w:w="765"/>
        <w:gridCol w:w="672"/>
        <w:gridCol w:w="678"/>
        <w:gridCol w:w="1315"/>
        <w:gridCol w:w="1315"/>
        <w:gridCol w:w="187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October 26, 2023</w:t>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SPS COMMERCE,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50265"/>
                <wp:effectExtent l="0" t="0" r="0" b="0"/>
                <wp:wrapNone/>
                <wp:docPr id="87" name="Frame30"/>
                <a:graphic xmlns:a="http://schemas.openxmlformats.org/drawingml/2006/main">
                  <a:graphicData uri="http://schemas.microsoft.com/office/word/2010/wordprocessingShape">
                    <wps:wsp>
                      <wps:cNvSpPr txBox="1"/>
                      <wps:spPr>
                        <a:xfrm>
                          <a:off x="0" y="0"/>
                          <a:ext cx="6480175" cy="850265"/>
                        </a:xfrm>
                        <a:prstGeom prst="rect"/>
                        <a:solidFill>
                          <a:srgbClr val="FFFFFF"/>
                        </a:solidFill>
                      </wps:spPr>
                      <wps:txb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63"/>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95pt;mso-wrap-distance-left:0pt;mso-wrap-distance-right:0pt;mso-wrap-distance-top:0pt;mso-wrap-distance-bottom:0pt;margin-top:0pt;mso-position-vertical:top;mso-position-vertical-relative:text;margin-left:0pt;mso-position-horizontal:left;mso-position-horizontal-relative:text">
                <v:textbox>
                  <w:txbxContent>
                    <w:tbl>
                      <w:tblPr>
                        <w:tblW w:w="6221"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1006"/>
                        <w:gridCol w:w="1006"/>
                        <w:gridCol w:w="142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361950" cy="33337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4"/>
                                          <a:stretch>
                                            <a:fillRect/>
                                          </a:stretch>
                                        </pic:blipFill>
                                        <pic:spPr bwMode="auto">
                                          <a:xfrm>
                                            <a:off x="0" y="0"/>
                                            <a:ext cx="361950" cy="333375"/>
                                          </a:xfrm>
                                          <a:prstGeom prst="rect">
                                            <a:avLst/>
                                          </a:prstGeom>
                                        </pic:spPr>
                                      </pic:pic>
                                    </a:graphicData>
                                  </a:graphic>
                                </wp:inline>
                              </w:drawing>
                            </w:r>
                            <w:r>
                              <w:rPr>
                                <w:rFonts w:ascii="Times New Roman;sans-serif" w:hAnsi="Times New Roman;sans-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434" w:type="dxa"/>
                            <w:gridSpan w:val="3"/>
                            <w:tcBorders/>
                            <w:tcMar>
                              <w:top w:w="0" w:type="dxa"/>
                              <w:left w:w="0" w:type="dxa"/>
                              <w:bottom w:w="0" w:type="dxa"/>
                              <w:right w:w="0" w:type="dxa"/>
                            </w:tcMar>
                            <w:vAlign w:val="center"/>
                          </w:tcPr>
                          <w:p>
                            <w:pPr>
                              <w:pStyle w:val="TableContents"/>
                              <w:bidi w:val="0"/>
                              <w:spacing w:lineRule="auto" w:line="273" w:before="0" w:after="0"/>
                              <w:jc w:val="right"/>
                              <w:rPr/>
                            </w:pPr>
                            <w:r>
                              <w:rPr>
                                <w:rFonts w:ascii="Times New Roman;sans-serif" w:hAnsi="Times New Roman;sans-serif"/>
                                <w:b/>
                                <w:color w:val="000000"/>
                                <w:sz w:val="12"/>
                              </w:rPr>
                              <w:t xml:space="preserve">Form 10-Q for the Quarterly Period ended </w:t>
                            </w:r>
                            <w:r>
                              <w:rPr>
                                <w:rFonts w:ascii="Times New Roman;sans-serif" w:hAnsi="Times New Roman;sans-serif"/>
                                <w:b/>
                                <w:color w:val="000000"/>
                                <w:sz w:val="12"/>
                                <w:shd w:fill="FFFFFF" w:val="clear"/>
                              </w:rPr>
                              <w:t>September 30, 2023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Chadwick Collins,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9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302 OF THE SARBANES-OXLEY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Kimberly Nelson,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91"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SPS Commerce, Inc. (the “Company”) for the period ended September 30, 2023,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2"/>
        <w:gridCol w:w="1432"/>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Nelson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92"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hyperlink" Target="http://www.sec.gov/Archives/edgar/data/1092699/000119312520148645/d833455dex32.htm" TargetMode="External"/><Relationship Id="rId58" Type="http://schemas.openxmlformats.org/officeDocument/2006/relationships/hyperlink" Target="https://www.sec.gov/Archives/edgar/data/1092699/000109269923000006/a2022_10kxex32-bylawsclean.htm" TargetMode="External"/><Relationship Id="rId59" Type="http://schemas.openxmlformats.org/officeDocument/2006/relationships/hyperlink" Target="https://www.sec.gov/Archives/edgar/data/1092699/000109269923000047/a101-ex1xcollins_offerlett.htm" TargetMode="External"/><Relationship Id="rId60" Type="http://schemas.openxmlformats.org/officeDocument/2006/relationships/hyperlink" Target="https://www.sec.gov/Archives/edgar/data/1092699/000109269923000047/a102-ex2xexecutiveseveranc.htm" TargetMode="External"/><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12932</Words>
  <Characters>72612</Characters>
  <CharactersWithSpaces>84152</CharactersWithSpaces>
  <Paragraphs>2751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