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3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149" w:lineRule="exact"/>
        <w:rPr>
          <w:sz w:val="24"/>
          <w:szCs w:val="24"/>
          <w:color w:val="auto"/>
        </w:rPr>
      </w:pPr>
    </w:p>
    <w:p>
      <w:pPr>
        <w:ind w:left="520" w:right="300" w:hanging="512"/>
        <w:spacing w:after="0" w:line="262" w:lineRule="auto"/>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5" w:lineRule="exact"/>
        <w:rPr>
          <w:sz w:val="24"/>
          <w:szCs w:val="24"/>
          <w:color w:val="auto"/>
        </w:rPr>
      </w:pPr>
    </w:p>
    <w:p>
      <w:pPr>
        <w:ind w:left="3840"/>
        <w:spacing w:after="0"/>
        <w:tabs>
          <w:tab w:leader="none" w:pos="68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3980180</wp:posOffset>
            </wp:positionH>
            <wp:positionV relativeFrom="paragraph">
              <wp:posOffset>-5080</wp:posOffset>
            </wp:positionV>
            <wp:extent cx="838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Commission file number 001-34702</w:t>
      </w:r>
    </w:p>
    <w:p>
      <w:pPr>
        <w:spacing w:after="0" w:line="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36195</wp:posOffset>
            </wp:positionV>
            <wp:extent cx="56578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(Exact Name of Registrant as Specified in its Charter)</w:t>
      </w:r>
    </w:p>
    <w:p>
      <w:pPr>
        <w:sectPr>
          <w:pgSz w:w="11900" w:h="16838" w:orient="portrait"/>
          <w:cols w:equalWidth="0" w:num="1">
            <w:col w:w="11340"/>
          </w:cols>
          <w:pgMar w:left="240" w:top="200" w:right="319" w:bottom="1440" w:gutter="0" w:footer="0" w:header="0"/>
        </w:sectPr>
      </w:pPr>
    </w:p>
    <w:p>
      <w:pPr>
        <w:spacing w:after="0" w:line="13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41-2015127</w:t>
      </w:r>
    </w:p>
    <w:p>
      <w:pPr>
        <w:spacing w:after="0" w:line="24" w:lineRule="exact"/>
        <w:rPr>
          <w:sz w:val="24"/>
          <w:szCs w:val="24"/>
          <w:color w:val="auto"/>
        </w:rPr>
      </w:pPr>
    </w:p>
    <w:p>
      <w:pPr>
        <w:sectPr>
          <w:pgSz w:w="11900" w:h="16838" w:orient="portrait"/>
          <w:cols w:equalWidth="0" w:num="2">
            <w:col w:w="7420" w:space="720"/>
            <w:col w:w="3200"/>
          </w:cols>
          <w:pgMar w:left="240" w:top="200" w:right="31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w:t>
      </w:r>
    </w:p>
    <w:p>
      <w:pPr>
        <w:ind w:left="1940"/>
        <w:spacing w:after="0"/>
        <w:rPr>
          <w:sz w:val="20"/>
          <w:szCs w:val="20"/>
          <w:color w:val="auto"/>
        </w:rPr>
      </w:pPr>
      <w:r>
        <w:rPr>
          <w:rFonts w:ascii="Times New Roman" w:cs="Times New Roman" w:eastAsia="Times New Roman" w:hAnsi="Times New Roman"/>
          <w:sz w:val="14"/>
          <w:szCs w:val="14"/>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Times New Roman" w:cs="Times New Roman" w:eastAsia="Times New Roman" w:hAnsi="Times New Roman"/>
          <w:sz w:val="14"/>
          <w:szCs w:val="14"/>
          <w:b w:val="1"/>
          <w:bCs w:val="1"/>
          <w:i w:val="1"/>
          <w:iCs w:val="1"/>
          <w:color w:val="auto"/>
        </w:rPr>
        <w:t>(I.R.S. Employer</w:t>
      </w:r>
    </w:p>
    <w:p>
      <w:pPr>
        <w:jc w:val="center"/>
        <w:ind w:right="2220"/>
        <w:spacing w:after="0"/>
        <w:rPr>
          <w:sz w:val="20"/>
          <w:szCs w:val="20"/>
          <w:color w:val="auto"/>
        </w:rPr>
      </w:pPr>
      <w:r>
        <w:rPr>
          <w:rFonts w:ascii="Times New Roman" w:cs="Times New Roman" w:eastAsia="Times New Roman" w:hAnsi="Times New Roman"/>
          <w:sz w:val="14"/>
          <w:szCs w:val="14"/>
          <w:b w:val="1"/>
          <w:bCs w:val="1"/>
          <w:i w:val="1"/>
          <w:iCs w:val="1"/>
          <w:color w:val="auto"/>
        </w:rPr>
        <w:t>Identification No.)</w:t>
      </w:r>
    </w:p>
    <w:p>
      <w:pPr>
        <w:spacing w:after="0" w:line="94" w:lineRule="exact"/>
        <w:rPr>
          <w:sz w:val="24"/>
          <w:szCs w:val="24"/>
          <w:color w:val="auto"/>
        </w:rPr>
      </w:pPr>
    </w:p>
    <w:p>
      <w:pPr>
        <w:sectPr>
          <w:pgSz w:w="11900" w:h="16838" w:orient="portrait"/>
          <w:cols w:equalWidth="0" w:num="2">
            <w:col w:w="7300" w:space="720"/>
            <w:col w:w="3320"/>
          </w:cols>
          <w:pgMar w:left="240" w:top="200"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South Seventh Street, Suite 1000, Minneapolis, MN 55402</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 Including Zip Code)</w:t>
      </w:r>
    </w:p>
    <w:p>
      <w:pPr>
        <w:sectPr>
          <w:pgSz w:w="11900" w:h="16838" w:orient="portrait"/>
          <w:cols w:equalWidth="0" w:num="1">
            <w:col w:w="11340"/>
          </w:cols>
          <w:pgMar w:left="240" w:top="200" w:right="319" w:bottom="1440" w:gutter="0" w:footer="0" w:header="0"/>
          <w:type w:val="continuous"/>
        </w:sectPr>
      </w:pP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(612) 435-9400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40" w:type="dxa"/>
            <w:vAlign w:val="bottom"/>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0" w:type="dxa"/>
            <w:vAlign w:val="bottom"/>
          </w:tcPr>
          <w:p>
            <w:pPr>
              <w:spacing w:after="0"/>
              <w:rPr>
                <w:sz w:val="15"/>
                <w:szCs w:val="15"/>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SPSC</w:t>
            </w:r>
          </w:p>
        </w:tc>
        <w:tc>
          <w:tcPr>
            <w:tcW w:w="200" w:type="dxa"/>
            <w:vAlign w:val="bottom"/>
          </w:tcPr>
          <w:p>
            <w:pPr>
              <w:spacing w:after="0"/>
              <w:rPr>
                <w:sz w:val="15"/>
                <w:szCs w:val="15"/>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c>
          <w:tcPr>
            <w:tcW w:w="0" w:type="dxa"/>
            <w:vAlign w:val="bottom"/>
          </w:tcPr>
          <w:p>
            <w:pPr>
              <w:spacing w:after="0"/>
              <w:rPr>
                <w:sz w:val="1"/>
                <w:szCs w:val="1"/>
                <w:color w:val="auto"/>
              </w:rPr>
            </w:pPr>
          </w:p>
        </w:tc>
      </w:tr>
    </w:tbl>
    <w:p>
      <w:pPr>
        <w:spacing w:after="0" w:line="244" w:lineRule="exact"/>
        <w:rPr>
          <w:sz w:val="24"/>
          <w:szCs w:val="24"/>
          <w:color w:val="auto"/>
        </w:rPr>
      </w:pPr>
    </w:p>
    <w:p>
      <w:pPr>
        <w:ind w:right="6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5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514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$0.001 per share, outstanding at July 19, 2019 was 17,441,603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200"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11"/>
            <w:vMerge w:val="restart"/>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PART I. FINANCIAL INFORMATION</w:t>
              </w:r>
            </w:hyperlink>
          </w:p>
        </w:tc>
        <w:tc>
          <w:tcPr>
            <w:tcW w:w="7660" w:type="dxa"/>
            <w:vAlign w:val="bottom"/>
            <w:gridSpan w:val="10"/>
            <w:vMerge w:val="restart"/>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11"/>
            <w:vMerge w:val="continue"/>
          </w:tcPr>
          <w:p>
            <w:pPr>
              <w:spacing w:after="0"/>
              <w:rPr>
                <w:sz w:val="15"/>
                <w:szCs w:val="15"/>
                <w:color w:val="auto"/>
              </w:rPr>
            </w:pPr>
          </w:p>
        </w:tc>
        <w:tc>
          <w:tcPr>
            <w:tcW w:w="7660" w:type="dxa"/>
            <w:vAlign w:val="bottom"/>
            <w:gridSpan w:val="10"/>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Financial Statements</w:t>
              </w:r>
            </w:hyperlink>
          </w:p>
        </w:tc>
        <w:tc>
          <w:tcPr>
            <w:tcW w:w="818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June 30, 2019 and December 31, 2018 (unaudited)</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Income for the three and six months ended June 30, 2019 and 2018</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5">
              <w:r>
                <w:rPr>
                  <w:rFonts w:ascii="Times New Roman" w:cs="Times New Roman" w:eastAsia="Times New Roman" w:hAnsi="Times New Roman"/>
                  <w:sz w:val="18"/>
                  <w:szCs w:val="18"/>
                  <w:color w:val="0000EE"/>
                  <w:w w:val="98"/>
                </w:rPr>
                <w:t>(unaudited)</w:t>
              </w:r>
            </w:hyperlink>
          </w:p>
        </w:tc>
        <w:tc>
          <w:tcPr>
            <w:tcW w:w="8040" w:type="dxa"/>
            <w:vAlign w:val="bottom"/>
            <w:tcBorders>
              <w:top w:val="single" w:sz="8" w:color="0000EE"/>
            </w:tcBorders>
            <w:gridSpan w:val="15"/>
          </w:tcPr>
          <w:p>
            <w:pPr>
              <w:spacing w:after="0"/>
              <w:rPr>
                <w:sz w:val="17"/>
                <w:szCs w:val="17"/>
                <w:color w:val="auto"/>
              </w:rPr>
            </w:pPr>
          </w:p>
        </w:tc>
        <w:tc>
          <w:tcPr>
            <w:tcW w:w="8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for the three and six months ended June 30, 2019 and 2018 (unaudited)</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3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Condensed Consolidated Statements of Cash Flows for the six months ended June 30, 2019 and 2018 (unaudited)</w:t>
              </w:r>
            </w:hyperlink>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 (unaudited)</w:t>
              </w:r>
            </w:hyperlink>
          </w:p>
        </w:tc>
        <w:tc>
          <w:tcPr>
            <w:tcW w:w="3100" w:type="dxa"/>
            <w:vAlign w:val="bottom"/>
            <w:tcBorders>
              <w:top w:val="single" w:sz="8" w:color="0000EE"/>
            </w:tcBorders>
            <w:gridSpan w:val="3"/>
          </w:tcPr>
          <w:p>
            <w:pPr>
              <w:spacing w:after="0"/>
              <w:rPr>
                <w:sz w:val="24"/>
                <w:szCs w:val="24"/>
                <w:color w:val="auto"/>
              </w:rPr>
            </w:pPr>
          </w:p>
        </w:tc>
        <w:tc>
          <w:tcPr>
            <w:tcW w:w="172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24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Controls and Procedures</w:t>
              </w:r>
            </w:hyperlink>
          </w:p>
        </w:tc>
        <w:tc>
          <w:tcPr>
            <w:tcW w:w="79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PART II. OTHER INFORMATION</w:t>
              </w:r>
            </w:hyperlink>
          </w:p>
        </w:tc>
        <w:tc>
          <w:tcPr>
            <w:tcW w:w="796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Legal Proceedings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Unregistered Sales of Equity Securities and Use of Proceeds</w:t>
              </w:r>
            </w:hyperlink>
          </w:p>
        </w:tc>
        <w:tc>
          <w:tcPr>
            <w:tcW w:w="534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Defaults Upon Senior Securities</w:t>
              </w:r>
            </w:hyperlink>
          </w:p>
        </w:tc>
        <w:tc>
          <w:tcPr>
            <w:tcW w:w="736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Mine Safety Disclosures</w:t>
              </w:r>
            </w:hyperlink>
          </w:p>
        </w:tc>
        <w:tc>
          <w:tcPr>
            <w:tcW w:w="792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19"/>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Other Information</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8380" w:type="dxa"/>
            <w:vAlign w:val="bottom"/>
            <w:gridSpan w:val="1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for purposes of the Quarterly Report on Form 10-Q, the words “we,” “us,” “our,” the “Company” and “SPS” refer to SPS Commerce, Inc.</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1995. Forward looking statements regarding us, our business prospects and our results of operations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included in our Annual Report on Form 10-K/A for the year ended December 31, 2018 as filed with the Securities and Exchange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60" w:type="dxa"/>
            <w:vAlign w:val="bottom"/>
            <w:tcBorders>
              <w:bottom w:val="single" w:sz="8" w:color="CFF0FC"/>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3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0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147,023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$1,435 and $1,392, respectively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272,773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249,615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less accumulated depreciation of $46,412 and $41,175, respectively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70,300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costs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418,607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5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w:t>
            </w:r>
          </w:p>
        </w:tc>
        <w:tc>
          <w:tcPr>
            <w:tcW w:w="160" w:type="dxa"/>
            <w:vAlign w:val="bottom"/>
          </w:tcPr>
          <w:p>
            <w:pPr>
              <w:spacing w:after="0"/>
              <w:rPr>
                <w:sz w:val="18"/>
                <w:szCs w:val="18"/>
                <w:color w:val="auto"/>
              </w:rPr>
            </w:pP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7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rent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6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0 shares issued and outstanding</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$0.001 par value; 55,000,000 shares authorized; 17,971,845 and 17,757,628 shares issued; and</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17,468,106 and 17,345,736 outstanding, respectively</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Treasury stock, at cost; 503,739 and 411,892 shares, respectively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(34,645)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(25,679)</w:t>
            </w: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332,592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(2,160)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(3,218)</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338,333</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318,974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418,607</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386,123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 w:name="page5"/>
    <w:bookmarkEnd w:id="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SPS COMMERCE, INC. AND SUBSIDIARIES CONDENSED CONSOLIDATED STATEMENTS OF COMPREHENSIVE INCOME </w:t>
      </w:r>
      <w:r>
        <w:rPr>
          <w:rFonts w:ascii="Times New Roman" w:cs="Times New Roman" w:eastAsia="Times New Roman" w:hAnsi="Times New Roman"/>
          <w:sz w:val="18"/>
          <w:szCs w:val="18"/>
          <w:color w:val="auto"/>
        </w:rPr>
        <w:t>(Unaudited; in thousands, except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135,463</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19"/>
                <w:szCs w:val="19"/>
                <w:color w:val="auto"/>
              </w:rPr>
            </w:pP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Unrealized gain on investments, net of tax of $37, $34, $67, and $47,</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gain on investments into earnings, net of tax of ($29),</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($45), ($60) and ($53), respectively</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(expense)</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19"/>
                <w:szCs w:val="19"/>
                <w:color w:val="auto"/>
              </w:rPr>
            </w:pPr>
          </w:p>
        </w:tc>
        <w:tc>
          <w:tcPr>
            <w:tcW w:w="4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used to compute net income per share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SPS COMMERCE, INC. AND SUBSIDIARIES CONDENSED CONSOLIDATED STATEMENTS OF STOCKHOLDERS’ EQUITY </w:t>
      </w:r>
      <w:r>
        <w:rPr>
          <w:rFonts w:ascii="Times New Roman" w:cs="Times New Roman" w:eastAsia="Times New Roman" w:hAnsi="Times New Roman"/>
          <w:sz w:val="18"/>
          <w:szCs w:val="18"/>
          <w:color w:val="auto"/>
        </w:rPr>
        <w:t>(Unaudited; in thousands, except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Borders>
              <w:top w:val="single" w:sz="8" w:color="CCF0FC"/>
              <w:bottom w:val="single" w:sz="8" w:color="CCF0FC"/>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Balances, March 31, 2018</w:t>
            </w:r>
          </w:p>
        </w:tc>
        <w:tc>
          <w:tcPr>
            <w:tcW w:w="7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17,109,949</w:t>
            </w:r>
          </w:p>
        </w:tc>
        <w:tc>
          <w:tcPr>
            <w:tcW w:w="100" w:type="dxa"/>
            <w:vAlign w:val="bottom"/>
            <w:tcBorders>
              <w:top w:val="single" w:sz="8" w:color="CCF0FC"/>
              <w:bottom w:val="single" w:sz="8" w:color="CCF0FC"/>
            </w:tcBorders>
            <w:shd w:val="clear" w:color="auto" w:fill="CCF0FC"/>
          </w:tcPr>
          <w:p>
            <w:pPr>
              <w:spacing w:after="0"/>
              <w:rPr>
                <w:sz w:val="13"/>
                <w:szCs w:val="13"/>
                <w:color w:val="auto"/>
              </w:rPr>
            </w:pPr>
          </w:p>
        </w:tc>
        <w:tc>
          <w:tcPr>
            <w:tcW w:w="80" w:type="dxa"/>
            <w:vAlign w:val="bottom"/>
            <w:tcBorders>
              <w:top w:val="single" w:sz="8" w:color="CCF0FC"/>
              <w:bottom w:val="single" w:sz="8" w:color="CCF0FC"/>
            </w:tcBorders>
            <w:shd w:val="clear" w:color="auto" w:fill="CCF0FC"/>
          </w:tcPr>
          <w:p>
            <w:pPr>
              <w:spacing w:after="0"/>
              <w:rPr>
                <w:sz w:val="13"/>
                <w:szCs w:val="13"/>
                <w:color w:val="auto"/>
              </w:rPr>
            </w:pPr>
          </w:p>
        </w:tc>
        <w:tc>
          <w:tcPr>
            <w:tcW w:w="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7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236,131</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10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(11,686</w:t>
            </w:r>
          </w:p>
        </w:tc>
        <w:tc>
          <w:tcPr>
            <w:tcW w:w="180" w:type="dxa"/>
            <w:vAlign w:val="bottom"/>
            <w:tcBorders>
              <w:top w:val="single" w:sz="8" w:color="CCF0FC"/>
              <w:bottom w:val="single" w:sz="8" w:color="CCF0FC"/>
            </w:tcBorders>
            <w:shd w:val="clear" w:color="auto" w:fill="CCF0FC"/>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305,759</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10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(5,357)</w:t>
            </w:r>
          </w:p>
        </w:tc>
        <w:tc>
          <w:tcPr>
            <w:tcW w:w="200" w:type="dxa"/>
            <w:vAlign w:val="bottom"/>
            <w:tcBorders>
              <w:top w:val="single" w:sz="8" w:color="CCF0FC"/>
              <w:bottom w:val="single" w:sz="8" w:color="CCF0FC"/>
            </w:tcBorders>
            <w:shd w:val="clear" w:color="auto" w:fill="CCF0FC"/>
          </w:tcPr>
          <w:p>
            <w:pPr>
              <w:spacing w:after="0"/>
              <w:rPr>
                <w:sz w:val="13"/>
                <w:szCs w:val="13"/>
                <w:color w:val="auto"/>
              </w:rPr>
            </w:pPr>
          </w:p>
        </w:tc>
        <w:tc>
          <w:tcPr>
            <w:tcW w:w="18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(383)</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20" w:type="dxa"/>
            <w:vAlign w:val="bottom"/>
            <w:tcBorders>
              <w:top w:val="single" w:sz="8" w:color="CCF0FC"/>
              <w:bottom w:val="single" w:sz="8" w:color="CCF0FC"/>
            </w:tcBorders>
            <w:shd w:val="clear" w:color="auto" w:fill="CCF0FC"/>
          </w:tcPr>
          <w:p>
            <w:pPr>
              <w:spacing w:after="0"/>
              <w:rPr>
                <w:sz w:val="13"/>
                <w:szCs w:val="13"/>
                <w:color w:val="auto"/>
              </w:rPr>
            </w:pPr>
          </w:p>
        </w:tc>
        <w:tc>
          <w:tcPr>
            <w:tcW w:w="12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288,350</w:t>
            </w:r>
          </w:p>
        </w:tc>
        <w:tc>
          <w:tcPr>
            <w:tcW w:w="100" w:type="dxa"/>
            <w:vAlign w:val="bottom"/>
            <w:tcBorders>
              <w:top w:val="single" w:sz="8" w:color="CCF0FC"/>
              <w:bottom w:val="single" w:sz="8" w:color="CCF0FC"/>
            </w:tcBorders>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2,887</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2,887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Exercise of stock options and issuance of restricted stock</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109,037</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(79,410)</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79,410</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(5,998)</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(5,998)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4"/>
                <w:szCs w:val="14"/>
                <w:color w:val="auto"/>
              </w:rPr>
              <w:t>(1,176)</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Reclassification of gain on investments into earnings, net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Unrealized gain on investments, net of tax</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8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Balances, June 30, 2018</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17,159,819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315,541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(17,684)</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313,887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294,688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2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Balances, March 31, 2019</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17,467,682</w:t>
            </w:r>
          </w:p>
        </w:tc>
        <w:tc>
          <w:tcPr>
            <w:tcW w:w="100" w:type="dxa"/>
            <w:vAlign w:val="bottom"/>
            <w:shd w:val="clear" w:color="auto" w:fill="CCF0FC"/>
          </w:tcPr>
          <w:p>
            <w:pPr>
              <w:spacing w:after="0"/>
              <w:rPr>
                <w:sz w:val="14"/>
                <w:szCs w:val="14"/>
                <w:color w:val="auto"/>
              </w:rPr>
            </w:pPr>
          </w:p>
        </w:tc>
        <w:tc>
          <w:tcPr>
            <w:tcW w:w="16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445,624</w:t>
            </w:r>
          </w:p>
        </w:tc>
        <w:tc>
          <w:tcPr>
            <w:tcW w:w="28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(28,645)</w:t>
            </w:r>
          </w:p>
        </w:tc>
        <w:tc>
          <w:tcPr>
            <w:tcW w:w="1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339,730</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22,074</w:t>
            </w:r>
          </w:p>
        </w:tc>
        <w:tc>
          <w:tcPr>
            <w:tcW w:w="20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4"/>
                <w:szCs w:val="14"/>
                <w:color w:val="auto"/>
              </w:rPr>
              <w:t>(2,473)</w:t>
            </w:r>
          </w:p>
        </w:tc>
        <w:tc>
          <w:tcPr>
            <w:tcW w:w="140" w:type="dxa"/>
            <w:vAlign w:val="bottom"/>
            <w:gridSpan w:val="2"/>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330,704</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F0FC"/>
              <w:bottom w:val="single" w:sz="8" w:color="CCF0FC"/>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2,542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2,542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Exercise of stock options and issuance of restricted stock</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43,132</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(58,115)</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58,115</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8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Reclassification of gain on investments into earnings, net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Unrealized gain on investments, net of tax</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8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Balances, June 30,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17,468,106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503,739</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(34,645</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344,250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30,870</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(2,160)</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338,333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86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40" w:type="dxa"/>
            <w:vAlign w:val="bottom"/>
            <w:gridSpan w:val="5"/>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96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40" w:type="dxa"/>
            <w:vAlign w:val="bottom"/>
            <w:gridSpan w:val="3"/>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tcBorders>
              <w:top w:val="single" w:sz="8" w:color="CCF0FC"/>
              <w:bottom w:val="single" w:sz="8" w:color="CCF0FC"/>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Balances, December 31, 2017</w:t>
            </w:r>
          </w:p>
        </w:tc>
        <w:tc>
          <w:tcPr>
            <w:tcW w:w="7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17,127,006</w:t>
            </w:r>
          </w:p>
        </w:tc>
        <w:tc>
          <w:tcPr>
            <w:tcW w:w="100" w:type="dxa"/>
            <w:vAlign w:val="bottom"/>
            <w:tcBorders>
              <w:top w:val="single" w:sz="8" w:color="CCF0FC"/>
              <w:bottom w:val="single" w:sz="8" w:color="CCF0FC"/>
            </w:tcBorders>
            <w:shd w:val="clear" w:color="auto" w:fill="CCF0FC"/>
          </w:tcPr>
          <w:p>
            <w:pPr>
              <w:spacing w:after="0"/>
              <w:rPr>
                <w:sz w:val="13"/>
                <w:szCs w:val="13"/>
                <w:color w:val="auto"/>
              </w:rPr>
            </w:pPr>
          </w:p>
        </w:tc>
        <w:tc>
          <w:tcPr>
            <w:tcW w:w="80" w:type="dxa"/>
            <w:vAlign w:val="bottom"/>
            <w:tcBorders>
              <w:top w:val="single" w:sz="8" w:color="CCF0FC"/>
              <w:bottom w:val="single" w:sz="8" w:color="CCF0FC"/>
            </w:tcBorders>
            <w:shd w:val="clear" w:color="auto" w:fill="CCF0FC"/>
          </w:tcPr>
          <w:p>
            <w:pPr>
              <w:spacing w:after="0"/>
              <w:rPr>
                <w:sz w:val="13"/>
                <w:szCs w:val="13"/>
                <w:color w:val="auto"/>
              </w:rPr>
            </w:pPr>
          </w:p>
        </w:tc>
        <w:tc>
          <w:tcPr>
            <w:tcW w:w="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7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122,147</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10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(5,815)</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10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301,863</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10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(8,611)</w:t>
            </w:r>
          </w:p>
        </w:tc>
        <w:tc>
          <w:tcPr>
            <w:tcW w:w="200" w:type="dxa"/>
            <w:vAlign w:val="bottom"/>
            <w:tcBorders>
              <w:top w:val="single" w:sz="8" w:color="CCF0FC"/>
              <w:bottom w:val="single" w:sz="8" w:color="CCF0FC"/>
            </w:tcBorders>
            <w:shd w:val="clear" w:color="auto" w:fill="CCF0FC"/>
          </w:tcPr>
          <w:p>
            <w:pPr>
              <w:spacing w:after="0"/>
              <w:rPr>
                <w:sz w:val="13"/>
                <w:szCs w:val="13"/>
                <w:color w:val="auto"/>
              </w:rPr>
            </w:pPr>
          </w:p>
        </w:tc>
        <w:tc>
          <w:tcPr>
            <w:tcW w:w="18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w:t>
            </w:r>
          </w:p>
        </w:tc>
        <w:tc>
          <w:tcPr>
            <w:tcW w:w="180" w:type="dxa"/>
            <w:vAlign w:val="bottom"/>
            <w:tcBorders>
              <w:top w:val="single" w:sz="8" w:color="CCF0FC"/>
              <w:bottom w:val="single" w:sz="8" w:color="CCF0FC"/>
            </w:tcBorders>
            <w:shd w:val="clear" w:color="auto" w:fill="CCF0FC"/>
          </w:tcPr>
          <w:p>
            <w:pPr>
              <w:spacing w:after="0"/>
              <w:rPr>
                <w:sz w:val="13"/>
                <w:szCs w:val="13"/>
                <w:color w:val="auto"/>
              </w:rPr>
            </w:pPr>
          </w:p>
        </w:tc>
        <w:tc>
          <w:tcPr>
            <w:tcW w:w="20" w:type="dxa"/>
            <w:vAlign w:val="bottom"/>
            <w:tcBorders>
              <w:top w:val="single" w:sz="8" w:color="CCF0FC"/>
              <w:bottom w:val="single" w:sz="8" w:color="CCF0FC"/>
            </w:tcBorders>
            <w:shd w:val="clear" w:color="auto" w:fill="CCF0FC"/>
          </w:tcPr>
          <w:p>
            <w:pPr>
              <w:spacing w:after="0"/>
              <w:rPr>
                <w:sz w:val="13"/>
                <w:szCs w:val="13"/>
                <w:color w:val="auto"/>
              </w:rPr>
            </w:pPr>
          </w:p>
        </w:tc>
        <w:tc>
          <w:tcPr>
            <w:tcW w:w="120" w:type="dxa"/>
            <w:vAlign w:val="bottom"/>
            <w:tcBorders>
              <w:top w:val="single" w:sz="8" w:color="auto"/>
              <w:bottom w:val="single" w:sz="8" w:color="auto"/>
            </w:tcBorders>
            <w:shd w:val="clear" w:color="auto" w:fill="CC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288,111</w:t>
            </w:r>
          </w:p>
        </w:tc>
        <w:tc>
          <w:tcPr>
            <w:tcW w:w="100" w:type="dxa"/>
            <w:vAlign w:val="bottom"/>
            <w:tcBorders>
              <w:top w:val="single" w:sz="8" w:color="CCF0FC"/>
              <w:bottom w:val="single" w:sz="8" w:color="CCF0FC"/>
            </w:tcBorders>
            <w:shd w:val="clear" w:color="auto" w:fill="CC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6,068</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6,068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Exercise of stock options and issuance of restricted stock</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205,964</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5,120</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(193,394)</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193,394</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(11,869)</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(11,869)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4"/>
                <w:szCs w:val="14"/>
                <w:color w:val="auto"/>
              </w:rPr>
              <w:t>(2,231)</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Reclassification of gain on investments into earnings, net</w:t>
            </w: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Borders>
              <w:bottom w:val="single" w:sz="8" w:color="CCF0FC"/>
            </w:tcBorders>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Unrealized gain on investments, net of tax</w:t>
            </w:r>
          </w:p>
        </w:tc>
        <w:tc>
          <w:tcPr>
            <w:tcW w:w="880" w:type="dxa"/>
            <w:vAlign w:val="bottom"/>
            <w:tcBorders>
              <w:bottom w:val="single" w:sz="8" w:color="CCF0FC"/>
            </w:tcBorders>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F0FC"/>
            </w:tcBorders>
            <w:shd w:val="clear" w:color="auto" w:fill="CCF0FC"/>
          </w:tcPr>
          <w:p>
            <w:pPr>
              <w:spacing w:after="0"/>
              <w:rPr>
                <w:sz w:val="21"/>
                <w:szCs w:val="21"/>
                <w:color w:val="auto"/>
              </w:rPr>
            </w:pPr>
          </w:p>
        </w:tc>
        <w:tc>
          <w:tcPr>
            <w:tcW w:w="80" w:type="dxa"/>
            <w:vAlign w:val="bottom"/>
            <w:tcBorders>
              <w:bottom w:val="single" w:sz="8" w:color="CCF0FC"/>
            </w:tcBorders>
            <w:shd w:val="clear" w:color="auto" w:fill="CCF0FC"/>
          </w:tcPr>
          <w:p>
            <w:pPr>
              <w:spacing w:after="0"/>
              <w:rPr>
                <w:sz w:val="21"/>
                <w:szCs w:val="21"/>
                <w:color w:val="auto"/>
              </w:rPr>
            </w:pPr>
          </w:p>
        </w:tc>
        <w:tc>
          <w:tcPr>
            <w:tcW w:w="820" w:type="dxa"/>
            <w:vAlign w:val="bottom"/>
            <w:tcBorders>
              <w:bottom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F0FC"/>
            </w:tcBorders>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820" w:type="dxa"/>
            <w:vAlign w:val="bottom"/>
            <w:tcBorders>
              <w:bottom w:val="single" w:sz="8" w:color="CCF0FC"/>
            </w:tcBorders>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F0FC"/>
            </w:tcBorders>
            <w:shd w:val="clear" w:color="auto" w:fill="CCF0FC"/>
          </w:tcPr>
          <w:p>
            <w:pPr>
              <w:spacing w:after="0"/>
              <w:rPr>
                <w:sz w:val="21"/>
                <w:szCs w:val="21"/>
                <w:color w:val="auto"/>
              </w:rPr>
            </w:pPr>
          </w:p>
        </w:tc>
        <w:tc>
          <w:tcPr>
            <w:tcW w:w="820" w:type="dxa"/>
            <w:vAlign w:val="bottom"/>
            <w:tcBorders>
              <w:bottom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F0FC"/>
            </w:tcBorders>
            <w:shd w:val="clear" w:color="auto" w:fill="CCF0FC"/>
          </w:tcPr>
          <w:p>
            <w:pPr>
              <w:spacing w:after="0"/>
              <w:rPr>
                <w:sz w:val="21"/>
                <w:szCs w:val="21"/>
                <w:color w:val="auto"/>
              </w:rPr>
            </w:pPr>
          </w:p>
        </w:tc>
        <w:tc>
          <w:tcPr>
            <w:tcW w:w="960" w:type="dxa"/>
            <w:vAlign w:val="bottom"/>
            <w:tcBorders>
              <w:bottom w:val="single" w:sz="8" w:color="CCF0FC"/>
            </w:tcBorders>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F0FC"/>
            </w:tcBorders>
            <w:shd w:val="clear" w:color="auto" w:fill="CCF0FC"/>
          </w:tcPr>
          <w:p>
            <w:pPr>
              <w:spacing w:after="0"/>
              <w:rPr>
                <w:sz w:val="21"/>
                <w:szCs w:val="21"/>
                <w:color w:val="auto"/>
              </w:rPr>
            </w:pPr>
          </w:p>
        </w:tc>
        <w:tc>
          <w:tcPr>
            <w:tcW w:w="780" w:type="dxa"/>
            <w:vAlign w:val="bottom"/>
            <w:tcBorders>
              <w:bottom w:val="single" w:sz="8" w:color="CCF0FC"/>
            </w:tcBorders>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80" w:type="dxa"/>
            <w:vAlign w:val="bottom"/>
            <w:tcBorders>
              <w:bottom w:val="single" w:sz="8" w:color="CCF0FC"/>
            </w:tcBorders>
            <w:shd w:val="clear" w:color="auto" w:fill="CCF0FC"/>
          </w:tcPr>
          <w:p>
            <w:pPr>
              <w:spacing w:after="0"/>
              <w:rPr>
                <w:sz w:val="21"/>
                <w:szCs w:val="21"/>
                <w:color w:val="auto"/>
              </w:rPr>
            </w:pPr>
          </w:p>
        </w:tc>
        <w:tc>
          <w:tcPr>
            <w:tcW w:w="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720" w:type="dxa"/>
            <w:vAlign w:val="bottom"/>
            <w:tcBorders>
              <w:bottom w:val="single" w:sz="8" w:color="CCF0FC"/>
            </w:tcBorders>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Borders>
              <w:bottom w:val="single" w:sz="8" w:color="CCF0FC"/>
            </w:tcBorders>
            <w:shd w:val="clear" w:color="auto" w:fill="CCF0FC"/>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Balances, June 30, 2018</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17,159,819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315,541</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(17,684</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313,887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(1,591)</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294,688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62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Balances, December 31, 2018</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17,345,736</w:t>
            </w:r>
          </w:p>
        </w:tc>
        <w:tc>
          <w:tcPr>
            <w:tcW w:w="100" w:type="dxa"/>
            <w:vAlign w:val="bottom"/>
            <w:shd w:val="clear" w:color="auto" w:fill="CCF0FC"/>
          </w:tcPr>
          <w:p>
            <w:pPr>
              <w:spacing w:after="0"/>
              <w:rPr>
                <w:sz w:val="14"/>
                <w:szCs w:val="14"/>
                <w:color w:val="auto"/>
              </w:rPr>
            </w:pPr>
          </w:p>
        </w:tc>
        <w:tc>
          <w:tcPr>
            <w:tcW w:w="16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CF0FC"/>
          </w:tcPr>
          <w:p>
            <w:pPr>
              <w:spacing w:after="0"/>
              <w:rPr>
                <w:sz w:val="14"/>
                <w:szCs w:val="14"/>
                <w:color w:val="auto"/>
              </w:rPr>
            </w:pP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411,892</w:t>
            </w:r>
          </w:p>
        </w:tc>
        <w:tc>
          <w:tcPr>
            <w:tcW w:w="280" w:type="dxa"/>
            <w:vAlign w:val="bottom"/>
            <w:gridSpan w:val="2"/>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(25,679)</w:t>
            </w:r>
          </w:p>
        </w:tc>
        <w:tc>
          <w:tcPr>
            <w:tcW w:w="10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332,592</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15,261</w:t>
            </w:r>
          </w:p>
        </w:tc>
        <w:tc>
          <w:tcPr>
            <w:tcW w:w="20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F0FC"/>
          </w:tcPr>
          <w:p>
            <w:pPr>
              <w:jc w:val="right"/>
              <w:ind w:right="140"/>
              <w:spacing w:after="0"/>
              <w:rPr>
                <w:sz w:val="20"/>
                <w:szCs w:val="20"/>
                <w:color w:val="auto"/>
              </w:rPr>
            </w:pPr>
            <w:r>
              <w:rPr>
                <w:rFonts w:ascii="Times New Roman" w:cs="Times New Roman" w:eastAsia="Times New Roman" w:hAnsi="Times New Roman"/>
                <w:sz w:val="14"/>
                <w:szCs w:val="14"/>
                <w:color w:val="auto"/>
              </w:rPr>
              <w:t>(3,218)</w:t>
            </w:r>
          </w:p>
        </w:tc>
        <w:tc>
          <w:tcPr>
            <w:tcW w:w="140" w:type="dxa"/>
            <w:vAlign w:val="bottom"/>
            <w:gridSpan w:val="2"/>
            <w:shd w:val="clear" w:color="auto" w:fill="CC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318,974</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F0FC"/>
              <w:bottom w:val="single" w:sz="8" w:color="CCF0FC"/>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0FC"/>
            </w:tcBorders>
          </w:tcPr>
          <w:p>
            <w:pPr>
              <w:spacing w:after="0" w:line="20" w:lineRule="exact"/>
              <w:rPr>
                <w:sz w:val="1"/>
                <w:szCs w:val="1"/>
                <w:color w:val="auto"/>
              </w:rPr>
            </w:pPr>
          </w:p>
        </w:tc>
        <w:tc>
          <w:tcPr>
            <w:tcW w:w="2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20" w:type="dxa"/>
            <w:vAlign w:val="bottom"/>
            <w:vMerge w:val="continue"/>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7,508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7,508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Exercise of stock options and issuance of restricted stock</w:t>
            </w: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201,571</w:t>
            </w:r>
          </w:p>
        </w:tc>
        <w:tc>
          <w:tcPr>
            <w:tcW w:w="10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6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8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(91,847)</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91,847</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99"/>
              <w:spacing w:after="0"/>
              <w:rPr>
                <w:sz w:val="20"/>
                <w:szCs w:val="20"/>
                <w:color w:val="auto"/>
              </w:rPr>
            </w:pPr>
            <w:r>
              <w:rPr>
                <w:rFonts w:ascii="Times New Roman" w:cs="Times New Roman" w:eastAsia="Times New Roman" w:hAnsi="Times New Roman"/>
                <w:sz w:val="14"/>
                <w:szCs w:val="14"/>
                <w:color w:val="auto"/>
              </w:rPr>
              <w:t>(8,966)</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(8,966)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 and subsequent return of shares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(2,761)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76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15,609</w:t>
            </w:r>
          </w:p>
        </w:tc>
        <w:tc>
          <w:tcPr>
            <w:tcW w:w="200" w:type="dxa"/>
            <w:vAlign w:val="bottom"/>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15,609</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20" w:type="dxa"/>
            <w:vAlign w:val="bottom"/>
            <w:shd w:val="clear" w:color="auto" w:fill="CC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Reclassification of gain on investments into earnings, net</w:t>
            </w:r>
          </w:p>
        </w:tc>
        <w:tc>
          <w:tcPr>
            <w:tcW w:w="880" w:type="dxa"/>
            <w:vAlign w:val="bottom"/>
            <w:gridSpan w:val="2"/>
            <w:vMerge w:val="restart"/>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2"/>
                <w:szCs w:val="12"/>
                <w:color w:val="auto"/>
              </w:rPr>
            </w:pPr>
          </w:p>
        </w:tc>
        <w:tc>
          <w:tcPr>
            <w:tcW w:w="80" w:type="dxa"/>
            <w:vAlign w:val="bottom"/>
            <w:shd w:val="clear" w:color="auto" w:fill="CCF0FC"/>
          </w:tcPr>
          <w:p>
            <w:pPr>
              <w:spacing w:after="0"/>
              <w:rPr>
                <w:sz w:val="12"/>
                <w:szCs w:val="12"/>
                <w:color w:val="auto"/>
              </w:rPr>
            </w:pPr>
          </w:p>
        </w:tc>
        <w:tc>
          <w:tcPr>
            <w:tcW w:w="820" w:type="dxa"/>
            <w:vAlign w:val="bottom"/>
            <w:gridSpan w:val="2"/>
            <w:vMerge w:val="restart"/>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2"/>
                <w:szCs w:val="12"/>
                <w:color w:val="auto"/>
              </w:rPr>
            </w:pPr>
          </w:p>
        </w:tc>
        <w:tc>
          <w:tcPr>
            <w:tcW w:w="100" w:type="dxa"/>
            <w:vAlign w:val="bottom"/>
            <w:shd w:val="clear" w:color="auto" w:fill="CCF0FC"/>
          </w:tcPr>
          <w:p>
            <w:pPr>
              <w:spacing w:after="0"/>
              <w:rPr>
                <w:sz w:val="12"/>
                <w:szCs w:val="12"/>
                <w:color w:val="auto"/>
              </w:rPr>
            </w:pPr>
          </w:p>
        </w:tc>
        <w:tc>
          <w:tcPr>
            <w:tcW w:w="820" w:type="dxa"/>
            <w:vAlign w:val="bottom"/>
            <w:gridSpan w:val="2"/>
            <w:vMerge w:val="restart"/>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2"/>
                <w:szCs w:val="12"/>
                <w:color w:val="auto"/>
              </w:rPr>
            </w:pPr>
          </w:p>
        </w:tc>
        <w:tc>
          <w:tcPr>
            <w:tcW w:w="820" w:type="dxa"/>
            <w:vAlign w:val="bottom"/>
            <w:gridSpan w:val="2"/>
            <w:vMerge w:val="restart"/>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2"/>
                <w:szCs w:val="12"/>
                <w:color w:val="auto"/>
              </w:rPr>
            </w:pPr>
          </w:p>
        </w:tc>
        <w:tc>
          <w:tcPr>
            <w:tcW w:w="960" w:type="dxa"/>
            <w:vAlign w:val="bottom"/>
            <w:gridSpan w:val="2"/>
            <w:vMerge w:val="restart"/>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2"/>
                <w:szCs w:val="12"/>
                <w:color w:val="auto"/>
              </w:rPr>
            </w:pPr>
          </w:p>
        </w:tc>
        <w:tc>
          <w:tcPr>
            <w:tcW w:w="960" w:type="dxa"/>
            <w:vAlign w:val="bottom"/>
            <w:gridSpan w:val="2"/>
            <w:vMerge w:val="restart"/>
            <w:shd w:val="clear" w:color="auto" w:fill="CCF0FC"/>
          </w:tcPr>
          <w:p>
            <w:pPr>
              <w:jc w:val="right"/>
              <w:ind w:right="140"/>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shd w:val="clear" w:color="auto" w:fill="CCF0FC"/>
          </w:tcPr>
          <w:p>
            <w:pPr>
              <w:spacing w:after="0"/>
              <w:rPr>
                <w:sz w:val="12"/>
                <w:szCs w:val="12"/>
                <w:color w:val="auto"/>
              </w:rPr>
            </w:pPr>
          </w:p>
        </w:tc>
        <w:tc>
          <w:tcPr>
            <w:tcW w:w="120" w:type="dxa"/>
            <w:vAlign w:val="bottom"/>
            <w:shd w:val="clear" w:color="auto" w:fill="CCF0FC"/>
          </w:tcPr>
          <w:p>
            <w:pPr>
              <w:spacing w:after="0"/>
              <w:rPr>
                <w:sz w:val="12"/>
                <w:szCs w:val="12"/>
                <w:color w:val="auto"/>
              </w:rPr>
            </w:pPr>
          </w:p>
        </w:tc>
        <w:tc>
          <w:tcPr>
            <w:tcW w:w="820" w:type="dxa"/>
            <w:vAlign w:val="bottom"/>
            <w:gridSpan w:val="2"/>
            <w:vMerge w:val="restart"/>
            <w:shd w:val="clear" w:color="auto" w:fill="CCF0FC"/>
          </w:tcPr>
          <w:p>
            <w:pPr>
              <w:jc w:val="right"/>
              <w:ind w:right="60"/>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of tax</w:t>
            </w:r>
          </w:p>
        </w:tc>
        <w:tc>
          <w:tcPr>
            <w:tcW w:w="880" w:type="dxa"/>
            <w:vAlign w:val="bottom"/>
            <w:gridSpan w:val="2"/>
            <w:vMerge w:val="continue"/>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vMerge w:val="continue"/>
            <w:shd w:val="clear" w:color="auto" w:fill="CCF0FC"/>
          </w:tcPr>
          <w:p>
            <w:pPr>
              <w:spacing w:after="0"/>
              <w:rPr>
                <w:sz w:val="14"/>
                <w:szCs w:val="14"/>
                <w:color w:val="auto"/>
              </w:rPr>
            </w:pPr>
          </w:p>
        </w:tc>
        <w:tc>
          <w:tcPr>
            <w:tcW w:w="740" w:type="dxa"/>
            <w:vAlign w:val="bottom"/>
            <w:vMerge w:val="continue"/>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vMerge w:val="continue"/>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vMerge w:val="continue"/>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960" w:type="dxa"/>
            <w:vAlign w:val="bottom"/>
            <w:gridSpan w:val="2"/>
            <w:vMerge w:val="continue"/>
            <w:shd w:val="clear" w:color="auto" w:fill="CCF0FC"/>
          </w:tcPr>
          <w:p>
            <w:pPr>
              <w:spacing w:after="0"/>
              <w:rPr>
                <w:sz w:val="14"/>
                <w:szCs w:val="14"/>
                <w:color w:val="auto"/>
              </w:rPr>
            </w:pPr>
          </w:p>
        </w:tc>
        <w:tc>
          <w:tcPr>
            <w:tcW w:w="180" w:type="dxa"/>
            <w:vAlign w:val="bottom"/>
            <w:shd w:val="clear" w:color="auto" w:fill="CCF0FC"/>
          </w:tcPr>
          <w:p>
            <w:pPr>
              <w:spacing w:after="0"/>
              <w:rPr>
                <w:sz w:val="14"/>
                <w:szCs w:val="14"/>
                <w:color w:val="auto"/>
              </w:rPr>
            </w:pPr>
          </w:p>
        </w:tc>
        <w:tc>
          <w:tcPr>
            <w:tcW w:w="960" w:type="dxa"/>
            <w:vAlign w:val="bottom"/>
            <w:gridSpan w:val="2"/>
            <w:vMerge w:val="continue"/>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820" w:type="dxa"/>
            <w:vAlign w:val="bottom"/>
            <w:gridSpan w:val="2"/>
            <w:vMerge w:val="continue"/>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Unrealized gain on investments, net of tax</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20" w:type="dxa"/>
            <w:vAlign w:val="bottom"/>
            <w:shd w:val="clear" w:color="auto" w:fill="CCF0FC"/>
          </w:tcPr>
          <w:p>
            <w:pPr>
              <w:ind w:left="120"/>
              <w:spacing w:after="0"/>
              <w:rPr>
                <w:sz w:val="20"/>
                <w:szCs w:val="20"/>
                <w:color w:val="auto"/>
              </w:rPr>
            </w:pPr>
            <w:r>
              <w:rPr>
                <w:rFonts w:ascii="Times New Roman" w:cs="Times New Roman" w:eastAsia="Times New Roman" w:hAnsi="Times New Roman"/>
                <w:sz w:val="14"/>
                <w:szCs w:val="14"/>
                <w:color w:val="auto"/>
              </w:rPr>
              <w:t>Adoption of ASU 2018-02</w:t>
            </w:r>
          </w:p>
        </w:tc>
        <w:tc>
          <w:tcPr>
            <w:tcW w:w="880" w:type="dxa"/>
            <w:vAlign w:val="bottom"/>
            <w:gridSpan w:val="2"/>
            <w:shd w:val="clear" w:color="auto" w:fill="CC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F0FC"/>
          </w:tcPr>
          <w:p>
            <w:pPr>
              <w:spacing w:after="0"/>
              <w:rPr>
                <w:sz w:val="14"/>
                <w:szCs w:val="14"/>
                <w:color w:val="auto"/>
              </w:rPr>
            </w:pPr>
          </w:p>
        </w:tc>
        <w:tc>
          <w:tcPr>
            <w:tcW w:w="960" w:type="dxa"/>
            <w:vAlign w:val="bottom"/>
            <w:gridSpan w:val="2"/>
            <w:shd w:val="clear" w:color="auto" w:fill="CC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F0FC"/>
          </w:tcPr>
          <w:p>
            <w:pPr>
              <w:spacing w:after="0"/>
              <w:rPr>
                <w:sz w:val="14"/>
                <w:szCs w:val="14"/>
                <w:color w:val="auto"/>
              </w:rPr>
            </w:pPr>
          </w:p>
        </w:tc>
        <w:tc>
          <w:tcPr>
            <w:tcW w:w="78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F0FC"/>
          </w:tcPr>
          <w:p>
            <w:pPr>
              <w:spacing w:after="0"/>
              <w:rPr>
                <w:sz w:val="14"/>
                <w:szCs w:val="14"/>
                <w:color w:val="auto"/>
              </w:rPr>
            </w:pPr>
          </w:p>
        </w:tc>
        <w:tc>
          <w:tcPr>
            <w:tcW w:w="2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20" w:type="dxa"/>
            <w:vAlign w:val="bottom"/>
            <w:shd w:val="clear" w:color="auto" w:fill="CC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Balances, June 30, 2019</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17,468,106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503,739</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(34,645</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344,250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30,870</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(2,160)</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338,333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4"/>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68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14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280" w:type="dxa"/>
            <w:vAlign w:val="bottom"/>
          </w:tcPr>
          <w:p>
            <w:pPr>
              <w:spacing w:after="0"/>
              <w:rPr>
                <w:sz w:val="19"/>
                <w:szCs w:val="19"/>
                <w:color w:val="auto"/>
              </w:rPr>
            </w:pPr>
          </w:p>
        </w:tc>
        <w:tc>
          <w:tcPr>
            <w:tcW w:w="540" w:type="dxa"/>
            <w:vAlign w:val="bottom"/>
            <w:gridSpan w:val="2"/>
          </w:tcPr>
          <w:p>
            <w:pPr>
              <w:jc w:val="right"/>
              <w:ind w:right="40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r>
      <w:tr>
        <w:trPr>
          <w:trHeight w:val="230"/>
        </w:trPr>
        <w:tc>
          <w:tcPr>
            <w:tcW w:w="66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(4,373)</w:t>
            </w: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costs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(2,621)</w:t>
            </w: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compensation</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w:t>
            </w: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Operating leases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(5,351)</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(6,481)</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(44,548)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(52,116)</w:t>
            </w: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Acquisitions of businesses and intangible assets, net of cash acquired</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668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(12,174)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(8,966)</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(11,869)</w:t>
            </w:r>
          </w:p>
        </w:tc>
      </w:tr>
      <w:tr>
        <w:trPr>
          <w:trHeight w:val="230"/>
        </w:trPr>
        <w:tc>
          <w:tcPr>
            <w:tcW w:w="6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proceeds from exercise of options to purchase common stock</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proceeds from employee stock purchase plan</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2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133,859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123,127</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8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147,023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125,385</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SPS COMMERCE,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General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11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The solutions SPS Commerce provides allow our customers to increase their supply cycle agility, optimize their inventory levels and sell-through, reduce operational costs and gain increased visibility into customer orders, ensuring that suppliers, grocers, distributors, and logistics firms can satisfy exacting retailer requirements.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SPS Commerce, Inc. and its subsidiaries. All intercompany accounts and transactions have been eliminated in the condensed consolidated financial statements, which have been prepared in conformity with U.S. generally accepted accounting principles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for the year ended December 31, 2018 included in our Annual Report on Form 10-K/A filed with the SEC.</w:t>
      </w:r>
    </w:p>
    <w:p>
      <w:pPr>
        <w:spacing w:after="0" w:line="183"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2019, we adopted the requirements of Accounting Standards Update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and used the effective date as our date of initial application. Consequently, financial information was not updated and the disclosures required under the new standard were not provided for dates and periods before January 1, 2019. The new standard provides several optional practical expedients in transition. We elected the “package of practical expedients,” which permits us not to reassess under the new standard our prior conclusions about lease identification, lease classification and initial direct costs. We did not elect the use-of hindsight or the practical expedient pertaining to land easements, the latter not being applicable to us. The new standard also provides practical expedients for an entity’s ongoing accounting. We elected the short-term lease recognition exemption for all leases that qualify, which means we will not recognize right-of-use (“ROU”) assets or lease liabilities for these leases. This includes not recognizing ROU assets or lease liabilities for existing short-term leases of those assets in transition. We also elected the practical expedient to not separate lease and non-lease components for all leases.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Policy</w:t>
      </w:r>
    </w:p>
    <w:p>
      <w:pPr>
        <w:spacing w:after="0" w:line="11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ROU assets, current lease liabilities, and long-term lease liabilities in our consolidated balance sheets.</w:t>
      </w:r>
    </w:p>
    <w:p>
      <w:pPr>
        <w:spacing w:after="0" w:line="162" w:lineRule="exact"/>
        <w:rPr>
          <w:sz w:val="20"/>
          <w:szCs w:val="20"/>
          <w:color w:val="auto"/>
        </w:rPr>
      </w:pPr>
    </w:p>
    <w:p>
      <w:pPr>
        <w:ind w:right="60" w:firstLine="518"/>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estimate the discount rate for a similar collateralized asset by reviewing quoted costs of borrowing. We use the implicit interest rate when readily determinable. The operating lease ROU asset also includes any lease payments made and lease incentives that have been incurred. The options to extend our leases are not recognized as part of our right-of-use assets and lease liabilities unless it is reasonably certain that we will exercise that option. Lease expense for lease payments is recognized on a straight-line basis over the lease term. For all leases we combine non-lease components with the related lease components and account for it as a single lease component. The ROU assets are subject to the same impairment process as our long-lived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Additionally, we review our lease liabilities for remeasurement whenever there is a triggering event or when relevant facts and circumstances change.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3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3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205"/>
        </w:trPr>
        <w:tc>
          <w:tcPr>
            <w:tcW w:w="16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ASU 2016-02</w:t>
            </w:r>
            <w:r>
              <w:rPr>
                <w:rFonts w:ascii="Times New Roman" w:cs="Times New Roman" w:eastAsia="Times New Roman" w:hAnsi="Times New Roman"/>
                <w:sz w:val="18"/>
                <w:szCs w:val="18"/>
                <w:color w:val="auto"/>
              </w:rPr>
              <w:t>,</w:t>
            </w:r>
          </w:p>
        </w:tc>
        <w:tc>
          <w:tcPr>
            <w:tcW w:w="134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February</w:t>
            </w:r>
          </w:p>
        </w:tc>
        <w:tc>
          <w:tcPr>
            <w:tcW w:w="364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Requires all leases with a term greater than 12</w:t>
            </w:r>
          </w:p>
        </w:tc>
        <w:tc>
          <w:tcPr>
            <w:tcW w:w="132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January</w:t>
            </w:r>
          </w:p>
        </w:tc>
        <w:tc>
          <w:tcPr>
            <w:tcW w:w="344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The adoption of this standard and related</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Leases and all</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months to be recognized in the statements of</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amendments resulted in the recognition of</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amendments</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financial position and eliminates current real</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approximately $15.7 million in right-of-use</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estate-specific lease guidance, while</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and lease liabilities on our balance</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maintaining substantially similar classification</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sheet as of January 1, 2019. Comparative</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criteria for distinguishing between finance</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periods will continue to be measured and</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leases and operating leases.</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presented under historical guidance, and only</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the period of adoption and future periods will</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 subject to this ASU. There was no</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cumulative effect on retained earnings or</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components of equity at the adoption</w:t>
            </w:r>
          </w:p>
        </w:tc>
        <w:tc>
          <w:tcPr>
            <w:tcW w:w="0" w:type="dxa"/>
            <w:vAlign w:val="bottom"/>
          </w:tcPr>
          <w:p>
            <w:pPr>
              <w:spacing w:after="0"/>
              <w:rPr>
                <w:sz w:val="1"/>
                <w:szCs w:val="1"/>
                <w:color w:val="auto"/>
              </w:rPr>
            </w:pPr>
          </w:p>
        </w:tc>
      </w:tr>
      <w:tr>
        <w:trPr>
          <w:trHeight w:val="234"/>
        </w:trPr>
        <w:tc>
          <w:tcPr>
            <w:tcW w:w="16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date. For more information see Note H.</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 2018-02</w:t>
            </w: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Allows a reclassification from accumulated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w:t>
            </w: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adoption of this standard did not have a</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Income Statement -</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to retained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our consolidated financial</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34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for stranded tax effects resulting</w:t>
            </w:r>
          </w:p>
        </w:tc>
        <w:tc>
          <w:tcPr>
            <w:tcW w:w="132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134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from the Tax Cuts and Jobs Act of 2017 and</w:t>
            </w:r>
          </w:p>
        </w:tc>
        <w:tc>
          <w:tcPr>
            <w:tcW w:w="1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Income (Topic 220)</w:t>
            </w:r>
          </w:p>
        </w:tc>
        <w:tc>
          <w:tcPr>
            <w:tcW w:w="134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requires certain disclosures regarding stranded</w:t>
            </w:r>
          </w:p>
        </w:tc>
        <w:tc>
          <w:tcPr>
            <w:tcW w:w="1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effects in accumulated other</w:t>
            </w:r>
          </w:p>
        </w:tc>
        <w:tc>
          <w:tcPr>
            <w:tcW w:w="13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w:t>
            </w:r>
          </w:p>
        </w:tc>
        <w:tc>
          <w:tcPr>
            <w:tcW w:w="13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tc>
        <w:tc>
          <w:tcPr>
            <w:tcW w:w="1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3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Required</w:t>
            </w:r>
          </w:p>
        </w:tc>
        <w:tc>
          <w:tcPr>
            <w:tcW w:w="34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Effect on the Financial Statements</w:t>
            </w:r>
          </w:p>
        </w:tc>
        <w:tc>
          <w:tcPr>
            <w:tcW w:w="0" w:type="dxa"/>
            <w:vAlign w:val="bottom"/>
          </w:tcPr>
          <w:p>
            <w:pPr>
              <w:spacing w:after="0"/>
              <w:rPr>
                <w:sz w:val="1"/>
                <w:szCs w:val="1"/>
                <w:color w:val="auto"/>
              </w:rPr>
            </w:pPr>
          </w:p>
        </w:tc>
      </w:tr>
      <w:tr>
        <w:trPr>
          <w:trHeight w:val="173"/>
        </w:trPr>
        <w:tc>
          <w:tcPr>
            <w:tcW w:w="168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364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Adoption</w:t>
            </w:r>
          </w:p>
        </w:tc>
        <w:tc>
          <w:tcPr>
            <w:tcW w:w="3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ASU 2016-13</w:t>
            </w:r>
            <w:r>
              <w:rPr>
                <w:rFonts w:ascii="Times New Roman" w:cs="Times New Roman" w:eastAsia="Times New Roman" w:hAnsi="Times New Roman"/>
                <w:sz w:val="18"/>
                <w:szCs w:val="18"/>
                <w:color w:val="auto"/>
              </w:rPr>
              <w:t>,</w:t>
            </w:r>
          </w:p>
        </w:tc>
        <w:tc>
          <w:tcPr>
            <w:tcW w:w="134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June</w:t>
            </w:r>
          </w:p>
        </w:tc>
        <w:tc>
          <w:tcPr>
            <w:tcW w:w="364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The amendment in this update replaces the</w:t>
            </w:r>
          </w:p>
        </w:tc>
        <w:tc>
          <w:tcPr>
            <w:tcW w:w="1320" w:type="dxa"/>
            <w:vAlign w:val="bottom"/>
            <w:shd w:val="clear" w:color="auto" w:fill="CFF0FC"/>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January 2020</w:t>
            </w:r>
          </w:p>
        </w:tc>
        <w:tc>
          <w:tcPr>
            <w:tcW w:w="3440" w:type="dxa"/>
            <w:vAlign w:val="bottom"/>
            <w:shd w:val="clear" w:color="auto" w:fill="CFF0FC"/>
          </w:tcPr>
          <w:p>
            <w:pPr>
              <w:ind w:left="140"/>
              <w:spacing w:after="0" w:line="205" w:lineRule="exact"/>
              <w:rPr>
                <w:sz w:val="20"/>
                <w:szCs w:val="20"/>
                <w:color w:val="auto"/>
              </w:rPr>
            </w:pPr>
            <w:r>
              <w:rPr>
                <w:rFonts w:ascii="Times New Roman" w:cs="Times New Roman" w:eastAsia="Times New Roman" w:hAnsi="Times New Roman"/>
                <w:sz w:val="18"/>
                <w:szCs w:val="18"/>
                <w:color w:val="auto"/>
              </w:rPr>
              <w:t>We are currently evaluating the impact of the</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incurred loss impairment methodology in</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adoption on our consolidated financial</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Instruments - Credit</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GAAP with a methodology that</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Losses (Topic 326),</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reflects expected credit losses on instruments</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Measurement of</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within its scope, including trade receivables.</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Losses on</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This update is intended to provide financial</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340" w:type="dxa"/>
            <w:vAlign w:val="bottom"/>
            <w:shd w:val="clear" w:color="auto" w:fill="CFF0FC"/>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statement users with more decision-useful</w:t>
            </w:r>
          </w:p>
        </w:tc>
        <w:tc>
          <w:tcPr>
            <w:tcW w:w="132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information about the expected credit losses.</w:t>
            </w:r>
          </w:p>
        </w:tc>
        <w:tc>
          <w:tcPr>
            <w:tcW w:w="1320" w:type="dxa"/>
            <w:vAlign w:val="bottom"/>
            <w:shd w:val="clear" w:color="auto" w:fill="CFF0FC"/>
          </w:tcPr>
          <w:p>
            <w:pPr>
              <w:spacing w:after="0"/>
              <w:rPr>
                <w:sz w:val="20"/>
                <w:szCs w:val="20"/>
                <w:color w:val="auto"/>
              </w:rPr>
            </w:pPr>
          </w:p>
        </w:tc>
        <w:tc>
          <w:tcPr>
            <w:tcW w:w="34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19"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Except for the accounting policy for leases that was updated as a result of adopting ASU 2016-02, there were no material changes in our significant accounting policies during the six months ended June 30, 2019. See Note A to the consolidated financial statements included in our Annual Report on Form 10-K/A for the year ended December 31, 2018, as filed with the SEC, for additional information regarding our significant accounting policies.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B – Business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EDIAdmin</w:t>
      </w:r>
    </w:p>
    <w:p>
      <w:pPr>
        <w:spacing w:after="0" w:line="121"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 October 3, 2018, we completed our asset acquisition of EDIAdmin, a privately held company providing end-to-end integration solutions, featuring a dedicated Integration Platform as a Service (“iPaaS”) called Cloud Hybrid Integration Platform (“CHIP”) and collaborative managed services for leading systems and applications, both cloud-based and on-premise. Pursuant to the asset purchase agreement, we paid $7.5 million in cash to the owner of EDIAdmin. The purchase agreement also allowed the seller to receive up to $1.7 million in cash, which becomes payable in first quarter 2020 and 2021 contingent upon the completion of certain revenue milestones at December 31, 2019 and December 31, 2020. The fair value of this contingent consideration was $1.3 million at the date of acquisition and $1.0 million at June 30, 2019. During the three and six months ended June 30, 2019, we recognized income of $0.4 million and $0.3 million, respectively, in our consolidated statements of comprehensive income due to the remeasurement of the contingent liability. See Note E for further disclosures on the remeasurement of the contingent liability.</w:t>
      </w:r>
    </w:p>
    <w:p>
      <w:pPr>
        <w:spacing w:after="0" w:line="18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for the EDIAdmin acquisition was complete as of December 31, 2018. The consolidated balance sheet as of December 31, 2018 reflects the final allocation of the purchase price to the assets acquired and liabilities assumed based on their estimated fair values at the date of acquisition.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CovalentWorks</w:t>
      </w:r>
    </w:p>
    <w:p>
      <w:pPr>
        <w:spacing w:after="0" w:line="121"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On December 18, 2018, we completed our asset acquisition of CovalentWorks, a privately held company providing cloud-based EDI solutions to small- and medium-sized businesses. Pursuant to the asset purchase agreement, we paid $19.4 million in cash and issued $3.4 million in common stock, or 40,478 shares, to the owners of CovalentWorks.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allocated the purchase price to the tangible and identifiable intangible assets acquired and liabilities assumed based on their estimated fair values as of the acquisition date. The excess of the purchase price over the fair value of net tangible and identifiable intangible assets acquired was recorded as goodwill. Goodwill is attributed to a trained workforce and other buyer-specific value resulting from expected synergies, including long-term cost savings, which are not included in the fair values of identifiable assets. The purchase accounting, purchase price allocation and net working capital adjustment for the CovalentWorks acquisition were finalized during the first quarter of 2019 and there have been no subsequent adjustments.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derive our revenues primarily from the following revenue streams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Fulfillment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53,694</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106,139</w:t>
            </w:r>
          </w:p>
        </w:tc>
        <w:tc>
          <w:tcPr>
            <w:tcW w:w="5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91,844</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Analytics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16,889</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Recurring Revenues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127,102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111,290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One-time revenues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135,463</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518"/>
        <w:spacing w:after="0" w:line="282" w:lineRule="auto"/>
        <w:rPr>
          <w:sz w:val="20"/>
          <w:szCs w:val="20"/>
          <w:color w:val="auto"/>
        </w:rPr>
      </w:pPr>
      <w:r>
        <w:rPr>
          <w:rFonts w:ascii="Times New Roman" w:cs="Times New Roman" w:eastAsia="Times New Roman" w:hAnsi="Times New Roman"/>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17" w:lineRule="exact"/>
        <w:rPr>
          <w:sz w:val="20"/>
          <w:szCs w:val="20"/>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Recurring Revenues</w:t>
      </w:r>
    </w:p>
    <w:p>
      <w:pPr>
        <w:spacing w:after="0" w:line="11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Recurring revenues consists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4"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deferred revenue liability for recurring revenue contracts are for one year or less and recognized on a ratable basis over the contract term. We have applied the optional exemption under Accounting Standards Codification (“ASC”) 606-10-50-14(a) and will not disclose information about the remaining performance obligations for contracts which have original durations of one year or less.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One-time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One-time revenues consist of set-up fees from customers and miscellaneous one-time fees.</w:t>
      </w:r>
    </w:p>
    <w:p>
      <w:pPr>
        <w:spacing w:after="0" w:line="225"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 Except for our Analytics platform, we have determined the set-up fees represent a material renewal option right to our customers as they will not be incurred again upon renewal. These set-up fees and related costs are deferred and recognized ratably over two years, which is the estimated connection life between the customer and the trading partner. For our Analytics platform, we have determined the set-up fees do not represent a material customer renewal right and, as such, are deferred and recognized ratably over the estimated initial contract term, which is one year.</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presents the activity of the portion of the deferred revenue liability relating to set-up fees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4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Invoiced set-up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Amortized set-up fees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(2,579)</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(2,596)</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(5,160)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(5,256)</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9,886</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6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under ASC 606-10-50-14(a) and will not disclose information about the remaining performance obligations for contracts which have original durations of one year or less.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Deferred Costs</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Deferred costs consist of costs to obtain customer contracts, such as commissions paid to sales personnel and to third-party partners for customer referrals, and costs to fulfill customer contracts, such as customer implementation costs.</w:t>
      </w:r>
    </w:p>
    <w:p>
      <w:pPr>
        <w:spacing w:after="0" w:line="162"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Sales commissions relating to recurring revenues are considered incremental and recoverable costs of obtaining a contract with our customer. These commissions are calculated based on estimated annual recurring revenue to be generated over the customer’s initial contract year. These costs are deferred and amortized over the expected period of benefit which we have determined to be two years. Amortization expense is included in sales and marketing expenses in the accompanying condensed consolidated statements of operations.</w:t>
      </w:r>
    </w:p>
    <w:p>
      <w:pPr>
        <w:spacing w:after="0" w:line="180"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Customer implementation costs are considered incremental and recoverable costs of obtaining a contract with our customer. These costs are deferred and amortized over the expected period of benefit which we have determined to be two years. Amortization expense is included in cost of revenues in the accompanying condensed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 table below presents the activity of deferred costs and amortization of deferred costs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242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Incurred deferred costs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Amortized deferred costs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(12,243)</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(10,923)</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(24,159)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(21,805)</w:t>
            </w: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Balances, at end of period</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Financial Instruments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invest primarily in money market funds, certificates of deposit, highly liquid debt instruments of the U.S. government and U.S. corporate debt securities. All investments with remaining maturities less than one year from the balance sheet date are classified as short-term investments. Investments with remaining maturities of more than one year from the balance sheet date are classified as long-term investments. As of June 30, 2019 and December 31, 2018, all of our investments held were classified as short-term.</w:t>
      </w:r>
    </w:p>
    <w:p>
      <w:pPr>
        <w:spacing w:after="0" w:line="180"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Our short-term marketable securities are classified as available-for-sale. We intend to hold marketable securities until maturity; however, we may sell these securities at any time for use in current operations or for other purposes.</w:t>
      </w:r>
    </w:p>
    <w:p>
      <w:pPr>
        <w:spacing w:after="0" w:line="162"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marketable securities are carried at fair value and unrealized gains and losses on these investments, net of taxes, are included in accumulated other comprehensive loss in the consolidated balance sheets. Realized gains or losses are included in other income (expense), net in the consolidated statements of comprehensive income. When a determination has been made that an other-than-temporary decline in fair value has occurred, the amount of the decline that is related to a credit loss is realized and is included in other income (expense), net in the consolidated statements of comprehensive income.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short-term investments consisted of the following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Certificate of deposit</w:t>
            </w:r>
          </w:p>
        </w:tc>
        <w:tc>
          <w:tcPr>
            <w:tcW w:w="3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171,157</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34"/>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234"/>
              <w:spacing w:after="0" w:line="145"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3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Certificate of deposit</w:t>
            </w:r>
          </w:p>
        </w:tc>
        <w:tc>
          <w:tcPr>
            <w:tcW w:w="3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Corporate bonds</w:t>
            </w:r>
          </w:p>
        </w:tc>
        <w:tc>
          <w:tcPr>
            <w:tcW w:w="3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U.S. treasury securities</w:t>
            </w:r>
          </w:p>
        </w:tc>
        <w:tc>
          <w:tcPr>
            <w:tcW w:w="3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153,648</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We do not believe any of the unrealized losses represent an other-than-temporary impairment based on our valuation of available evidence as of June 30, 2019. We expect to receive the full principal and interest on all of these cash equivalents, certificate of deposit, and marketable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60" w:firstLine="518"/>
        <w:spacing w:after="0" w:line="289" w:lineRule="auto"/>
        <w:rPr>
          <w:sz w:val="20"/>
          <w:szCs w:val="20"/>
          <w:color w:val="auto"/>
        </w:rPr>
      </w:pPr>
      <w:r>
        <w:rPr>
          <w:rFonts w:ascii="Times New Roman" w:cs="Times New Roman" w:eastAsia="Times New Roman" w:hAnsi="Times New Roman"/>
          <w:sz w:val="17"/>
          <w:szCs w:val="17"/>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0"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40" w:right="36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 We obtain the fair values of our level 2 available-for-sale securities from a professional pricing service.</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to the valuation methodology that are significant to the measurement of fair value of assets or liabilities.</w:t>
      </w:r>
    </w:p>
    <w:p>
      <w:pPr>
        <w:spacing w:after="0" w:line="225"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For the earn-out liability related to the EDIAdmin acquisition, the Company utilized the Monte Carlo simulation method to estimate the fair value of this contingent liability as of the reporting date. Thousands of iterations of the simulation were performed using forecasted revenues to develop a distribution of future values of recurring revenue which, in turn, provide indicated earn-out payments. The total estimated fair value equals the sum of the average present values of the indicated earn-out payments. Changes in assumptions described above could have an impact on the payout of contingent consideration with a maximum payout being $1.7 million. The earn-out liability has been measured as Level 3 given the unobservable inputs that are significant to the measurement of the liability.</w:t>
      </w:r>
    </w:p>
    <w:p>
      <w:pPr>
        <w:spacing w:after="0" w:line="18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8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3"/>
                <w:szCs w:val="13"/>
                <w:color w:val="auto"/>
              </w:rPr>
            </w:pPr>
          </w:p>
        </w:tc>
        <w:tc>
          <w:tcPr>
            <w:tcW w:w="8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2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2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liability</w:t>
            </w:r>
          </w:p>
        </w:tc>
        <w:tc>
          <w:tcPr>
            <w:tcW w:w="2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3"/>
                <w:szCs w:val="13"/>
                <w:color w:val="auto"/>
              </w:rPr>
            </w:pPr>
          </w:p>
        </w:tc>
        <w:tc>
          <w:tcPr>
            <w:tcW w:w="94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Goodwill and 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net carrying amount of goodwill for the six months ended June 30, 2019 are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January 1</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69,658</w:t>
            </w:r>
          </w:p>
        </w:tc>
        <w:tc>
          <w:tcPr>
            <w:tcW w:w="100" w:type="dxa"/>
            <w:vAlign w:val="bottom"/>
            <w:shd w:val="clear" w:color="auto" w:fill="CFF0FC"/>
          </w:tcPr>
          <w:p>
            <w:pPr>
              <w:spacing w:after="0"/>
              <w:rPr>
                <w:sz w:val="19"/>
                <w:szCs w:val="19"/>
                <w:color w:val="auto"/>
              </w:rPr>
            </w:pPr>
          </w:p>
        </w:tc>
      </w:tr>
      <w:tr>
        <w:trPr>
          <w:trHeight w:val="230"/>
        </w:trPr>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shd w:val="clear" w:color="auto" w:fill="CFF0FC"/>
          </w:tcPr>
          <w:p>
            <w:pPr>
              <w:spacing w:after="0"/>
              <w:rPr>
                <w:sz w:val="19"/>
                <w:szCs w:val="19"/>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w:t>
            </w: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70,300</w:t>
            </w:r>
          </w:p>
        </w:tc>
        <w:tc>
          <w:tcPr>
            <w:tcW w:w="10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518"/>
        <w:spacing w:after="0" w:line="282" w:lineRule="auto"/>
        <w:rPr>
          <w:sz w:val="20"/>
          <w:szCs w:val="20"/>
          <w:color w:val="auto"/>
        </w:rPr>
      </w:pPr>
      <w:r>
        <w:rPr>
          <w:rFonts w:ascii="Times New Roman" w:cs="Times New Roman" w:eastAsia="Times New Roman" w:hAnsi="Times New Roman"/>
          <w:sz w:val="18"/>
          <w:szCs w:val="18"/>
          <w:color w:val="auto"/>
        </w:rPr>
        <w:t>Intangible assets subject to amortization primarily include subscriber relationships, non-competition agreements and acquired technology and are amortized over their respective useful lives (ranging from 1 to 10 years). Intangible assets, net included the following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2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(25,097)</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(2,292)</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(2,169)</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2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(2,247)</w:t>
            </w: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other</w:t>
            </w:r>
          </w:p>
        </w:tc>
        <w:tc>
          <w:tcPr>
            <w:tcW w:w="2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(2,012)</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Total amortization expense for intangible assets was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annual amortization expense related to intangible assets subject to amortization for the next five years is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476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4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4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40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100" w:type="dxa"/>
            <w:vAlign w:val="bottom"/>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spacing w:after="0"/>
              <w:rPr>
                <w:sz w:val="19"/>
                <w:szCs w:val="19"/>
                <w:color w:val="auto"/>
              </w:rPr>
            </w:pPr>
          </w:p>
        </w:tc>
        <w:tc>
          <w:tcPr>
            <w:tcW w:w="400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Other Assets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net amount of capitalized implementation costs for internal-use software from hosting arrangements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2019 is as follows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9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January 1</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FF0FC"/>
          </w:tcPr>
          <w:p>
            <w:pPr>
              <w:spacing w:after="0"/>
              <w:rPr>
                <w:sz w:val="19"/>
                <w:szCs w:val="19"/>
                <w:color w:val="auto"/>
              </w:rPr>
            </w:pPr>
          </w:p>
        </w:tc>
      </w:tr>
      <w:tr>
        <w:trPr>
          <w:trHeight w:val="230"/>
        </w:trPr>
        <w:tc>
          <w:tcPr>
            <w:tcW w:w="9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implementation fees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r>
      <w:tr>
        <w:trPr>
          <w:trHeight w:val="230"/>
        </w:trPr>
        <w:tc>
          <w:tcPr>
            <w:tcW w:w="94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implementation fees</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19"/>
                <w:szCs w:val="19"/>
                <w:color w:val="auto"/>
              </w:rPr>
            </w:pPr>
          </w:p>
        </w:tc>
      </w:tr>
      <w:tr>
        <w:trPr>
          <w:trHeight w:val="20"/>
        </w:trPr>
        <w:tc>
          <w:tcPr>
            <w:tcW w:w="9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impairment losses in relation to the capitalized implementation costs for the period presented.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obligated under non-cancellable operating leases, primarily for office space and certain equipment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7760" w:type="dxa"/>
            <w:vAlign w:val="bottom"/>
          </w:tcPr>
          <w:p>
            <w:pPr>
              <w:spacing w:after="0"/>
              <w:rPr>
                <w:sz w:val="12"/>
                <w:szCs w:val="12"/>
                <w:color w:val="auto"/>
              </w:rPr>
            </w:pPr>
          </w:p>
        </w:tc>
        <w:tc>
          <w:tcPr>
            <w:tcW w:w="198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28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b w:val="1"/>
                <w:bCs w:val="1"/>
                <w:color w:val="auto"/>
              </w:rPr>
              <w:t>Right-of-Use</w:t>
            </w:r>
          </w:p>
        </w:tc>
        <w:tc>
          <w:tcPr>
            <w:tcW w:w="100" w:type="dxa"/>
            <w:vAlign w:val="bottom"/>
          </w:tcPr>
          <w:p>
            <w:pPr>
              <w:spacing w:after="0"/>
              <w:rPr>
                <w:sz w:val="12"/>
                <w:szCs w:val="12"/>
                <w:color w:val="auto"/>
              </w:rPr>
            </w:pPr>
          </w:p>
        </w:tc>
      </w:tr>
      <w:tr>
        <w:trPr>
          <w:trHeight w:val="173"/>
        </w:trPr>
        <w:tc>
          <w:tcPr>
            <w:tcW w:w="7760" w:type="dxa"/>
            <w:vAlign w:val="bottom"/>
          </w:tcPr>
          <w:p>
            <w:pPr>
              <w:spacing w:after="0"/>
              <w:rPr>
                <w:sz w:val="15"/>
                <w:szCs w:val="15"/>
                <w:color w:val="auto"/>
              </w:rPr>
            </w:pPr>
          </w:p>
        </w:tc>
        <w:tc>
          <w:tcPr>
            <w:tcW w:w="1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0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Minneapolis, MN lease</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Little Falls, NJ lease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leases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Some of our leases may include options to extend the leases for up to 5 years. The options to extend our leases are not recognized as part of our ROU assets and lease liabilities as it is not reasonably certain that we will exercise those options. Additionally, our agreements do not include options to terminate the 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6" w:name="page17"/>
    <w:bookmarkEnd w:id="16"/>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On December 20, 2017, we executed the fourth amendment to our lease agreement for our current headquarters located in Minneapolis, Minnesota where we lease approximately 189,000 square feet under an agreement that expires on April 30, 2025. We have agreed to expand our headquarters premises by approximately 25,000 square feet during 2020. Our lease agreement also includes a further expansion right and a right of first offer to lease certain additional space and two options to extend the term of the lease for five years at a market rate determined in accordance with the lease. Incentives of $6.4 million are included as a lease component.</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25, 2016, we executed the first amendment to our lease agreement for our Little Falls, New Jersey location where we lease approximately</w:t>
      </w:r>
    </w:p>
    <w:p>
      <w:pPr>
        <w:spacing w:after="0" w:line="2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26,000 square feet under an agreement that expires on June 30, 2023. The agreement includes an option to extend the term of the lease for five years at a market rate determined in accordance with the lease. Incentives of $0.9 million are included as a lease component.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6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6"/>
        </w:trPr>
        <w:tc>
          <w:tcPr>
            <w:tcW w:w="4660" w:type="dxa"/>
            <w:vAlign w:val="bottom"/>
            <w:tcBorders>
              <w:bottom w:val="single" w:sz="8" w:color="CFF0FC"/>
            </w:tcBorders>
          </w:tcPr>
          <w:p>
            <w:pPr>
              <w:spacing w:after="0"/>
              <w:rPr>
                <w:sz w:val="13"/>
                <w:szCs w:val="13"/>
                <w:color w:val="auto"/>
              </w:rPr>
            </w:pPr>
          </w:p>
        </w:tc>
        <w:tc>
          <w:tcPr>
            <w:tcW w:w="32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ind w:right="5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center"/>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20" w:type="dxa"/>
            <w:vAlign w:val="bottom"/>
            <w:tcBorders>
              <w:bottom w:val="single" w:sz="8" w:color="CFF0FC"/>
            </w:tcBorders>
          </w:tcPr>
          <w:p>
            <w:pPr>
              <w:spacing w:after="0"/>
              <w:rPr>
                <w:sz w:val="19"/>
                <w:szCs w:val="19"/>
                <w:color w:val="auto"/>
              </w:rPr>
            </w:pPr>
          </w:p>
        </w:tc>
      </w:tr>
      <w:tr>
        <w:trPr>
          <w:trHeight w:val="223"/>
        </w:trPr>
        <w:tc>
          <w:tcPr>
            <w:tcW w:w="4660" w:type="dxa"/>
            <w:vAlign w:val="bottom"/>
            <w:tcBorders>
              <w:bottom w:val="single" w:sz="8" w:color="CFF0FC"/>
            </w:tcBorders>
            <w:shd w:val="clear" w:color="auto" w:fill="CFF0FC"/>
          </w:tcPr>
          <w:p>
            <w:pPr>
              <w:spacing w:after="0"/>
              <w:rPr>
                <w:sz w:val="19"/>
                <w:szCs w:val="19"/>
                <w:color w:val="auto"/>
              </w:rPr>
            </w:pPr>
          </w:p>
        </w:tc>
        <w:tc>
          <w:tcPr>
            <w:tcW w:w="3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lease cost for short-term leases was not material for the three and six months ended June 30, 2019.</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86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6"/>
        </w:trPr>
        <w:tc>
          <w:tcPr>
            <w:tcW w:w="786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8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20" w:type="dxa"/>
            <w:vAlign w:val="bottom"/>
          </w:tcPr>
          <w:p>
            <w:pPr>
              <w:spacing w:after="0"/>
              <w:rPr>
                <w:sz w:val="19"/>
                <w:szCs w:val="19"/>
                <w:color w:val="auto"/>
              </w:rPr>
            </w:pPr>
          </w:p>
        </w:tc>
      </w:tr>
      <w:tr>
        <w:trPr>
          <w:trHeight w:val="23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ROU obtained in exchange for operating lease liabilities</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ROU assets obtained in exchange for operating lease liabilities excludes the transition amount of $15.7 million.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720" w:type="dxa"/>
            <w:vAlign w:val="bottom"/>
            <w:tcBorders>
              <w:bottom w:val="single" w:sz="8" w:color="CFF0FC"/>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 years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7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At June 30, 2019, our future minimum payments under operating leases were as follows (in thousands):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50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7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At December 31, 2018, our future minimum payments under operating leases were as follows (in thousands):</w:t>
            </w: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w:t>
            </w:r>
          </w:p>
        </w:tc>
        <w:tc>
          <w:tcPr>
            <w:tcW w:w="104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Stock-Based Compensation</w:t>
      </w:r>
    </w:p>
    <w:p>
      <w:pPr>
        <w:spacing w:after="0" w:line="121"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Our equity compensation plans provide for the grant of incentive and nonqualified stock options, as well as other stock-based awards including restricted stock and restricted stock units (“RSU”), to employees, non-employee directors and other consultants who provide services to us. We also provide an employee stock purchase plan and 401(k) stock match.</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Restricted stock awards result in the issuance of new shares when granted. For other stock-based awards, new shares are issued when the award is exercised, vested or released according to the terms of the agreement. In February 2019, 1,040,744 additional shares were reserved for future issuance under our 2010 Equity Incentive Plan. At June 30, 2019, there were approximately 6,162,889 million shares available for grant under approved equity compensation plans.</w:t>
      </w:r>
    </w:p>
    <w:p>
      <w:pPr>
        <w:spacing w:after="0" w:line="18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We recognize stock-based compensation expense on a straight-line basis over the vesting period, except for expense relating to retirement-eligible employees which is recognized immediately upon the employee becoming retirement-eligible.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Stock-based compensation expense was allocated in the condensed consolidated statements of comprehensive income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1,608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2,875</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3,179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plan type was as follows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share units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stock units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1,419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1,829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awards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401(k) stock match</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2,875</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3,179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As of June 30, 2019, there was approximately $20.0 million of unrecognized stock-based compensation expense under our equity compensation plans, which is expected to be recognized on a straight-line basis over a weighted average period of 2.8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Stock options generally vest over four years and have a contractual term of seven to ten years from the date of grant. Our stock option activity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6780" w:type="dxa"/>
            <w:vAlign w:val="bottom"/>
          </w:tcPr>
          <w:p>
            <w:pPr>
              <w:spacing w:after="0"/>
              <w:rPr>
                <w:sz w:val="15"/>
                <w:szCs w:val="15"/>
                <w:color w:val="auto"/>
              </w:rPr>
            </w:pPr>
          </w:p>
        </w:tc>
        <w:tc>
          <w:tcPr>
            <w:tcW w:w="1400" w:type="dxa"/>
            <w:vAlign w:val="bottom"/>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56"/>
        </w:trPr>
        <w:tc>
          <w:tcPr>
            <w:tcW w:w="6780" w:type="dxa"/>
            <w:vAlign w:val="bottom"/>
          </w:tcPr>
          <w:p>
            <w:pPr>
              <w:spacing w:after="0"/>
              <w:rPr>
                <w:sz w:val="13"/>
                <w:szCs w:val="13"/>
                <w:color w:val="auto"/>
              </w:rPr>
            </w:pPr>
          </w:p>
        </w:tc>
        <w:tc>
          <w:tcPr>
            <w:tcW w:w="140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center"/>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r>
      <w:tr>
        <w:trPr>
          <w:trHeight w:val="230"/>
        </w:trPr>
        <w:tc>
          <w:tcPr>
            <w:tcW w:w="8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873,234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shd w:val="clear" w:color="auto" w:fill="CFF0FC"/>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Pr>
          <w:p>
            <w:pPr>
              <w:spacing w:after="0"/>
              <w:rPr>
                <w:sz w:val="19"/>
                <w:szCs w:val="19"/>
                <w:color w:val="auto"/>
              </w:rPr>
            </w:pPr>
          </w:p>
        </w:tc>
      </w:tr>
      <w:tr>
        <w:trPr>
          <w:trHeight w:val="230"/>
        </w:trPr>
        <w:tc>
          <w:tcPr>
            <w:tcW w:w="8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(114,480)</w:t>
            </w: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shd w:val="clear" w:color="auto" w:fill="CFF0FC"/>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(19,254)</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831,409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Of the total outstanding options at June 30, 2019, 570,649 were exercisable with a weighted average exercise price of $53.30 per share. The total outstanding options had a weighted average remaining contractual life of 3.32 years.</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first six months of 2019 was $33.72. This was estimated on the date of grant using the Black-Scholes option pricing model with the following weighted-average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 and Restricted Stock Units and Awards</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In February 2017, our executive officers were granted performance share unit (“PSU”) awards with vesting contingent on successful attainment of pre-determined revenue targets over the course of a three-year performance period (fiscal years 2017 – 2019). The fair value is measured as the number of performance shares expected to be earned multiplied by the grant date fair value of our shares. The number of performance shares expected to vest during the current service period is estimated and the fair value of those shares is recognized over the remaining service period less any amounts already recognized.</w:t>
      </w:r>
    </w:p>
    <w:p>
      <w:pPr>
        <w:spacing w:after="0" w:line="180"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In February 2018 and 2019, our executive officers were granted PSU awards with vesting contingent on the Company’s total shareholder return as compared to indexed total shareholder return over the course of a three-year performance period (fiscal years 2018 – 2020 and fiscal years 2019 – 2021, respectively). The grant date fair value was estimated using a Monte Carlo simulation that utilizes multiple input variables that determine the probability of satisfying the performance conditions stipulated in the award and calculates the fair market value for the PSUs granted. Expense is recognized on a straight-line basis over the vesting period, regardless of whether the market condition is satisfied.</w:t>
      </w:r>
    </w:p>
    <w:p>
      <w:pPr>
        <w:spacing w:after="0" w:line="18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RSUs vest over four years and, upon vesting, the holder is entitled to receive shares of our common stock. With restricted stock awards, shares of our common stock are issued when the award is granted and the restrictions lapse over one year.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Activity for our PSUs and restricted stock units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jc w:val="center"/>
              <w:ind w:right="2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PSUs and RSUs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140" w:type="dxa"/>
            <w:vAlign w:val="bottom"/>
            <w:tcBorders>
              <w:top w:val="single" w:sz="8" w:color="auto"/>
            </w:tcBorders>
          </w:tcPr>
          <w:p>
            <w:pPr>
              <w:jc w:val="right"/>
              <w:ind w:right="90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4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377,335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59.90</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4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112.46</w:t>
            </w: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 and common stock issued</w:t>
            </w:r>
          </w:p>
        </w:tc>
        <w:tc>
          <w:tcPr>
            <w:tcW w:w="50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(95,312)</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57.53</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5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(11,460)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61.41</w:t>
            </w: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2720" w:type="dxa"/>
            <w:vAlign w:val="bottom"/>
            <w:tcBorders>
              <w:top w:val="single" w:sz="8" w:color="CFF0FC"/>
              <w:bottom w:val="single" w:sz="8" w:color="CFF0FC"/>
            </w:tcBorders>
            <w:shd w:val="clear" w:color="auto" w:fill="CFF0FC"/>
          </w:tcPr>
          <w:p>
            <w:pPr>
              <w:spacing w:after="0"/>
              <w:rPr>
                <w:sz w:val="19"/>
                <w:szCs w:val="19"/>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368,766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74.46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72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19</w:t>
            </w:r>
          </w:p>
        </w:tc>
        <w:tc>
          <w:tcPr>
            <w:tcW w:w="2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19" w:name="page20"/>
    <w:bookmarkEnd w:id="19"/>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number of restricted stock units outstanding at June 30, 2019 included 25,617 units that have vested, but for which shares of common stock have not yet been issued pursuant to the terms of the agreement.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restricted stock awards activity was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6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6840" w:type="dxa"/>
            <w:vAlign w:val="bottom"/>
            <w:tcBorders>
              <w:bottom w:val="single" w:sz="8" w:color="CFF0FC"/>
            </w:tcBorders>
          </w:tcPr>
          <w:p>
            <w:pPr>
              <w:spacing w:after="0"/>
              <w:rPr>
                <w:sz w:val="15"/>
                <w:szCs w:val="15"/>
                <w:color w:val="auto"/>
              </w:rPr>
            </w:pPr>
          </w:p>
        </w:tc>
        <w:tc>
          <w:tcPr>
            <w:tcW w:w="162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Awards (#)</w:t>
            </w: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Date Fair Value ($/share)</w:t>
            </w:r>
          </w:p>
        </w:tc>
      </w:tr>
      <w:tr>
        <w:trPr>
          <w:trHeight w:val="223"/>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6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74.44</w:t>
            </w:r>
          </w:p>
        </w:tc>
      </w:tr>
      <w:tr>
        <w:trPr>
          <w:trHeight w:val="230"/>
        </w:trPr>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common stock issued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103.60</w:t>
            </w:r>
          </w:p>
        </w:tc>
      </w:tr>
      <w:tr>
        <w:trPr>
          <w:trHeight w:val="230"/>
        </w:trPr>
        <w:tc>
          <w:tcPr>
            <w:tcW w:w="8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Restrictions lapsed</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86.15</w:t>
            </w:r>
          </w:p>
        </w:tc>
      </w:tr>
      <w:tr>
        <w:trPr>
          <w:trHeight w:val="230"/>
        </w:trPr>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2019</w:t>
            </w:r>
          </w:p>
        </w:tc>
        <w:tc>
          <w:tcPr>
            <w:tcW w:w="1620" w:type="dxa"/>
            <w:vAlign w:val="bottom"/>
            <w:tcBorders>
              <w:top w:val="single" w:sz="8" w:color="auto"/>
              <w:bottom w:val="single" w:sz="8" w:color="auto"/>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80" w:type="dxa"/>
            <w:vAlign w:val="bottom"/>
            <w:tcBorders>
              <w:top w:val="single" w:sz="8" w:color="CFF0FC"/>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103.60</w:t>
            </w:r>
          </w:p>
        </w:tc>
      </w:tr>
      <w:tr>
        <w:trPr>
          <w:trHeight w:val="20"/>
        </w:trPr>
        <w:tc>
          <w:tcPr>
            <w:tcW w:w="6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an employee stock purchase plan which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respectively. A total of 1.0 million shares of common stock are reserved for issuance under the plan.</w:t>
      </w:r>
    </w:p>
    <w:p>
      <w:pPr>
        <w:spacing w:after="0" w:line="184"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For the offering periods that began on January 1, 2019 and January 1, 2018, we withheld approximately $1.2 million and $0.8 million from employees participating in the plan for the six months ended June 30, 2019 and 2018, respectively.</w:t>
      </w:r>
    </w:p>
    <w:p>
      <w:pPr>
        <w:spacing w:after="0" w:line="162"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The fair value was estimated based on the market price of our common stock at the beginning of the offering period using the 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5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(in years)</w:t>
            </w:r>
          </w:p>
        </w:tc>
        <w:tc>
          <w:tcPr>
            <w:tcW w:w="51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Stock Match</w:t>
      </w:r>
    </w:p>
    <w:p>
      <w:pPr>
        <w:spacing w:after="0" w:line="11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sponsor a 401(k) retirement savings plan for our U.S. employees where employees can contribute up to 80% of their compensation, subject to the limits established by law. We match 50% of the employee’s elective deferrals, up to the first 6% of the employee’s pre-tax compensation for each pay period. A portion of our match is in company stock, which is purchased from the open market by our plan provider and immediately deposited into the employee’s 401(k) account.</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Income Taxes</w:t>
      </w:r>
    </w:p>
    <w:p>
      <w:pPr>
        <w:spacing w:after="0" w:line="121" w:lineRule="exact"/>
        <w:rPr>
          <w:sz w:val="20"/>
          <w:szCs w:val="20"/>
          <w:color w:val="auto"/>
        </w:rPr>
      </w:pPr>
    </w:p>
    <w:p>
      <w:pPr>
        <w:ind w:right="140" w:firstLine="518"/>
        <w:spacing w:after="0" w:line="256" w:lineRule="auto"/>
        <w:rPr>
          <w:sz w:val="20"/>
          <w:szCs w:val="20"/>
          <w:color w:val="auto"/>
        </w:rPr>
      </w:pPr>
      <w:r>
        <w:rPr>
          <w:rFonts w:ascii="Times New Roman" w:cs="Times New Roman" w:eastAsia="Times New Roman" w:hAnsi="Times New Roman"/>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 current foreign and state income tax expense, as well as deferred tax expense.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we do not have any unrecognized tax benefits nor any accrued interest or tax penalties.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K – Net Income Per Share</w:t>
      </w:r>
    </w:p>
    <w:p>
      <w:pPr>
        <w:spacing w:after="0" w:line="121" w:lineRule="exact"/>
        <w:rPr>
          <w:sz w:val="20"/>
          <w:szCs w:val="20"/>
          <w:color w:val="auto"/>
        </w:rPr>
      </w:pPr>
    </w:p>
    <w:p>
      <w:pPr>
        <w:ind w:right="960" w:firstLine="518"/>
        <w:spacing w:after="0" w:line="266" w:lineRule="auto"/>
        <w:rPr>
          <w:sz w:val="20"/>
          <w:szCs w:val="20"/>
          <w:color w:val="auto"/>
        </w:rPr>
      </w:pPr>
      <w:r>
        <w:rPr>
          <w:rFonts w:ascii="Times New Roman" w:cs="Times New Roman" w:eastAsia="Times New Roman" w:hAnsi="Times New Roman"/>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76" w:lineRule="exact"/>
        <w:rPr>
          <w:sz w:val="20"/>
          <w:szCs w:val="20"/>
          <w:color w:val="auto"/>
        </w:rPr>
      </w:pPr>
    </w:p>
    <w:p>
      <w:pPr>
        <w:ind w:right="40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the computation of basic and diluted net income per share for the periods indicated (in thousands, except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9"/>
                <w:szCs w:val="19"/>
                <w:color w:val="auto"/>
              </w:rPr>
            </w:pPr>
          </w:p>
        </w:tc>
      </w:tr>
      <w:tr>
        <w:trPr>
          <w:trHeight w:val="263"/>
        </w:trPr>
        <w:tc>
          <w:tcPr>
            <w:tcW w:w="59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26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tcBorders>
              <w:bottom w:val="single" w:sz="8" w:color="CFF0FC"/>
            </w:tcBorders>
          </w:tcPr>
          <w:p>
            <w:pPr>
              <w:spacing w:after="0"/>
              <w:rPr>
                <w:sz w:val="22"/>
                <w:szCs w:val="22"/>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shares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 Subsequent Event</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On July 25, 2019, the Company’s board of directors declared a two-for-one stock split of the Company’s common stock, which will be effected in the form of a 100 percent share dividend, and will be distributed August 22, 2019, to shareholders of record as of August 8, 2019. The stock split will increase the number of shares outstanding from approximately 18.1 million shares to approximately 36.2 million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21" w:name="page22"/>
    <w:bookmarkEnd w:id="2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0" w:lineRule="exact"/>
        <w:rPr>
          <w:sz w:val="20"/>
          <w:szCs w:val="20"/>
          <w:color w:val="auto"/>
        </w:rPr>
      </w:pPr>
    </w:p>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2019, our revenues were $68.5 million, an increase of 12% from the comparable period in 2018, and represented our 74th consecutive quarter of increased revenues. Total operating expenses increased 2% for the same period in 2019 from 2018. For the six months ended June 30, 2019, revenues increased 13% and operating expenses increased 6% compared to the same period in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Terms and Metrics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have several key financial terms and metrics, including annualized average recurring revenues per recurring revenue customer, which we also refer to as wallet share. During the three and six months ended June 30, 2019, there were no changes in the definitions of our key financial terms and metrics, which are discussed in more detail under the heading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included in our Annual Report on Form 10-K/A for the year ended December 31, 2018 as filed with the SEC.</w:t>
      </w:r>
    </w:p>
    <w:p>
      <w:pPr>
        <w:spacing w:after="0" w:line="180"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presented to our board of directors.</w:t>
      </w:r>
    </w:p>
    <w:p>
      <w:pPr>
        <w:spacing w:after="0" w:line="18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discussion of our financial condition and results of operations is based upon our condensed consolidated financial statements, which are prepared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and with the instructions to Form 10-Q and Rule 10-01 of Regulation S-X. The preparation of these financial statements requires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to make estimates, judgments and assumptions that affect the reported amounts of assets, liabilities, revenues, costs and expenses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disclosures. On an ongoing basis, we evaluate our estimates and assumptions. We base our estimates of the carrying value of certain assets and liabilities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experience and on various other assumptions that we believe to be reasonable. Our actual results may differ from these estimates under different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or conditions.</w:t>
      </w:r>
    </w:p>
    <w:p>
      <w:pPr>
        <w:spacing w:after="0" w:line="207"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and income taxes are the most critical to fully understand and evaluate our financial condition and results of operations.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22" w:name="page23"/>
    <w:bookmarkEnd w:id="22"/>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2019, there were no changes in our critical accounting policies or estimates, other than the adoption of ASU No. 2016-02. See Note A to our condensed consolidated financial statements included in this Quarterly Report on Form 10-Q and in our Annual Report on Form 10-K/A for the year ended December 31, 2018, as filed with the SEC, for additional information regarding our accounting policies.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June 30, 2019 compared to three months ended June 30, 2018</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9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3"/>
                <w:szCs w:val="13"/>
                <w:color w:val="auto"/>
              </w:rPr>
            </w:pPr>
          </w:p>
        </w:tc>
        <w:tc>
          <w:tcPr>
            <w:tcW w:w="700" w:type="dxa"/>
            <w:vAlign w:val="bottom"/>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68,529</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20,402</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40,689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(879)</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(168)</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net</w:t>
            </w:r>
          </w:p>
        </w:tc>
        <w:tc>
          <w:tcPr>
            <w:tcW w:w="8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4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38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The increase in revenues resulted from two primary factors: the increase in recurring revenue customers and the increase in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recurring revenues per recurring revenue customer, which we also refer to as wallet share.</w:t>
      </w:r>
    </w:p>
    <w:p>
      <w:pPr>
        <w:spacing w:after="0" w:line="52" w:lineRule="exact"/>
        <w:rPr>
          <w:sz w:val="20"/>
          <w:szCs w:val="20"/>
          <w:color w:val="auto"/>
        </w:rPr>
      </w:pP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14% to 29,889 at June 30, 2019 from 26,212 at June 30, 2018.</w:t>
      </w:r>
    </w:p>
    <w:p>
      <w:pPr>
        <w:spacing w:after="0" w:line="117" w:lineRule="exact"/>
        <w:rPr>
          <w:rFonts w:ascii="Times New Roman" w:cs="Times New Roman" w:eastAsia="Times New Roman" w:hAnsi="Times New Roman"/>
          <w:sz w:val="18"/>
          <w:szCs w:val="18"/>
          <w:color w:val="auto"/>
        </w:rPr>
      </w:pPr>
    </w:p>
    <w:p>
      <w:pPr>
        <w:jc w:val="both"/>
        <w:ind w:left="1040" w:right="480" w:hanging="519"/>
        <w:spacing w:after="0" w:line="313"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 average recurring revenues per recurring revenue customer, or wallet share, stayed level at $8,674 for the three months ended June 30, 2019 from $8,665 for the same period in 2018. The consistent wallet share is due to the increase in recurring revenue customers.</w:t>
      </w:r>
    </w:p>
    <w:p>
      <w:pPr>
        <w:spacing w:after="0" w:line="138"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Recurring revenues from recurring revenue customers accounted for 94% of our total revenues for the three months ended June 30, 2019, increasing from 92% for the same period in 2018. We anticipate that the number of recurring revenue customers and wallet share will continue to increase as we increase the number of solutions we offer and increase the penetration of those solutions across our customer base.</w:t>
      </w:r>
    </w:p>
    <w:p>
      <w:pPr>
        <w:spacing w:after="0" w:line="174" w:lineRule="exact"/>
        <w:rPr>
          <w:sz w:val="20"/>
          <w:szCs w:val="20"/>
          <w:color w:val="auto"/>
        </w:rPr>
      </w:pPr>
    </w:p>
    <w:p>
      <w:pPr>
        <w:jc w:val="both"/>
        <w:ind w:right="32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The increase in cost of revenues for the three months ended June 30, 2019 was primarily due to an increase in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$2.5 million, driven by increased salaries and benefits due to business growth and by increased consulting and contract labor. As we continued to invest in the infrastructure supporting our platform, depreciation expense increased by $0.5 million compared to the same period in 2018.</w:t>
      </w:r>
    </w:p>
    <w:p>
      <w:pPr>
        <w:spacing w:after="0" w:line="174" w:lineRule="exact"/>
        <w:rPr>
          <w:sz w:val="20"/>
          <w:szCs w:val="20"/>
          <w:color w:val="auto"/>
        </w:rPr>
      </w:pPr>
    </w:p>
    <w:p>
      <w:pPr>
        <w:ind w:right="7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decrease in sales and marketing expenses for the three months ended June 30, 2019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headcount, which resulted in a decrease of $0.5 million in salaries and benefits, compared to the same period in 2018.</w:t>
      </w:r>
    </w:p>
    <w:p>
      <w:pPr>
        <w:spacing w:after="0" w:line="158" w:lineRule="exact"/>
        <w:rPr>
          <w:sz w:val="20"/>
          <w:szCs w:val="20"/>
          <w:color w:val="auto"/>
        </w:rPr>
      </w:pPr>
    </w:p>
    <w:p>
      <w:pPr>
        <w:jc w:val="both"/>
        <w:ind w:right="6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 for the three months ended June 30, 2019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increased headcount which resulted in an increase in personnel costs of $0.8 million and an increase in stock-based compensation expense of $0.2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3" w:name="page24"/>
    <w:bookmarkEnd w:id="23"/>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The increase in general and administrative expenses for the three months ended June 30, 2019 was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business growth which drove an increase in personnel-related costs of $0.5 million, an increase of $0.3 million in cloud-based and software subscriptions, and an increase of $0.3 million in bad debt expense. The increases in these costs were offset by a decrease in stock-based compensation of $0.7 million driven by the timing of the Chief Executive Officer’s 2019 RSU grants compared to his 2018 RSU grants.</w:t>
      </w:r>
    </w:p>
    <w:p>
      <w:pPr>
        <w:spacing w:after="0" w:line="180"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Interest income, net, other expense, net, and change in earn-out liability for the three months ended June 30, 2019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same period in 2018 primarily due to increased interest income from investments, offset by realized foreign currency exchange gains, and decrease in the fair value of the earn-out liability. The change in fair value of the earn-out liability for the three months ended June 30, 2019 of $0.4 million in income was driven by an adjustment to the fair value of the EDIAdmin earnout liability due to estimated revenue at the earn-out measurement dates, December 31, 2019 and December 31, 2020.</w:t>
      </w:r>
    </w:p>
    <w:p>
      <w:pPr>
        <w:spacing w:after="0" w:line="180" w:lineRule="exact"/>
        <w:rPr>
          <w:sz w:val="20"/>
          <w:szCs w:val="20"/>
          <w:color w:val="auto"/>
        </w:rPr>
      </w:pPr>
    </w:p>
    <w:p>
      <w:pPr>
        <w:ind w:right="4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The increase in income tax expense for the three months ended June 30, 2019 was primarily due to an increase in pre-tax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Under ASU 2016-09, excess tax benefits generated upon the settlement or exercise of stock awards are recognized as a reduction to income tax expense and, as a result, we expect that our annual effective income tax rate will be volatile.</w:t>
      </w:r>
    </w:p>
    <w:p>
      <w:pPr>
        <w:spacing w:after="0" w:line="174"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which is a non-GAAP measure of financial performance, consists of net income adjusted for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interest expense, interest income, income tax expense, stock-based compensation expense, the discrete impact from tax law change, and other adjustments as necessary for a fair presentation. Other adjustments included the impact of the fair value adjustment for the EDIAdmin earn-out liability. The following table provides a reconciliation of net income to Adjusted EBITDA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6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14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shd w:val="clear" w:color="auto" w:fill="CFF0FC"/>
          </w:tcPr>
          <w:p>
            <w:pPr>
              <w:spacing w:after="0"/>
              <w:rPr>
                <w:sz w:val="19"/>
                <w:szCs w:val="19"/>
                <w:color w:val="auto"/>
              </w:rPr>
            </w:pPr>
          </w:p>
        </w:tc>
      </w:tr>
      <w:tr>
        <w:trPr>
          <w:trHeight w:val="230"/>
        </w:trPr>
        <w:tc>
          <w:tcPr>
            <w:tcW w:w="6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tcPr>
          <w:p>
            <w:pPr>
              <w:spacing w:after="0"/>
              <w:rPr>
                <w:sz w:val="19"/>
                <w:szCs w:val="19"/>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4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12,102</w:t>
            </w:r>
          </w:p>
        </w:tc>
        <w:tc>
          <w:tcPr>
            <w:tcW w:w="12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right="18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The following table provides a reconciliation of net income to non-GAAP income per share (in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47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(1,723)</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(1,027)</w:t>
            </w:r>
          </w:p>
        </w:tc>
      </w:tr>
      <w:tr>
        <w:trPr>
          <w:trHeight w:val="263"/>
        </w:trPr>
        <w:tc>
          <w:tcPr>
            <w:tcW w:w="4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314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Borders>
              <w:bottom w:val="single" w:sz="8" w:color="CFF0FC"/>
            </w:tcBorders>
          </w:tcPr>
          <w:p>
            <w:pPr>
              <w:spacing w:after="0"/>
              <w:rPr>
                <w:sz w:val="22"/>
                <w:szCs w:val="22"/>
                <w:color w:val="auto"/>
              </w:rPr>
            </w:pPr>
          </w:p>
        </w:tc>
      </w:tr>
      <w:tr>
        <w:trPr>
          <w:trHeight w:val="224"/>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17,163</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17,549</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120" w:type="dxa"/>
            <w:vAlign w:val="bottom"/>
            <w:gridSpan w:val="2"/>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FF0FC"/>
          </w:tcPr>
          <w:p>
            <w:pPr>
              <w:spacing w:after="0"/>
              <w:rPr>
                <w:sz w:val="19"/>
                <w:szCs w:val="19"/>
                <w:color w:val="auto"/>
              </w:rPr>
            </w:pPr>
          </w:p>
        </w:tc>
      </w:tr>
      <w:tr>
        <w:trPr>
          <w:trHeight w:val="234"/>
        </w:trPr>
        <w:tc>
          <w:tcPr>
            <w:tcW w:w="4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12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tcPr>
          <w:p>
            <w:pPr>
              <w:spacing w:after="0"/>
              <w:rPr>
                <w:sz w:val="20"/>
                <w:szCs w:val="20"/>
                <w:color w:val="auto"/>
              </w:rPr>
            </w:pPr>
          </w:p>
        </w:tc>
        <w:tc>
          <w:tcPr>
            <w:tcW w:w="680" w:type="dxa"/>
            <w:vAlign w:val="bottom"/>
            <w:gridSpan w:val="2"/>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0"/>
                <w:szCs w:val="20"/>
                <w:color w:val="auto"/>
              </w:rPr>
            </w:pPr>
          </w:p>
        </w:tc>
      </w:tr>
      <w:tr>
        <w:trPr>
          <w:trHeight w:val="643"/>
        </w:trPr>
        <w:tc>
          <w:tcPr>
            <w:tcW w:w="4740" w:type="dxa"/>
            <w:vAlign w:val="bottom"/>
          </w:tcPr>
          <w:p>
            <w:pPr>
              <w:spacing w:after="0"/>
              <w:rPr>
                <w:sz w:val="24"/>
                <w:szCs w:val="24"/>
                <w:color w:val="auto"/>
              </w:rPr>
            </w:pPr>
          </w:p>
        </w:tc>
        <w:tc>
          <w:tcPr>
            <w:tcW w:w="314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 Compared to Six Months Ended June 30, 2018</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3"/>
                <w:szCs w:val="13"/>
                <w:color w:val="auto"/>
              </w:rPr>
            </w:pPr>
          </w:p>
        </w:tc>
        <w:tc>
          <w:tcPr>
            <w:tcW w:w="640" w:type="dxa"/>
            <w:vAlign w:val="bottom"/>
          </w:tcPr>
          <w:p>
            <w:pPr>
              <w:jc w:val="right"/>
              <w:ind w:right="29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135,463</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120,183</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4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40,160</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90,396</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(1,604)</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22,949</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4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73,687</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69,758</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(322)</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earn-out liability</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w:t>
            </w: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4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38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six months ended June 30, 2019 increased $15.3 million, or 13%, to $135.5 million from $120.2 million for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2018. The increase in revenues resulted from two primary factors: the increase in recurring revenue customers and the increase in annualized average recurring revenues per recurring revenue customer, which we also refer to as wallet share.</w:t>
      </w:r>
    </w:p>
    <w:p>
      <w:pPr>
        <w:spacing w:after="0" w:line="67"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recurring revenue customers increased 14% to 29,889 at June 30, 2019 from 26,212 at June 30, 2018.</w:t>
      </w:r>
    </w:p>
    <w:p>
      <w:pPr>
        <w:spacing w:after="0" w:line="117"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average recurring revenues per recurring revenue customer, or wallet share, stayed level at $8,588 for the six months ended June 30, 2019 from $8,567 for the same period in 2018. The consistent wallet share is due to the increase in recurring revenue customers.</w:t>
      </w:r>
    </w:p>
    <w:p>
      <w:pPr>
        <w:spacing w:after="0" w:line="162" w:lineRule="exact"/>
        <w:rPr>
          <w:sz w:val="20"/>
          <w:szCs w:val="20"/>
          <w:color w:val="auto"/>
        </w:rPr>
      </w:pPr>
    </w:p>
    <w:p>
      <w:pPr>
        <w:ind w:right="360" w:firstLine="518"/>
        <w:spacing w:after="0" w:line="266" w:lineRule="auto"/>
        <w:rPr>
          <w:sz w:val="20"/>
          <w:szCs w:val="20"/>
          <w:color w:val="auto"/>
        </w:rPr>
      </w:pPr>
      <w:r>
        <w:rPr>
          <w:rFonts w:ascii="Times New Roman" w:cs="Times New Roman" w:eastAsia="Times New Roman" w:hAnsi="Times New Roman"/>
          <w:sz w:val="18"/>
          <w:szCs w:val="18"/>
          <w:color w:val="auto"/>
        </w:rPr>
        <w:t>Recurring revenues from recurring revenue customers accounted for 94% of our total revenues for the six months ended June 30, 2019, increasing from 93% for the same period in 2018. We anticipate that the number of recurring revenue customers and wallet share will continue to increase as we increase the number of solutions we offer and increase the penetration of those solutions across our customer base.</w:t>
      </w:r>
    </w:p>
    <w:p>
      <w:pPr>
        <w:spacing w:after="0" w:line="174" w:lineRule="exact"/>
        <w:rPr>
          <w:sz w:val="20"/>
          <w:szCs w:val="20"/>
          <w:color w:val="auto"/>
        </w:rPr>
      </w:pPr>
    </w:p>
    <w:p>
      <w:pPr>
        <w:ind w:right="40" w:firstLine="51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The increase in cost of revenues for the six months ended June 30, 2019 was primarily due to an increase of $3.5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personnel-related costs, driven by continued business growth and by an increase in contractor labor. As we continued to invest in the infrastructure supporting our platform, depreciation expense increased by $1.0 million compared to the same period in 2018.</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The decrease in sales and marketing expenses for the six months ended June 30, 2019 was due to a decrease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 million of personnel-related costs, offset by a $0.3 million increase in variable compensation earned by sales personnel and referral partners, as a result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new business.</w:t>
      </w:r>
    </w:p>
    <w:p>
      <w:pPr>
        <w:spacing w:after="0" w:line="205" w:lineRule="exact"/>
        <w:rPr>
          <w:sz w:val="20"/>
          <w:szCs w:val="20"/>
          <w:color w:val="auto"/>
        </w:rPr>
      </w:pPr>
    </w:p>
    <w:p>
      <w:pPr>
        <w:ind w:right="1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The increase in research and development expenses for the six months ended June 30, 2019 was primarily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increased headcount which resulted in an increase in personnel costs of $1.6 million and an increase of stock-based compensation of $0.4 million.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25" w:name="page26"/>
    <w:bookmarkEnd w:id="25"/>
    <w:p>
      <w:pPr>
        <w:ind w:right="320" w:firstLine="518"/>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The increase in general and administrative expenses for the six months ended June 30, 2019 was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business growth driven by an increase in personnel-related costs of $1.0 million and an increase in stock-based compensation of $0.8</w:t>
      </w:r>
    </w:p>
    <w:p>
      <w:pPr>
        <w:spacing w:after="0" w:line="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million. Additionally, other expenses increased by $1.2 million, primarily driven by increased costs of software subscriptions, credit card fees and bad debt expense.</w:t>
      </w:r>
    </w:p>
    <w:p>
      <w:pPr>
        <w:spacing w:after="0" w:line="178"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Interest income, net, other expense, net, and change in earn-out liability for the six months ended June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over the same period in 2018 primarily due to increased income from investments and settlement and subsequent return of escrowed shared from the Toolbox acquisition, offset by realized foreign currency exchange gains, and decrease in fair value of the earn-out liability. The change in earn-out liability for the six months ended June 30, 2019 was $0.3 million in income driven by an adjustment to the fair value of the EDIAdmin earnout liability due to estimated revenue at the earn-out measurement dates, December 31, 2019 and December 31, 2020.</w:t>
      </w:r>
    </w:p>
    <w:p>
      <w:pPr>
        <w:spacing w:after="0" w:line="180"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The increase in income tax expense for the six months ended June 30, 2019, as compared to the same period in 2018,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pre-tax income, partially offset by an increase of $1.2 million in discrete tax benefits, primarily driven by an increase in stock activity. Under ASU 2016-09, excess tax benefits generated upon the settlement or exercise of stock awards are recognized as a reduction to income tax expense and, as a result, we expect that our annual effective income tax rate will be volatile.</w:t>
      </w:r>
    </w:p>
    <w:p>
      <w:pPr>
        <w:spacing w:after="0" w:line="180" w:lineRule="exact"/>
        <w:rPr>
          <w:sz w:val="20"/>
          <w:szCs w:val="20"/>
          <w:color w:val="auto"/>
        </w:rPr>
      </w:pPr>
    </w:p>
    <w:p>
      <w:pPr>
        <w:ind w:right="10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which is a non-GAAP measure of financial performance, consists of net income adjusted for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interest expense, interest income, income tax expense, stock-based compensation expense, the discrete impact from tax law change, and other adjustments as necessary for a fair presentation. Other adjustments included the impact of the fair value adjustment for the EDIAdmin earn-out liability, returned escrow shares related to the Toolbox acquisition, and an impairment of internally developed software. The following table provides a reconciliation of net income to Adjusted EBITDA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20" w:type="dxa"/>
            <w:vAlign w:val="bottom"/>
            <w:tcBorders>
              <w:bottom w:val="single" w:sz="8" w:color="CFF0FC"/>
            </w:tcBorders>
          </w:tcPr>
          <w:p>
            <w:pPr>
              <w:spacing w:after="0"/>
              <w:rPr>
                <w:sz w:val="13"/>
                <w:szCs w:val="13"/>
                <w:color w:val="auto"/>
              </w:rPr>
            </w:pPr>
          </w:p>
        </w:tc>
        <w:tc>
          <w:tcPr>
            <w:tcW w:w="28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26</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2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65" w:right="239" w:bottom="1440" w:gutter="0" w:footer="0" w:header="0"/>
        </w:sectPr>
      </w:pPr>
    </w:p>
    <w:bookmarkStart w:id="26" w:name="page27"/>
    <w:bookmarkEnd w:id="26"/>
    <w:p>
      <w:pPr>
        <w:ind w:right="1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Non-GAAP Income per Share. </w:t>
      </w:r>
      <w:r>
        <w:rPr>
          <w:rFonts w:ascii="Times New Roman" w:cs="Times New Roman" w:eastAsia="Times New Roman" w:hAnsi="Times New Roman"/>
          <w:sz w:val="18"/>
          <w:szCs w:val="18"/>
          <w:color w:val="auto"/>
        </w:rPr>
        <w:t>Non-GAAP income per share, which is also a non-GAAP measure of financial performance, consists of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returned escrow shares related to the Toolbox acquisition, and an impairment of internally developed software. The following table provides a reconciliation of net income to Non-GAAP income per share (in thousands, except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86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 effects of adjustments</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(4,366)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(2,180)</w:t>
            </w:r>
          </w:p>
        </w:tc>
      </w:tr>
      <w:tr>
        <w:trPr>
          <w:trHeight w:val="263"/>
        </w:trPr>
        <w:tc>
          <w:tcPr>
            <w:tcW w:w="5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income</w:t>
            </w:r>
          </w:p>
        </w:tc>
        <w:tc>
          <w:tcPr>
            <w:tcW w:w="200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20" w:type="dxa"/>
            <w:vAlign w:val="bottom"/>
            <w:tcBorders>
              <w:bottom w:val="single" w:sz="8" w:color="CFF0FC"/>
            </w:tcBorders>
          </w:tcPr>
          <w:p>
            <w:pPr>
              <w:spacing w:after="0"/>
              <w:rPr>
                <w:sz w:val="22"/>
                <w:szCs w:val="22"/>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to compute non-GAAP income per share</w:t>
            </w:r>
          </w:p>
        </w:tc>
        <w:tc>
          <w:tcPr>
            <w:tcW w:w="20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2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Non-GAAP income per share</w:t>
            </w:r>
          </w:p>
        </w:tc>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0" w:type="dxa"/>
            <w:vAlign w:val="bottom"/>
            <w:gridSpan w:val="2"/>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shd w:val="clear" w:color="auto" w:fill="CFF0FC"/>
          </w:tcPr>
          <w:p>
            <w:pPr>
              <w:spacing w:after="0"/>
              <w:rPr>
                <w:sz w:val="19"/>
                <w:szCs w:val="19"/>
                <w:color w:val="auto"/>
              </w:rPr>
            </w:pPr>
          </w:p>
        </w:tc>
      </w:tr>
      <w:tr>
        <w:trPr>
          <w:trHeight w:val="234"/>
        </w:trPr>
        <w:tc>
          <w:tcPr>
            <w:tcW w:w="5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0" w:type="dxa"/>
            <w:vAlign w:val="bottom"/>
            <w:gridSpan w:val="2"/>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660" w:type="dxa"/>
            <w:vAlign w:val="bottom"/>
            <w:gridSpan w:val="2"/>
          </w:tcPr>
          <w:p>
            <w:pPr>
              <w:jc w:val="right"/>
              <w:ind w:right="37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At June 30, 2019, our principal sources of liquidity were cash, cash equivalents, certificates of deposit and marketable securities of $198.7 million and accounts receivable, net of allowance for doubtful accounts of $30.7 million. Certificates of deposit and marketable securities are invested in accordance with our investment policy, with a goal of maintaining liquidity and capital preservation. Our cash equivalents and marketable securities are held in highly liquid money market funds, commercial paper, federal agency securities and corporate debt securities.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summarizes the activity within the statement of cash flows: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20" w:type="dxa"/>
            <w:vAlign w:val="bottom"/>
            <w:tcBorders>
              <w:bottom w:val="single" w:sz="8" w:color="CFF0FC"/>
            </w:tcBorders>
          </w:tcPr>
          <w:p>
            <w:pPr>
              <w:spacing w:after="0"/>
              <w:rPr>
                <w:sz w:val="13"/>
                <w:szCs w:val="13"/>
                <w:color w:val="auto"/>
              </w:rPr>
            </w:pPr>
          </w:p>
        </w:tc>
        <w:tc>
          <w:tcPr>
            <w:tcW w:w="24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29,662</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22,247</w:t>
            </w:r>
          </w:p>
        </w:tc>
        <w:tc>
          <w:tcPr>
            <w:tcW w:w="120" w:type="dxa"/>
            <w:vAlign w:val="bottom"/>
            <w:shd w:val="clear" w:color="auto" w:fill="CFF0FC"/>
          </w:tcPr>
          <w:p>
            <w:pPr>
              <w:spacing w:after="0"/>
              <w:rPr>
                <w:sz w:val="19"/>
                <w:szCs w:val="19"/>
                <w:color w:val="auto"/>
              </w:rPr>
            </w:pPr>
          </w:p>
        </w:tc>
      </w:tr>
      <w:tr>
        <w:trPr>
          <w:trHeight w:val="24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(12,174)</w:t>
            </w:r>
          </w:p>
        </w:tc>
        <w:tc>
          <w:tcPr>
            <w:tcW w:w="54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(13,978)</w:t>
            </w: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(4,516)</w:t>
            </w: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(5,913)</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11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operating cash flows as compared to the same period in 2018 was primarily due to increased net income, stock-based compensation, depreciation and amortization of property and equipment, and deferred costs, offset by decreases in accrued compensation related to timing of payroll and deferred rent due to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119" w:lineRule="exact"/>
        <w:rPr>
          <w:sz w:val="20"/>
          <w:szCs w:val="20"/>
          <w:color w:val="auto"/>
        </w:rPr>
      </w:pPr>
    </w:p>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The change in net cash used in investing activities compared to the same period in 2018 was primarily due to capital purchases in investments in excess of expenditures and maturities of investments. For the six months ended June 30, 2019, investments purchased, net of maturities, of $6.8 million and capital expenditures of $5.4 million compared to net purchases of $7.1 million and capital expenditures of $6.5 million in the six months ended June 30, 2018. Our capital expenditures are for supporting our business growth and existing customer base, as well as for our internal use such as equipment for our employees.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89"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Net Cash Flows from Financing Activities</w:t>
      </w:r>
    </w:p>
    <w:p>
      <w:pPr>
        <w:spacing w:after="0" w:line="119"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The change in net cash used in financing activities as compared to the same period in 2018 was primarily due to the decrease in net proceeds from stock option exercises and decrease in cash used for share repurchases.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Foreign Currency Exchange Rate Changes</w:t>
      </w:r>
    </w:p>
    <w:p>
      <w:pPr>
        <w:spacing w:after="0" w:line="11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Our results of operations and cash flows were not materially affected by fluctuations in foreign currency exchange rates. We maintain approximately 6% of our total cash and cash equivalents outside of the U.S. in foreign currencies, primarily in Australian and Canadian dollars. We believe that a significant change in foreign currency exchange rates or an inability to access these funds would not affect our ability to meet our operational needs.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Adequacy of Capital Resources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develop and implement new solutions and applications, if any;</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needed to further penetrate our market and gain acceptance of new solutions and applications that we may develop;</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operations in the United States and internationally;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of competitors to our solutions and applications;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capital for acquisitions, if any.</w:t>
      </w:r>
    </w:p>
    <w:p>
      <w:pPr>
        <w:spacing w:after="0" w:line="225"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62"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We believe our cash, cash equivalents, certificates of deposit, marketable securities and our cash flows from operations will be sufficient to meet our working capital and capital expenditure requirements for at least the next twelve months.</w:t>
      </w:r>
    </w:p>
    <w:p>
      <w:pPr>
        <w:spacing w:after="0" w:line="162"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Inflation and changing prices did not have a material effect on our business during the six months ended June 30, 2019 and we do not expect that inflation or changing prices will materially affect our business in the foreseeable future.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220" w:firstLine="51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and Commercial Commitment Summary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June 30, 2019 are summarized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44"/>
        </w:trPr>
        <w:tc>
          <w:tcPr>
            <w:tcW w:w="15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164"/>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82"/>
              <w:spacing w:after="0" w:line="145" w:lineRule="exact"/>
              <w:rPr>
                <w:sz w:val="20"/>
                <w:szCs w:val="20"/>
                <w:color w:val="auto"/>
              </w:rPr>
            </w:pPr>
            <w:r>
              <w:rPr>
                <w:rFonts w:ascii="Times New Roman" w:cs="Times New Roman" w:eastAsia="Times New Roman" w:hAnsi="Times New Roman"/>
                <w:sz w:val="14"/>
                <w:szCs w:val="14"/>
                <w:b w:val="1"/>
                <w:bCs w:val="1"/>
                <w:color w:val="auto"/>
              </w:rPr>
              <w:t>More Than</w:t>
            </w:r>
          </w:p>
        </w:tc>
      </w:tr>
      <w:tr>
        <w:trPr>
          <w:trHeight w:val="180"/>
        </w:trPr>
        <w:tc>
          <w:tcPr>
            <w:tcW w:w="15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64"/>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5"/>
                <w:szCs w:val="15"/>
                <w:color w:val="auto"/>
              </w:rPr>
            </w:pPr>
          </w:p>
        </w:tc>
        <w:tc>
          <w:tcPr>
            <w:tcW w:w="960" w:type="dxa"/>
            <w:vAlign w:val="bottom"/>
          </w:tcPr>
          <w:p>
            <w:pPr>
              <w:jc w:val="right"/>
              <w:ind w:right="239"/>
              <w:spacing w:after="0" w:line="160"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82"/>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r>
      <w:tr>
        <w:trPr>
          <w:trHeight w:val="217"/>
        </w:trPr>
        <w:tc>
          <w:tcPr>
            <w:tcW w:w="54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including imputed interest</w:t>
            </w: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8,140</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7,897</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4,816</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contractual obligations and commercial commitments as of December 31, 2018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Payments Due By Period (in thousands)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1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2"/>
                <w:szCs w:val="12"/>
                <w:color w:val="auto"/>
              </w:rPr>
            </w:pPr>
          </w:p>
        </w:tc>
      </w:tr>
      <w:tr>
        <w:trPr>
          <w:trHeight w:val="180"/>
        </w:trPr>
        <w:tc>
          <w:tcPr>
            <w:tcW w:w="15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4"/>
              </w:rPr>
              <w:t>1 Year</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1-3 Years</w:t>
            </w:r>
          </w:p>
        </w:tc>
        <w:tc>
          <w:tcPr>
            <w:tcW w:w="160" w:type="dxa"/>
            <w:vAlign w:val="bottom"/>
          </w:tcPr>
          <w:p>
            <w:pPr>
              <w:spacing w:after="0"/>
              <w:rPr>
                <w:sz w:val="15"/>
                <w:szCs w:val="15"/>
                <w:color w:val="auto"/>
              </w:rPr>
            </w:pPr>
          </w:p>
        </w:tc>
        <w:tc>
          <w:tcPr>
            <w:tcW w:w="11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5 Years</w:t>
            </w:r>
          </w:p>
        </w:tc>
      </w:tr>
      <w:tr>
        <w:trPr>
          <w:trHeight w:val="217"/>
        </w:trPr>
        <w:tc>
          <w:tcPr>
            <w:tcW w:w="52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including imputed interest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24,878</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7,956</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100" w:type="dxa"/>
            <w:vAlign w:val="bottom"/>
            <w:tcBorders>
              <w:top w:val="single" w:sz="8" w:color="CFF0FC"/>
            </w:tcBorders>
            <w:shd w:val="clear" w:color="auto" w:fill="CFF0FC"/>
          </w:tcPr>
          <w:p>
            <w:pPr>
              <w:spacing w:after="0"/>
              <w:rPr>
                <w:sz w:val="18"/>
                <w:szCs w:val="18"/>
                <w:color w:val="auto"/>
              </w:rPr>
            </w:pPr>
          </w:p>
        </w:tc>
      </w:tr>
      <w:tr>
        <w:trPr>
          <w:trHeight w:val="648"/>
        </w:trPr>
        <w:tc>
          <w:tcPr>
            <w:tcW w:w="1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5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73" w:right="239" w:bottom="1440" w:gutter="0" w:footer="0" w:header="0"/>
        </w:sectPr>
      </w:pPr>
    </w:p>
    <w:bookmarkStart w:id="28" w:name="page29"/>
    <w:bookmarkEnd w:id="2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Sensitivity Risk</w:t>
      </w:r>
    </w:p>
    <w:p>
      <w:pPr>
        <w:spacing w:after="0" w:line="11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certificates of deposit and marketable securities), we believe there is no material risk exposure. We do not enter into investments for trading or speculative purposes.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any outstanding debt as of June 30, 2019. Therefore, we do not have any material risk to interest rate fluctuations.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11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have revenue, expenses, assets and liabilities that are denominated in currencies other than the U.S. dollar, primarily the Australian dollar and Canadian dollar. As of June 30, 2019, we maintained approximately 6% of our total cash and cash equivalents outside of the U.S. in foreign currencies. We believe that a significant change in foreign currency exchange rates or an inability to access these funds would not affect our ability to meet our operational needs. As we expand internationally,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9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2019.</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20" w:firstLine="51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2019 that have materially affected, or are reasonably likely to materially affect, our internal control over financial reporting.</w:t>
      </w:r>
    </w:p>
    <w:p>
      <w:pPr>
        <w:spacing w:after="0" w:line="162"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In the fourth quarter of 2018, we acquired the assets of two separate entities, EDIAdmin and CovalentWorks. EDIAdmin and CovalentWorks represented approximately two percent and six percent of our total consolidated assets, respectively. EDIAdmin and CovalentWorks each represented less than one percent of our consolidated revenues as of and for the year ended December 31, 2018. As these acquisitions occurred in 2018, the scope of our assessment of the effectiveness of internal control over financial reporting does not include EDIAdmin and CovalentWorks. This exclusion is in accordance with the SEC’s general guidance that an assessment of a recently acquired business may be omitted from the assessment of the effectiveness of internal control over financial reporting in the year following acquisition.</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495"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10-K/A for the year ended December 31, 2018 as filed with the SEC.</w:t>
      </w:r>
    </w:p>
    <w:p>
      <w:pPr>
        <w:spacing w:after="0" w:line="2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Share Repurchases</w:t>
      </w:r>
    </w:p>
    <w:p>
      <w:pPr>
        <w:spacing w:after="0" w:line="121"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total number of shares of our common stock that we purchased during the second quarter of 2019, the average price paid per share, the number of shares that we purchased as part of our publicly announced repurchase program and the approximate dollar value of shares that still could be repurchased at the end of the applicable period.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ind w:left="27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1 - 30, 2019</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52,563</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15,935,000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1 - 31, 2019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104.47</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1 - 30, 2019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second quarter 2019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hanging="372"/>
        <w:spacing w:after="0" w:line="262" w:lineRule="auto"/>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$50.0 million share repurchase program that was announced by our board of directors on November 2, 2017. Under the program, purchases may be made from time to time in the open market through November 2, 2019.</w:t>
      </w:r>
    </w:p>
    <w:p>
      <w:pPr>
        <w:spacing w:after="0" w:line="2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620" w:type="dxa"/>
            <w:vAlign w:val="bottom"/>
            <w:gridSpan w:val="1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5"/>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Certificate of Incorporation (incorporated by reference to Exhibit 4.1 to our Registration Statement on Form S-3 (File No. 333-182097)</w:t>
              </w:r>
            </w:hyperlink>
          </w:p>
        </w:tc>
        <w:tc>
          <w:tcPr>
            <w:tcW w:w="320" w:type="dxa"/>
            <w:vAlign w:val="bottom"/>
            <w:gridSpan w:val="3"/>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filed with the Commission on September 13, 2012).</w:t>
              </w:r>
            </w:hyperlink>
          </w:p>
        </w:tc>
        <w:tc>
          <w:tcPr>
            <w:tcW w:w="6340" w:type="dxa"/>
            <w:vAlign w:val="bottom"/>
            <w:gridSpan w:val="6"/>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Amended and Restated Bylaws (incorporated by reference to Exhibit 3.1 to our Current Report on Form 8-K (File No. 001-34702)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with the Commission on October 12, 2017).</w:t>
              </w:r>
            </w:hyperlink>
          </w:p>
        </w:tc>
        <w:tc>
          <w:tcPr>
            <w:tcW w:w="6600" w:type="dxa"/>
            <w:vAlign w:val="bottom"/>
            <w:tcBorders>
              <w:top w:val="single" w:sz="8" w:color="0000EE"/>
            </w:tcBorders>
            <w:gridSpan w:val="6"/>
          </w:tcPr>
          <w:p>
            <w:pPr>
              <w:spacing w:after="0"/>
              <w:rPr>
                <w:sz w:val="17"/>
                <w:szCs w:val="17"/>
                <w:color w:val="auto"/>
              </w:rPr>
            </w:pPr>
          </w:p>
        </w:tc>
        <w:tc>
          <w:tcPr>
            <w:tcW w:w="300" w:type="dxa"/>
            <w:vAlign w:val="bottom"/>
            <w:gridSpan w:val="2"/>
          </w:tcPr>
          <w:p>
            <w:pPr>
              <w:spacing w:after="0"/>
              <w:rPr>
                <w:sz w:val="17"/>
                <w:szCs w:val="17"/>
                <w:color w:val="auto"/>
              </w:rPr>
            </w:pPr>
          </w:p>
        </w:tc>
      </w:tr>
      <w:tr>
        <w:trPr>
          <w:trHeight w:val="43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Certification of Principal Executive Officer pursuant to Rules 13a-14(a) under the Securities Exchange Act of 1934, as amended (filed</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herewith).</w:t>
              </w:r>
            </w:hyperlink>
          </w:p>
        </w:tc>
        <w:tc>
          <w:tcPr>
            <w:tcW w:w="894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Certification of Principal Financial Officer pursuant to Rules 13a-14(a) under the Securities Exchange Act of 1934, as amended (filed</w:t>
              </w:r>
            </w:hyperlink>
          </w:p>
        </w:tc>
        <w:tc>
          <w:tcPr>
            <w:tcW w:w="440" w:type="dxa"/>
            <w:vAlign w:val="bottom"/>
            <w:gridSpan w:val="5"/>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4">
              <w:r>
                <w:rPr>
                  <w:rFonts w:ascii="Times New Roman" w:cs="Times New Roman" w:eastAsia="Times New Roman" w:hAnsi="Times New Roman"/>
                  <w:sz w:val="18"/>
                  <w:szCs w:val="18"/>
                  <w:color w:val="0000EE"/>
                  <w:w w:val="97"/>
                </w:rPr>
                <w:t>herewith).</w:t>
              </w:r>
            </w:hyperlink>
          </w:p>
        </w:tc>
        <w:tc>
          <w:tcPr>
            <w:tcW w:w="9340" w:type="dxa"/>
            <w:vAlign w:val="bottom"/>
            <w:gridSpan w:val="9"/>
          </w:tcPr>
          <w:p>
            <w:pPr>
              <w:spacing w:after="0"/>
              <w:rPr>
                <w:sz w:val="17"/>
                <w:szCs w:val="17"/>
                <w:color w:val="auto"/>
              </w:rPr>
            </w:pPr>
          </w:p>
        </w:tc>
      </w:tr>
      <w:tr>
        <w:trPr>
          <w:trHeight w:val="3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80" w:type="dxa"/>
            <w:vAlign w:val="bottom"/>
            <w:gridSpan w:val="10"/>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Certification of Chief Executive Officer and Chief Financial Officer pursuant to 18 U.S.C. Sec. 1350, as adopted pursuant to Section 906 of</w:t>
              </w:r>
            </w:hyperlink>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the Sarbanes-Oxley Act of 2002 (filed herewith).</w:t>
              </w:r>
            </w:hyperlink>
          </w:p>
        </w:tc>
        <w:tc>
          <w:tcPr>
            <w:tcW w:w="652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bl>
    <w:p>
      <w:pPr>
        <w:spacing w:after="0" w:line="144" w:lineRule="exact"/>
        <w:rPr>
          <w:sz w:val="20"/>
          <w:szCs w:val="20"/>
          <w:color w:val="auto"/>
        </w:rPr>
      </w:pPr>
    </w:p>
    <w:p>
      <w:pPr>
        <w:ind w:left="1340" w:right="540" w:hanging="1332"/>
        <w:spacing w:after="0" w:line="282" w:lineRule="auto"/>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1" w:name="page32"/>
    <w:bookmarkEnd w:id="31"/>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6100" w:val="left"/>
        </w:tabs>
        <w:rPr>
          <w:sz w:val="20"/>
          <w:szCs w:val="20"/>
          <w:color w:val="auto"/>
        </w:rPr>
      </w:pPr>
      <w:r>
        <w:rPr>
          <w:rFonts w:ascii="Times New Roman" w:cs="Times New Roman" w:eastAsia="Times New Roman" w:hAnsi="Times New Roman"/>
          <w:sz w:val="18"/>
          <w:szCs w:val="18"/>
          <w:color w:val="auto"/>
        </w:rPr>
        <w:t>Dated: July 26, 2019</w:t>
      </w:r>
      <w:r>
        <w:rPr>
          <w:sz w:val="20"/>
          <w:szCs w:val="20"/>
          <w:color w:val="auto"/>
        </w:rPr>
        <w:tab/>
      </w:r>
      <w:r>
        <w:rPr>
          <w:rFonts w:ascii="Times New Roman" w:cs="Times New Roman" w:eastAsia="Times New Roman" w:hAnsi="Times New Roman"/>
          <w:sz w:val="18"/>
          <w:szCs w:val="18"/>
          <w:b w:val="1"/>
          <w:bCs w:val="1"/>
          <w:color w:val="auto"/>
        </w:rPr>
        <w:t>SPS COMMERCE, INC.</w:t>
      </w:r>
    </w:p>
    <w:p>
      <w:pPr>
        <w:spacing w:after="0" w:line="256"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-130810</wp:posOffset>
            </wp:positionV>
            <wp:extent cx="3422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800"/>
          </w:cols>
          <w:pgMar w:left="240" w:top="347" w:right="8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Archie C. Black, certify that:</w:t>
      </w:r>
    </w:p>
    <w:p>
      <w:pPr>
        <w:spacing w:after="0" w:line="225"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SPS Commerce, Inc.;</w:t>
      </w:r>
    </w:p>
    <w:p>
      <w:pPr>
        <w:spacing w:after="0" w:line="225"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40" w:right="40" w:hanging="519"/>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ind w:left="1540" w:right="220" w:hanging="506"/>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40" w:right="100" w:hanging="506"/>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40" w:right="20" w:hanging="506"/>
        <w:spacing w:after="0" w:line="266"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20" w:hanging="506"/>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78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p>
      <w:pPr>
        <w:sectPr>
          <w:pgSz w:w="11900" w:h="16838" w:orient="portrait"/>
          <w:cols w:equalWidth="0" w:num="1">
            <w:col w:w="11420"/>
          </w:cols>
          <w:pgMar w:left="240" w:top="333"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K. Nelson, certify that:</w:t>
      </w:r>
    </w:p>
    <w:p>
      <w:pPr>
        <w:spacing w:after="0" w:line="225"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SPS Commerce, Inc.;</w:t>
      </w:r>
    </w:p>
    <w:p>
      <w:pPr>
        <w:spacing w:after="0" w:line="225" w:lineRule="exact"/>
        <w:rPr>
          <w:rFonts w:ascii="Times New Roman" w:cs="Times New Roman" w:eastAsia="Times New Roman" w:hAnsi="Times New Roman"/>
          <w:sz w:val="18"/>
          <w:szCs w:val="18"/>
          <w:color w:val="auto"/>
        </w:rPr>
      </w:pPr>
    </w:p>
    <w:p>
      <w:pPr>
        <w:jc w:val="both"/>
        <w:ind w:left="1040" w:right="180" w:hanging="519"/>
        <w:spacing w:after="0" w:line="266"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1040" w:right="1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40" w:right="4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ind w:left="1540" w:right="220" w:hanging="506"/>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540" w:right="60" w:hanging="506"/>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540" w:right="100" w:hanging="506"/>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40" w:right="20" w:hanging="506"/>
        <w:spacing w:after="0" w:line="266"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1040" w:hanging="519"/>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40" w:right="380" w:hanging="506"/>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20" w:hanging="506"/>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p>
      <w:pPr>
        <w:sectPr>
          <w:pgSz w:w="11900" w:h="16838" w:orient="portrait"/>
          <w:cols w:equalWidth="0" w:num="1">
            <w:col w:w="11420"/>
          </w:cols>
          <w:pgMar w:left="240" w:top="33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SPS Commerce, Inc. (the “Company”) for the period ended June 30, 2019,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68"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720" w:hanging="519"/>
        <w:spacing w:after="0" w:line="282"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ARCHIE C.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KIMBERLY K. NELSON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2019</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8" Type="http://schemas.openxmlformats.org/officeDocument/2006/relationships/hyperlink" Target="http://www.sec.gov/Archives/edgar/data/1092699/000119312512269607/d365652dex41.htm" TargetMode="External"/><Relationship Id="rId49"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2019-12-28T10:18:28Z</dcterms:created>
  <dcterms:modified xsi:type="dcterms:W3CDTF">2019-12-28T10:18:28Z</dcterms:modified>
</cp:coreProperties>
</file>