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10-K</w:t>
      </w:r>
    </w:p>
    <w:p>
      <w:pPr>
        <w:spacing w:after="0" w:line="10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8"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Fiscal Year Ended: December 31, 2020</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71"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7" w:lineRule="exact"/>
        <w:rPr>
          <w:sz w:val="24"/>
          <w:szCs w:val="24"/>
          <w:color w:val="auto"/>
        </w:rPr>
      </w:pPr>
    </w:p>
    <w:p>
      <w:pPr>
        <w:ind w:left="4440"/>
        <w:spacing w:after="0"/>
        <w:tabs>
          <w:tab w:leader="none" w:pos="644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3974465</wp:posOffset>
            </wp:positionH>
            <wp:positionV relativeFrom="paragraph">
              <wp:posOffset>-635</wp:posOffset>
            </wp:positionV>
            <wp:extent cx="1289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-635</wp:posOffset>
            </wp:positionV>
            <wp:extent cx="128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7" w:lineRule="exact"/>
        <w:rPr>
          <w:sz w:val="24"/>
          <w:szCs w:val="24"/>
          <w:color w:val="auto"/>
        </w:rPr>
      </w:pPr>
    </w:p>
    <w:p>
      <w:pPr>
        <w:ind w:left="4600"/>
        <w:spacing w:after="0"/>
        <w:rPr>
          <w:sz w:val="20"/>
          <w:szCs w:val="20"/>
          <w:color w:val="auto"/>
        </w:rPr>
      </w:pPr>
      <w:r>
        <w:rPr>
          <w:rFonts w:ascii="Arial" w:cs="Arial" w:eastAsia="Arial" w:hAnsi="Arial"/>
          <w:sz w:val="13"/>
          <w:szCs w:val="13"/>
          <w:b w:val="1"/>
          <w:bCs w:val="1"/>
          <w:color w:val="auto"/>
        </w:rPr>
        <w:t>Commission file number 001-34702</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3279775</wp:posOffset>
            </wp:positionH>
            <wp:positionV relativeFrom="paragraph">
              <wp:posOffset>73660</wp:posOffset>
            </wp:positionV>
            <wp:extent cx="582930"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3720" w:type="dxa"/>
            <w:vAlign w:val="bottom"/>
          </w:tcPr>
          <w:p>
            <w:pPr>
              <w:spacing w:after="0"/>
              <w:rPr>
                <w:sz w:val="13"/>
                <w:szCs w:val="13"/>
                <w:color w:val="auto"/>
              </w:rPr>
            </w:pPr>
          </w:p>
        </w:tc>
        <w:tc>
          <w:tcPr>
            <w:tcW w:w="3760" w:type="dxa"/>
            <w:vAlign w:val="bottom"/>
            <w:gridSpan w:val="5"/>
          </w:tcPr>
          <w:p>
            <w:pPr>
              <w:jc w:val="center"/>
              <w:spacing w:after="0"/>
              <w:rPr>
                <w:sz w:val="20"/>
                <w:szCs w:val="20"/>
                <w:color w:val="auto"/>
              </w:rPr>
            </w:pPr>
            <w:r>
              <w:rPr>
                <w:rFonts w:ascii="Arial" w:cs="Arial" w:eastAsia="Arial" w:hAnsi="Arial"/>
                <w:sz w:val="13"/>
                <w:szCs w:val="13"/>
                <w:b w:val="1"/>
                <w:bCs w:val="1"/>
                <w:i w:val="1"/>
                <w:iCs w:val="1"/>
                <w:color w:val="auto"/>
                <w:w w:val="84"/>
              </w:rPr>
              <w:t>(Exact Name of Registrant as Specified in its Charter)</w:t>
            </w:r>
          </w:p>
        </w:tc>
        <w:tc>
          <w:tcPr>
            <w:tcW w:w="3740" w:type="dxa"/>
            <w:vAlign w:val="bottom"/>
          </w:tcPr>
          <w:p>
            <w:pPr>
              <w:spacing w:after="0"/>
              <w:rPr>
                <w:sz w:val="13"/>
                <w:szCs w:val="13"/>
                <w:color w:val="auto"/>
              </w:rPr>
            </w:pPr>
          </w:p>
        </w:tc>
      </w:tr>
      <w:tr>
        <w:trPr>
          <w:trHeight w:val="191"/>
        </w:trPr>
        <w:tc>
          <w:tcPr>
            <w:tcW w:w="3720" w:type="dxa"/>
            <w:vAlign w:val="bottom"/>
          </w:tcPr>
          <w:p>
            <w:pPr>
              <w:jc w:val="center"/>
              <w:ind w:left="1734"/>
              <w:spacing w:after="0"/>
              <w:rPr>
                <w:sz w:val="20"/>
                <w:szCs w:val="20"/>
                <w:color w:val="auto"/>
              </w:rPr>
            </w:pPr>
            <w:r>
              <w:rPr>
                <w:rFonts w:ascii="Arial" w:cs="Arial" w:eastAsia="Arial" w:hAnsi="Arial"/>
                <w:sz w:val="13"/>
                <w:szCs w:val="13"/>
                <w:b w:val="1"/>
                <w:bCs w:val="1"/>
                <w:color w:val="auto"/>
                <w:w w:val="98"/>
              </w:rPr>
              <w:t>Delaware</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740" w:type="dxa"/>
            <w:vAlign w:val="bottom"/>
          </w:tcPr>
          <w:p>
            <w:pPr>
              <w:jc w:val="center"/>
              <w:ind w:right="1654"/>
              <w:spacing w:after="0"/>
              <w:rPr>
                <w:sz w:val="20"/>
                <w:szCs w:val="20"/>
                <w:color w:val="auto"/>
              </w:rPr>
            </w:pPr>
            <w:r>
              <w:rPr>
                <w:rFonts w:ascii="Arial" w:cs="Arial" w:eastAsia="Arial" w:hAnsi="Arial"/>
                <w:sz w:val="13"/>
                <w:szCs w:val="13"/>
                <w:b w:val="1"/>
                <w:bCs w:val="1"/>
                <w:color w:val="auto"/>
                <w:w w:val="95"/>
              </w:rPr>
              <w:t>41-2015127</w:t>
            </w:r>
          </w:p>
        </w:tc>
      </w:tr>
      <w:tr>
        <w:trPr>
          <w:trHeight w:val="135"/>
        </w:trPr>
        <w:tc>
          <w:tcPr>
            <w:tcW w:w="3720" w:type="dxa"/>
            <w:vAlign w:val="bottom"/>
          </w:tcPr>
          <w:p>
            <w:pPr>
              <w:jc w:val="center"/>
              <w:ind w:left="1734"/>
              <w:spacing w:after="0" w:line="135" w:lineRule="exact"/>
              <w:rPr>
                <w:sz w:val="20"/>
                <w:szCs w:val="20"/>
                <w:color w:val="auto"/>
              </w:rPr>
            </w:pPr>
            <w:r>
              <w:rPr>
                <w:rFonts w:ascii="Arial" w:cs="Arial" w:eastAsia="Arial" w:hAnsi="Arial"/>
                <w:sz w:val="13"/>
                <w:szCs w:val="13"/>
                <w:b w:val="1"/>
                <w:bCs w:val="1"/>
                <w:i w:val="1"/>
                <w:iCs w:val="1"/>
                <w:color w:val="auto"/>
                <w:w w:val="84"/>
              </w:rPr>
              <w:t>(State or Other Jurisdiction of</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40" w:type="dxa"/>
            <w:vAlign w:val="bottom"/>
          </w:tcPr>
          <w:p>
            <w:pPr>
              <w:jc w:val="center"/>
              <w:ind w:right="1634"/>
              <w:spacing w:after="0" w:line="135" w:lineRule="exact"/>
              <w:rPr>
                <w:sz w:val="20"/>
                <w:szCs w:val="20"/>
                <w:color w:val="auto"/>
              </w:rPr>
            </w:pPr>
            <w:r>
              <w:rPr>
                <w:rFonts w:ascii="Arial" w:cs="Arial" w:eastAsia="Arial" w:hAnsi="Arial"/>
                <w:sz w:val="13"/>
                <w:szCs w:val="13"/>
                <w:b w:val="1"/>
                <w:bCs w:val="1"/>
                <w:i w:val="1"/>
                <w:iCs w:val="1"/>
                <w:color w:val="auto"/>
                <w:w w:val="88"/>
              </w:rPr>
              <w:t>(I.R.S. Employer</w:t>
            </w:r>
          </w:p>
        </w:tc>
      </w:tr>
      <w:tr>
        <w:trPr>
          <w:trHeight w:val="160"/>
        </w:trPr>
        <w:tc>
          <w:tcPr>
            <w:tcW w:w="3720" w:type="dxa"/>
            <w:vAlign w:val="bottom"/>
          </w:tcPr>
          <w:p>
            <w:pPr>
              <w:jc w:val="center"/>
              <w:ind w:left="1734"/>
              <w:spacing w:after="0"/>
              <w:rPr>
                <w:sz w:val="20"/>
                <w:szCs w:val="20"/>
                <w:color w:val="auto"/>
              </w:rPr>
            </w:pPr>
            <w:r>
              <w:rPr>
                <w:rFonts w:ascii="Arial" w:cs="Arial" w:eastAsia="Arial" w:hAnsi="Arial"/>
                <w:sz w:val="13"/>
                <w:szCs w:val="13"/>
                <w:b w:val="1"/>
                <w:bCs w:val="1"/>
                <w:i w:val="1"/>
                <w:iCs w:val="1"/>
                <w:color w:val="auto"/>
                <w:w w:val="87"/>
              </w:rPr>
              <w:t>Incorporation or Organization)</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740" w:type="dxa"/>
            <w:vAlign w:val="bottom"/>
          </w:tcPr>
          <w:p>
            <w:pPr>
              <w:jc w:val="center"/>
              <w:ind w:right="1634"/>
              <w:spacing w:after="0"/>
              <w:rPr>
                <w:sz w:val="20"/>
                <w:szCs w:val="20"/>
                <w:color w:val="auto"/>
              </w:rPr>
            </w:pPr>
            <w:r>
              <w:rPr>
                <w:rFonts w:ascii="Arial" w:cs="Arial" w:eastAsia="Arial" w:hAnsi="Arial"/>
                <w:sz w:val="13"/>
                <w:szCs w:val="13"/>
                <w:b w:val="1"/>
                <w:bCs w:val="1"/>
                <w:i w:val="1"/>
                <w:iCs w:val="1"/>
                <w:color w:val="auto"/>
                <w:w w:val="87"/>
              </w:rPr>
              <w:t>Identification No.)</w:t>
            </w:r>
          </w:p>
        </w:tc>
      </w:tr>
      <w:tr>
        <w:trPr>
          <w:trHeight w:val="191"/>
        </w:trPr>
        <w:tc>
          <w:tcPr>
            <w:tcW w:w="3720" w:type="dxa"/>
            <w:vAlign w:val="bottom"/>
          </w:tcPr>
          <w:p>
            <w:pPr>
              <w:spacing w:after="0"/>
              <w:rPr>
                <w:sz w:val="16"/>
                <w:szCs w:val="16"/>
                <w:color w:val="auto"/>
              </w:rPr>
            </w:pPr>
          </w:p>
        </w:tc>
        <w:tc>
          <w:tcPr>
            <w:tcW w:w="3760" w:type="dxa"/>
            <w:vAlign w:val="bottom"/>
            <w:gridSpan w:val="5"/>
          </w:tcPr>
          <w:p>
            <w:pPr>
              <w:jc w:val="center"/>
              <w:spacing w:after="0"/>
              <w:rPr>
                <w:sz w:val="20"/>
                <w:szCs w:val="20"/>
                <w:color w:val="auto"/>
              </w:rPr>
            </w:pPr>
            <w:r>
              <w:rPr>
                <w:rFonts w:ascii="Arial" w:cs="Arial" w:eastAsia="Arial" w:hAnsi="Arial"/>
                <w:sz w:val="13"/>
                <w:szCs w:val="13"/>
                <w:b w:val="1"/>
                <w:bCs w:val="1"/>
                <w:color w:val="auto"/>
                <w:w w:val="94"/>
              </w:rPr>
              <w:t>333 South Seventh Street, Suite 1000, Minneapolis, MN 55402</w:t>
            </w:r>
          </w:p>
        </w:tc>
        <w:tc>
          <w:tcPr>
            <w:tcW w:w="3740" w:type="dxa"/>
            <w:vAlign w:val="bottom"/>
          </w:tcPr>
          <w:p>
            <w:pPr>
              <w:spacing w:after="0"/>
              <w:rPr>
                <w:sz w:val="16"/>
                <w:szCs w:val="16"/>
                <w:color w:val="auto"/>
              </w:rPr>
            </w:pPr>
          </w:p>
        </w:tc>
      </w:tr>
      <w:tr>
        <w:trPr>
          <w:trHeight w:val="160"/>
        </w:trPr>
        <w:tc>
          <w:tcPr>
            <w:tcW w:w="3720" w:type="dxa"/>
            <w:vAlign w:val="bottom"/>
          </w:tcPr>
          <w:p>
            <w:pPr>
              <w:spacing w:after="0"/>
              <w:rPr>
                <w:sz w:val="13"/>
                <w:szCs w:val="13"/>
                <w:color w:val="auto"/>
              </w:rPr>
            </w:pPr>
          </w:p>
        </w:tc>
        <w:tc>
          <w:tcPr>
            <w:tcW w:w="3760" w:type="dxa"/>
            <w:vAlign w:val="bottom"/>
            <w:gridSpan w:val="5"/>
          </w:tcPr>
          <w:p>
            <w:pPr>
              <w:jc w:val="center"/>
              <w:spacing w:after="0"/>
              <w:rPr>
                <w:sz w:val="20"/>
                <w:szCs w:val="20"/>
                <w:color w:val="auto"/>
              </w:rPr>
            </w:pPr>
            <w:r>
              <w:rPr>
                <w:rFonts w:ascii="Arial" w:cs="Arial" w:eastAsia="Arial" w:hAnsi="Arial"/>
                <w:sz w:val="13"/>
                <w:szCs w:val="13"/>
                <w:b w:val="1"/>
                <w:bCs w:val="1"/>
                <w:i w:val="1"/>
                <w:iCs w:val="1"/>
                <w:color w:val="auto"/>
                <w:w w:val="85"/>
              </w:rPr>
              <w:t>(Address of Principal Executive Offices, Including Zip Code)</w:t>
            </w:r>
          </w:p>
        </w:tc>
        <w:tc>
          <w:tcPr>
            <w:tcW w:w="3740" w:type="dxa"/>
            <w:vAlign w:val="bottom"/>
          </w:tcPr>
          <w:p>
            <w:pPr>
              <w:spacing w:after="0"/>
              <w:rPr>
                <w:sz w:val="13"/>
                <w:szCs w:val="13"/>
                <w:color w:val="auto"/>
              </w:rPr>
            </w:pPr>
          </w:p>
        </w:tc>
      </w:tr>
      <w:tr>
        <w:trPr>
          <w:trHeight w:val="204"/>
        </w:trPr>
        <w:tc>
          <w:tcPr>
            <w:tcW w:w="3720" w:type="dxa"/>
            <w:vAlign w:val="bottom"/>
          </w:tcPr>
          <w:p>
            <w:pPr>
              <w:spacing w:after="0"/>
              <w:rPr>
                <w:sz w:val="17"/>
                <w:szCs w:val="17"/>
                <w:color w:val="auto"/>
              </w:rPr>
            </w:pPr>
          </w:p>
        </w:tc>
        <w:tc>
          <w:tcPr>
            <w:tcW w:w="3120" w:type="dxa"/>
            <w:vAlign w:val="bottom"/>
            <w:gridSpan w:val="3"/>
          </w:tcPr>
          <w:p>
            <w:pPr>
              <w:jc w:val="center"/>
              <w:ind w:left="614"/>
              <w:spacing w:after="0"/>
              <w:rPr>
                <w:sz w:val="20"/>
                <w:szCs w:val="20"/>
                <w:color w:val="auto"/>
              </w:rPr>
            </w:pPr>
            <w:r>
              <w:rPr>
                <w:rFonts w:ascii="Arial" w:cs="Arial" w:eastAsia="Arial" w:hAnsi="Arial"/>
                <w:sz w:val="13"/>
                <w:szCs w:val="13"/>
                <w:b w:val="1"/>
                <w:bCs w:val="1"/>
                <w:color w:val="auto"/>
                <w:w w:val="94"/>
              </w:rPr>
              <w:t>(612) 435-9400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60"/>
        </w:trPr>
        <w:tc>
          <w:tcPr>
            <w:tcW w:w="3720" w:type="dxa"/>
            <w:vAlign w:val="bottom"/>
          </w:tcPr>
          <w:p>
            <w:pPr>
              <w:spacing w:after="0"/>
              <w:rPr>
                <w:sz w:val="13"/>
                <w:szCs w:val="13"/>
                <w:color w:val="auto"/>
              </w:rPr>
            </w:pPr>
          </w:p>
        </w:tc>
        <w:tc>
          <w:tcPr>
            <w:tcW w:w="3760" w:type="dxa"/>
            <w:vAlign w:val="bottom"/>
            <w:gridSpan w:val="5"/>
          </w:tcPr>
          <w:p>
            <w:pPr>
              <w:jc w:val="center"/>
              <w:spacing w:after="0"/>
              <w:rPr>
                <w:sz w:val="20"/>
                <w:szCs w:val="20"/>
                <w:color w:val="auto"/>
              </w:rPr>
            </w:pPr>
            <w:r>
              <w:rPr>
                <w:rFonts w:ascii="Arial" w:cs="Arial" w:eastAsia="Arial" w:hAnsi="Arial"/>
                <w:sz w:val="13"/>
                <w:szCs w:val="13"/>
                <w:b w:val="1"/>
                <w:bCs w:val="1"/>
                <w:i w:val="1"/>
                <w:iCs w:val="1"/>
                <w:color w:val="auto"/>
                <w:w w:val="84"/>
              </w:rPr>
              <w:t>(Registrant’s Telephone Number, Including Area Code)</w:t>
            </w:r>
          </w:p>
        </w:tc>
        <w:tc>
          <w:tcPr>
            <w:tcW w:w="3740" w:type="dxa"/>
            <w:vAlign w:val="bottom"/>
          </w:tcPr>
          <w:p>
            <w:pPr>
              <w:spacing w:after="0"/>
              <w:rPr>
                <w:sz w:val="13"/>
                <w:szCs w:val="13"/>
                <w:color w:val="auto"/>
              </w:rPr>
            </w:pPr>
          </w:p>
        </w:tc>
      </w:tr>
      <w:tr>
        <w:trPr>
          <w:trHeight w:val="218"/>
        </w:trPr>
        <w:tc>
          <w:tcPr>
            <w:tcW w:w="3720" w:type="dxa"/>
            <w:vAlign w:val="bottom"/>
          </w:tcPr>
          <w:p>
            <w:pPr>
              <w:spacing w:after="0"/>
              <w:rPr>
                <w:sz w:val="18"/>
                <w:szCs w:val="18"/>
                <w:color w:val="auto"/>
              </w:rPr>
            </w:pPr>
          </w:p>
        </w:tc>
        <w:tc>
          <w:tcPr>
            <w:tcW w:w="3760" w:type="dxa"/>
            <w:vAlign w:val="bottom"/>
            <w:gridSpan w:val="5"/>
          </w:tcPr>
          <w:p>
            <w:pPr>
              <w:jc w:val="center"/>
              <w:spacing w:after="0"/>
              <w:rPr>
                <w:sz w:val="20"/>
                <w:szCs w:val="20"/>
                <w:color w:val="auto"/>
              </w:rPr>
            </w:pPr>
            <w:r>
              <w:rPr>
                <w:rFonts w:ascii="Arial" w:cs="Arial" w:eastAsia="Arial" w:hAnsi="Arial"/>
                <w:sz w:val="13"/>
                <w:szCs w:val="13"/>
                <w:b w:val="1"/>
                <w:bCs w:val="1"/>
                <w:color w:val="auto"/>
                <w:w w:val="92"/>
              </w:rPr>
              <w:t>Securities registered pursuant to Section 12(b) of the Act:</w:t>
            </w:r>
          </w:p>
        </w:tc>
        <w:tc>
          <w:tcPr>
            <w:tcW w:w="3740" w:type="dxa"/>
            <w:vAlign w:val="bottom"/>
          </w:tcPr>
          <w:p>
            <w:pPr>
              <w:spacing w:after="0"/>
              <w:rPr>
                <w:sz w:val="18"/>
                <w:szCs w:val="18"/>
                <w:color w:val="auto"/>
              </w:rPr>
            </w:pPr>
          </w:p>
        </w:tc>
      </w:tr>
      <w:tr>
        <w:trPr>
          <w:trHeight w:val="190"/>
        </w:trPr>
        <w:tc>
          <w:tcPr>
            <w:tcW w:w="3720" w:type="dxa"/>
            <w:vAlign w:val="bottom"/>
          </w:tcPr>
          <w:p>
            <w:pPr>
              <w:jc w:val="center"/>
              <w:ind w:left="714"/>
              <w:spacing w:after="0"/>
              <w:rPr>
                <w:sz w:val="20"/>
                <w:szCs w:val="20"/>
                <w:color w:val="auto"/>
              </w:rPr>
            </w:pPr>
            <w:r>
              <w:rPr>
                <w:rFonts w:ascii="Arial" w:cs="Arial" w:eastAsia="Arial" w:hAnsi="Arial"/>
                <w:sz w:val="13"/>
                <w:szCs w:val="13"/>
                <w:b w:val="1"/>
                <w:bCs w:val="1"/>
                <w:color w:val="auto"/>
                <w:w w:val="91"/>
              </w:rPr>
              <w:t>Title of each class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w w:val="93"/>
              </w:rPr>
              <w:t>Trading Symbol</w:t>
            </w:r>
          </w:p>
        </w:tc>
        <w:tc>
          <w:tcPr>
            <w:tcW w:w="3740" w:type="dxa"/>
            <w:vAlign w:val="bottom"/>
          </w:tcPr>
          <w:p>
            <w:pPr>
              <w:jc w:val="center"/>
              <w:ind w:right="474"/>
              <w:spacing w:after="0"/>
              <w:rPr>
                <w:sz w:val="20"/>
                <w:szCs w:val="20"/>
                <w:color w:val="auto"/>
              </w:rPr>
            </w:pPr>
            <w:r>
              <w:rPr>
                <w:rFonts w:ascii="Arial" w:cs="Arial" w:eastAsia="Arial" w:hAnsi="Arial"/>
                <w:sz w:val="13"/>
                <w:szCs w:val="13"/>
                <w:b w:val="1"/>
                <w:bCs w:val="1"/>
                <w:color w:val="auto"/>
                <w:w w:val="91"/>
              </w:rPr>
              <w:t>Name of exchange on which registered</w:t>
            </w:r>
          </w:p>
        </w:tc>
      </w:tr>
      <w:tr>
        <w:trPr>
          <w:trHeight w:val="166"/>
        </w:trPr>
        <w:tc>
          <w:tcPr>
            <w:tcW w:w="3720" w:type="dxa"/>
            <w:vAlign w:val="bottom"/>
            <w:tcBorders>
              <w:top w:val="single" w:sz="8" w:color="auto"/>
            </w:tcBorders>
          </w:tcPr>
          <w:p>
            <w:pPr>
              <w:jc w:val="center"/>
              <w:ind w:left="714"/>
              <w:spacing w:after="0"/>
              <w:rPr>
                <w:sz w:val="20"/>
                <w:szCs w:val="20"/>
                <w:color w:val="auto"/>
              </w:rPr>
            </w:pPr>
            <w:r>
              <w:rPr>
                <w:rFonts w:ascii="Arial" w:cs="Arial" w:eastAsia="Arial" w:hAnsi="Arial"/>
                <w:sz w:val="13"/>
                <w:szCs w:val="13"/>
                <w:color w:val="auto"/>
                <w:w w:val="93"/>
              </w:rPr>
              <w:t>Common Stock, par value $0.001 per share</w:t>
            </w: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SPSC</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740" w:type="dxa"/>
            <w:vAlign w:val="bottom"/>
            <w:tcBorders>
              <w:top w:val="single" w:sz="8" w:color="auto"/>
            </w:tcBorders>
          </w:tcPr>
          <w:p>
            <w:pPr>
              <w:jc w:val="center"/>
              <w:ind w:right="474"/>
              <w:spacing w:after="0"/>
              <w:rPr>
                <w:sz w:val="20"/>
                <w:szCs w:val="20"/>
                <w:color w:val="auto"/>
              </w:rPr>
            </w:pPr>
            <w:r>
              <w:rPr>
                <w:rFonts w:ascii="Arial" w:cs="Arial" w:eastAsia="Arial" w:hAnsi="Arial"/>
                <w:sz w:val="13"/>
                <w:szCs w:val="13"/>
                <w:color w:val="auto"/>
                <w:w w:val="95"/>
              </w:rPr>
              <w:t>The Nasdaq Stock Market LLC (Nasdaq Global Market)</w:t>
            </w:r>
          </w:p>
        </w:tc>
      </w:tr>
      <w:tr>
        <w:trPr>
          <w:trHeight w:val="181"/>
        </w:trPr>
        <w:tc>
          <w:tcPr>
            <w:tcW w:w="3720" w:type="dxa"/>
            <w:vAlign w:val="bottom"/>
          </w:tcPr>
          <w:p>
            <w:pPr>
              <w:spacing w:after="0"/>
              <w:rPr>
                <w:sz w:val="15"/>
                <w:szCs w:val="15"/>
                <w:color w:val="auto"/>
              </w:rPr>
            </w:pPr>
          </w:p>
        </w:tc>
        <w:tc>
          <w:tcPr>
            <w:tcW w:w="3760" w:type="dxa"/>
            <w:vAlign w:val="bottom"/>
            <w:gridSpan w:val="5"/>
          </w:tcPr>
          <w:p>
            <w:pPr>
              <w:jc w:val="center"/>
              <w:spacing w:after="0"/>
              <w:rPr>
                <w:sz w:val="20"/>
                <w:szCs w:val="20"/>
                <w:color w:val="auto"/>
              </w:rPr>
            </w:pPr>
            <w:r>
              <w:rPr>
                <w:rFonts w:ascii="Arial" w:cs="Arial" w:eastAsia="Arial" w:hAnsi="Arial"/>
                <w:sz w:val="13"/>
                <w:szCs w:val="13"/>
                <w:b w:val="1"/>
                <w:bCs w:val="1"/>
                <w:color w:val="auto"/>
                <w:w w:val="92"/>
              </w:rPr>
              <w:t>Securities registered pursuant to Section 12(g) of the Act:</w:t>
            </w:r>
          </w:p>
        </w:tc>
        <w:tc>
          <w:tcPr>
            <w:tcW w:w="3740" w:type="dxa"/>
            <w:vAlign w:val="bottom"/>
          </w:tcPr>
          <w:p>
            <w:pPr>
              <w:spacing w:after="0"/>
              <w:rPr>
                <w:sz w:val="15"/>
                <w:szCs w:val="15"/>
                <w:color w:val="auto"/>
              </w:rPr>
            </w:pPr>
          </w:p>
        </w:tc>
      </w:tr>
      <w:tr>
        <w:trPr>
          <w:trHeight w:val="172"/>
        </w:trPr>
        <w:tc>
          <w:tcPr>
            <w:tcW w:w="3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3"/>
          </w:tcPr>
          <w:p>
            <w:pPr>
              <w:jc w:val="center"/>
              <w:ind w:right="820"/>
              <w:spacing w:after="0"/>
              <w:rPr>
                <w:sz w:val="20"/>
                <w:szCs w:val="20"/>
                <w:color w:val="auto"/>
              </w:rPr>
            </w:pPr>
            <w:r>
              <w:rPr>
                <w:rFonts w:ascii="Arial" w:cs="Arial" w:eastAsia="Arial" w:hAnsi="Arial"/>
                <w:sz w:val="13"/>
                <w:szCs w:val="13"/>
                <w:color w:val="auto"/>
                <w:w w:val="96"/>
              </w:rPr>
              <w:t>None</w:t>
            </w:r>
          </w:p>
        </w:tc>
        <w:tc>
          <w:tcPr>
            <w:tcW w:w="3740" w:type="dxa"/>
            <w:vAlign w:val="bottom"/>
          </w:tcPr>
          <w:p>
            <w:pPr>
              <w:spacing w:after="0"/>
              <w:rPr>
                <w:sz w:val="14"/>
                <w:szCs w:val="14"/>
                <w:color w:val="auto"/>
              </w:rPr>
            </w:pPr>
          </w:p>
        </w:tc>
      </w:tr>
    </w:tbl>
    <w:p>
      <w:pPr>
        <w:spacing w:after="0" w:line="32" w:lineRule="exact"/>
        <w:rPr>
          <w:sz w:val="24"/>
          <w:szCs w:val="24"/>
          <w:color w:val="auto"/>
        </w:rPr>
      </w:pPr>
    </w:p>
    <w:p>
      <w:pPr>
        <w:ind w:right="4100"/>
        <w:spacing w:after="0" w:line="21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0" w:lineRule="exact"/>
        <w:rPr>
          <w:sz w:val="24"/>
          <w:szCs w:val="24"/>
          <w:color w:val="auto"/>
        </w:rPr>
      </w:pPr>
    </w:p>
    <w:p>
      <w:pPr>
        <w:ind w:right="20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4" w:lineRule="exact"/>
        <w:rPr>
          <w:sz w:val="24"/>
          <w:szCs w:val="24"/>
          <w:color w:val="auto"/>
        </w:rPr>
      </w:pPr>
    </w:p>
    <w:p>
      <w:pPr>
        <w:ind w:right="18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ind w:right="34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9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60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9" w:lineRule="exact"/>
        <w:rPr>
          <w:sz w:val="24"/>
          <w:szCs w:val="24"/>
          <w:color w:val="auto"/>
        </w:rPr>
      </w:pPr>
    </w:p>
    <w:p>
      <w:pPr>
        <w:ind w:right="16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4"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2" w:lineRule="exact"/>
        <w:rPr>
          <w:sz w:val="24"/>
          <w:szCs w:val="24"/>
          <w:color w:val="auto"/>
        </w:rPr>
      </w:pPr>
    </w:p>
    <w:p>
      <w:pPr>
        <w:ind w:right="120"/>
        <w:spacing w:after="0" w:line="274" w:lineRule="auto"/>
        <w:rPr>
          <w:sz w:val="20"/>
          <w:szCs w:val="20"/>
          <w:color w:val="auto"/>
        </w:rPr>
      </w:pPr>
      <w:r>
        <w:rPr>
          <w:rFonts w:ascii="Arial" w:cs="Arial" w:eastAsia="Arial" w:hAnsi="Arial"/>
          <w:sz w:val="13"/>
          <w:szCs w:val="13"/>
          <w:color w:val="auto"/>
        </w:rPr>
        <w:t>As of June 30, 2020, the last business day of the registrant’s most recently completed second fiscal quarter, the aggregate market value of shares of the registrant’s common stock held by non-affiliates of the registrant (based upon the split adjusted closing sale price of $75.12 per share on the Nasdaq Global Market on such date) was approximately $2.6 billion.</w:t>
      </w:r>
    </w:p>
    <w:p>
      <w:pPr>
        <w:spacing w:after="0" w:line="3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the registrant’s common stock, par value $0.001 per share, outstanding as of February 10, 2021 was 35,583,977 shares.</w:t>
      </w:r>
    </w:p>
    <w:p>
      <w:pPr>
        <w:spacing w:after="0" w:line="67" w:lineRule="exact"/>
        <w:rPr>
          <w:sz w:val="24"/>
          <w:szCs w:val="24"/>
          <w:color w:val="auto"/>
        </w:rPr>
      </w:pPr>
    </w:p>
    <w:p>
      <w:pPr>
        <w:ind w:left="4160"/>
        <w:spacing w:after="0"/>
        <w:rPr>
          <w:sz w:val="20"/>
          <w:szCs w:val="20"/>
          <w:color w:val="auto"/>
        </w:rPr>
      </w:pPr>
      <w:r>
        <w:rPr>
          <w:rFonts w:ascii="Arial" w:cs="Arial" w:eastAsia="Arial" w:hAnsi="Arial"/>
          <w:sz w:val="13"/>
          <w:szCs w:val="13"/>
          <w:color w:val="auto"/>
        </w:rPr>
        <w:t>DOCUMENTS INCORPORATED BY REFERENCE</w:t>
      </w:r>
    </w:p>
    <w:p>
      <w:pPr>
        <w:spacing w:after="0" w:line="67" w:lineRule="exact"/>
        <w:rPr>
          <w:sz w:val="24"/>
          <w:szCs w:val="24"/>
          <w:color w:val="auto"/>
        </w:rPr>
      </w:pPr>
    </w:p>
    <w:p>
      <w:pPr>
        <w:ind w:right="160"/>
        <w:spacing w:after="0" w:line="361" w:lineRule="auto"/>
        <w:rPr>
          <w:sz w:val="20"/>
          <w:szCs w:val="20"/>
          <w:color w:val="auto"/>
        </w:rPr>
      </w:pPr>
      <w:r>
        <w:rPr>
          <w:rFonts w:ascii="Arial" w:cs="Arial" w:eastAsia="Arial" w:hAnsi="Arial"/>
          <w:sz w:val="13"/>
          <w:szCs w:val="13"/>
          <w:color w:val="auto"/>
        </w:rPr>
        <w:t>Portions of the Company’s definitive Proxy Statement for the Annual Meeting of Stockholders to be held on May 19, 2021 (the “2021 Proxy Statement”), which is expected to be filed within 120 days after the end of the fiscal year covered by this Annual Report on Form 10-K,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9480" w:type="dxa"/>
            <w:vAlign w:val="bottom"/>
          </w:tcPr>
          <w:p>
            <w:pPr>
              <w:jc w:val="center"/>
              <w:ind w:left="270"/>
              <w:spacing w:after="0"/>
              <w:rPr>
                <w:sz w:val="20"/>
                <w:szCs w:val="20"/>
                <w:color w:val="auto"/>
              </w:rPr>
            </w:pPr>
            <w:r>
              <w:rPr>
                <w:rFonts w:ascii="Arial" w:cs="Arial" w:eastAsia="Arial" w:hAnsi="Arial"/>
                <w:sz w:val="18"/>
                <w:szCs w:val="18"/>
                <w:b w:val="1"/>
                <w:bCs w:val="1"/>
                <w:color w:val="auto"/>
                <w:w w:val="98"/>
              </w:rPr>
              <w:t>SPS COMMERCE, INC.</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948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ANNUAL REPORT ON FORM 10-K</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9480" w:type="dxa"/>
            <w:vAlign w:val="bottom"/>
          </w:tcPr>
          <w:p>
            <w:pPr>
              <w:jc w:val="center"/>
              <w:ind w:left="27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9480" w:type="dxa"/>
            <w:vAlign w:val="bottom"/>
            <w:vMerge w:val="restart"/>
          </w:tcPr>
          <w:p>
            <w:pPr>
              <w:ind w:left="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94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tcPr>
          <w:p>
            <w:pPr>
              <w:ind w:left="7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1A.</w:t>
            </w:r>
          </w:p>
        </w:tc>
        <w:tc>
          <w:tcPr>
            <w:tcW w:w="9480" w:type="dxa"/>
            <w:vAlign w:val="bottom"/>
          </w:tcPr>
          <w:p>
            <w:pPr>
              <w:ind w:left="7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1B.</w:t>
            </w:r>
          </w:p>
        </w:tc>
        <w:tc>
          <w:tcPr>
            <w:tcW w:w="9480" w:type="dxa"/>
            <w:vAlign w:val="bottom"/>
          </w:tcPr>
          <w:p>
            <w:pPr>
              <w:ind w:left="7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Unresolved Staff Comments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tcPr>
          <w:p>
            <w:pPr>
              <w:ind w:left="7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Properties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9480" w:type="dxa"/>
            <w:vAlign w:val="bottom"/>
          </w:tcPr>
          <w:p>
            <w:pPr>
              <w:ind w:left="7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Proceedings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9480" w:type="dxa"/>
            <w:vAlign w:val="bottom"/>
          </w:tcPr>
          <w:p>
            <w:pPr>
              <w:ind w:left="7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Mine Safety Disclosures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1"/>
        </w:trPr>
        <w:tc>
          <w:tcPr>
            <w:tcW w:w="700" w:type="dxa"/>
            <w:vAlign w:val="bottom"/>
          </w:tcPr>
          <w:p>
            <w:pPr>
              <w:spacing w:after="0"/>
              <w:rPr>
                <w:sz w:val="24"/>
                <w:szCs w:val="24"/>
                <w:color w:val="auto"/>
              </w:rPr>
            </w:pPr>
          </w:p>
        </w:tc>
        <w:tc>
          <w:tcPr>
            <w:tcW w:w="9480" w:type="dxa"/>
            <w:vAlign w:val="bottom"/>
          </w:tcPr>
          <w:p>
            <w:pPr>
              <w:ind w:left="60"/>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PART II</w:t>
              </w:r>
            </w:hyperlink>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tcPr>
          <w:p>
            <w:pPr>
              <w:ind w:left="720"/>
              <w:spacing w:after="0"/>
              <w:rPr>
                <w:rFonts w:ascii="Arial" w:cs="Arial" w:eastAsia="Arial" w:hAnsi="Arial"/>
                <w:sz w:val="18"/>
                <w:szCs w:val="18"/>
                <w:u w:val="single" w:color="auto"/>
                <w:color w:val="0000EE"/>
                <w:w w:val="98"/>
              </w:rPr>
            </w:pPr>
            <w:hyperlink w:anchor="page25">
              <w:r>
                <w:rPr>
                  <w:rFonts w:ascii="Arial" w:cs="Arial" w:eastAsia="Arial" w:hAnsi="Arial"/>
                  <w:sz w:val="18"/>
                  <w:szCs w:val="18"/>
                  <w:u w:val="single" w:color="auto"/>
                  <w:color w:val="0000EE"/>
                  <w:w w:val="98"/>
                </w:rPr>
                <w:t>Market for Registrant’s Common Equity, Related Stockholder Matters and Issuer Purchases of Equity Securities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6.</w:t>
            </w:r>
          </w:p>
        </w:tc>
        <w:tc>
          <w:tcPr>
            <w:tcW w:w="9480" w:type="dxa"/>
            <w:vAlign w:val="bottom"/>
          </w:tcPr>
          <w:p>
            <w:pPr>
              <w:ind w:left="7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Selected Financial Data</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7.</w:t>
            </w:r>
          </w:p>
        </w:tc>
        <w:tc>
          <w:tcPr>
            <w:tcW w:w="9480" w:type="dxa"/>
            <w:vAlign w:val="bottom"/>
          </w:tcPr>
          <w:p>
            <w:pPr>
              <w:ind w:left="7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Management’s Discussion and Analysis of Financial Condition and Results of Operations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7A.</w:t>
            </w:r>
          </w:p>
        </w:tc>
        <w:tc>
          <w:tcPr>
            <w:tcW w:w="9480" w:type="dxa"/>
            <w:vAlign w:val="bottom"/>
          </w:tcPr>
          <w:p>
            <w:pPr>
              <w:ind w:left="7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Quantitative and Qualitative Disclosures About Market Risk</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8.</w:t>
            </w:r>
          </w:p>
        </w:tc>
        <w:tc>
          <w:tcPr>
            <w:tcW w:w="9480" w:type="dxa"/>
            <w:vAlign w:val="bottom"/>
          </w:tcPr>
          <w:p>
            <w:pPr>
              <w:ind w:left="7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Financial Statements and Supplementary Data</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9.</w:t>
            </w:r>
          </w:p>
        </w:tc>
        <w:tc>
          <w:tcPr>
            <w:tcW w:w="9480" w:type="dxa"/>
            <w:vAlign w:val="bottom"/>
          </w:tcPr>
          <w:p>
            <w:pPr>
              <w:ind w:left="7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Changes in and Disagreements with Accountants on Accounting and Financial Disclosure</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9A.</w:t>
            </w:r>
          </w:p>
        </w:tc>
        <w:tc>
          <w:tcPr>
            <w:tcW w:w="9480" w:type="dxa"/>
            <w:vAlign w:val="bottom"/>
          </w:tcPr>
          <w:p>
            <w:pPr>
              <w:ind w:left="7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Controls and Procedures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Item 9B.</w:t>
            </w:r>
          </w:p>
        </w:tc>
        <w:tc>
          <w:tcPr>
            <w:tcW w:w="9480" w:type="dxa"/>
            <w:vAlign w:val="bottom"/>
          </w:tcPr>
          <w:p>
            <w:pPr>
              <w:ind w:left="7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Other Information</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1"/>
        </w:trPr>
        <w:tc>
          <w:tcPr>
            <w:tcW w:w="700" w:type="dxa"/>
            <w:vAlign w:val="bottom"/>
          </w:tcPr>
          <w:p>
            <w:pPr>
              <w:spacing w:after="0"/>
              <w:rPr>
                <w:sz w:val="24"/>
                <w:szCs w:val="24"/>
                <w:color w:val="auto"/>
              </w:rPr>
            </w:pPr>
          </w:p>
        </w:tc>
        <w:tc>
          <w:tcPr>
            <w:tcW w:w="9480" w:type="dxa"/>
            <w:vAlign w:val="bottom"/>
          </w:tcPr>
          <w:p>
            <w:pPr>
              <w:ind w:left="60"/>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PART III</w:t>
              </w:r>
            </w:hyperlink>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10.</w:t>
            </w:r>
          </w:p>
        </w:tc>
        <w:tc>
          <w:tcPr>
            <w:tcW w:w="9480" w:type="dxa"/>
            <w:vAlign w:val="bottom"/>
          </w:tcPr>
          <w:p>
            <w:pPr>
              <w:ind w:left="7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Directors, Executive Officers and Corporate Governance</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11.</w:t>
            </w:r>
          </w:p>
        </w:tc>
        <w:tc>
          <w:tcPr>
            <w:tcW w:w="9480" w:type="dxa"/>
            <w:vAlign w:val="bottom"/>
          </w:tcPr>
          <w:p>
            <w:pPr>
              <w:ind w:left="7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Executive Compensation</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12.</w:t>
            </w:r>
          </w:p>
        </w:tc>
        <w:tc>
          <w:tcPr>
            <w:tcW w:w="9480" w:type="dxa"/>
            <w:vAlign w:val="bottom"/>
          </w:tcPr>
          <w:p>
            <w:pPr>
              <w:ind w:left="7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Security Ownership of Certain Beneficial Owners and Management and Related Stockholder Matters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13.</w:t>
            </w:r>
          </w:p>
        </w:tc>
        <w:tc>
          <w:tcPr>
            <w:tcW w:w="9480" w:type="dxa"/>
            <w:vAlign w:val="bottom"/>
          </w:tcPr>
          <w:p>
            <w:pPr>
              <w:ind w:left="7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Certain Relationships and Related Transactions, and Director Independence</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Item 14.</w:t>
            </w:r>
          </w:p>
        </w:tc>
        <w:tc>
          <w:tcPr>
            <w:tcW w:w="9480" w:type="dxa"/>
            <w:vAlign w:val="bottom"/>
          </w:tcPr>
          <w:p>
            <w:pPr>
              <w:ind w:left="7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Principal Accounting Fees and Services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31"/>
        </w:trPr>
        <w:tc>
          <w:tcPr>
            <w:tcW w:w="700" w:type="dxa"/>
            <w:vAlign w:val="bottom"/>
          </w:tcPr>
          <w:p>
            <w:pPr>
              <w:spacing w:after="0"/>
              <w:rPr>
                <w:sz w:val="24"/>
                <w:szCs w:val="24"/>
                <w:color w:val="auto"/>
              </w:rPr>
            </w:pPr>
          </w:p>
        </w:tc>
        <w:tc>
          <w:tcPr>
            <w:tcW w:w="9480" w:type="dxa"/>
            <w:vAlign w:val="bottom"/>
          </w:tcPr>
          <w:p>
            <w:pPr>
              <w:ind w:left="60"/>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PART IV</w:t>
              </w:r>
            </w:hyperlink>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Item 15.</w:t>
            </w:r>
          </w:p>
        </w:tc>
        <w:tc>
          <w:tcPr>
            <w:tcW w:w="9480" w:type="dxa"/>
            <w:vAlign w:val="bottom"/>
          </w:tcPr>
          <w:p>
            <w:pPr>
              <w:ind w:left="7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Exhibits, Financial Statement Schedules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Item 16.</w:t>
            </w:r>
          </w:p>
        </w:tc>
        <w:tc>
          <w:tcPr>
            <w:tcW w:w="9480" w:type="dxa"/>
            <w:vAlign w:val="bottom"/>
          </w:tcPr>
          <w:p>
            <w:pPr>
              <w:ind w:left="7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Form 10-K Summary</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9480" w:type="dxa"/>
            <w:vAlign w:val="bottom"/>
          </w:tcPr>
          <w:p>
            <w:pPr>
              <w:ind w:left="80"/>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SIGNATURES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Annual Report on Form 10-K, the words “we,” “us,” “our,” the “Company,” “SPS,” and “SPS Commerce” refer to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20574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43" w:lineRule="exact"/>
        <w:rPr>
          <w:sz w:val="20"/>
          <w:szCs w:val="20"/>
          <w:color w:val="auto"/>
        </w:rPr>
      </w:pPr>
    </w:p>
    <w:p>
      <w:pPr>
        <w:ind w:firstLine="538"/>
        <w:spacing w:after="0" w:line="268" w:lineRule="auto"/>
        <w:rPr>
          <w:sz w:val="20"/>
          <w:szCs w:val="20"/>
          <w:color w:val="auto"/>
        </w:rPr>
      </w:pPr>
      <w:r>
        <w:rPr>
          <w:rFonts w:ascii="Arial" w:cs="Arial" w:eastAsia="Arial" w:hAnsi="Arial"/>
          <w:sz w:val="17"/>
          <w:szCs w:val="17"/>
          <w:color w:val="auto"/>
        </w:rPr>
        <w:t>This Annual Report on Form 10-K contains forward-looking statements within the meaning of the U.S. Private Securities Litigation Reform Act of 1995. Forward looking statements regarding us, our business prospects and our results of operations are subject to certain risks and uncertainties posed by many factors and events, many of which may be amplified by the coronavirus (COVID-19) pandemic,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“assumes,”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including the updates in this Annual Report on Form 10-K for the year ended December 31, 2020, as may be updated in our subsequent Quarterly Reports on Form 10-Q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Securities and Exchange Commission (“SEC”) that advise interested parties of the risks and factors that may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20574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00AAE5"/>
        </w:rPr>
        <w:t>PART 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3"/>
          <w:szCs w:val="13"/>
          <w:b w:val="1"/>
          <w:bCs w:val="1"/>
          <w:color w:val="00AAE5"/>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ind w:right="360" w:firstLine="538"/>
        <w:spacing w:after="0" w:line="311" w:lineRule="auto"/>
        <w:rPr>
          <w:sz w:val="20"/>
          <w:szCs w:val="20"/>
          <w:color w:val="auto"/>
        </w:rPr>
      </w:pPr>
      <w:r>
        <w:rPr>
          <w:rFonts w:ascii="Arial" w:cs="Arial" w:eastAsia="Arial" w:hAnsi="Arial"/>
          <w:sz w:val="16"/>
          <w:szCs w:val="16"/>
          <w:color w:val="auto"/>
        </w:rPr>
        <w:t>SPS Commerce is a leading provider of cloud-based supply chain management services that make it easier for retailers, suppliers, grocers, distributors, and logistics firms to orchestrate the management of item data, order fulfillment, inventory control, and sales analytics across all channels. Implementing and maintaining a suite of supply chain management capabilities is resource-intensive and is not a core competency for most businesses.</w:t>
      </w:r>
    </w:p>
    <w:p>
      <w:pPr>
        <w:spacing w:after="0" w:line="41" w:lineRule="exact"/>
        <w:rPr>
          <w:sz w:val="20"/>
          <w:szCs w:val="20"/>
          <w:color w:val="auto"/>
        </w:rPr>
      </w:pPr>
    </w:p>
    <w:p>
      <w:pPr>
        <w:ind w:right="100" w:firstLine="538"/>
        <w:spacing w:after="0" w:line="259" w:lineRule="auto"/>
        <w:rPr>
          <w:sz w:val="20"/>
          <w:szCs w:val="20"/>
          <w:color w:val="auto"/>
        </w:rPr>
      </w:pPr>
      <w:r>
        <w:rPr>
          <w:rFonts w:ascii="Arial" w:cs="Arial" w:eastAsia="Arial" w:hAnsi="Arial"/>
          <w:sz w:val="18"/>
          <w:szCs w:val="18"/>
          <w:color w:val="auto"/>
        </w:rPr>
        <w:t>The services offered by SPS Commerce eliminate the need for on-premise software and support staff by taking on that capability on the customer’s behalf. The services SPS Commerce provides enable our customers to increase their supply cycle agility, optimize their inventory levels and sell-through, reduce operational costs and gain increased visibility into customer orders, ensuring that suppliers, grocers, distributors, and logistics firms can satisfy exacting retailer requirements.</w:t>
      </w:r>
    </w:p>
    <w:p>
      <w:pPr>
        <w:spacing w:after="0" w:line="79" w:lineRule="exact"/>
        <w:rPr>
          <w:sz w:val="20"/>
          <w:szCs w:val="20"/>
          <w:color w:val="auto"/>
        </w:rPr>
      </w:pPr>
    </w:p>
    <w:p>
      <w:pPr>
        <w:jc w:val="both"/>
        <w:ind w:right="200" w:firstLine="538"/>
        <w:spacing w:after="0" w:line="301" w:lineRule="auto"/>
        <w:rPr>
          <w:sz w:val="20"/>
          <w:szCs w:val="20"/>
          <w:color w:val="auto"/>
        </w:rPr>
      </w:pPr>
      <w:r>
        <w:rPr>
          <w:rFonts w:ascii="Arial" w:cs="Arial" w:eastAsia="Arial" w:hAnsi="Arial"/>
          <w:sz w:val="16"/>
          <w:szCs w:val="16"/>
          <w:color w:val="auto"/>
        </w:rPr>
        <w:t>As of December 31, 2020, we had approximately 33,000 customers with contracts to pay us monthly fees, which we refer to as recurring revenue customers. We have also generated revenues by providing our cloud-based supply chain management services to an additional 62,000 organizations that, together with our recurring revenue customers, we refer to as our customers. Once connected to the SPS Commerce cloud-based Platform, our customers often require integrations to new organizations that represent an expansion of our cloud-based Platform and new sources of revenues for us.</w:t>
      </w:r>
    </w:p>
    <w:p>
      <w:pPr>
        <w:spacing w:after="0" w:line="49" w:lineRule="exact"/>
        <w:rPr>
          <w:sz w:val="20"/>
          <w:szCs w:val="20"/>
          <w:color w:val="auto"/>
        </w:rPr>
      </w:pPr>
    </w:p>
    <w:p>
      <w:pPr>
        <w:ind w:right="340" w:firstLine="538"/>
        <w:spacing w:after="0" w:line="257" w:lineRule="auto"/>
        <w:rPr>
          <w:sz w:val="20"/>
          <w:szCs w:val="20"/>
          <w:color w:val="auto"/>
        </w:rPr>
      </w:pPr>
      <w:r>
        <w:rPr>
          <w:rFonts w:ascii="Arial" w:cs="Arial" w:eastAsia="Arial" w:hAnsi="Arial"/>
          <w:sz w:val="18"/>
          <w:szCs w:val="18"/>
          <w:color w:val="auto"/>
        </w:rPr>
        <w:t>For the years ended December 31, 2020, 2019, and 2018, we generated revenues of $312.6 million, $279.1 million, and $248.2 million, respectively. Our quarter ended December 31, 2020 represented our 80th consecutive quarter of increased revenues. Recurring revenues from recurring revenue customers accounted for 94%, 94% and 93% of our total revenues for the years ended December 31, 2020, 2019, and 2018, respectively. Our revenues are not concentrated with any customer, as our largest customer represented less than 1% of total revenues for the years ended December 31, 2020, 2019, and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Our Solutions</w:t>
      </w:r>
    </w:p>
    <w:p>
      <w:pPr>
        <w:spacing w:after="0" w:line="121" w:lineRule="exact"/>
        <w:rPr>
          <w:sz w:val="20"/>
          <w:szCs w:val="20"/>
          <w:color w:val="auto"/>
        </w:rPr>
      </w:pPr>
    </w:p>
    <w:p>
      <w:pPr>
        <w:ind w:right="100" w:firstLine="538"/>
        <w:spacing w:after="0" w:line="259" w:lineRule="auto"/>
        <w:rPr>
          <w:sz w:val="20"/>
          <w:szCs w:val="20"/>
          <w:color w:val="auto"/>
        </w:rPr>
      </w:pPr>
      <w:r>
        <w:rPr>
          <w:rFonts w:ascii="Arial" w:cs="Arial" w:eastAsia="Arial" w:hAnsi="Arial"/>
          <w:sz w:val="18"/>
          <w:szCs w:val="18"/>
          <w:color w:val="auto"/>
        </w:rPr>
        <w:t>SPS Commerce operates one of the largest retail trading partner networks in the world through cloud-based services that improve the way retailers, suppliers, grocers, distributors, and logistics firms manage and fulfill orders, administer sell-through performance, and source new items. Approximately 95,000 customers across approximately 80 countries are using SPS Commerce solutions to expand and optimize the performance of their trading relationships.</w:t>
      </w:r>
    </w:p>
    <w:p>
      <w:pPr>
        <w:spacing w:after="0" w:line="79" w:lineRule="exact"/>
        <w:rPr>
          <w:sz w:val="20"/>
          <w:szCs w:val="20"/>
          <w:color w:val="auto"/>
        </w:rPr>
      </w:pPr>
    </w:p>
    <w:p>
      <w:pPr>
        <w:ind w:right="100" w:firstLine="538"/>
        <w:spacing w:after="0" w:line="263" w:lineRule="auto"/>
        <w:rPr>
          <w:sz w:val="20"/>
          <w:szCs w:val="20"/>
          <w:color w:val="auto"/>
        </w:rPr>
      </w:pPr>
      <w:r>
        <w:rPr>
          <w:rFonts w:ascii="Arial" w:cs="Arial" w:eastAsia="Arial" w:hAnsi="Arial"/>
          <w:sz w:val="18"/>
          <w:szCs w:val="18"/>
          <w:color w:val="auto"/>
        </w:rPr>
        <w:t>The SPS Commerce business model fundamentally changes how organizations use electronic communication to manage their omnichannel, supply chain, and other business requirements by replacing the collection of traditional, custom-built, point-to-point integrations with a model that facilitates a single automated connection to the entire SPS Commerce network of trading partners.</w:t>
      </w:r>
    </w:p>
    <w:p>
      <w:pPr>
        <w:spacing w:after="0" w:line="76" w:lineRule="exact"/>
        <w:rPr>
          <w:sz w:val="20"/>
          <w:szCs w:val="20"/>
          <w:color w:val="auto"/>
        </w:rPr>
      </w:pPr>
    </w:p>
    <w:p>
      <w:pPr>
        <w:ind w:right="20" w:firstLine="538"/>
        <w:spacing w:after="0" w:line="301" w:lineRule="auto"/>
        <w:rPr>
          <w:sz w:val="20"/>
          <w:szCs w:val="20"/>
          <w:color w:val="auto"/>
        </w:rPr>
      </w:pPr>
      <w:r>
        <w:rPr>
          <w:rFonts w:ascii="Arial" w:cs="Arial" w:eastAsia="Arial" w:hAnsi="Arial"/>
          <w:sz w:val="16"/>
          <w:szCs w:val="16"/>
          <w:color w:val="auto"/>
        </w:rPr>
        <w:t>From that single connection, a member of our network can make use of the full suite of our services, from fulfillment automation to the analysis and optimization of item sell-through performance, to sourcing new items, retailing relationships, logistics providers, or other services. These cloud services deliver value as stand-alone offerings but can also provide greater value when used collectively. This represents a fundamental change to fulfillment automation and enables inherent adaptability and flexibility not possible with traditional supply chain management system architectures.</w:t>
      </w:r>
    </w:p>
    <w:p>
      <w:pPr>
        <w:spacing w:after="0" w:line="49" w:lineRule="exact"/>
        <w:rPr>
          <w:sz w:val="20"/>
          <w:szCs w:val="20"/>
          <w:color w:val="auto"/>
        </w:rPr>
      </w:pPr>
    </w:p>
    <w:p>
      <w:pPr>
        <w:ind w:right="200" w:firstLine="538"/>
        <w:spacing w:after="0" w:line="296" w:lineRule="auto"/>
        <w:rPr>
          <w:sz w:val="20"/>
          <w:szCs w:val="20"/>
          <w:color w:val="auto"/>
        </w:rPr>
      </w:pPr>
      <w:r>
        <w:rPr>
          <w:rFonts w:ascii="Arial" w:cs="Arial" w:eastAsia="Arial" w:hAnsi="Arial"/>
          <w:sz w:val="16"/>
          <w:szCs w:val="16"/>
          <w:color w:val="auto"/>
        </w:rPr>
        <w:t>Our Fulfillment solution allows customers to comply with numerous rulebooks for retailers, grocers, and distributors. Maintaining current connections with retailers, grocers, and distributors removes the need for their trading partners to continually stay up-to-date with their required rulebook change. The utilization of a cloud services model eliminates (or greatly reduces) the burden on trading partners to support and maintain an on-premise software application, thereby reducing their ongoing operating costs. As the transaction hub for trading partners, we can provide increased performance visibility and data analytics capabilities across their supply chains, each of which is difficult to gain from traditional, point-to-point integration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0574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36"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540"/>
        <w:spacing w:after="0"/>
        <w:rPr>
          <w:sz w:val="20"/>
          <w:szCs w:val="20"/>
          <w:color w:val="auto"/>
        </w:rPr>
      </w:pPr>
      <w:r>
        <w:rPr>
          <w:rFonts w:ascii="Arial" w:cs="Arial" w:eastAsia="Arial" w:hAnsi="Arial"/>
          <w:sz w:val="18"/>
          <w:szCs w:val="18"/>
          <w:color w:val="auto"/>
        </w:rPr>
        <w:t>The following services are enabled through the SPS Commerce cloud-based Platform:</w:t>
      </w:r>
    </w:p>
    <w:p>
      <w:pPr>
        <w:spacing w:after="0" w:line="117" w:lineRule="exact"/>
        <w:rPr>
          <w:sz w:val="20"/>
          <w:szCs w:val="20"/>
          <w:color w:val="auto"/>
        </w:rPr>
      </w:pPr>
    </w:p>
    <w:p>
      <w:pPr>
        <w:ind w:left="1060" w:right="160" w:hanging="526"/>
        <w:spacing w:after="0" w:line="311"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Fulfillment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Fulfillment solution provides fulfillment automation and replaces or augments an organization’s existing staff and trading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electronic communication infrastructure by enabling easy compliance with retailers’ rulebooks, automatic, digital exchange of information among numerous trading partners through various protocols, and greater visibility into the journey of an order.</w:t>
      </w:r>
    </w:p>
    <w:p>
      <w:pPr>
        <w:spacing w:after="0" w:line="40" w:lineRule="exact"/>
        <w:rPr>
          <w:rFonts w:ascii="Arial" w:cs="Arial" w:eastAsia="Arial" w:hAnsi="Arial"/>
          <w:sz w:val="16"/>
          <w:szCs w:val="16"/>
          <w:color w:val="auto"/>
        </w:rPr>
      </w:pPr>
    </w:p>
    <w:p>
      <w:pPr>
        <w:ind w:left="1060" w:right="360" w:hanging="526"/>
        <w:spacing w:after="0" w:line="25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Analytics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Analytics solution consists of data analytics applications that enable our customers to improve their visibility across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supply chains through greater analytics capabilities. When focused on point-of-sale data, for example, retailers and suppliers can ensure inventory is located where demand is highest. Additionally, retailers improve their visibility into supplier performance and their understanding of product sell-through.</w:t>
      </w:r>
    </w:p>
    <w:p>
      <w:pPr>
        <w:spacing w:after="0" w:line="78" w:lineRule="exact"/>
        <w:rPr>
          <w:rFonts w:ascii="Arial" w:cs="Arial" w:eastAsia="Arial" w:hAnsi="Arial"/>
          <w:sz w:val="18"/>
          <w:szCs w:val="18"/>
          <w:color w:val="auto"/>
        </w:rPr>
      </w:pPr>
    </w:p>
    <w:p>
      <w:pPr>
        <w:ind w:left="1060" w:right="240" w:hanging="526"/>
        <w:spacing w:after="0" w:line="263"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Other Solutions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several peripheral solutions, such as our assortment solution (which enables accurate order management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rapid fulfillment) and our community solution (which accelerates vendor onboarding and ensures trading partner adoption of new supply chain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Our Customer and Sales Sources</w:t>
      </w:r>
    </w:p>
    <w:p>
      <w:pPr>
        <w:spacing w:after="0" w:line="121" w:lineRule="exact"/>
        <w:rPr>
          <w:sz w:val="20"/>
          <w:szCs w:val="20"/>
          <w:color w:val="auto"/>
        </w:rPr>
      </w:pPr>
    </w:p>
    <w:p>
      <w:pPr>
        <w:ind w:right="340" w:firstLine="538"/>
        <w:spacing w:after="0" w:line="277" w:lineRule="auto"/>
        <w:rPr>
          <w:sz w:val="20"/>
          <w:szCs w:val="20"/>
          <w:color w:val="auto"/>
        </w:rPr>
      </w:pPr>
      <w:r>
        <w:rPr>
          <w:rFonts w:ascii="Arial" w:cs="Arial" w:eastAsia="Arial" w:hAnsi="Arial"/>
          <w:sz w:val="18"/>
          <w:szCs w:val="18"/>
          <w:color w:val="auto"/>
        </w:rPr>
        <w:t>As one of the largest providers of cloud services for retail supply chain management, the trading partner relationships that we enable among our retailer, supplier, grocer, distributor, and logistics customers naturally lead to new customer acquisition opportunities.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Effect”</w:t>
      </w:r>
    </w:p>
    <w:p>
      <w:pPr>
        <w:spacing w:after="0" w:line="117" w:lineRule="exact"/>
        <w:rPr>
          <w:sz w:val="20"/>
          <w:szCs w:val="20"/>
          <w:color w:val="auto"/>
        </w:rPr>
      </w:pPr>
    </w:p>
    <w:p>
      <w:pPr>
        <w:ind w:right="100" w:firstLine="538"/>
        <w:spacing w:after="0" w:line="254" w:lineRule="auto"/>
        <w:rPr>
          <w:sz w:val="20"/>
          <w:szCs w:val="20"/>
          <w:color w:val="auto"/>
        </w:rPr>
      </w:pPr>
      <w:r>
        <w:rPr>
          <w:rFonts w:ascii="Arial" w:cs="Arial" w:eastAsia="Arial" w:hAnsi="Arial"/>
          <w:sz w:val="18"/>
          <w:szCs w:val="18"/>
          <w:color w:val="auto"/>
        </w:rPr>
        <w:t>Once connected to our network, trading partners can exchange electronic supply chain information with each other. The value of our network increases with the number of trading partners connected to it. The addition of each new customer enables that new customer to communicate with our existing customers and permits our existing customers to do business with the new customer. Additionally, through our Sourcing solution, our community now has a social network focused on facilitating connections and business interactions among retailers and suppliers. This “network effect” of adding additional customers to our solutions’ infrastructure creates a significant opportunity for existing customers to realize incremental sales by working with our new trading partners and vice versa. As a result of this increased volume of activity among our network participants, we earn additional revenues from these participants.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Efforts</w:t>
      </w:r>
      <w:r>
        <w:rPr>
          <w:rFonts w:ascii="Arial" w:cs="Arial" w:eastAsia="Arial" w:hAnsi="Arial"/>
          <w:sz w:val="18"/>
          <w:szCs w:val="18"/>
          <w:i w:val="1"/>
          <w:iCs w:val="1"/>
          <w:color w:val="auto"/>
        </w:rPr>
        <w:t>.</w:t>
      </w:r>
    </w:p>
    <w:p>
      <w:pPr>
        <w:spacing w:after="0" w:line="117" w:lineRule="exact"/>
        <w:rPr>
          <w:sz w:val="20"/>
          <w:szCs w:val="20"/>
          <w:color w:val="auto"/>
        </w:rPr>
      </w:pPr>
    </w:p>
    <w:p>
      <w:pPr>
        <w:ind w:right="160" w:firstLine="538"/>
        <w:spacing w:after="0" w:line="277" w:lineRule="auto"/>
        <w:rPr>
          <w:sz w:val="20"/>
          <w:szCs w:val="20"/>
          <w:color w:val="auto"/>
        </w:rPr>
      </w:pPr>
      <w:r>
        <w:rPr>
          <w:rFonts w:ascii="Arial" w:cs="Arial" w:eastAsia="Arial" w:hAnsi="Arial"/>
          <w:sz w:val="18"/>
          <w:szCs w:val="18"/>
          <w:color w:val="auto"/>
        </w:rPr>
        <w:t>Our business development organization is tasked with finding new sources of revenue and the development of new business opportunities through channel partners and other areas that present an opportunity for growth.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 Sources</w:t>
      </w:r>
    </w:p>
    <w:p>
      <w:pPr>
        <w:spacing w:after="0" w:line="117" w:lineRule="exact"/>
        <w:rPr>
          <w:sz w:val="20"/>
          <w:szCs w:val="20"/>
          <w:color w:val="auto"/>
        </w:rPr>
      </w:pPr>
    </w:p>
    <w:p>
      <w:pPr>
        <w:ind w:right="80" w:firstLine="538"/>
        <w:spacing w:after="0" w:line="301" w:lineRule="auto"/>
        <w:rPr>
          <w:sz w:val="20"/>
          <w:szCs w:val="20"/>
          <w:color w:val="auto"/>
        </w:rPr>
      </w:pPr>
      <w:r>
        <w:rPr>
          <w:rFonts w:ascii="Arial" w:cs="Arial" w:eastAsia="Arial" w:hAnsi="Arial"/>
          <w:sz w:val="16"/>
          <w:szCs w:val="16"/>
          <w:i w:val="1"/>
          <w:iCs w:val="1"/>
          <w:color w:val="auto"/>
        </w:rPr>
        <w:t xml:space="preserve">Community. </w:t>
      </w:r>
      <w:r>
        <w:rPr>
          <w:rFonts w:ascii="Arial" w:cs="Arial" w:eastAsia="Arial" w:hAnsi="Arial"/>
          <w:sz w:val="16"/>
          <w:szCs w:val="16"/>
          <w:color w:val="auto"/>
        </w:rPr>
        <w:t>As retailers and suppliers reshape how they do business in an omnichannel landscape, they need to bring new capabilities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their trading partner networks. For instance, a supplier may wish to collaborate with their retailers around point-of-sale analytics data, or a retailer may decide to change the workflow or protocol by which it interacts with its suppliers. In each case, the supplier and retailer may engage us to work with its trading partner base to enable the new capability. Performing these programs on behalf of retailers and suppliers often generates supplier sales leads for us.</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Referrals from Our Customers. </w:t>
      </w:r>
      <w:r>
        <w:rPr>
          <w:rFonts w:ascii="Arial" w:cs="Arial" w:eastAsia="Arial" w:hAnsi="Arial"/>
          <w:sz w:val="16"/>
          <w:szCs w:val="16"/>
          <w:color w:val="auto"/>
        </w:rPr>
        <w:t>We also receive sales leads from our customers seeking to communicate electronically with their trading partners.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a supplier may refer its third-party logistics provider or manufacturer, which is not in our network, to us.</w:t>
      </w:r>
    </w:p>
    <w:p>
      <w:pPr>
        <w:spacing w:after="0" w:line="103" w:lineRule="exact"/>
        <w:rPr>
          <w:sz w:val="20"/>
          <w:szCs w:val="20"/>
          <w:color w:val="auto"/>
        </w:rPr>
      </w:pPr>
    </w:p>
    <w:p>
      <w:pPr>
        <w:ind w:right="160" w:firstLine="538"/>
        <w:spacing w:after="0" w:line="263" w:lineRule="auto"/>
        <w:rPr>
          <w:sz w:val="20"/>
          <w:szCs w:val="20"/>
          <w:color w:val="auto"/>
        </w:rPr>
      </w:pPr>
      <w:r>
        <w:rPr>
          <w:rFonts w:ascii="Arial" w:cs="Arial" w:eastAsia="Arial" w:hAnsi="Arial"/>
          <w:sz w:val="18"/>
          <w:szCs w:val="18"/>
          <w:i w:val="1"/>
          <w:iCs w:val="1"/>
          <w:color w:val="auto"/>
        </w:rPr>
        <w:t xml:space="preserve">Direct Marketing. </w:t>
      </w:r>
      <w:r>
        <w:rPr>
          <w:rFonts w:ascii="Arial" w:cs="Arial" w:eastAsia="Arial" w:hAnsi="Arial"/>
          <w:sz w:val="18"/>
          <w:szCs w:val="18"/>
          <w:color w:val="auto"/>
        </w:rPr>
        <w:t>We employ various marketing strategies. Our marketing program include a variety of lead generating activities including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advertising, conferences and tradeshows, events, and public relations activities targeted at key decision makers within our prospective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20574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 w:name="page6"/>
    <w:bookmarkEnd w:id="5"/>
    <w:p>
      <w:pPr>
        <w:ind w:right="240" w:firstLine="538"/>
        <w:spacing w:after="0" w:line="257" w:lineRule="auto"/>
        <w:rPr>
          <w:sz w:val="20"/>
          <w:szCs w:val="20"/>
          <w:color w:val="auto"/>
        </w:rPr>
      </w:pPr>
      <w:r>
        <w:rPr>
          <w:rFonts w:ascii="Arial" w:cs="Arial" w:eastAsia="Arial" w:hAnsi="Arial"/>
          <w:sz w:val="18"/>
          <w:szCs w:val="18"/>
          <w:i w:val="1"/>
          <w:iCs w:val="1"/>
          <w:color w:val="auto"/>
        </w:rPr>
        <w:t xml:space="preserve">Channel Partners. </w:t>
      </w:r>
      <w:r>
        <w:rPr>
          <w:rFonts w:ascii="Arial" w:cs="Arial" w:eastAsia="Arial" w:hAnsi="Arial"/>
          <w:sz w:val="18"/>
          <w:szCs w:val="18"/>
          <w:color w:val="auto"/>
        </w:rPr>
        <w:t>In addition to the customer acquisition sources identified above, we market and sell our solutions through a variety of channel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including software providers, resellers, system integrators, and logistics partners. For example, software partners such as Microsoft, NetSuite, Oracle, SAP, Sage,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solutions as part of their service offerings.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sell our solutions through a global sales force which is organized as follows:</w:t>
      </w:r>
    </w:p>
    <w:p>
      <w:pPr>
        <w:spacing w:after="0" w:line="117" w:lineRule="exact"/>
        <w:rPr>
          <w:sz w:val="20"/>
          <w:szCs w:val="20"/>
          <w:color w:val="auto"/>
        </w:rPr>
      </w:pPr>
    </w:p>
    <w:p>
      <w:pPr>
        <w:ind w:left="1060" w:hanging="526"/>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Retailer Sales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employ a team of sales representatives who focus on selling our cloud services suite to retailers and distributors.</w:t>
      </w:r>
    </w:p>
    <w:p>
      <w:pPr>
        <w:spacing w:after="0" w:line="142" w:lineRule="exact"/>
        <w:rPr>
          <w:rFonts w:ascii="Arial" w:cs="Arial" w:eastAsia="Arial" w:hAnsi="Arial"/>
          <w:sz w:val="17"/>
          <w:szCs w:val="17"/>
          <w:color w:val="auto"/>
        </w:rPr>
      </w:pPr>
    </w:p>
    <w:p>
      <w:pPr>
        <w:ind w:left="1060" w:hanging="52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Supplier Sales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employ a team of supplier sales representatives focused on selling our cloud services suite to suppliers.</w:t>
      </w:r>
    </w:p>
    <w:p>
      <w:pPr>
        <w:spacing w:after="0" w:line="130" w:lineRule="exact"/>
        <w:rPr>
          <w:rFonts w:ascii="Arial" w:cs="Arial" w:eastAsia="Arial" w:hAnsi="Arial"/>
          <w:sz w:val="18"/>
          <w:szCs w:val="18"/>
          <w:color w:val="auto"/>
        </w:rPr>
      </w:pPr>
    </w:p>
    <w:p>
      <w:pPr>
        <w:ind w:left="1060" w:right="120" w:hanging="52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employ a team of sales representatives targeting a broad range of potential customer types such as those in logistics,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ecommerce, and other areas.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Our Growth Strategy</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objective is to be the leading global provider of supply chain management solutions. Key elements of our strategy include:</w:t>
      </w:r>
    </w:p>
    <w:p>
      <w:pPr>
        <w:spacing w:after="0" w:line="117" w:lineRule="exact"/>
        <w:rPr>
          <w:sz w:val="20"/>
          <w:szCs w:val="20"/>
          <w:color w:val="auto"/>
        </w:rPr>
      </w:pPr>
    </w:p>
    <w:p>
      <w:pPr>
        <w:ind w:left="1060" w:right="100" w:hanging="526"/>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Further Penetrate Our Current Market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the global supply chain management market is underpenetrated and, as the retail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continues to respond to the changing requirements of the omnichannel marketplace, and as the supply chain ecosystem becomes more complex and geographically dispersed, the demand for supply chain management solutions will increase, especially among small- and medium-sized businesses. We intend to continue leveraging our relationships with customers and their trading partners to obtain new sales leads.</w:t>
      </w:r>
    </w:p>
    <w:p>
      <w:pPr>
        <w:spacing w:after="0" w:line="79" w:lineRule="exact"/>
        <w:rPr>
          <w:rFonts w:ascii="Arial" w:cs="Arial" w:eastAsia="Arial" w:hAnsi="Arial"/>
          <w:sz w:val="18"/>
          <w:szCs w:val="18"/>
          <w:color w:val="auto"/>
        </w:rPr>
      </w:pPr>
    </w:p>
    <w:p>
      <w:pPr>
        <w:ind w:left="1060" w:right="40" w:hanging="526"/>
        <w:spacing w:after="0" w:line="255"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Increase Revenues from Our Customer Base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overall customer satisfaction is strong and will lead our customers to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their use of the solutions they have purchased, as well as purchase additional services to continue improving the performance of their trading partner relationships, generating additional revenues for us. We also expect to introduce new solutions to sell to our customers. We believe our position as the incumbent supply chain management solution provider to our customers, our integration into our recurring revenue customers’ business systems, and the modular nature of our cloud-based Platform are conducive to deploying additional solutions with customers.</w:t>
      </w:r>
    </w:p>
    <w:p>
      <w:pPr>
        <w:spacing w:after="0" w:line="84" w:lineRule="exact"/>
        <w:rPr>
          <w:rFonts w:ascii="Arial" w:cs="Arial" w:eastAsia="Arial" w:hAnsi="Arial"/>
          <w:sz w:val="18"/>
          <w:szCs w:val="18"/>
          <w:color w:val="auto"/>
        </w:rPr>
      </w:pPr>
    </w:p>
    <w:p>
      <w:pPr>
        <w:ind w:left="1060" w:right="540" w:hanging="526"/>
        <w:spacing w:after="0" w:line="308"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Distribution Channels. </w:t>
      </w:r>
      <w:r>
        <w:rPr>
          <w:rFonts w:ascii="Arial" w:cs="Arial" w:eastAsia="Arial" w:hAnsi="Arial"/>
          <w:sz w:val="17"/>
          <w:szCs w:val="17"/>
          <w:color w:val="auto"/>
        </w:rPr>
        <w:t>We intend to grow our business by expanding our sales capacity to gain new customers. We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believe there are valuable opportunities to promote and sell our solutions through collaboration with other providers.</w:t>
      </w:r>
    </w:p>
    <w:p>
      <w:pPr>
        <w:spacing w:after="0" w:line="38" w:lineRule="exact"/>
        <w:rPr>
          <w:rFonts w:ascii="Arial" w:cs="Arial" w:eastAsia="Arial" w:hAnsi="Arial"/>
          <w:sz w:val="17"/>
          <w:szCs w:val="17"/>
          <w:color w:val="auto"/>
        </w:rPr>
      </w:pPr>
    </w:p>
    <w:p>
      <w:pPr>
        <w:ind w:left="1060" w:hanging="526"/>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International Presence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presence in Asia Pacific, as well as in Europe, represents a significant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advantage. We plan to increase our global sales efforts to obtain new customers around the world. We intend to leverage our current global presence to increase the number of integrations we have with retailers in foreign markets to make our solutions more valuable to their trading partners based overseas.</w:t>
      </w:r>
    </w:p>
    <w:p>
      <w:pPr>
        <w:spacing w:after="0" w:line="78" w:lineRule="exact"/>
        <w:rPr>
          <w:rFonts w:ascii="Arial" w:cs="Arial" w:eastAsia="Arial" w:hAnsi="Arial"/>
          <w:sz w:val="18"/>
          <w:szCs w:val="18"/>
          <w:color w:val="auto"/>
        </w:rPr>
      </w:pPr>
    </w:p>
    <w:p>
      <w:pPr>
        <w:ind w:left="1060" w:right="200" w:hanging="52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and Expand Our Services. </w:t>
      </w:r>
      <w:r>
        <w:rPr>
          <w:rFonts w:ascii="Arial" w:cs="Arial" w:eastAsia="Arial" w:hAnsi="Arial"/>
          <w:sz w:val="18"/>
          <w:szCs w:val="18"/>
          <w:color w:val="auto"/>
        </w:rPr>
        <w:t>We intend to further improve and develop the functionality and features of our cloud-based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from time to time, developing new solutions and applications.</w:t>
      </w:r>
    </w:p>
    <w:p>
      <w:pPr>
        <w:spacing w:after="0" w:line="62" w:lineRule="exact"/>
        <w:rPr>
          <w:rFonts w:ascii="Arial" w:cs="Arial" w:eastAsia="Arial" w:hAnsi="Arial"/>
          <w:sz w:val="18"/>
          <w:szCs w:val="18"/>
          <w:color w:val="auto"/>
        </w:rPr>
      </w:pPr>
    </w:p>
    <w:p>
      <w:pPr>
        <w:ind w:left="1060" w:right="120" w:hanging="526"/>
        <w:spacing w:after="0" w:line="279"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Selectively Pursue Strategic Acquisitions. </w:t>
      </w:r>
      <w:r>
        <w:rPr>
          <w:rFonts w:ascii="Arial" w:cs="Arial" w:eastAsia="Arial" w:hAnsi="Arial"/>
          <w:sz w:val="17"/>
          <w:szCs w:val="17"/>
          <w:color w:val="auto"/>
        </w:rPr>
        <w:t>The fragmented nature of our market provides an opportunity for selective acquisitions. We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evaluate potential acquisitions based on the number of new customers, revenue, functionality, or geographic reach the acquisition would provide relative to the purchase price and our ability to integrate and operate the acquired business. In 2020, we acquired D Masons Software, LLC (“Data Masons”), a leading provider of electronic data interchange (“EDI”)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5"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6" w:name="page7"/>
    <w:bookmarkEnd w:id="6"/>
    <w:p>
      <w:pPr>
        <w:ind w:left="1060"/>
        <w:spacing w:after="0"/>
        <w:rPr>
          <w:sz w:val="20"/>
          <w:szCs w:val="20"/>
          <w:color w:val="auto"/>
        </w:rPr>
      </w:pPr>
      <w:r>
        <w:rPr>
          <w:rFonts w:ascii="Arial" w:cs="Arial" w:eastAsia="Arial" w:hAnsi="Arial"/>
          <w:sz w:val="18"/>
          <w:szCs w:val="18"/>
          <w:color w:val="auto"/>
        </w:rPr>
        <w:t>solutions for the Microsoft Dynamics market. This acquisition further extended the power of our network.</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Technology, Development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right="220" w:firstLine="538"/>
        <w:spacing w:after="0" w:line="263" w:lineRule="auto"/>
        <w:rPr>
          <w:sz w:val="20"/>
          <w:szCs w:val="20"/>
          <w:color w:val="auto"/>
        </w:rPr>
      </w:pPr>
      <w:r>
        <w:rPr>
          <w:rFonts w:ascii="Arial" w:cs="Arial" w:eastAsia="Arial" w:hAnsi="Arial"/>
          <w:sz w:val="18"/>
          <w:szCs w:val="18"/>
          <w:color w:val="auto"/>
        </w:rPr>
        <w:t>SPS Commerce was an early provider of cloud services to the retail supply chain management industry, launching the first version of what would become our current services in 1997. We use commercially available hardware and cloud services with a combination of proprietary and commercially available software.</w:t>
      </w:r>
    </w:p>
    <w:p>
      <w:pPr>
        <w:spacing w:after="0" w:line="76" w:lineRule="exact"/>
        <w:rPr>
          <w:sz w:val="20"/>
          <w:szCs w:val="20"/>
          <w:color w:val="auto"/>
        </w:rPr>
      </w:pPr>
    </w:p>
    <w:p>
      <w:pPr>
        <w:ind w:right="60" w:firstLine="538"/>
        <w:spacing w:after="0" w:line="259" w:lineRule="auto"/>
        <w:rPr>
          <w:sz w:val="20"/>
          <w:szCs w:val="20"/>
          <w:color w:val="auto"/>
        </w:rPr>
      </w:pPr>
      <w:r>
        <w:rPr>
          <w:rFonts w:ascii="Arial" w:cs="Arial" w:eastAsia="Arial" w:hAnsi="Arial"/>
          <w:sz w:val="18"/>
          <w:szCs w:val="18"/>
          <w:color w:val="auto"/>
        </w:rPr>
        <w:t>Our cloud service model treats all customers as logically separate tenants within a shared virtual infrastructure. As a result, we spread the cost of delivering our solutions across our customer base. Because we do not manage thousands of distinct applications with their own business logic and database schemes, we believe that we can scale our business faster than traditional software vendors, even those that modified their products to be accessible over the Internet.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w:t>
      </w:r>
    </w:p>
    <w:p>
      <w:pPr>
        <w:spacing w:after="0" w:line="117" w:lineRule="exact"/>
        <w:rPr>
          <w:sz w:val="20"/>
          <w:szCs w:val="20"/>
          <w:color w:val="auto"/>
        </w:rPr>
      </w:pPr>
    </w:p>
    <w:p>
      <w:pPr>
        <w:jc w:val="both"/>
        <w:ind w:right="100" w:firstLine="538"/>
        <w:spacing w:after="0" w:line="301" w:lineRule="auto"/>
        <w:rPr>
          <w:sz w:val="20"/>
          <w:szCs w:val="20"/>
          <w:color w:val="auto"/>
        </w:rPr>
      </w:pPr>
      <w:r>
        <w:rPr>
          <w:rFonts w:ascii="Arial" w:cs="Arial" w:eastAsia="Arial" w:hAnsi="Arial"/>
          <w:sz w:val="16"/>
          <w:szCs w:val="16"/>
          <w:color w:val="auto"/>
        </w:rPr>
        <w:t>Our research and development efforts focus on maintaining, improving, and enhancing our existing solutions, as well as developing new solutions and applications. Our multi-tenant solutions serve all of our customers, which allows us to maintain relatively low research and development expenses and release software updates more frequently compared to traditional on-premise licensed software solutions that support multiple versions. Our development efforts take place at our U.S. locations in Minnesota and New Jersey, as well as in Melbourne, Australia; Toronto, Canada; and Kyiv, Ukraine.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ind w:right="380" w:firstLine="538"/>
        <w:spacing w:after="0" w:line="277" w:lineRule="auto"/>
        <w:rPr>
          <w:sz w:val="20"/>
          <w:szCs w:val="20"/>
          <w:color w:val="auto"/>
        </w:rPr>
      </w:pPr>
      <w:r>
        <w:rPr>
          <w:rFonts w:ascii="Arial" w:cs="Arial" w:eastAsia="Arial" w:hAnsi="Arial"/>
          <w:sz w:val="18"/>
          <w:szCs w:val="18"/>
          <w:color w:val="auto"/>
        </w:rPr>
        <w:t>We operate our infrastructure in third-party data centers located in Minnesota, New Jersey, Texas, Florida, and Melbourne, Australia, as well as provisioned services in cloud providers. In most cases, infrastructure and services are managed by us.</w:t>
      </w:r>
    </w:p>
    <w:p>
      <w:pPr>
        <w:spacing w:after="0" w:line="62" w:lineRule="exact"/>
        <w:rPr>
          <w:sz w:val="20"/>
          <w:szCs w:val="20"/>
          <w:color w:val="auto"/>
        </w:rPr>
      </w:pPr>
    </w:p>
    <w:p>
      <w:pPr>
        <w:ind w:right="260" w:firstLine="538"/>
        <w:spacing w:after="0" w:line="286" w:lineRule="auto"/>
        <w:rPr>
          <w:sz w:val="20"/>
          <w:szCs w:val="20"/>
          <w:color w:val="auto"/>
        </w:rPr>
      </w:pPr>
      <w:r>
        <w:rPr>
          <w:rFonts w:ascii="Arial" w:cs="Arial" w:eastAsia="Arial" w:hAnsi="Arial"/>
          <w:sz w:val="17"/>
          <w:szCs w:val="17"/>
          <w:color w:val="auto"/>
        </w:rPr>
        <w:t>We have internal and third-party monitoring software that continually checks our cloud-based Platform and key underlying components for continuous availability and performance, helping ensure that the network is always available and providing desired service levels. We have a technology engineering team that includes system provisioning, management, maintenance, monitoring, and back-up.</w:t>
      </w:r>
    </w:p>
    <w:p>
      <w:pPr>
        <w:spacing w:after="0" w:line="57" w:lineRule="exact"/>
        <w:rPr>
          <w:sz w:val="20"/>
          <w:szCs w:val="20"/>
          <w:color w:val="auto"/>
        </w:rPr>
      </w:pPr>
    </w:p>
    <w:p>
      <w:pPr>
        <w:ind w:right="200" w:firstLine="538"/>
        <w:spacing w:after="0" w:line="277" w:lineRule="auto"/>
        <w:rPr>
          <w:sz w:val="20"/>
          <w:szCs w:val="20"/>
          <w:color w:val="auto"/>
        </w:rPr>
      </w:pPr>
      <w:r>
        <w:rPr>
          <w:rFonts w:ascii="Arial" w:cs="Arial" w:eastAsia="Arial" w:hAnsi="Arial"/>
          <w:sz w:val="18"/>
          <w:szCs w:val="18"/>
          <w:color w:val="auto"/>
        </w:rPr>
        <w:t>We operate a service architecture using industry best practices to ensure multiple points of redundancy, high availability, and scale as needed. Our databases are replicated between locations with a defined recovery point objective.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Our Customers</w:t>
      </w:r>
    </w:p>
    <w:p>
      <w:pPr>
        <w:spacing w:after="0" w:line="121" w:lineRule="exact"/>
        <w:rPr>
          <w:sz w:val="20"/>
          <w:szCs w:val="20"/>
          <w:color w:val="auto"/>
        </w:rPr>
      </w:pPr>
    </w:p>
    <w:p>
      <w:pPr>
        <w:ind w:right="100" w:firstLine="538"/>
        <w:spacing w:after="0" w:line="279" w:lineRule="auto"/>
        <w:rPr>
          <w:sz w:val="20"/>
          <w:szCs w:val="20"/>
          <w:color w:val="auto"/>
        </w:rPr>
      </w:pPr>
      <w:r>
        <w:rPr>
          <w:rFonts w:ascii="Arial" w:cs="Arial" w:eastAsia="Arial" w:hAnsi="Arial"/>
          <w:sz w:val="17"/>
          <w:szCs w:val="17"/>
          <w:color w:val="auto"/>
        </w:rPr>
        <w:t>As of December 31, 2020, we had approximately 33,000 recurring revenue customers and approximately 95,000 total customers. Our primary source of revenue is from small- to mid-sized suppliers. We also generate revenues from other members of the supply chain ecosystem, including retailers, distributors, third-party logistics providers, and other trading partners. Our revenues are not concentrated with any customer, as our largest customer represented less than 1% of total revenues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5"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7</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00AAE5"/>
        </w:rPr>
        <w:t>Competition</w:t>
      </w:r>
    </w:p>
    <w:p>
      <w:pPr>
        <w:spacing w:after="0" w:line="121" w:lineRule="exact"/>
        <w:rPr>
          <w:sz w:val="20"/>
          <w:szCs w:val="20"/>
          <w:color w:val="auto"/>
        </w:rPr>
      </w:pPr>
    </w:p>
    <w:p>
      <w:pPr>
        <w:ind w:right="400" w:firstLine="538"/>
        <w:spacing w:after="0" w:line="277" w:lineRule="auto"/>
        <w:rPr>
          <w:sz w:val="20"/>
          <w:szCs w:val="20"/>
          <w:color w:val="auto"/>
        </w:rPr>
      </w:pPr>
      <w:r>
        <w:rPr>
          <w:rFonts w:ascii="Arial" w:cs="Arial" w:eastAsia="Arial" w:hAnsi="Arial"/>
          <w:sz w:val="18"/>
          <w:szCs w:val="18"/>
          <w:color w:val="auto"/>
        </w:rPr>
        <w:t>Vendors in the supply chain management industry offer solutions through three delivery methods: traditional on-premise software, cloud-based managed services, and cloud-based full-service solutions.</w:t>
      </w:r>
    </w:p>
    <w:p>
      <w:pPr>
        <w:spacing w:after="0" w:line="62" w:lineRule="exact"/>
        <w:rPr>
          <w:sz w:val="20"/>
          <w:szCs w:val="20"/>
          <w:color w:val="auto"/>
        </w:rPr>
      </w:pPr>
    </w:p>
    <w:p>
      <w:pPr>
        <w:ind w:right="200" w:firstLine="538"/>
        <w:spacing w:after="0" w:line="277" w:lineRule="auto"/>
        <w:rPr>
          <w:sz w:val="20"/>
          <w:szCs w:val="20"/>
          <w:color w:val="auto"/>
        </w:rPr>
      </w:pPr>
      <w:r>
        <w:rPr>
          <w:rFonts w:ascii="Arial" w:cs="Arial" w:eastAsia="Arial" w:hAnsi="Arial"/>
          <w:sz w:val="18"/>
          <w:szCs w:val="18"/>
          <w:color w:val="auto"/>
        </w:rPr>
        <w:t>The market for cloud-based supply chain management solutions is fragmented and rapidly evolving. Cloud service vendors compete directly with each other based mainly on the following:</w:t>
      </w:r>
    </w:p>
    <w:p>
      <w:pPr>
        <w:spacing w:after="0" w:line="62" w:lineRule="exact"/>
        <w:rPr>
          <w:sz w:val="20"/>
          <w:szCs w:val="20"/>
          <w:color w:val="auto"/>
        </w:rPr>
      </w:pPr>
    </w:p>
    <w:p>
      <w:pPr>
        <w:ind w:left="1060" w:hanging="52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breadth of pre-built connections to retailers, third-party logistics providers, and other trading partners;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history of establishing and maintaining reliable connections with trading partners;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reputation of the cloud service vendor in the supply chain management industry;</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specialization in a customer market segment;</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speed and quality with which the cloud service vendor can integrate its customers to their trading partners;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functionality of the cloud service solution, such as the ability to integrate the solution with a customer’s business systems;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breadth of complementary supply chain management solutions the cloud service vendor offers; and</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training and customer support services provided during and after a customer’s initial integration.</w:t>
      </w:r>
    </w:p>
    <w:p>
      <w:pPr>
        <w:spacing w:after="0" w:line="131" w:lineRule="exact"/>
        <w:rPr>
          <w:sz w:val="20"/>
          <w:szCs w:val="20"/>
          <w:color w:val="auto"/>
        </w:rPr>
      </w:pPr>
    </w:p>
    <w:p>
      <w:pPr>
        <w:ind w:right="120" w:firstLine="538"/>
        <w:spacing w:after="0" w:line="259" w:lineRule="auto"/>
        <w:rPr>
          <w:sz w:val="20"/>
          <w:szCs w:val="20"/>
          <w:color w:val="auto"/>
        </w:rPr>
      </w:pPr>
      <w:r>
        <w:rPr>
          <w:rFonts w:ascii="Arial" w:cs="Arial" w:eastAsia="Arial" w:hAnsi="Arial"/>
          <w:sz w:val="18"/>
          <w:szCs w:val="18"/>
          <w:color w:val="auto"/>
        </w:rPr>
        <w:t>We expect to encounter new and increased competition as this market segment consolidates and matures. Consolidation among cloud service vendors could create a direct competitor that can compete with us more effectively than the numerous, smaller vendors currently offering cloud service supply chain management solutions. Increased competition from cloud service vendors could reduce our market share, revenues, and operating margins or otherwise adversely affect our business.</w:t>
      </w:r>
    </w:p>
    <w:p>
      <w:pPr>
        <w:spacing w:after="0" w:line="79" w:lineRule="exact"/>
        <w:rPr>
          <w:sz w:val="20"/>
          <w:szCs w:val="20"/>
          <w:color w:val="auto"/>
        </w:rPr>
      </w:pPr>
    </w:p>
    <w:p>
      <w:pPr>
        <w:ind w:right="40" w:firstLine="538"/>
        <w:spacing w:after="0" w:line="255" w:lineRule="auto"/>
        <w:rPr>
          <w:sz w:val="20"/>
          <w:szCs w:val="20"/>
          <w:color w:val="auto"/>
        </w:rPr>
      </w:pPr>
      <w:r>
        <w:rPr>
          <w:rFonts w:ascii="Arial" w:cs="Arial" w:eastAsia="Arial" w:hAnsi="Arial"/>
          <w:sz w:val="18"/>
          <w:szCs w:val="18"/>
          <w:color w:val="auto"/>
        </w:rPr>
        <w:t>Cloud service vendors also compete with traditional on-premise software companies. Traditional on-premise software companies focused on supply chain integration management include IBM Sterling Commerce and OpenText. These companies offer a “do-it-yourself” method in which customers purchase, install, and manage specialized software, hardware, and value-added networks for their supply chain integration needs. This method requires customers to invest in staff to operate and maintain the software. Traditional on-premise software companies use a single-tenant approach in which information maps to retailers are built for and used by one supplier, as compared to cloud service solutions that allow multiple customers to share information maps with a retailer.</w:t>
      </w:r>
    </w:p>
    <w:p>
      <w:pPr>
        <w:spacing w:after="0" w:line="84" w:lineRule="exact"/>
        <w:rPr>
          <w:sz w:val="20"/>
          <w:szCs w:val="20"/>
          <w:color w:val="auto"/>
        </w:rPr>
      </w:pPr>
    </w:p>
    <w:p>
      <w:pPr>
        <w:ind w:right="380" w:firstLine="538"/>
        <w:spacing w:after="0" w:line="311" w:lineRule="auto"/>
        <w:rPr>
          <w:sz w:val="20"/>
          <w:szCs w:val="20"/>
          <w:color w:val="auto"/>
        </w:rPr>
      </w:pPr>
      <w:r>
        <w:rPr>
          <w:rFonts w:ascii="Arial" w:cs="Arial" w:eastAsia="Arial" w:hAnsi="Arial"/>
          <w:sz w:val="16"/>
          <w:szCs w:val="16"/>
          <w:color w:val="auto"/>
        </w:rPr>
        <w:t>Managed service providers focused on the supply chain management market include IBM Sterling Commerce, OpenText, TrueCommerce/B2B Gateway, DiCentral, and many other small providers. These companies offer a cloud-based solution in which they develop and maintain the core technology, while the customer’s internal staff is responsible for the day-to-day customization, optimization, and operations of the technology.</w:t>
      </w:r>
    </w:p>
    <w:p>
      <w:pPr>
        <w:spacing w:after="0" w:line="41" w:lineRule="exact"/>
        <w:rPr>
          <w:sz w:val="20"/>
          <w:szCs w:val="20"/>
          <w:color w:val="auto"/>
        </w:rPr>
      </w:pPr>
    </w:p>
    <w:p>
      <w:pPr>
        <w:ind w:right="60" w:firstLine="538"/>
        <w:spacing w:after="0" w:line="308" w:lineRule="auto"/>
        <w:rPr>
          <w:sz w:val="20"/>
          <w:szCs w:val="20"/>
          <w:color w:val="auto"/>
        </w:rPr>
      </w:pPr>
      <w:r>
        <w:rPr>
          <w:rFonts w:ascii="Arial" w:cs="Arial" w:eastAsia="Arial" w:hAnsi="Arial"/>
          <w:sz w:val="17"/>
          <w:szCs w:val="17"/>
          <w:color w:val="auto"/>
        </w:rPr>
        <w:t>In contrast, full-service providers, including SPS Commerce, offer cloud-based solutions that customize, optimize, and operate the technology. This approach offloads the time-intensive process of managing these solutions, which is not a core competency for most businesses.</w:t>
      </w:r>
    </w:p>
    <w:p>
      <w:pPr>
        <w:spacing w:after="0" w:line="38" w:lineRule="exact"/>
        <w:rPr>
          <w:sz w:val="20"/>
          <w:szCs w:val="20"/>
          <w:color w:val="auto"/>
        </w:rPr>
      </w:pPr>
    </w:p>
    <w:p>
      <w:pPr>
        <w:ind w:right="20" w:firstLine="538"/>
        <w:spacing w:after="0" w:line="286" w:lineRule="auto"/>
        <w:rPr>
          <w:sz w:val="20"/>
          <w:szCs w:val="20"/>
          <w:color w:val="auto"/>
        </w:rPr>
      </w:pPr>
      <w:r>
        <w:rPr>
          <w:rFonts w:ascii="Arial" w:cs="Arial" w:eastAsia="Arial" w:hAnsi="Arial"/>
          <w:sz w:val="17"/>
          <w:szCs w:val="17"/>
          <w:color w:val="auto"/>
        </w:rPr>
        <w:t>Customers of traditional on-premise software providers must typically make significant upfront investments in the supply chain management solutions these competitors provide, which can decrease the customers’ willingness to abandon their investments in favor of a cloud service solution. Cloud service vendors compete with these traditional software solutions based on the total cost of ownership and flexibility.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Intellectual Property and Proprietary Content</w:t>
      </w:r>
    </w:p>
    <w:p>
      <w:pPr>
        <w:spacing w:after="0" w:line="121" w:lineRule="exact"/>
        <w:rPr>
          <w:sz w:val="20"/>
          <w:szCs w:val="20"/>
          <w:color w:val="auto"/>
        </w:rPr>
      </w:pPr>
    </w:p>
    <w:p>
      <w:pPr>
        <w:ind w:right="660" w:firstLine="538"/>
        <w:spacing w:after="0" w:line="277" w:lineRule="auto"/>
        <w:rPr>
          <w:sz w:val="20"/>
          <w:szCs w:val="20"/>
          <w:color w:val="auto"/>
        </w:rPr>
      </w:pPr>
      <w:r>
        <w:rPr>
          <w:rFonts w:ascii="Arial" w:cs="Arial" w:eastAsia="Arial" w:hAnsi="Arial"/>
          <w:sz w:val="18"/>
          <w:szCs w:val="18"/>
          <w:color w:val="auto"/>
        </w:rPr>
        <w:t>SPS Commerce relies on a combination of copyright, trademark, and trade secret laws as well as confidentiality procedures and contractual provisions to protect our proprietary technology and our brand. We 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ind w:right="520"/>
        <w:spacing w:after="0" w:line="263" w:lineRule="auto"/>
        <w:rPr>
          <w:sz w:val="20"/>
          <w:szCs w:val="20"/>
          <w:color w:val="auto"/>
        </w:rPr>
      </w:pPr>
      <w:r>
        <w:rPr>
          <w:rFonts w:ascii="Arial" w:cs="Arial" w:eastAsia="Arial" w:hAnsi="Arial"/>
          <w:sz w:val="18"/>
          <w:szCs w:val="18"/>
          <w:color w:val="auto"/>
        </w:rPr>
        <w:t>into confidentiality and proprietary rights agreements with our employees, consultants and additional third parties, and control access to software, documentation, and other proprietary information. We have registered trademarks and pending trademark applications in the U.S. and certain foreign countries.</w:t>
      </w:r>
    </w:p>
    <w:p>
      <w:pPr>
        <w:spacing w:after="0" w:line="76" w:lineRule="exact"/>
        <w:rPr>
          <w:sz w:val="20"/>
          <w:szCs w:val="20"/>
          <w:color w:val="auto"/>
        </w:rPr>
      </w:pPr>
    </w:p>
    <w:p>
      <w:pPr>
        <w:ind w:right="80" w:firstLine="538"/>
        <w:spacing w:after="0" w:line="301" w:lineRule="auto"/>
        <w:rPr>
          <w:sz w:val="20"/>
          <w:szCs w:val="20"/>
          <w:color w:val="auto"/>
        </w:rPr>
      </w:pPr>
      <w:r>
        <w:rPr>
          <w:rFonts w:ascii="Arial" w:cs="Arial" w:eastAsia="Arial" w:hAnsi="Arial"/>
          <w:sz w:val="16"/>
          <w:szCs w:val="16"/>
          <w:color w:val="auto"/>
        </w:rPr>
        <w:t>Depending on the jurisdiction, trademarks are generally valid as long as they are in use or their registrations are properly maintained, and they have not been found to have become generic. Registrations of trademarks can also generally be renewed indefinitely as long as the trademarks are in use. We do not have any patents, but we have pending patent applications. Our trade secrets consist primarily of the software we have developed for our SPS Commerce cloud-based Platform and network. Our software is also protected under copyright law, but we do not have any registered copyrights.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Human Capital</w:t>
      </w:r>
    </w:p>
    <w:p>
      <w:pPr>
        <w:spacing w:after="0" w:line="121" w:lineRule="exact"/>
        <w:rPr>
          <w:sz w:val="20"/>
          <w:szCs w:val="20"/>
          <w:color w:val="auto"/>
        </w:rPr>
      </w:pPr>
    </w:p>
    <w:p>
      <w:pPr>
        <w:ind w:right="60" w:firstLine="538"/>
        <w:spacing w:after="0" w:line="263" w:lineRule="auto"/>
        <w:rPr>
          <w:sz w:val="20"/>
          <w:szCs w:val="20"/>
          <w:color w:val="auto"/>
        </w:rPr>
      </w:pPr>
      <w:r>
        <w:rPr>
          <w:rFonts w:ascii="Arial" w:cs="Arial" w:eastAsia="Arial" w:hAnsi="Arial"/>
          <w:sz w:val="18"/>
          <w:szCs w:val="18"/>
          <w:color w:val="auto"/>
        </w:rPr>
        <w:t>As of December 31, 2020, we had 1,572 employees, including 737 in cost of revenues based functional areas, 417 in sales and marketing, 281 in research and development and 137 in general and administrative functions. We also employ independent contractors to support our operations. None of our employees are represented by a labor union.</w:t>
      </w:r>
    </w:p>
    <w:p>
      <w:pPr>
        <w:spacing w:after="0" w:line="76" w:lineRule="exact"/>
        <w:rPr>
          <w:sz w:val="20"/>
          <w:szCs w:val="20"/>
          <w:color w:val="auto"/>
        </w:rPr>
      </w:pPr>
    </w:p>
    <w:p>
      <w:pPr>
        <w:ind w:firstLine="538"/>
        <w:spacing w:after="0" w:line="271" w:lineRule="auto"/>
        <w:rPr>
          <w:sz w:val="20"/>
          <w:szCs w:val="20"/>
          <w:color w:val="auto"/>
        </w:rPr>
      </w:pPr>
      <w:r>
        <w:rPr>
          <w:rFonts w:ascii="Arial" w:cs="Arial" w:eastAsia="Arial" w:hAnsi="Arial"/>
          <w:sz w:val="17"/>
          <w:szCs w:val="17"/>
          <w:color w:val="auto"/>
        </w:rPr>
        <w:t>We believe our employees have and will continue to be a primary reason for our growth and success. We offer competitive benefits as well as training, development, review, and feedback programs to develop employees’ expertise and skillsets, as well as strive to provide a safe, harassment-free work environment guided by principles of fair and equal treatment and prioritize employee engagement. As a result, we believe our employees are committed to building strong, innovative, and long-term relationships with each other and our organization in order to succeed together and with our customers. We offer our employees pay and benefits packages, which we believe are competitive with others throughout our industry, as well as within the local markets in which we operate, and aligns individual performance with our success. The health of our employees is also very important to us. In response to the threats of the COVID-19 pandemic, we have, where possible, offered remote work flexibility beginning in March 2020 which has continued through December 2020, without significant impacts to productivity.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Company Information</w:t>
      </w:r>
    </w:p>
    <w:p>
      <w:pPr>
        <w:spacing w:after="0" w:line="121" w:lineRule="exact"/>
        <w:rPr>
          <w:sz w:val="20"/>
          <w:szCs w:val="20"/>
          <w:color w:val="auto"/>
        </w:rPr>
      </w:pPr>
    </w:p>
    <w:p>
      <w:pPr>
        <w:ind w:right="40" w:firstLine="538"/>
        <w:spacing w:after="0" w:line="271" w:lineRule="auto"/>
        <w:rPr>
          <w:sz w:val="20"/>
          <w:szCs w:val="20"/>
          <w:color w:val="auto"/>
        </w:rPr>
      </w:pPr>
      <w:r>
        <w:rPr>
          <w:rFonts w:ascii="Arial" w:cs="Arial" w:eastAsia="Arial" w:hAnsi="Arial"/>
          <w:sz w:val="17"/>
          <w:szCs w:val="17"/>
          <w:color w:val="auto"/>
        </w:rPr>
        <w:t xml:space="preserve">We were originally incorporated as St. Paul Software, Inc., a Minnesota corporation, on January 28, 1987. On May 30, 2001, we reincorporated in Delaware under our current name, SPS Commerce, Inc. Our principal executive offices are located at 333 South Seventh Street, Suite 1000, Minneapolis, Minnesota 55402, and our telephone number is (612) 435-9400. Our website address is </w:t>
      </w:r>
      <w:r>
        <w:rPr>
          <w:rFonts w:ascii="Arial" w:cs="Arial" w:eastAsia="Arial" w:hAnsi="Arial"/>
          <w:sz w:val="17"/>
          <w:szCs w:val="17"/>
          <w:i w:val="1"/>
          <w:iCs w:val="1"/>
          <w:color w:val="auto"/>
        </w:rPr>
        <w:t>www.spscommerce.com</w:t>
      </w:r>
      <w:r>
        <w:rPr>
          <w:rFonts w:ascii="Arial" w:cs="Arial" w:eastAsia="Arial" w:hAnsi="Arial"/>
          <w:sz w:val="17"/>
          <w:szCs w:val="17"/>
          <w:color w:val="auto"/>
        </w:rPr>
        <w:t xml:space="preserve">. Information on our website does not constitute part of this Annual Report on Form 10-K or any other report we file or furnish with the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Stockholders may also request copies of these documents from: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SPS Commerce,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 South Seventh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Minneapolis, MN 55402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574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85" w:lineRule="exact"/>
        <w:rPr>
          <w:sz w:val="20"/>
          <w:szCs w:val="20"/>
          <w:color w:val="auto"/>
        </w:rPr>
      </w:pPr>
    </w:p>
    <w:p>
      <w:pPr>
        <w:ind w:left="480"/>
        <w:spacing w:after="0"/>
        <w:tabs>
          <w:tab w:leader="none" w:pos="544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00AAE5"/>
        </w:rPr>
        <w:t>Information About our Executive Officers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Set forth below are the names, ages and titles of the persons serving as our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120"/>
              <w:spacing w:after="0"/>
              <w:rPr>
                <w:sz w:val="20"/>
                <w:szCs w:val="20"/>
                <w:color w:val="auto"/>
              </w:rPr>
            </w:pPr>
            <w:r>
              <w:rPr>
                <w:rFonts w:ascii="Arial" w:cs="Arial" w:eastAsia="Arial" w:hAnsi="Arial"/>
                <w:sz w:val="18"/>
                <w:szCs w:val="18"/>
                <w:b w:val="1"/>
                <w:bCs w:val="1"/>
                <w:color w:val="auto"/>
              </w:rPr>
              <w:t>Name</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Age</w:t>
            </w:r>
          </w:p>
        </w:tc>
        <w:tc>
          <w:tcPr>
            <w:tcW w:w="6620" w:type="dxa"/>
            <w:vAlign w:val="bottom"/>
          </w:tcPr>
          <w:p>
            <w:pPr>
              <w:ind w:left="300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Archie C. Black</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58</w:t>
            </w:r>
          </w:p>
        </w:tc>
        <w:tc>
          <w:tcPr>
            <w:tcW w:w="260" w:type="dxa"/>
            <w:vAlign w:val="bottom"/>
            <w:tcBorders>
              <w:top w:val="single" w:sz="8" w:color="CFF0FC"/>
            </w:tcBorders>
            <w:shd w:val="clear" w:color="auto" w:fill="CFF0FC"/>
          </w:tcPr>
          <w:p>
            <w:pPr>
              <w:spacing w:after="0"/>
              <w:rPr>
                <w:sz w:val="19"/>
                <w:szCs w:val="19"/>
                <w:color w:val="auto"/>
              </w:rPr>
            </w:pPr>
          </w:p>
        </w:tc>
        <w:tc>
          <w:tcPr>
            <w:tcW w:w="6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 and President</w:t>
            </w:r>
          </w:p>
        </w:tc>
      </w:tr>
      <w:tr>
        <w:trPr>
          <w:trHeight w:val="229"/>
        </w:trPr>
        <w:tc>
          <w:tcPr>
            <w:tcW w:w="296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6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J. Frome</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56</w:t>
            </w:r>
          </w:p>
        </w:tc>
        <w:tc>
          <w:tcPr>
            <w:tcW w:w="260" w:type="dxa"/>
            <w:vAlign w:val="bottom"/>
            <w:shd w:val="clear" w:color="auto" w:fill="CFF0FC"/>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Operating Officer</w:t>
            </w:r>
          </w:p>
        </w:tc>
      </w:tr>
    </w:tbl>
    <w:p>
      <w:pPr>
        <w:spacing w:after="0" w:line="107" w:lineRule="exact"/>
        <w:rPr>
          <w:sz w:val="20"/>
          <w:szCs w:val="20"/>
          <w:color w:val="auto"/>
        </w:rPr>
      </w:pPr>
    </w:p>
    <w:p>
      <w:pPr>
        <w:ind w:right="60" w:firstLine="538"/>
        <w:spacing w:after="0" w:line="263" w:lineRule="auto"/>
        <w:rPr>
          <w:sz w:val="20"/>
          <w:szCs w:val="20"/>
          <w:color w:val="auto"/>
        </w:rPr>
      </w:pPr>
      <w:r>
        <w:rPr>
          <w:rFonts w:ascii="Arial" w:cs="Arial" w:eastAsia="Arial" w:hAnsi="Arial"/>
          <w:sz w:val="18"/>
          <w:szCs w:val="18"/>
          <w:color w:val="auto"/>
        </w:rPr>
        <w:t>Archie C. Black has served as our President and Chief Executive Officer and a director since 2001. Previously, Mr. Black served as our Senior Vice President and Chief Financial Officer from 1998 to 2001. Prior to joining us, Mr. Black was a Senior Vice President and Chief Financial Officer at Investment Advisors, Inc. in Minneapolis, Minnesota and also spent three years at Price Waterhouse.</w:t>
      </w:r>
    </w:p>
    <w:p>
      <w:pPr>
        <w:spacing w:after="0" w:line="76" w:lineRule="exact"/>
        <w:rPr>
          <w:sz w:val="20"/>
          <w:szCs w:val="20"/>
          <w:color w:val="auto"/>
        </w:rPr>
      </w:pPr>
    </w:p>
    <w:p>
      <w:pPr>
        <w:ind w:right="100" w:firstLine="538"/>
        <w:spacing w:after="0" w:line="259" w:lineRule="auto"/>
        <w:rPr>
          <w:sz w:val="20"/>
          <w:szCs w:val="20"/>
          <w:color w:val="auto"/>
        </w:rPr>
      </w:pPr>
      <w:r>
        <w:rPr>
          <w:rFonts w:ascii="Arial" w:cs="Arial" w:eastAsia="Arial" w:hAnsi="Arial"/>
          <w:sz w:val="18"/>
          <w:szCs w:val="18"/>
          <w:color w:val="auto"/>
        </w:rPr>
        <w:t>Kimberly K. Nelson has served as our Executive Vice President and Chief Financial Officer since 2007. Prior to joining us, Ms. Nelson served as the Finance Director, Investor Relations for Amazon.com from 2005 through 2007 and as the Finance Director, Worldwide Application for Amazon.com’s Technology group from 2003 until 2005. Ms. Nelson also served as Amazon.com’s Finance Director, Financial Planning and Analysis from 2000 until 2003.</w:t>
      </w:r>
    </w:p>
    <w:p>
      <w:pPr>
        <w:spacing w:after="0" w:line="79" w:lineRule="exact"/>
        <w:rPr>
          <w:sz w:val="20"/>
          <w:szCs w:val="20"/>
          <w:color w:val="auto"/>
        </w:rPr>
      </w:pPr>
    </w:p>
    <w:p>
      <w:pPr>
        <w:ind w:right="80" w:firstLine="538"/>
        <w:spacing w:after="0" w:line="259" w:lineRule="auto"/>
        <w:rPr>
          <w:sz w:val="20"/>
          <w:szCs w:val="20"/>
          <w:color w:val="auto"/>
        </w:rPr>
      </w:pPr>
      <w:r>
        <w:rPr>
          <w:rFonts w:ascii="Arial" w:cs="Arial" w:eastAsia="Arial" w:hAnsi="Arial"/>
          <w:sz w:val="18"/>
          <w:szCs w:val="18"/>
          <w:color w:val="auto"/>
        </w:rPr>
        <w:t>James J. Frome has served as our Executive Vice President and Chief Operating Officer since 2012. Previously, Mr. Frome served as our Executive Vice President and Chief Strategy Officer from 2001 to 2012 and as our Vice President of Marketing from 2000 to 2001. Prior to joining us, Mr. Frome served as a Divisional Vice President of Marketing at Sterling Software, Inc. from 1999 to 2000 and as a Senior Product Manager and Director of Product Management at Information Advantage, Inc. from 1993 to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20574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tabs>
          <w:tab w:leader="none" w:pos="1060" w:val="left"/>
        </w:tabs>
        <w:rPr>
          <w:sz w:val="20"/>
          <w:szCs w:val="20"/>
          <w:color w:val="auto"/>
        </w:rPr>
      </w:pPr>
      <w:r>
        <w:rPr>
          <w:rFonts w:ascii="Arial" w:cs="Arial" w:eastAsia="Arial" w:hAnsi="Arial"/>
          <w:sz w:val="18"/>
          <w:szCs w:val="18"/>
          <w:b w:val="1"/>
          <w:bCs w:val="1"/>
          <w:color w:val="00AAE5"/>
        </w:rPr>
        <w:t>Item 1A.</w:t>
      </w:r>
      <w:r>
        <w:rPr>
          <w:sz w:val="20"/>
          <w:szCs w:val="20"/>
          <w:color w:val="auto"/>
        </w:rPr>
        <w:tab/>
      </w:r>
      <w:r>
        <w:rPr>
          <w:rFonts w:ascii="Arial" w:cs="Arial" w:eastAsia="Arial" w:hAnsi="Arial"/>
          <w:sz w:val="15"/>
          <w:szCs w:val="15"/>
          <w:b w:val="1"/>
          <w:bCs w:val="1"/>
          <w:color w:val="00AAE5"/>
        </w:rPr>
        <w:t>Risk Factors</w:t>
      </w:r>
    </w:p>
    <w:p>
      <w:pPr>
        <w:spacing w:after="0" w:line="121" w:lineRule="exact"/>
        <w:rPr>
          <w:sz w:val="20"/>
          <w:szCs w:val="20"/>
          <w:color w:val="auto"/>
        </w:rPr>
      </w:pPr>
    </w:p>
    <w:p>
      <w:pPr>
        <w:ind w:right="60" w:firstLine="538"/>
        <w:spacing w:after="0" w:line="293" w:lineRule="auto"/>
        <w:rPr>
          <w:sz w:val="20"/>
          <w:szCs w:val="20"/>
          <w:color w:val="auto"/>
        </w:rPr>
      </w:pPr>
      <w:r>
        <w:rPr>
          <w:rFonts w:ascii="Arial" w:cs="Arial" w:eastAsia="Arial" w:hAnsi="Arial"/>
          <w:sz w:val="16"/>
          <w:szCs w:val="16"/>
          <w:i w:val="1"/>
          <w:iCs w:val="1"/>
          <w:color w:val="auto"/>
        </w:rPr>
        <w:t>Set forth below and elsewhere in this Annual Report on Form 10-K, and in other documents we file with the SEC, are risks and uncertainties that could cause our actual results to differ materially from the results contemplated by the forward-looking statements contained in this Annual Report on Form 10-K and in other written and oral communications from time to time. You should carefully consider all of the following risks and the other information in this Report and our other filings with the SEC before you decide to invest in our Company or to maintain or increase your investment. Our business could be harmed by any of these risks. The trading price of our common stock could decline due to any of these risks. In assessing these risks, you should also refer to the other information contained in this Annual Report on Form 10-K, including our financial statements and related notes.</w:t>
      </w:r>
    </w:p>
    <w:p>
      <w:pPr>
        <w:spacing w:after="0" w:line="56" w:lineRule="exact"/>
        <w:rPr>
          <w:sz w:val="20"/>
          <w:szCs w:val="20"/>
          <w:color w:val="auto"/>
        </w:rPr>
      </w:pPr>
    </w:p>
    <w:p>
      <w:pPr>
        <w:ind w:right="120" w:firstLine="538"/>
        <w:spacing w:after="0" w:line="296" w:lineRule="auto"/>
        <w:rPr>
          <w:sz w:val="20"/>
          <w:szCs w:val="20"/>
          <w:color w:val="auto"/>
        </w:rPr>
      </w:pPr>
      <w:r>
        <w:rPr>
          <w:rFonts w:ascii="Arial" w:cs="Arial" w:eastAsia="Arial" w:hAnsi="Arial"/>
          <w:sz w:val="16"/>
          <w:szCs w:val="16"/>
          <w:i w:val="1"/>
          <w:iCs w:val="1"/>
          <w:color w:val="auto"/>
        </w:rPr>
        <w:t>The risks included in this section are not the only ones we face. We operate in a very competitive and rapidly changing environment. New risk factors emerge from time-to-time, and it is not possible for management to predict all such risk factors, nor can it assess the potential impact of all such risk factors on our business or the extent to which any factor, or combination of factors, may cause actual results to differ materially from those in any forward-looking statements. If any of the following risks actually occur, our business, results of operations, financial condition and future prospects would likely suffer. In that case, the trading price of our common stock could decline, and you may lose all or part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Our Business</w:t>
      </w:r>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If we are unable to attract new customers, or sell additional solutions to existing customers, or if our customers do not increase their use of our solutions, our revenue growth and profitability will be adversely affected.</w:t>
      </w:r>
    </w:p>
    <w:p>
      <w:pPr>
        <w:spacing w:after="0" w:line="58" w:lineRule="exact"/>
        <w:rPr>
          <w:sz w:val="20"/>
          <w:szCs w:val="20"/>
          <w:color w:val="auto"/>
        </w:rPr>
      </w:pPr>
    </w:p>
    <w:p>
      <w:pPr>
        <w:ind w:right="80" w:firstLine="538"/>
        <w:spacing w:after="0" w:line="271" w:lineRule="auto"/>
        <w:rPr>
          <w:sz w:val="20"/>
          <w:szCs w:val="20"/>
          <w:color w:val="auto"/>
        </w:rPr>
      </w:pPr>
      <w:r>
        <w:rPr>
          <w:rFonts w:ascii="Arial" w:cs="Arial" w:eastAsia="Arial" w:hAnsi="Arial"/>
          <w:sz w:val="17"/>
          <w:szCs w:val="17"/>
          <w:color w:val="auto"/>
        </w:rPr>
        <w:t>To increase our revenues and achieve and maintain profitability, we believe that we must regularly add new customers, sell additional solutions to existing customers, and our customers must increase their use of the solutions for which they currently subscribe. We intend to grow our business by retaining and attracting talent, developing strategic relationships with resellers, including resellers that incorporate our applications in their offerings, and increasing our marketing activities. If we are unable to hire or retain quality personnel, convert companies that have been referred to us by our existing network into paying customers, ensure the effectiveness of our marketing programs, or if our existing or new customers do not perceive our solutions to be of sufficiently high value and quality, we might not be able to increase sales and our operating results will be adversely affected. If we fail to sell our solutions to existing or new customers, we will not generate anticipated revenues from these solutions, our operating results will suffer, and we might be unable to grow our revenues or maintain profitability.</w:t>
      </w:r>
    </w:p>
    <w:p>
      <w:pPr>
        <w:spacing w:after="0" w:line="28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do not have long-term contracts with most of our recurring revenue customers, and therefore a lack of success in maintaining or improving forecasted renewal rates will have adverse effects on revenue and financial results.</w:t>
      </w:r>
    </w:p>
    <w:p>
      <w:pPr>
        <w:spacing w:after="0" w:line="58" w:lineRule="exact"/>
        <w:rPr>
          <w:sz w:val="20"/>
          <w:szCs w:val="20"/>
          <w:color w:val="auto"/>
        </w:rPr>
      </w:pPr>
    </w:p>
    <w:p>
      <w:pPr>
        <w:ind w:right="20" w:firstLine="538"/>
        <w:spacing w:after="0" w:line="290" w:lineRule="auto"/>
        <w:rPr>
          <w:sz w:val="20"/>
          <w:szCs w:val="20"/>
          <w:color w:val="auto"/>
        </w:rPr>
      </w:pPr>
      <w:r>
        <w:rPr>
          <w:rFonts w:ascii="Arial" w:cs="Arial" w:eastAsia="Arial" w:hAnsi="Arial"/>
          <w:sz w:val="16"/>
          <w:szCs w:val="16"/>
          <w:color w:val="auto"/>
        </w:rPr>
        <w:t>Our contracts with our recurring revenue customers typically allow the customer to cancel the contract for any reason with 30 to 90 days’ notice. Our continued success therefore depends significantly on our ability to meet or exceed our recurring revenue customers’ expectations because most recurring revenue customers do not make long-term commitments to use our solutions. In addition, if our reputation in the supply chain management industry is harmed or diminished for any reason, our recurring revenue customers have the ability to terminate their relationship with us on short notice and seek alternative supply chain management solutions. We may also not be able to accurately predict future trends in customer renewals, and our customers’ renewal rates may decline or fluctuate because of several factors, including their dissatisfaction with our services, the cost of our services compared to the cost of services offered by our competitors and reductions in our customers’ spending levels. If a significant number of recurring revenue customers seek to terminate their relationship with us, our business, results of operations and financial condition would be adversely affected in a short period of time.</w:t>
      </w:r>
    </w:p>
    <w:p>
      <w:pPr>
        <w:spacing w:after="0" w:line="94"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Economic weakness and uncertainty could adversely affect our revenue, lengthen our sales cycles and make it more difficult for us to forecast operating results accurately.</w:t>
      </w:r>
    </w:p>
    <w:p>
      <w:pPr>
        <w:spacing w:after="0" w:line="58" w:lineRule="exact"/>
        <w:rPr>
          <w:sz w:val="20"/>
          <w:szCs w:val="20"/>
          <w:color w:val="auto"/>
        </w:rPr>
      </w:pPr>
    </w:p>
    <w:p>
      <w:pPr>
        <w:jc w:val="both"/>
        <w:ind w:right="780" w:firstLine="538"/>
        <w:spacing w:after="0" w:line="263" w:lineRule="auto"/>
        <w:rPr>
          <w:sz w:val="20"/>
          <w:szCs w:val="20"/>
          <w:color w:val="auto"/>
        </w:rPr>
      </w:pPr>
      <w:r>
        <w:rPr>
          <w:rFonts w:ascii="Arial" w:cs="Arial" w:eastAsia="Arial" w:hAnsi="Arial"/>
          <w:sz w:val="18"/>
          <w:szCs w:val="18"/>
          <w:color w:val="auto"/>
        </w:rPr>
        <w:t>Our revenues depend significantly on general economic conditions and the sustainability and health of retailers. Economic weakness and constrained retail spending may result in slower growth, or reductions, in revenues and gross profits in the future. We have experienced, and may experience in the future, reduced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0574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right="80"/>
        <w:spacing w:after="0" w:line="254" w:lineRule="auto"/>
        <w:rPr>
          <w:sz w:val="20"/>
          <w:szCs w:val="20"/>
          <w:color w:val="auto"/>
        </w:rPr>
      </w:pPr>
      <w:r>
        <w:rPr>
          <w:rFonts w:ascii="Arial" w:cs="Arial" w:eastAsia="Arial" w:hAnsi="Arial"/>
          <w:sz w:val="18"/>
          <w:szCs w:val="18"/>
          <w:color w:val="auto"/>
        </w:rPr>
        <w:t>in our business due to financial turmoil affecting the U.S. and global economy, and other macroeconomic factors affecting spending behavior. Uncertainty about future economic conditions increases the difficulty of forecasting operating results and making decisions about future investments. In addition, economic conditions or uncertainty may cause customers and potential customers to reduce or delay technology purchases, including purchases of our solutions. Our sales cycle may lengthen if purchasing decisions are delayed as a result of uncertain information technology or development budgets or contract negotiations become more protracted or difficult as customers institute additional internal approvals for information technology purchases. Delays or reductions in information technology spending could have a material adverse effect on demand for our solutions, and consequently our results of operations and prospects.</w:t>
      </w:r>
    </w:p>
    <w:p>
      <w:pPr>
        <w:spacing w:after="0" w:line="299" w:lineRule="exact"/>
        <w:rPr>
          <w:sz w:val="20"/>
          <w:szCs w:val="20"/>
          <w:color w:val="auto"/>
        </w:rPr>
      </w:pPr>
    </w:p>
    <w:p>
      <w:pPr>
        <w:ind w:right="540"/>
        <w:spacing w:after="0" w:line="312" w:lineRule="auto"/>
        <w:rPr>
          <w:sz w:val="20"/>
          <w:szCs w:val="20"/>
          <w:color w:val="auto"/>
        </w:rPr>
      </w:pPr>
      <w:r>
        <w:rPr>
          <w:rFonts w:ascii="Arial" w:cs="Arial" w:eastAsia="Arial" w:hAnsi="Arial"/>
          <w:sz w:val="17"/>
          <w:szCs w:val="17"/>
          <w:b w:val="1"/>
          <w:bCs w:val="1"/>
          <w:color w:val="auto"/>
        </w:rPr>
        <w:t>Our continued growth could strain our personnel resources and infrastructure, and if we are unable to implement appropriate controls and procedures to manage our growth, we may not be able to implement our business plan successfully.</w:t>
      </w:r>
    </w:p>
    <w:p>
      <w:pPr>
        <w:spacing w:after="0" w:line="36" w:lineRule="exact"/>
        <w:rPr>
          <w:sz w:val="20"/>
          <w:szCs w:val="20"/>
          <w:color w:val="auto"/>
        </w:rPr>
      </w:pPr>
    </w:p>
    <w:p>
      <w:pPr>
        <w:ind w:right="60" w:firstLine="538"/>
        <w:spacing w:after="0" w:line="296" w:lineRule="auto"/>
        <w:rPr>
          <w:sz w:val="20"/>
          <w:szCs w:val="20"/>
          <w:color w:val="auto"/>
        </w:rPr>
      </w:pPr>
      <w:r>
        <w:rPr>
          <w:rFonts w:ascii="Arial" w:cs="Arial" w:eastAsia="Arial" w:hAnsi="Arial"/>
          <w:sz w:val="16"/>
          <w:szCs w:val="16"/>
          <w:color w:val="auto"/>
        </w:rPr>
        <w:t>We have experienced a period of rapid growth in our headcount and operations. To the extent that we are able to sustain such growth, it might place a significant strain on our management, administrative, operational and financial resources, and infrastructure. Our success will depend in part upon the ability of our senior management to manage this growth effectively. To do so, we must continue to hire, train, and manage new employees as needed. To manage the expected growth of our operations and personnel, we will need to continue to improve our operational, financial and management controls and our reporting systems and procedures. If we fail to successfully manage our growth, we will be unable to execute our business plan as expected.</w:t>
      </w:r>
    </w:p>
    <w:p>
      <w:pPr>
        <w:spacing w:after="0" w:line="26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we fail to attract, retain, and train members of our senior management team, including our Chief Executive Officer and other key personnel, our business plan would be impacted, and we might not be able to implement our plan successfully.</w:t>
      </w:r>
    </w:p>
    <w:p>
      <w:pPr>
        <w:spacing w:after="0" w:line="58" w:lineRule="exact"/>
        <w:rPr>
          <w:sz w:val="20"/>
          <w:szCs w:val="20"/>
          <w:color w:val="auto"/>
        </w:rPr>
      </w:pPr>
    </w:p>
    <w:p>
      <w:pPr>
        <w:ind w:right="80" w:firstLine="538"/>
        <w:spacing w:after="0" w:line="255" w:lineRule="auto"/>
        <w:rPr>
          <w:sz w:val="20"/>
          <w:szCs w:val="20"/>
          <w:color w:val="auto"/>
        </w:rPr>
      </w:pPr>
      <w:r>
        <w:rPr>
          <w:rFonts w:ascii="Arial" w:cs="Arial" w:eastAsia="Arial" w:hAnsi="Arial"/>
          <w:sz w:val="18"/>
          <w:szCs w:val="18"/>
          <w:color w:val="auto"/>
        </w:rPr>
        <w:t>Given the complex nature of the cloud-based technology through which our business operates and the speed with which such technology advances, our future success is dependent, in large part, upon our ability to attract, retain and train highly qualified executive, managerial, engineering and sales personnel. Competition for talented personnel is intense, and we cannot be certain that we can retain our key personnel or that we can attract, assimilate, or retain such personnel in the future. Additionally, the loss of any key or a significant number of personnel in our engineering, project management, or sales teams might significantly delay or prevent the achievement of our business objectives and could materially harm our business, customer relationships, results of operations and financial condition.</w:t>
      </w:r>
    </w:p>
    <w:p>
      <w:pPr>
        <w:spacing w:after="0" w:line="296" w:lineRule="exact"/>
        <w:rPr>
          <w:sz w:val="20"/>
          <w:szCs w:val="20"/>
          <w:color w:val="auto"/>
        </w:rPr>
      </w:pPr>
    </w:p>
    <w:p>
      <w:pPr>
        <w:ind w:right="280"/>
        <w:spacing w:after="0" w:line="312" w:lineRule="auto"/>
        <w:rPr>
          <w:sz w:val="20"/>
          <w:szCs w:val="20"/>
          <w:color w:val="auto"/>
        </w:rPr>
      </w:pPr>
      <w:r>
        <w:rPr>
          <w:rFonts w:ascii="Arial" w:cs="Arial" w:eastAsia="Arial" w:hAnsi="Arial"/>
          <w:sz w:val="17"/>
          <w:szCs w:val="17"/>
          <w:b w:val="1"/>
          <w:bCs w:val="1"/>
          <w:color w:val="auto"/>
        </w:rPr>
        <w:t>The market for cloud-based supply chain management solutions is at a relatively early stage of development. If this market does not develop or develops more slowly than we expect, our revenues may decline or fail to grow and we may incur operating losses.</w:t>
      </w:r>
    </w:p>
    <w:p>
      <w:pPr>
        <w:spacing w:after="0" w:line="36" w:lineRule="exact"/>
        <w:rPr>
          <w:sz w:val="20"/>
          <w:szCs w:val="20"/>
          <w:color w:val="auto"/>
        </w:rPr>
      </w:pPr>
    </w:p>
    <w:p>
      <w:pPr>
        <w:ind w:right="120" w:firstLine="538"/>
        <w:spacing w:after="0" w:line="279" w:lineRule="auto"/>
        <w:rPr>
          <w:sz w:val="20"/>
          <w:szCs w:val="20"/>
          <w:color w:val="auto"/>
        </w:rPr>
      </w:pPr>
      <w:r>
        <w:rPr>
          <w:rFonts w:ascii="Arial" w:cs="Arial" w:eastAsia="Arial" w:hAnsi="Arial"/>
          <w:sz w:val="17"/>
          <w:szCs w:val="17"/>
          <w:color w:val="auto"/>
        </w:rPr>
        <w:t>We derive, and expect to continue to derive, substantially all of our revenues from providing cloud-based supply chain management solutions to suppliers, retailers, distributors, and logistics firms. The market for these solutions is in a relatively early stage of development, and it is uncertain whether these solutions will achieve and sustain high levels of demand and market acceptance. Our success will depend on the willingness of retailers and their trading partners to accept our solutions as an alternative to traditional licensed hardware and software solutions.</w:t>
      </w:r>
    </w:p>
    <w:p>
      <w:pPr>
        <w:spacing w:after="0" w:line="63" w:lineRule="exact"/>
        <w:rPr>
          <w:sz w:val="20"/>
          <w:szCs w:val="20"/>
          <w:color w:val="auto"/>
        </w:rPr>
      </w:pPr>
    </w:p>
    <w:p>
      <w:pPr>
        <w:ind w:right="360" w:firstLine="538"/>
        <w:spacing w:after="0" w:line="259" w:lineRule="auto"/>
        <w:rPr>
          <w:sz w:val="20"/>
          <w:szCs w:val="20"/>
          <w:color w:val="auto"/>
        </w:rPr>
      </w:pPr>
      <w:r>
        <w:rPr>
          <w:rFonts w:ascii="Arial" w:cs="Arial" w:eastAsia="Arial" w:hAnsi="Arial"/>
          <w:sz w:val="18"/>
          <w:szCs w:val="18"/>
          <w:color w:val="auto"/>
        </w:rPr>
        <w:t>Some suppliers, retailers, distributors, or logistics firms may be reluctant or unwilling to use our cloud-based solutions for a number of reasons, including their potential significant initial investment to replace existing investments in supply chain management hardware and licensed software and perceived loss of control over user data with a cloud-based solution. Other factors that may limit market acceptance of our cloud-based supply chain management solutions include:</w:t>
      </w:r>
    </w:p>
    <w:p>
      <w:pPr>
        <w:spacing w:after="0" w:line="79" w:lineRule="exact"/>
        <w:rPr>
          <w:sz w:val="20"/>
          <w:szCs w:val="20"/>
          <w:color w:val="auto"/>
        </w:rPr>
      </w:pPr>
    </w:p>
    <w:p>
      <w:pPr>
        <w:ind w:left="1060" w:hanging="5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high levels of customer satisfaction;</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continuity of service for all users of our cloud-based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0574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12</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left="1060" w:hanging="52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performance, and availability of competing solutions; and</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address suppliers’ confidentiality concerns about information stored within our cloud-based solutions.</w:t>
      </w:r>
    </w:p>
    <w:p>
      <w:pPr>
        <w:spacing w:after="0" w:line="131" w:lineRule="exact"/>
        <w:rPr>
          <w:sz w:val="20"/>
          <w:szCs w:val="20"/>
          <w:color w:val="auto"/>
        </w:rPr>
      </w:pPr>
    </w:p>
    <w:p>
      <w:pPr>
        <w:ind w:firstLine="538"/>
        <w:spacing w:after="0" w:line="311" w:lineRule="auto"/>
        <w:rPr>
          <w:sz w:val="20"/>
          <w:szCs w:val="20"/>
          <w:color w:val="auto"/>
        </w:rPr>
      </w:pPr>
      <w:r>
        <w:rPr>
          <w:rFonts w:ascii="Arial" w:cs="Arial" w:eastAsia="Arial" w:hAnsi="Arial"/>
          <w:sz w:val="16"/>
          <w:szCs w:val="16"/>
          <w:color w:val="auto"/>
        </w:rPr>
        <w:t>If retailers and their trading partners do not perceive the benefits of our cloud-based supply chain management solutions, or if retailers and their trading partners are unwilling to accept our cloud-based Platform as an alternative to the traditional approach, demand for our solutions may not continue to develop or may develop more slowly than we expect, either of which would significantly adversely affect our revenues and growth prospects.</w:t>
      </w:r>
    </w:p>
    <w:p>
      <w:pPr>
        <w:spacing w:after="0" w:line="25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58" w:lineRule="exact"/>
        <w:rPr>
          <w:sz w:val="20"/>
          <w:szCs w:val="20"/>
          <w:color w:val="auto"/>
        </w:rPr>
      </w:pPr>
    </w:p>
    <w:p>
      <w:pPr>
        <w:ind w:right="200" w:firstLine="538"/>
        <w:spacing w:after="0" w:line="277" w:lineRule="auto"/>
        <w:rPr>
          <w:sz w:val="20"/>
          <w:szCs w:val="20"/>
          <w:color w:val="auto"/>
        </w:rPr>
      </w:pPr>
      <w:r>
        <w:rPr>
          <w:rFonts w:ascii="Arial" w:cs="Arial" w:eastAsia="Arial" w:hAnsi="Arial"/>
          <w:sz w:val="18"/>
          <w:szCs w:val="18"/>
          <w:color w:val="auto"/>
        </w:rPr>
        <w:t>The markets for supply chain management solutions are increasingly competitive and global. We expect competition to increase in the future both from existing competitors and new companies that may enter our markets. We face competition from:</w:t>
      </w:r>
    </w:p>
    <w:p>
      <w:pPr>
        <w:spacing w:after="0" w:line="62" w:lineRule="exact"/>
        <w:rPr>
          <w:sz w:val="20"/>
          <w:szCs w:val="20"/>
          <w:color w:val="auto"/>
        </w:rPr>
      </w:pPr>
    </w:p>
    <w:p>
      <w:pPr>
        <w:ind w:left="1060" w:hanging="52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cloud service providers that deliver business-to-business information systems using a multi-tenant approach;</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traditional on-premise software providers; and</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managed service providers that combine traditional on-premise software with professional information technology services.</w:t>
      </w:r>
    </w:p>
    <w:p>
      <w:pPr>
        <w:spacing w:after="0" w:line="131" w:lineRule="exact"/>
        <w:rPr>
          <w:sz w:val="20"/>
          <w:szCs w:val="20"/>
          <w:color w:val="auto"/>
        </w:rPr>
      </w:pPr>
    </w:p>
    <w:p>
      <w:pPr>
        <w:ind w:right="120" w:firstLine="538"/>
        <w:spacing w:after="0" w:line="291" w:lineRule="auto"/>
        <w:rPr>
          <w:sz w:val="20"/>
          <w:szCs w:val="20"/>
          <w:color w:val="auto"/>
        </w:rPr>
      </w:pPr>
      <w:r>
        <w:rPr>
          <w:rFonts w:ascii="Arial" w:cs="Arial" w:eastAsia="Arial" w:hAnsi="Arial"/>
          <w:sz w:val="16"/>
          <w:szCs w:val="16"/>
          <w:color w:val="auto"/>
        </w:rPr>
        <w:t>Moreover, our industry is highly fragmented, and we believe it is likely that our existing competitors will continue to consolidate or will be acquired. In addition, some of our competitors may enter into new alliances with each other or may establish or strengthen cooperative relationships with systems integrators, third-party consulting firms or other parties. New entrants not currently considered to be competitors may also enter the market through acquisitions, partnerships, or strategic relationships. Any such consolidation, acquisition, alliance or cooperative relationship could lead to pricing pressure, loss of customers and our loss of market share and could result in a competitor with greater financial, technical, marketing, service and other resources, all of which could have a material adverse effect on our business, operating results and financial condition. Increased competition could reduce our market share, revenues, and operating margins, increase our costs of operations, and otherwise adversely affect our business.</w:t>
      </w:r>
    </w:p>
    <w:p>
      <w:pPr>
        <w:spacing w:after="0" w:line="58" w:lineRule="exact"/>
        <w:rPr>
          <w:sz w:val="20"/>
          <w:szCs w:val="20"/>
          <w:color w:val="auto"/>
        </w:rPr>
      </w:pPr>
    </w:p>
    <w:p>
      <w:pPr>
        <w:ind w:firstLine="538"/>
        <w:spacing w:after="0" w:line="301" w:lineRule="auto"/>
        <w:rPr>
          <w:sz w:val="20"/>
          <w:szCs w:val="20"/>
          <w:color w:val="auto"/>
        </w:rPr>
      </w:pPr>
      <w:r>
        <w:rPr>
          <w:rFonts w:ascii="Arial" w:cs="Arial" w:eastAsia="Arial" w:hAnsi="Arial"/>
          <w:sz w:val="16"/>
          <w:szCs w:val="16"/>
          <w:color w:val="auto"/>
        </w:rPr>
        <w:t>To remain competitive, we will need to invest continuously in software development, marketing, customer service and support, product delivery and other cloud-based Platform infrastructure. However, we cannot assure you that new or established competitors will not offer solutions that are superior to or lower in price than ours or both. We may not have sufficient resources to continue the investments in all areas of software development, marketing, customer service and support and infrastructure needed to maintain our competitive position which may diminish our market share and business prospects.</w:t>
      </w:r>
    </w:p>
    <w:p>
      <w:pPr>
        <w:spacing w:after="0" w:line="26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may pursue acquisitions and our potential inability to successfully integrate or otherwise operate newly acquired companies or businesses could adversely affect our financial results.</w:t>
      </w:r>
    </w:p>
    <w:p>
      <w:pPr>
        <w:spacing w:after="0" w:line="58" w:lineRule="exact"/>
        <w:rPr>
          <w:sz w:val="20"/>
          <w:szCs w:val="20"/>
          <w:color w:val="auto"/>
        </w:rPr>
      </w:pPr>
    </w:p>
    <w:p>
      <w:pPr>
        <w:ind w:right="660" w:firstLine="538"/>
        <w:spacing w:after="0" w:line="277" w:lineRule="auto"/>
        <w:rPr>
          <w:sz w:val="20"/>
          <w:szCs w:val="20"/>
          <w:color w:val="auto"/>
        </w:rPr>
      </w:pPr>
      <w:r>
        <w:rPr>
          <w:rFonts w:ascii="Arial" w:cs="Arial" w:eastAsia="Arial" w:hAnsi="Arial"/>
          <w:sz w:val="18"/>
          <w:szCs w:val="18"/>
          <w:color w:val="auto"/>
        </w:rPr>
        <w:t>Our growth plans include evaluations of potential acquisitions of other companies or their businesses. If such evaluations lead to completed acquisitions, we face many risks commonly encountered with growth through acquisitions. These risks include:</w:t>
      </w:r>
    </w:p>
    <w:p>
      <w:pPr>
        <w:spacing w:after="0" w:line="62" w:lineRule="exact"/>
        <w:rPr>
          <w:sz w:val="20"/>
          <w:szCs w:val="20"/>
          <w:color w:val="auto"/>
        </w:rPr>
      </w:pPr>
    </w:p>
    <w:p>
      <w:pPr>
        <w:ind w:left="1060" w:hanging="52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incurring significantly higher than anticipated capital expenditures and operating expenses;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failing to assimilate the operations, customers, and personnel of the acquired company or business;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disrupting our ongoing business;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dissipating or distracting our management resources;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dilution to existing stockholders from the issuance of equity securities;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liabilities or other problems associated with the acquired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0574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3" w:name="page14"/>
    <w:bookmarkEnd w:id="13"/>
    <w:p>
      <w:pPr>
        <w:ind w:left="1060" w:hanging="52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becoming subject to adverse tax consequences, substantial depreciation, or deferred compensation charges;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improper compliance with laws and regulations and exposure to other contingent liabilities;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maintain uniform standards, controls, and policies; and</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impairing relationships with employees and customers as a result of changes in management.</w:t>
      </w:r>
    </w:p>
    <w:p>
      <w:pPr>
        <w:spacing w:after="0" w:line="131" w:lineRule="exact"/>
        <w:rPr>
          <w:sz w:val="20"/>
          <w:szCs w:val="20"/>
          <w:color w:val="auto"/>
        </w:rPr>
      </w:pPr>
    </w:p>
    <w:p>
      <w:pPr>
        <w:ind w:right="40" w:firstLine="538"/>
        <w:spacing w:after="0" w:line="271" w:lineRule="auto"/>
        <w:rPr>
          <w:sz w:val="20"/>
          <w:szCs w:val="20"/>
          <w:color w:val="auto"/>
        </w:rPr>
      </w:pPr>
      <w:r>
        <w:rPr>
          <w:rFonts w:ascii="Arial" w:cs="Arial" w:eastAsia="Arial" w:hAnsi="Arial"/>
          <w:sz w:val="17"/>
          <w:szCs w:val="17"/>
          <w:color w:val="auto"/>
        </w:rPr>
        <w:t>Fully integrating an acquired company or business into our operations may take a significant amount of time. In addition, we may only be able to conduct limited due diligence on an acquired company’s operations. Following an acquisition, we may be subject to liabilities arising from an acquired company’s past or present operations, including liabilities related to data security, encryption and privacy of customer data, and these liabilities may be greater than the warranty and indemnity limitations that we negotiate. We cannot assure you that we will be successful in overcoming these risks or any other problems encountered with acquisitions. To the extent we do not successfully avoid or overcome the risks or problems related to any acquisitions, our results of operations and financial condition could be adversely affected. Future acquisitions also could impact our financial position and capital needs and could cause substantial fluctuations in our quarterly and yearly results of operations. Acquisitions could include significant goodwill and intangible assets, which may result in future impairment charges that would reduce our stated earnings.</w:t>
      </w:r>
    </w:p>
    <w:p>
      <w:pPr>
        <w:spacing w:after="0" w:line="282" w:lineRule="exact"/>
        <w:rPr>
          <w:sz w:val="20"/>
          <w:szCs w:val="20"/>
          <w:color w:val="auto"/>
        </w:rPr>
      </w:pPr>
    </w:p>
    <w:p>
      <w:pPr>
        <w:ind w:right="500"/>
        <w:spacing w:after="0" w:line="378" w:lineRule="auto"/>
        <w:rPr>
          <w:sz w:val="20"/>
          <w:szCs w:val="20"/>
          <w:color w:val="auto"/>
        </w:rPr>
      </w:pPr>
      <w:r>
        <w:rPr>
          <w:rFonts w:ascii="Arial" w:cs="Arial" w:eastAsia="Arial" w:hAnsi="Arial"/>
          <w:sz w:val="15"/>
          <w:szCs w:val="15"/>
          <w:b w:val="1"/>
          <w:bCs w:val="1"/>
          <w:color w:val="auto"/>
        </w:rPr>
        <w:t>Because our long-term success depends, in part, on our ability to expand the sales of our solutions to customers located outside of the United States and expand operations to support such expansion, our business will be susceptible to risks associated with international operations.</w:t>
      </w:r>
    </w:p>
    <w:p>
      <w:pPr>
        <w:spacing w:after="0" w:line="1" w:lineRule="exact"/>
        <w:rPr>
          <w:sz w:val="20"/>
          <w:szCs w:val="20"/>
          <w:color w:val="auto"/>
        </w:rPr>
      </w:pPr>
    </w:p>
    <w:p>
      <w:pPr>
        <w:ind w:right="20" w:firstLine="538"/>
        <w:spacing w:after="0" w:line="263" w:lineRule="auto"/>
        <w:rPr>
          <w:sz w:val="20"/>
          <w:szCs w:val="20"/>
          <w:color w:val="auto"/>
        </w:rPr>
      </w:pPr>
      <w:r>
        <w:rPr>
          <w:rFonts w:ascii="Arial" w:cs="Arial" w:eastAsia="Arial" w:hAnsi="Arial"/>
          <w:sz w:val="18"/>
          <w:szCs w:val="18"/>
          <w:color w:val="auto"/>
        </w:rPr>
        <w:t>Our limited experience in operating our business outside of the United States increases the risk that our current and any future international expansion efforts will not be successful. Expanding international sales and operations subjects us to new risks that, generally, we have not faced in the U.S., including:</w:t>
      </w:r>
    </w:p>
    <w:p>
      <w:pPr>
        <w:spacing w:after="0" w:line="76" w:lineRule="exact"/>
        <w:rPr>
          <w:sz w:val="20"/>
          <w:szCs w:val="20"/>
          <w:color w:val="auto"/>
        </w:rPr>
      </w:pPr>
    </w:p>
    <w:p>
      <w:pPr>
        <w:ind w:left="1060" w:hanging="52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misjudging the markets and competitive landscape of foreign jurisdictions;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foreign regulatory requirements;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30" w:lineRule="exact"/>
        <w:rPr>
          <w:rFonts w:ascii="Arial" w:cs="Arial" w:eastAsia="Arial" w:hAnsi="Arial"/>
          <w:sz w:val="18"/>
          <w:szCs w:val="18"/>
          <w:color w:val="auto"/>
        </w:rPr>
      </w:pPr>
    </w:p>
    <w:p>
      <w:pPr>
        <w:ind w:left="1060" w:right="260" w:hanging="52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systems and restrictions on the repatriation of earnings;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localization of our solutions, including translation into foreign languages and associated expenses;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burdens of complying with a wide variety of foreign laws and different legal standards, including laws and regulations related to privacy;</w:t>
      </w:r>
    </w:p>
    <w:p>
      <w:pPr>
        <w:spacing w:after="0" w:line="153" w:lineRule="exact"/>
        <w:rPr>
          <w:rFonts w:ascii="Arial" w:cs="Arial" w:eastAsia="Arial" w:hAnsi="Arial"/>
          <w:sz w:val="16"/>
          <w:szCs w:val="16"/>
          <w:color w:val="auto"/>
        </w:rPr>
      </w:pPr>
    </w:p>
    <w:p>
      <w:pPr>
        <w:ind w:left="1060" w:hanging="52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potential for corruption and bribery; and</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131" w:lineRule="exact"/>
        <w:rPr>
          <w:sz w:val="20"/>
          <w:szCs w:val="20"/>
          <w:color w:val="auto"/>
        </w:rPr>
      </w:pPr>
    </w:p>
    <w:p>
      <w:pPr>
        <w:ind w:right="120" w:firstLine="538"/>
        <w:spacing w:after="0" w:line="259" w:lineRule="auto"/>
        <w:rPr>
          <w:sz w:val="20"/>
          <w:szCs w:val="20"/>
          <w:color w:val="auto"/>
        </w:rPr>
      </w:pPr>
      <w:r>
        <w:rPr>
          <w:rFonts w:ascii="Arial" w:cs="Arial" w:eastAsia="Arial" w:hAnsi="Arial"/>
          <w:sz w:val="18"/>
          <w:szCs w:val="18"/>
          <w:color w:val="auto"/>
        </w:rPr>
        <w:t>The occurrence of any one of these risks could negatively affect our international business and, consequently, our results of operations 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0574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1"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4" w:name="page15"/>
    <w:bookmarkEnd w:id="14"/>
    <w:p>
      <w:pPr>
        <w:ind w:right="80" w:firstLine="538"/>
        <w:spacing w:after="0" w:line="253" w:lineRule="auto"/>
        <w:rPr>
          <w:sz w:val="20"/>
          <w:szCs w:val="20"/>
          <w:color w:val="auto"/>
        </w:rPr>
      </w:pPr>
      <w:r>
        <w:rPr>
          <w:rFonts w:ascii="Arial" w:cs="Arial" w:eastAsia="Arial" w:hAnsi="Arial"/>
          <w:sz w:val="18"/>
          <w:szCs w:val="18"/>
          <w:color w:val="auto"/>
        </w:rPr>
        <w:t>In addition, we operate in parts of the world, such as Ukraine, that are recognized as having governmental corruption problems and where local customs and practices may not foster strict compliance with anti-corruption laws. Our continued operation and potential expansion outside the U.S. could increase the risk of such violations in the future. Despite our training and compliance programs, we cannot assure you that our internal control policies and procedures will protect us from unauthorized, reckless, or criminal acts committed by our employees or agents, including by third parties we utilize in foreign jurisdictions. In the event that we believe, or have reason to believe, that our employees or agents have or may have violated applicable anti-corruption laws, including the U.S. Foreign Corrupt Practices Act, we may be required to investigate or have outside counsel investigate the relevant facts and circumstances, which can be expensive and require significant time and attention from senior management. Violations of these laws may result in severe civil and criminal sanctions and penalties, which could disrupt our business and have a material adverse effect on our reputation, results of operations or financial condition.</w:t>
      </w:r>
    </w:p>
    <w:p>
      <w:pPr>
        <w:spacing w:after="0" w:line="88" w:lineRule="exact"/>
        <w:rPr>
          <w:sz w:val="20"/>
          <w:szCs w:val="20"/>
          <w:color w:val="auto"/>
        </w:rPr>
      </w:pPr>
    </w:p>
    <w:p>
      <w:pPr>
        <w:ind w:right="100" w:firstLine="538"/>
        <w:spacing w:after="0" w:line="259" w:lineRule="auto"/>
        <w:rPr>
          <w:sz w:val="20"/>
          <w:szCs w:val="20"/>
          <w:color w:val="auto"/>
        </w:rPr>
      </w:pPr>
      <w:r>
        <w:rPr>
          <w:rFonts w:ascii="Arial" w:cs="Arial" w:eastAsia="Arial" w:hAnsi="Arial"/>
          <w:sz w:val="18"/>
          <w:szCs w:val="18"/>
          <w:color w:val="auto"/>
        </w:rPr>
        <w:t>Any unrest, military activities, or sanctions impacting our international operations, should they occur, could disrupt operations, and have a material adverse effect on our business. Any such disruption to our operations may be prolonged and require a transition to alternative workforce locations. An alternative workforce location may be more expensive to train, staff, and operate and may cause delays and shortfalls in programming deliverables and services, thus potentially harming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Products and Service Offerings</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new solutions and changes to existing solutions we pursue could fail to attract or retain customers or generate expected revenues.</w:t>
      </w:r>
    </w:p>
    <w:p>
      <w:pPr>
        <w:spacing w:after="0" w:line="133" w:lineRule="exact"/>
        <w:rPr>
          <w:sz w:val="20"/>
          <w:szCs w:val="20"/>
          <w:color w:val="auto"/>
        </w:rPr>
      </w:pPr>
    </w:p>
    <w:p>
      <w:pPr>
        <w:ind w:right="40" w:firstLine="538"/>
        <w:spacing w:after="0" w:line="257" w:lineRule="auto"/>
        <w:rPr>
          <w:sz w:val="20"/>
          <w:szCs w:val="20"/>
          <w:color w:val="auto"/>
        </w:rPr>
      </w:pPr>
      <w:r>
        <w:rPr>
          <w:rFonts w:ascii="Arial" w:cs="Arial" w:eastAsia="Arial" w:hAnsi="Arial"/>
          <w:sz w:val="18"/>
          <w:szCs w:val="18"/>
          <w:color w:val="auto"/>
        </w:rPr>
        <w:t>Our ability to retain, increase and engage our customers and to increase our revenues depends heavily on our ability to identify, develop, and launch successful new solutions. We may introduce significant changes to our existing solutions or develop and introduce new and unproven solutions which include or use technologies with which we have little or no prior development or operating experience. If new or enhanced solutions fail to garner expected customer demand in a timely manner or at all, we may fail to generate sufficient revenues, operating margin, or other value to justify our investments and our business may be adversely affected.</w:t>
      </w:r>
    </w:p>
    <w:p>
      <w:pPr>
        <w:spacing w:after="0" w:line="292"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Our business is dependent on our ability to maintain and scale our technical infrastructure, and any failure to effectively maintain or scale such infrastructure could damage our reputation, result in a potential loss of revenue, and adversely affect our financial results.</w:t>
      </w:r>
    </w:p>
    <w:p>
      <w:pPr>
        <w:spacing w:after="0" w:line="36" w:lineRule="exact"/>
        <w:rPr>
          <w:sz w:val="20"/>
          <w:szCs w:val="20"/>
          <w:color w:val="auto"/>
        </w:rPr>
      </w:pPr>
    </w:p>
    <w:p>
      <w:pPr>
        <w:ind w:right="20" w:firstLine="538"/>
        <w:spacing w:after="0" w:line="273" w:lineRule="auto"/>
        <w:rPr>
          <w:sz w:val="20"/>
          <w:szCs w:val="20"/>
          <w:color w:val="auto"/>
        </w:rPr>
      </w:pPr>
      <w:r>
        <w:rPr>
          <w:rFonts w:ascii="Arial" w:cs="Arial" w:eastAsia="Arial" w:hAnsi="Arial"/>
          <w:sz w:val="17"/>
          <w:szCs w:val="17"/>
          <w:color w:val="auto"/>
        </w:rPr>
        <w:t>Our reputation and ability to attract, retain and serve our customers is dependent upon the reliable performance of our cloud-based Platform and our underlying technical infrastructure and cloud providers. As our user base and the amount and types of information shared on our cloud-based Platform continue to grow, we will need an increasing amount of technical infrastructure, including network capacity and computing power, to continue to satisfy the needs of our users. It is possible that we or our cloud providers may fail to effectively maintain and scale our technical infrastructure to accommodate these increased demands. Any failure to effectively maintain and grow our technical infrastructure could result in interruptions or delays in service which may damage our reputation, result in a potential loss of customers, and adversely affect our financial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adapt to rapid technological change could impair our ability to remain competitive.</w:t>
      </w:r>
    </w:p>
    <w:p>
      <w:pPr>
        <w:spacing w:after="0" w:line="121" w:lineRule="exact"/>
        <w:rPr>
          <w:sz w:val="20"/>
          <w:szCs w:val="20"/>
          <w:color w:val="auto"/>
        </w:rPr>
      </w:pPr>
    </w:p>
    <w:p>
      <w:pPr>
        <w:ind w:right="40" w:firstLine="538"/>
        <w:spacing w:after="0" w:line="289" w:lineRule="auto"/>
        <w:rPr>
          <w:sz w:val="20"/>
          <w:szCs w:val="20"/>
          <w:color w:val="auto"/>
        </w:rPr>
      </w:pPr>
      <w:r>
        <w:rPr>
          <w:rFonts w:ascii="Arial" w:cs="Arial" w:eastAsia="Arial" w:hAnsi="Arial"/>
          <w:sz w:val="16"/>
          <w:szCs w:val="16"/>
          <w:color w:val="auto"/>
        </w:rPr>
        <w:t>The industry in which we compete is characterized by rapid technological change, frequent introductions of new products and evolving industry standards. Existing products can become obsolete and unmarketable when vendors introduce products utilizing new technologies or new industry standards emerge, and as a result, it is difficult for us to predict the life cycles of our products. Our ability to attract new customers and increase revenues from customers will depend in significant part on our ability to anticipate technological changes, and the corresponding impact on customer needs, evolving requirements, and future industry standards, and to continue to enhance our existing solutions or introduce or acquire new solutions to keep pace with such technological developments. The success of our enhanced or new solutions depend on several factors, including the timely completion, introduction and market acceptance of the enhancement or solution. Any new solution we develop or acquire might not be introduced in a timely or cost-effective manner and might not achieve the broad market acceptance necessary to generate expected revenues. If any of our competitors or new market entrants implement new technologies or upgrades to existing technologies before we are able to implement them, they may be 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0574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0"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right="100"/>
        <w:spacing w:after="0" w:line="277" w:lineRule="auto"/>
        <w:rPr>
          <w:sz w:val="20"/>
          <w:szCs w:val="20"/>
          <w:color w:val="auto"/>
        </w:rPr>
      </w:pPr>
      <w:r>
        <w:rPr>
          <w:rFonts w:ascii="Arial" w:cs="Arial" w:eastAsia="Arial" w:hAnsi="Arial"/>
          <w:sz w:val="18"/>
          <w:szCs w:val="18"/>
          <w:color w:val="auto"/>
        </w:rPr>
        <w:t>provide more effective solutions than ours at lower prices. Any delay or failure in the introduction of new or enhanced solutions could adversely affect our business, results of operations and financial condition.</w:t>
      </w:r>
    </w:p>
    <w:p>
      <w:pPr>
        <w:spacing w:after="0" w:line="27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rely on third party infrastructure, software and services that could take a significant time, and involve a complex transition, to replace or upgrade.</w:t>
      </w:r>
    </w:p>
    <w:p>
      <w:pPr>
        <w:spacing w:after="0" w:line="58" w:lineRule="exact"/>
        <w:rPr>
          <w:sz w:val="20"/>
          <w:szCs w:val="20"/>
          <w:color w:val="auto"/>
        </w:rPr>
      </w:pPr>
    </w:p>
    <w:p>
      <w:pPr>
        <w:ind w:firstLine="538"/>
        <w:spacing w:after="0" w:line="291" w:lineRule="auto"/>
        <w:rPr>
          <w:sz w:val="20"/>
          <w:szCs w:val="20"/>
          <w:color w:val="auto"/>
        </w:rPr>
      </w:pPr>
      <w:r>
        <w:rPr>
          <w:rFonts w:ascii="Arial" w:cs="Arial" w:eastAsia="Arial" w:hAnsi="Arial"/>
          <w:sz w:val="16"/>
          <w:szCs w:val="16"/>
          <w:color w:val="auto"/>
        </w:rPr>
        <w:t>We rely on infrastructure, software and services licensed from third parties to offer our cloud-based supply chain management solutions. This infrastructure, software, and services, as well as related maintenance and updates, may not continue to be available to us on commercially reasonable terms, or at all. If we lose the right to use or upgrade any of these licenses, our customers could experience delays or be unable to access our solutions until we can obtain and integrate equivalent technology. There might not always be commercially reasonable alternatives to the third-party infrastructure, software, and services that we currently license. Any such alternatives could be more difficult or costly to replace than what we currently license, and integration of the alternatives into our cloud-based Platform could require significant work and resources and delays. Any delays or failures associated with our cloud-based Platform could injure our reputation with current and potential customers and have an adverse effect on our business.</w:t>
      </w:r>
    </w:p>
    <w:p>
      <w:pPr>
        <w:spacing w:after="0" w:line="27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Interruptions or delays from third-party data centers or to the telecommunications infrastructure we use or rely on could impair the delivery of our solutions and our business could suffer.</w:t>
      </w:r>
    </w:p>
    <w:p>
      <w:pPr>
        <w:spacing w:after="0" w:line="58" w:lineRule="exact"/>
        <w:rPr>
          <w:sz w:val="20"/>
          <w:szCs w:val="20"/>
          <w:color w:val="auto"/>
        </w:rPr>
      </w:pPr>
    </w:p>
    <w:p>
      <w:pPr>
        <w:ind w:right="40" w:firstLine="538"/>
        <w:spacing w:after="0" w:line="269" w:lineRule="auto"/>
        <w:rPr>
          <w:sz w:val="20"/>
          <w:szCs w:val="20"/>
          <w:color w:val="auto"/>
        </w:rPr>
      </w:pPr>
      <w:r>
        <w:rPr>
          <w:rFonts w:ascii="Arial" w:cs="Arial" w:eastAsia="Arial" w:hAnsi="Arial"/>
          <w:sz w:val="17"/>
          <w:szCs w:val="17"/>
          <w:color w:val="auto"/>
        </w:rPr>
        <w:t>We use third-party data centers, located in the U.S. and internationally, as well as provision services from cloud providers, to conduct our operations. Our ability to deliver our services depends on the development and maintenance of telecommunications infrastructure by third parties. This includes maintenance of a reliable network backbone with the necessary speed, data capacity, bandwidth capacity, and security. Our operations depend on the protection of the equipment and information we store in these third-party centers, or utilize from third-party providers, against damage or service interruptions that may be caused by fire, flood, severe storm, power loss, telecommunications failures, natural disasters, war, criminal act, military action, terrorist attack, financial failure of the service provider, and other events beyond our control. In addition, third party malfeasance, such as intentional misconduct by computer hackers, unauthorized intrusions, computer viruses, ransomware, or denial of service attacks, may also cause substantial service disruptions. A prolonged service disruption affecting our solutions could damage our reputation with potential customers, cause us to lose existing customers, expose us to liability, or otherwise adversely affect our business. We may also incur significant costs for using alternative equipment or taking other actions in preparation for, or in reaction to, events that damage the data centers or infrastructure we use or rely on, including the additional expense of transitioning to substitute facilities or service providers.</w:t>
      </w:r>
    </w:p>
    <w:p>
      <w:pPr>
        <w:spacing w:after="0" w:line="28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A failure to protect the integrity and security of our customers’ information and prevent cyber-attacks, could materially damage our reputation, expose us to claims and litigation, and lead to service disruptions and harm our business. Additionally, the growing costs to avoid or reduce the risks of such a failure could adversely affect our results of operations.</w:t>
      </w:r>
    </w:p>
    <w:p>
      <w:pPr>
        <w:spacing w:after="0" w:line="72" w:lineRule="exact"/>
        <w:rPr>
          <w:sz w:val="20"/>
          <w:szCs w:val="20"/>
          <w:color w:val="auto"/>
        </w:rPr>
      </w:pPr>
    </w:p>
    <w:p>
      <w:pPr>
        <w:ind w:right="100" w:firstLine="538"/>
        <w:spacing w:after="0" w:line="259" w:lineRule="auto"/>
        <w:rPr>
          <w:sz w:val="20"/>
          <w:szCs w:val="20"/>
          <w:color w:val="auto"/>
        </w:rPr>
      </w:pPr>
      <w:r>
        <w:rPr>
          <w:rFonts w:ascii="Arial" w:cs="Arial" w:eastAsia="Arial" w:hAnsi="Arial"/>
          <w:sz w:val="18"/>
          <w:szCs w:val="18"/>
          <w:color w:val="auto"/>
        </w:rPr>
        <w:t>As demonstrated by the frequency and sophistication of material and high-profile data security breaches within the retail industry, computer malware, viruses, computer hacking, phishing attacks, spamming, ransomware, and other electronic threats have become more prevalent in our industry. Given the interconnected nature of the retail supply chain, our significant presence in the retail industry, and the occurrence of cyber-attacks on our system in the past, we believe that we are a particularly attractive target for such attacks.</w:t>
      </w:r>
    </w:p>
    <w:p>
      <w:pPr>
        <w:spacing w:after="0" w:line="79" w:lineRule="exact"/>
        <w:rPr>
          <w:sz w:val="20"/>
          <w:szCs w:val="20"/>
          <w:color w:val="auto"/>
        </w:rPr>
      </w:pPr>
    </w:p>
    <w:p>
      <w:pPr>
        <w:ind w:right="60" w:firstLine="538"/>
        <w:spacing w:after="0" w:line="253" w:lineRule="auto"/>
        <w:rPr>
          <w:sz w:val="20"/>
          <w:szCs w:val="20"/>
          <w:color w:val="auto"/>
        </w:rPr>
      </w:pPr>
      <w:r>
        <w:rPr>
          <w:rFonts w:ascii="Arial" w:cs="Arial" w:eastAsia="Arial" w:hAnsi="Arial"/>
          <w:sz w:val="18"/>
          <w:szCs w:val="18"/>
          <w:color w:val="auto"/>
        </w:rPr>
        <w:t>Our business involves the collection and use of confidential information of our customers and their trading partners which sometimes requires our direct access to our customers’ information systems. Our security measures may be breached as a result of third-party action, including intentional misconduct by computer hackers via cyber-attacks, employee error, malfeasance, system errors or vulnerabilities, including vulnerabilities of our third-party vendors, customers, or otherwise and result in someone obtaining unauthorized access to our customers’ information and information systems. Additionally, third parties may attempt to fraudulently induce employees or customers into disclosing sensitive information such as usernames, passwords, or other information in order to gain access to our customers’ data or our data or IT systems. Because the techniques used to obtain unauthorized access, or to sabotage systems, change frequently and generally are not recognized until launched against a target, we may be unable to anticipate these techniques or to implement adequate preventative measures. Malicious third parties may also conduct attacks designed to temporarily deny customers access to our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20574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70"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right="40" w:firstLine="538"/>
        <w:spacing w:after="0" w:line="254" w:lineRule="auto"/>
        <w:rPr>
          <w:sz w:val="20"/>
          <w:szCs w:val="20"/>
          <w:color w:val="auto"/>
        </w:rPr>
      </w:pPr>
      <w:r>
        <w:rPr>
          <w:rFonts w:ascii="Arial" w:cs="Arial" w:eastAsia="Arial" w:hAnsi="Arial"/>
          <w:sz w:val="18"/>
          <w:szCs w:val="18"/>
          <w:color w:val="auto"/>
        </w:rPr>
        <w:t>Any failure to maintain performance, reliability, security and availability of our cloud-based Platform and solutions to the satisfaction of our customers, or any unauthorized access to our customers’ information or systems is caused by our solutions or cloud-based Platform, may cause service disruptions, harm our reputation, impair our ability to retain existing customers and attract new customers and expose us to legal claims and government action, each of which could have a material adverse impact on our financial condition, results of operations and growth prospects. Although we are allocating more resources to address cyber threats and safeguard our solutions and services, we cannot assure you that these efforts to protect this confidential information and authorized access to such information systems will be successful. In addition, because of the critical nature of information security and system access, any actual or perceived failure of our security measures could cause existing or potential customers not to use our solutions and harm our reputation.</w:t>
      </w:r>
    </w:p>
    <w:p>
      <w:pPr>
        <w:spacing w:after="0" w:line="84" w:lineRule="exact"/>
        <w:rPr>
          <w:sz w:val="20"/>
          <w:szCs w:val="20"/>
          <w:color w:val="auto"/>
        </w:rPr>
      </w:pPr>
    </w:p>
    <w:p>
      <w:pPr>
        <w:ind w:right="340" w:firstLine="538"/>
        <w:spacing w:after="0" w:line="257" w:lineRule="auto"/>
        <w:rPr>
          <w:sz w:val="20"/>
          <w:szCs w:val="20"/>
          <w:color w:val="auto"/>
        </w:rPr>
      </w:pPr>
      <w:r>
        <w:rPr>
          <w:rFonts w:ascii="Arial" w:cs="Arial" w:eastAsia="Arial" w:hAnsi="Arial"/>
          <w:sz w:val="18"/>
          <w:szCs w:val="18"/>
          <w:color w:val="auto"/>
        </w:rPr>
        <w:t>Businesses in the retail industry have experienced material sales declines after discovering data security breaches, and our business could be similarly impacted in the event of a breach or other cyber incident. Furthermore, many U.S. states and international jurisdictions have enacted laws requiring companies to notify consumers of data security breaches involving their personal data. These mandatory disclosures regarding a data security breach often lead to widespread negative publicity, which may cause our customers to lose confidence in our solutions and the effectiveness of our data security measures.</w:t>
      </w:r>
    </w:p>
    <w:p>
      <w:pPr>
        <w:spacing w:after="0" w:line="29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may experience service failures or interruptions due to defects in the hardware, software, infrastructure, third party components or processes that comprise our existing or new solutions, any of which could adversely affect our business.</w:t>
      </w:r>
    </w:p>
    <w:p>
      <w:pPr>
        <w:spacing w:after="0" w:line="58" w:lineRule="exact"/>
        <w:rPr>
          <w:sz w:val="20"/>
          <w:szCs w:val="20"/>
          <w:color w:val="auto"/>
        </w:rPr>
      </w:pPr>
    </w:p>
    <w:p>
      <w:pPr>
        <w:ind w:right="60" w:firstLine="538"/>
        <w:spacing w:after="0" w:line="275" w:lineRule="auto"/>
        <w:rPr>
          <w:sz w:val="20"/>
          <w:szCs w:val="20"/>
          <w:color w:val="auto"/>
        </w:rPr>
      </w:pPr>
      <w:r>
        <w:rPr>
          <w:rFonts w:ascii="Arial" w:cs="Arial" w:eastAsia="Arial" w:hAnsi="Arial"/>
          <w:sz w:val="17"/>
          <w:szCs w:val="17"/>
          <w:color w:val="auto"/>
        </w:rPr>
        <w:t>Technology solutions like ours may contain undetected defects in the hardware, software, infrastructure, third party components or processes that are part of the solutions we provide. If these defects lead to service failures, we could experience delays or lost revenues, diversion of software engineering resources, negative media attention or increased service costs as a result of performance claims during the period required to correct the cause of the defects. We cannot be certain that defects will be avoided in our upgraded or new solutions, resulting in loss of, or delay in, market acceptance, which could have an adverse effect on our business, results of operations and financial condition.</w:t>
      </w:r>
    </w:p>
    <w:p>
      <w:pPr>
        <w:spacing w:after="0" w:line="68" w:lineRule="exact"/>
        <w:rPr>
          <w:sz w:val="20"/>
          <w:szCs w:val="20"/>
          <w:color w:val="auto"/>
        </w:rPr>
      </w:pPr>
    </w:p>
    <w:p>
      <w:pPr>
        <w:ind w:right="80" w:firstLine="538"/>
        <w:spacing w:after="0" w:line="255" w:lineRule="auto"/>
        <w:rPr>
          <w:sz w:val="20"/>
          <w:szCs w:val="20"/>
          <w:color w:val="auto"/>
        </w:rPr>
      </w:pPr>
      <w:r>
        <w:rPr>
          <w:rFonts w:ascii="Arial" w:cs="Arial" w:eastAsia="Arial" w:hAnsi="Arial"/>
          <w:sz w:val="18"/>
          <w:szCs w:val="18"/>
          <w:color w:val="auto"/>
        </w:rPr>
        <w:t>Because customers use our cloud-based supply chain management solutions for critical business processes, any defect in our solutions, any disruption to our solutions or any error in execution could cause recurring revenue customers to cancel their contracts with us, cause potential customers to not join our network and harm our reputation. We could also be subject to litigation for actual or alleged losses to our customers’ businesses, which may require us to spend significant time and money in litigation or arbitration or to pay significant settlements or damages. We do not currently maintain any warranty reserves. Moreover, defending a lawsuit, regardless of its merit, could be costly and divert management’s attention and could cause our business to suffer.</w:t>
      </w:r>
    </w:p>
    <w:p>
      <w:pPr>
        <w:spacing w:after="0" w:line="84" w:lineRule="exact"/>
        <w:rPr>
          <w:sz w:val="20"/>
          <w:szCs w:val="20"/>
          <w:color w:val="auto"/>
        </w:rPr>
      </w:pPr>
    </w:p>
    <w:p>
      <w:pPr>
        <w:ind w:right="20" w:firstLine="538"/>
        <w:spacing w:after="0" w:line="273" w:lineRule="auto"/>
        <w:rPr>
          <w:sz w:val="20"/>
          <w:szCs w:val="20"/>
          <w:color w:val="auto"/>
        </w:rPr>
      </w:pPr>
      <w:r>
        <w:rPr>
          <w:rFonts w:ascii="Arial" w:cs="Arial" w:eastAsia="Arial" w:hAnsi="Arial"/>
          <w:sz w:val="17"/>
          <w:szCs w:val="17"/>
          <w:color w:val="auto"/>
        </w:rPr>
        <w:t>The insurers under our existing liability insurance policy could deny coverage of a future claim that results from an error or defect in our technology or a resulting disruption in our solutions, or our existing liability insurance might not be adequate to cover any or all of the damages and other costs of such a claim. Moreover, we cannot assure you that our current liability insurance coverage will continue to be available to us on acceptable terms or at all. The successful assertion against us of one or more large claims that exceeds, or is not insured against by, our insurance coverage, or the occurrence of changes in our liability insurance policy, including an increase in premiums or imposition of large deductible or co-insurance requirements, could have an adverse effect on our business, financial condition and operating results.</w:t>
      </w:r>
    </w:p>
    <w:p>
      <w:pPr>
        <w:spacing w:after="0" w:line="28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If open source, or other no-cost products and services, expand into enterprise application and supply chain software or solutions, our prices, revenues, and operating results may decline.</w:t>
      </w:r>
    </w:p>
    <w:p>
      <w:pPr>
        <w:spacing w:after="0" w:line="58" w:lineRule="exact"/>
        <w:rPr>
          <w:sz w:val="20"/>
          <w:szCs w:val="20"/>
          <w:color w:val="auto"/>
        </w:rPr>
      </w:pPr>
    </w:p>
    <w:p>
      <w:pPr>
        <w:ind w:right="80" w:firstLine="538"/>
        <w:spacing w:after="0" w:line="257" w:lineRule="auto"/>
        <w:rPr>
          <w:sz w:val="20"/>
          <w:szCs w:val="20"/>
          <w:color w:val="auto"/>
        </w:rPr>
      </w:pPr>
      <w:r>
        <w:rPr>
          <w:rFonts w:ascii="Arial" w:cs="Arial" w:eastAsia="Arial" w:hAnsi="Arial"/>
          <w:sz w:val="18"/>
          <w:szCs w:val="18"/>
          <w:color w:val="auto"/>
        </w:rPr>
        <w:t>The open source community is comprised of many different formal and informal groups of software developers and individuals who have created a wide variety of software and have made that software available for use, distribution, and modification, often free of charge. If developers contribute effective and scalable enterprise and supply chain application software to the open source community, or if competitors make such software or service available at no cost, we may need to lower our product pricing and alter our distribution strategy to compete successfully, and our revenues and operating results may decline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20574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62"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The use of open source software in our products may expose us to additional risks and harm our intellectual property.</w:t>
      </w:r>
    </w:p>
    <w:p>
      <w:pPr>
        <w:spacing w:after="0" w:line="121" w:lineRule="exact"/>
        <w:rPr>
          <w:sz w:val="20"/>
          <w:szCs w:val="20"/>
          <w:color w:val="auto"/>
        </w:rPr>
      </w:pPr>
    </w:p>
    <w:p>
      <w:pPr>
        <w:ind w:firstLine="538"/>
        <w:spacing w:after="0" w:line="291" w:lineRule="auto"/>
        <w:rPr>
          <w:sz w:val="20"/>
          <w:szCs w:val="20"/>
          <w:color w:val="auto"/>
        </w:rPr>
      </w:pPr>
      <w:r>
        <w:rPr>
          <w:rFonts w:ascii="Arial" w:cs="Arial" w:eastAsia="Arial" w:hAnsi="Arial"/>
          <w:sz w:val="16"/>
          <w:szCs w:val="16"/>
          <w:color w:val="auto"/>
        </w:rPr>
        <w:t>Some of our products use or incorporate software that is subject to one or more open source licenses. Open source software is typically licensed under terms that require making the software freely accessible, usable, and modifiable. Failure to comply with these licenses may subject us to onerous requirements, such as offering our solutions that incorporate the open source software for no cost or making the source code we create based upon, incorporating, or using the open source software available for modifications or derivative works. If an author or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w:t>
      </w:r>
    </w:p>
    <w:p>
      <w:pPr>
        <w:spacing w:after="0" w:line="58" w:lineRule="exact"/>
        <w:rPr>
          <w:sz w:val="20"/>
          <w:szCs w:val="20"/>
          <w:color w:val="auto"/>
        </w:rPr>
      </w:pPr>
    </w:p>
    <w:p>
      <w:pPr>
        <w:ind w:right="20" w:firstLine="538"/>
        <w:spacing w:after="0" w:line="275" w:lineRule="auto"/>
        <w:rPr>
          <w:sz w:val="20"/>
          <w:szCs w:val="20"/>
          <w:color w:val="auto"/>
        </w:rPr>
      </w:pPr>
      <w:r>
        <w:rPr>
          <w:rFonts w:ascii="Arial" w:cs="Arial" w:eastAsia="Arial" w:hAnsi="Arial"/>
          <w:sz w:val="17"/>
          <w:szCs w:val="17"/>
          <w:color w:val="auto"/>
        </w:rPr>
        <w:t>While we monitor the use of a majority of open source software in our products, processes and technology and work to ensure that open source software is not used in such a way as to require us to disclose the source code to the related product or solution, such use could inadvertently occur. Additionally, if a third-party software provider has incorporated certain types of open source software into software we license from such third party for our products and solutions, we could, under certain circumstances, be required to disclose the source code to our products and solutions. This could harm our intellectual property position and have a material adverse effect on our business, results of operations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protect our intellectual property and proprietary rights adequately, our business could suffer material adverse effects.</w:t>
      </w:r>
    </w:p>
    <w:p>
      <w:pPr>
        <w:spacing w:after="0" w:line="121" w:lineRule="exact"/>
        <w:rPr>
          <w:sz w:val="20"/>
          <w:szCs w:val="20"/>
          <w:color w:val="auto"/>
        </w:rPr>
      </w:pPr>
    </w:p>
    <w:p>
      <w:pPr>
        <w:ind w:right="40" w:firstLine="538"/>
        <w:spacing w:after="0" w:line="270" w:lineRule="auto"/>
        <w:rPr>
          <w:sz w:val="20"/>
          <w:szCs w:val="20"/>
          <w:color w:val="auto"/>
        </w:rPr>
      </w:pPr>
      <w:r>
        <w:rPr>
          <w:rFonts w:ascii="Arial" w:cs="Arial" w:eastAsia="Arial" w:hAnsi="Arial"/>
          <w:sz w:val="17"/>
          <w:szCs w:val="17"/>
          <w:color w:val="auto"/>
        </w:rPr>
        <w:t>We believe that proprietary technology is essential to establishing and maintaining our leadership position. We seek to protect our intellectual property through trade secrets, copyrights, confidentiality, non-compete and nondisclosure agreements, license agreements, trademarks, domain names and other measures, some of which afford only limited protection. We do not have any issued patents or registered copyrights. Despite our efforts to protect our proprietary rights, unauthorized parties may attempt to copy or reverse engineer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the same extent as the laws of the U.S. Intellectual property protections may also be unavailable, limited or difficult to enforce in some countries, which could make it easier for competitors to capture market share. Our failure to protect adequately our intellectual property and proprietary rights could adversely affect our business, financial condition, and results of operations.</w:t>
      </w:r>
    </w:p>
    <w:p>
      <w:pPr>
        <w:spacing w:after="0" w:line="73" w:lineRule="exact"/>
        <w:rPr>
          <w:sz w:val="20"/>
          <w:szCs w:val="20"/>
          <w:color w:val="auto"/>
        </w:rPr>
      </w:pPr>
    </w:p>
    <w:p>
      <w:pPr>
        <w:ind w:right="20" w:firstLine="538"/>
        <w:spacing w:after="0" w:line="279" w:lineRule="auto"/>
        <w:rPr>
          <w:sz w:val="20"/>
          <w:szCs w:val="20"/>
          <w:color w:val="auto"/>
        </w:rPr>
      </w:pPr>
      <w:r>
        <w:rPr>
          <w:rFonts w:ascii="Arial" w:cs="Arial" w:eastAsia="Arial" w:hAnsi="Arial"/>
          <w:sz w:val="17"/>
          <w:szCs w:val="17"/>
          <w:color w:val="auto"/>
        </w:rPr>
        <w:t>In addition, if we resort to legal proceedings to enforce our intellectual property rights or to determine the validity and scope of the intellectual property or other proprietary rights of others, the proceedings could be burdensome and expensive, even if we were to prevail. Any such legal proceedings, including litigation, that are pursued in the future could result in substantial costs and diversion of resources and could have a material adverse effect on our business, operating results, or financial condition, regardless of whether we prevail in such proceedings.</w:t>
      </w:r>
    </w:p>
    <w:p>
      <w:pPr>
        <w:spacing w:after="0" w:line="27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An assertion by a third party that we are infringing its intellectual property, whether or not correct, could subject us to costly and time-consuming litigation or expensive licenses and our business might be materially harmed.</w:t>
      </w:r>
    </w:p>
    <w:p>
      <w:pPr>
        <w:spacing w:after="0" w:line="58" w:lineRule="exact"/>
        <w:rPr>
          <w:sz w:val="20"/>
          <w:szCs w:val="20"/>
          <w:color w:val="auto"/>
        </w:rPr>
      </w:pPr>
    </w:p>
    <w:p>
      <w:pPr>
        <w:ind w:right="180" w:firstLine="538"/>
        <w:spacing w:after="0" w:line="263" w:lineRule="auto"/>
        <w:rPr>
          <w:sz w:val="20"/>
          <w:szCs w:val="20"/>
          <w:color w:val="auto"/>
        </w:rPr>
      </w:pPr>
      <w:r>
        <w:rPr>
          <w:rFonts w:ascii="Arial" w:cs="Arial" w:eastAsia="Arial" w:hAnsi="Arial"/>
          <w:sz w:val="18"/>
          <w:szCs w:val="18"/>
          <w:color w:val="auto"/>
        </w:rPr>
        <w:t>The supply chain management industry and its enabling technologies are characterized by the existence of a large number of patents, copyrights, trademarks, and trade secrets and by frequent litigation based on allegations of infringement or other violations of intellectual property rights. As we seek to extend our solutions, we could be constrained by the intellectual property rights of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0574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right="80" w:firstLine="538"/>
        <w:spacing w:after="0" w:line="288" w:lineRule="auto"/>
        <w:rPr>
          <w:sz w:val="20"/>
          <w:szCs w:val="20"/>
          <w:color w:val="auto"/>
        </w:rPr>
      </w:pPr>
      <w:r>
        <w:rPr>
          <w:rFonts w:ascii="Arial" w:cs="Arial" w:eastAsia="Arial" w:hAnsi="Arial"/>
          <w:sz w:val="16"/>
          <w:szCs w:val="16"/>
          <w:color w:val="auto"/>
        </w:rPr>
        <w:t>We might not prevail in any intellectual property infringement litigation given, among other reasons, the complex technical issues and inherent uncertainties in such litigation. Moreover, defending such claims, regardless of their merit, could be time-consuming and distracting to management, result in costly litigation or settlement, cause development delays, require us to enter into royalty or licensing agreements or require us to redesign our solutions to avoid infringement. If our solutions violate any third-party proprietary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be unsuccessful and, in any case, might substantially increase our costs and harm our business, financial condition and operating results. We also face risk of infringement or misappropriation claims if we hire an employee or contractor who possesses third party proprietary information and who decides to use such information in connection with our solutions, services, or business processes without such third party’s authorization. Regardless of the source of such misuse of third-party intellectual property, any resulting withdrawal of our solutions from the market might materially harm our business, financial condition, and operating results.</w:t>
      </w:r>
    </w:p>
    <w:p>
      <w:pPr>
        <w:spacing w:after="0" w:line="60" w:lineRule="exact"/>
        <w:rPr>
          <w:sz w:val="20"/>
          <w:szCs w:val="20"/>
          <w:color w:val="auto"/>
        </w:rPr>
      </w:pPr>
    </w:p>
    <w:p>
      <w:pPr>
        <w:ind w:firstLine="538"/>
        <w:spacing w:after="0" w:line="293" w:lineRule="auto"/>
        <w:rPr>
          <w:sz w:val="20"/>
          <w:szCs w:val="20"/>
          <w:color w:val="auto"/>
        </w:rPr>
      </w:pPr>
      <w:r>
        <w:rPr>
          <w:rFonts w:ascii="Arial" w:cs="Arial" w:eastAsia="Arial" w:hAnsi="Arial"/>
          <w:sz w:val="16"/>
          <w:szCs w:val="16"/>
          <w:color w:val="auto"/>
        </w:rPr>
        <w:t>In addition, we incorporate open source software into our cloud-based Platform.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or to discontinue sales of our solutions, or to release our proprietary software code under the terms of an open source license, any of which could have a material adverse effect on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Regulation</w:t>
      </w:r>
    </w:p>
    <w:p>
      <w:pPr>
        <w:spacing w:after="0" w:line="221"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Privacy concerns and laws, evolving regulation of cloud computing, cross-border data transfer restrictions and other domestic or foreign regulations may limit the use and adoption of our solutions and adversely affect our business.</w:t>
      </w:r>
    </w:p>
    <w:p>
      <w:pPr>
        <w:spacing w:after="0" w:line="58" w:lineRule="exact"/>
        <w:rPr>
          <w:sz w:val="20"/>
          <w:szCs w:val="20"/>
          <w:color w:val="auto"/>
        </w:rPr>
      </w:pPr>
    </w:p>
    <w:p>
      <w:pPr>
        <w:jc w:val="both"/>
        <w:ind w:right="120" w:firstLine="538"/>
        <w:spacing w:after="0" w:line="272" w:lineRule="auto"/>
        <w:rPr>
          <w:sz w:val="20"/>
          <w:szCs w:val="20"/>
          <w:color w:val="auto"/>
        </w:rPr>
      </w:pPr>
      <w:r>
        <w:rPr>
          <w:rFonts w:ascii="Arial" w:cs="Arial" w:eastAsia="Arial" w:hAnsi="Arial"/>
          <w:sz w:val="17"/>
          <w:szCs w:val="17"/>
          <w:color w:val="auto"/>
        </w:rPr>
        <w:t>Regulation related to the provision of services on the internet is increasing, as federal, state, and foreign governments continue to adopt new laws and regulations addressing data privacy and the collection, processing, storage and use of personal information. In some cases, foreign data privacy laws and regulations, such as the European Union’s General Data Protection Regulation, also governs the processing of personal information. Further, laws are increasingly aimed at the use of personal information for marketing purposes, such as the European Union’s e-Privacy Directive, and the country-specific regulations that implement that directive. Such laws and regulations are subject to differing interpretations and are inconsistent among jurisdictions. These and other requirements could reduce demand for our solutions or restrict our ability to store and process data or, in some cases, impact our ability to offer our services and solutions in certain locations.</w:t>
      </w:r>
    </w:p>
    <w:p>
      <w:pPr>
        <w:spacing w:after="0" w:line="69" w:lineRule="exact"/>
        <w:rPr>
          <w:sz w:val="20"/>
          <w:szCs w:val="20"/>
          <w:color w:val="auto"/>
        </w:rPr>
      </w:pPr>
    </w:p>
    <w:p>
      <w:pPr>
        <w:ind w:right="60" w:firstLine="538"/>
        <w:spacing w:after="0" w:line="259" w:lineRule="auto"/>
        <w:rPr>
          <w:sz w:val="20"/>
          <w:szCs w:val="20"/>
          <w:color w:val="auto"/>
        </w:rPr>
      </w:pPr>
      <w:r>
        <w:rPr>
          <w:rFonts w:ascii="Arial" w:cs="Arial" w:eastAsia="Arial" w:hAnsi="Arial"/>
          <w:sz w:val="18"/>
          <w:szCs w:val="18"/>
          <w:color w:val="auto"/>
        </w:rPr>
        <w:t>In addition to government activity, privacy advocacy and other industry groups have established or may establish new self-regulatory standards that may place additional burdens on us. Our customers may expect us to meet voluntary certification or other standards established by third parties. If we are unable to maintain these certifications or meet these standards, it could adversely affect our ability to provide our solutions to certain customers and could harm our business.</w:t>
      </w:r>
    </w:p>
    <w:p>
      <w:pPr>
        <w:spacing w:after="0" w:line="79" w:lineRule="exact"/>
        <w:rPr>
          <w:sz w:val="20"/>
          <w:szCs w:val="20"/>
          <w:color w:val="auto"/>
        </w:rPr>
      </w:pPr>
    </w:p>
    <w:p>
      <w:pPr>
        <w:ind w:right="240" w:firstLine="538"/>
        <w:spacing w:after="0" w:line="277" w:lineRule="auto"/>
        <w:rPr>
          <w:sz w:val="20"/>
          <w:szCs w:val="20"/>
          <w:color w:val="auto"/>
        </w:rPr>
      </w:pPr>
      <w:r>
        <w:rPr>
          <w:rFonts w:ascii="Arial" w:cs="Arial" w:eastAsia="Arial" w:hAnsi="Arial"/>
          <w:sz w:val="18"/>
          <w:szCs w:val="18"/>
          <w:color w:val="auto"/>
        </w:rPr>
        <w:t>The costs of compliance with and other burdens imposed by laws, regulations and standards are significant and may limit the use and adoption of our services and reduce overall demand for them, or lead to material fines, penalties, or liabilities for noncompliance.</w:t>
      </w:r>
    </w:p>
    <w:p>
      <w:pPr>
        <w:spacing w:after="0" w:line="62" w:lineRule="exact"/>
        <w:rPr>
          <w:sz w:val="20"/>
          <w:szCs w:val="20"/>
          <w:color w:val="auto"/>
        </w:rPr>
      </w:pPr>
    </w:p>
    <w:p>
      <w:pPr>
        <w:ind w:right="120" w:firstLine="538"/>
        <w:spacing w:after="0" w:line="263" w:lineRule="auto"/>
        <w:rPr>
          <w:sz w:val="20"/>
          <w:szCs w:val="20"/>
          <w:color w:val="auto"/>
        </w:rPr>
      </w:pPr>
      <w:r>
        <w:rPr>
          <w:rFonts w:ascii="Arial" w:cs="Arial" w:eastAsia="Arial" w:hAnsi="Arial"/>
          <w:sz w:val="18"/>
          <w:szCs w:val="18"/>
          <w:color w:val="auto"/>
        </w:rPr>
        <w:t>Furthermore, concerns regarding data privacy may cause our customers’ customers to resist providing the data necessary to allow our customers to use our service effectively. Even the perception that the privacy of personal information is not satisfactorily protected or does not meet regulatory requirements could inhibit sales and adoption of our cloud-based solutions.</w:t>
      </w:r>
    </w:p>
    <w:p>
      <w:pPr>
        <w:spacing w:after="0" w:line="72"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Evolving regulation of the internet may increase our expenditures related to compliance efforts, which may adversely affect our financial condition.</w:t>
      </w:r>
    </w:p>
    <w:p>
      <w:pPr>
        <w:spacing w:after="0" w:line="58" w:lineRule="exact"/>
        <w:rPr>
          <w:sz w:val="20"/>
          <w:szCs w:val="20"/>
          <w:color w:val="auto"/>
        </w:rPr>
      </w:pPr>
    </w:p>
    <w:p>
      <w:pPr>
        <w:ind w:right="180" w:firstLine="538"/>
        <w:spacing w:after="0" w:line="277" w:lineRule="auto"/>
        <w:rPr>
          <w:sz w:val="20"/>
          <w:szCs w:val="20"/>
          <w:color w:val="auto"/>
        </w:rPr>
      </w:pPr>
      <w:r>
        <w:rPr>
          <w:rFonts w:ascii="Arial" w:cs="Arial" w:eastAsia="Arial" w:hAnsi="Arial"/>
          <w:sz w:val="18"/>
          <w:szCs w:val="18"/>
          <w:color w:val="auto"/>
        </w:rPr>
        <w:t>As e-commerce continues to evolve, increasing regulation by federal, state, or foreign agencies becomes more likely. We are particularly sensitive to these risks because the internet is a critical component of our cloud-based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20"/>
        <w:spacing w:after="0" w:line="259" w:lineRule="auto"/>
        <w:rPr>
          <w:sz w:val="20"/>
          <w:szCs w:val="20"/>
          <w:color w:val="auto"/>
        </w:rPr>
      </w:pPr>
      <w:r>
        <w:rPr>
          <w:rFonts w:ascii="Arial" w:cs="Arial" w:eastAsia="Arial" w:hAnsi="Arial"/>
          <w:sz w:val="18"/>
          <w:szCs w:val="18"/>
          <w:color w:val="auto"/>
        </w:rPr>
        <w:t>business model. In addition, taxation of services provided over the internet or other charges imposed by government agencies or by private organizations for accessing the internet may adversely impact our business. Any regulation imposing greater fees for internet use or restricting information exchange over the internet could result in a deceleration or decline in the use of the internet and the viability of internet-based services, which could materially harm our business.</w:t>
      </w:r>
    </w:p>
    <w:p>
      <w:pPr>
        <w:spacing w:after="0" w:line="7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Industry-specific regulation is evolving, and unfavorable or burdensome industry-specific laws, regulations or interpretive positions could harm our business.</w:t>
      </w:r>
    </w:p>
    <w:p>
      <w:pPr>
        <w:spacing w:after="0" w:line="58" w:lineRule="exact"/>
        <w:rPr>
          <w:sz w:val="20"/>
          <w:szCs w:val="20"/>
          <w:color w:val="auto"/>
        </w:rPr>
      </w:pPr>
    </w:p>
    <w:p>
      <w:pPr>
        <w:ind w:right="40" w:firstLine="538"/>
        <w:spacing w:after="0" w:line="273" w:lineRule="auto"/>
        <w:rPr>
          <w:sz w:val="20"/>
          <w:szCs w:val="20"/>
          <w:color w:val="auto"/>
        </w:rPr>
      </w:pPr>
      <w:r>
        <w:rPr>
          <w:rFonts w:ascii="Arial" w:cs="Arial" w:eastAsia="Arial" w:hAnsi="Arial"/>
          <w:sz w:val="17"/>
          <w:szCs w:val="17"/>
          <w:color w:val="auto"/>
        </w:rPr>
        <w:t>Our customers and potential customers do business in a variety of industries.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customers’ use and adoption of our services and reduce overall demand for our services. In addition, an inability to satisfy the standards of certain voluntary third-party certification bodies that our customers may expect may have an adverse impact on our business. If in the future we are unable to achieve or maintain these industry-specific certifications or other requirements or standards relevant to our customers, it may harm our business.</w:t>
      </w:r>
    </w:p>
    <w:p>
      <w:pPr>
        <w:spacing w:after="0" w:line="70" w:lineRule="exact"/>
        <w:rPr>
          <w:sz w:val="20"/>
          <w:szCs w:val="20"/>
          <w:color w:val="auto"/>
        </w:rPr>
      </w:pPr>
    </w:p>
    <w:p>
      <w:pPr>
        <w:ind w:right="580" w:firstLine="538"/>
        <w:spacing w:after="0" w:line="277" w:lineRule="auto"/>
        <w:rPr>
          <w:sz w:val="20"/>
          <w:szCs w:val="20"/>
          <w:color w:val="auto"/>
        </w:rPr>
      </w:pPr>
      <w:r>
        <w:rPr>
          <w:rFonts w:ascii="Arial" w:cs="Arial" w:eastAsia="Arial" w:hAnsi="Arial"/>
          <w:sz w:val="18"/>
          <w:szCs w:val="18"/>
          <w:color w:val="auto"/>
        </w:rPr>
        <w:t>In some cases, industry-specific laws, regulations, or interpretive positions may also apply directly to us as a service provider. Any failure or perceived failure by us to comply with such requirements could have an adverse impact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Ownership of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fluctuate in the future, which could result in volatility in our stock price.</w:t>
      </w:r>
    </w:p>
    <w:p>
      <w:pPr>
        <w:spacing w:after="0" w:line="121" w:lineRule="exact"/>
        <w:rPr>
          <w:sz w:val="20"/>
          <w:szCs w:val="20"/>
          <w:color w:val="auto"/>
        </w:rPr>
      </w:pPr>
    </w:p>
    <w:p>
      <w:pPr>
        <w:ind w:right="360" w:firstLine="538"/>
        <w:spacing w:after="0" w:line="342" w:lineRule="auto"/>
        <w:rPr>
          <w:sz w:val="20"/>
          <w:szCs w:val="20"/>
          <w:color w:val="auto"/>
        </w:rPr>
      </w:pPr>
      <w:r>
        <w:rPr>
          <w:rFonts w:ascii="Arial" w:cs="Arial" w:eastAsia="Arial" w:hAnsi="Arial"/>
          <w:sz w:val="16"/>
          <w:szCs w:val="16"/>
          <w:color w:val="auto"/>
        </w:rPr>
        <w:t>Our quarterly revenues and results of operations have varied in the past and may fluctuate in the future. Fluctuations in our results of operations may be due to a number of factors, including, but not limited to, those listed below and identified throughout this “Risk Factors” section:</w:t>
      </w:r>
    </w:p>
    <w:p>
      <w:pPr>
        <w:spacing w:after="0" w:line="16" w:lineRule="exact"/>
        <w:rPr>
          <w:sz w:val="20"/>
          <w:szCs w:val="20"/>
          <w:color w:val="auto"/>
        </w:rPr>
      </w:pPr>
    </w:p>
    <w:p>
      <w:pPr>
        <w:ind w:left="1060" w:right="160" w:hanging="52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and increase sales to customers and attract new customers, including our ability to maintain and increase our number of recurring revenue customers;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success of introductions of new solutions or upgrades by us or our competitors;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strength of the U.S and global economy, in particular, as it affects the U.S. retail sector;</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condition of our customers;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including entry into the industry by new competitors;</w:t>
      </w:r>
    </w:p>
    <w:p>
      <w:pPr>
        <w:spacing w:after="0" w:line="130" w:lineRule="exact"/>
        <w:rPr>
          <w:rFonts w:ascii="Arial" w:cs="Arial" w:eastAsia="Arial" w:hAnsi="Arial"/>
          <w:sz w:val="18"/>
          <w:szCs w:val="18"/>
          <w:color w:val="auto"/>
        </w:rPr>
      </w:pPr>
    </w:p>
    <w:p>
      <w:pPr>
        <w:ind w:left="1060" w:right="760" w:hanging="52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our expenses, including stock-based compensation and expenditures related to expanding our operations, supporting new customers, performing research and development, or introducing new solutions;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compliance costs and unforeseen legal expenses, including litigation and settlement costs;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size, and integration success of potential future acquisitions;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payment terms for our solutions; and</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system or service failures, security breaches or network downtime.</w:t>
      </w:r>
    </w:p>
    <w:p>
      <w:pPr>
        <w:spacing w:after="0" w:line="131" w:lineRule="exact"/>
        <w:rPr>
          <w:sz w:val="20"/>
          <w:szCs w:val="20"/>
          <w:color w:val="auto"/>
        </w:rPr>
      </w:pPr>
    </w:p>
    <w:p>
      <w:pPr>
        <w:ind w:right="140" w:firstLine="538"/>
        <w:spacing w:after="0" w:line="263" w:lineRule="auto"/>
        <w:rPr>
          <w:sz w:val="20"/>
          <w:szCs w:val="20"/>
          <w:color w:val="auto"/>
        </w:rPr>
      </w:pPr>
      <w:r>
        <w:rPr>
          <w:rFonts w:ascii="Arial" w:cs="Arial" w:eastAsia="Arial" w:hAnsi="Arial"/>
          <w:sz w:val="18"/>
          <w:szCs w:val="18"/>
          <w:color w:val="auto"/>
        </w:rPr>
        <w:t>Due to the foregoing factors, and other risks, including those identified in this “Risk Factors” section, comparing our operating results on a period-to-period basis may not be meaningful. You should not rely on these comparisons of our past results of operations as an indication of our future performance.</w:t>
      </w:r>
    </w:p>
    <w:p>
      <w:pPr>
        <w:spacing w:after="0" w:line="76" w:lineRule="exact"/>
        <w:rPr>
          <w:sz w:val="20"/>
          <w:szCs w:val="20"/>
          <w:color w:val="auto"/>
        </w:rPr>
      </w:pPr>
    </w:p>
    <w:p>
      <w:pPr>
        <w:ind w:right="260" w:firstLine="538"/>
        <w:spacing w:after="0" w:line="308" w:lineRule="auto"/>
        <w:rPr>
          <w:sz w:val="20"/>
          <w:szCs w:val="20"/>
          <w:color w:val="auto"/>
        </w:rPr>
      </w:pPr>
      <w:r>
        <w:rPr>
          <w:rFonts w:ascii="Arial" w:cs="Arial" w:eastAsia="Arial" w:hAnsi="Arial"/>
          <w:sz w:val="17"/>
          <w:szCs w:val="17"/>
          <w:color w:val="auto"/>
        </w:rPr>
        <w:t>Our operating results in one or more future quarters may fluctuate, fall below the expectations of securities analysts and investors, or be less than any guidance we may provide to the market. If this occurs, the trading price of our common stock could decline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20574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20"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121" w:lineRule="exact"/>
        <w:rPr>
          <w:sz w:val="20"/>
          <w:szCs w:val="20"/>
          <w:color w:val="auto"/>
        </w:rPr>
      </w:pPr>
    </w:p>
    <w:p>
      <w:pPr>
        <w:ind w:right="220" w:firstLine="538"/>
        <w:spacing w:after="0" w:line="259" w:lineRule="auto"/>
        <w:rPr>
          <w:sz w:val="20"/>
          <w:szCs w:val="20"/>
          <w:color w:val="auto"/>
        </w:rPr>
      </w:pPr>
      <w:r>
        <w:rPr>
          <w:rFonts w:ascii="Arial" w:cs="Arial" w:eastAsia="Arial" w:hAnsi="Arial"/>
          <w:sz w:val="18"/>
          <w:szCs w:val="18"/>
          <w:color w:val="auto"/>
        </w:rPr>
        <w:t>Shares of our common stock were sold in our April 2010 initial public offering at a split adjusted price of $6.00 per share, and through December 31, 2020, our common stock has traded as high as a split adjusted price of $111.63 per share and as low as a split adjusted price of $4.23 per share. An active, liquid, and orderly market for our common stock may not be sustained, which could depress the trading price of our common stock. Some of the factors that may cause the market price of our common stock to fluctuate include:</w:t>
      </w:r>
    </w:p>
    <w:p>
      <w:pPr>
        <w:spacing w:after="0" w:line="79" w:lineRule="exact"/>
        <w:rPr>
          <w:sz w:val="20"/>
          <w:szCs w:val="20"/>
          <w:color w:val="auto"/>
        </w:rPr>
      </w:pPr>
    </w:p>
    <w:p>
      <w:pPr>
        <w:ind w:left="1060" w:right="40" w:hanging="52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guidance and quarterly financial results or the guidance or quarterly financial results of companies perceived to be similar to us;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recorded revenue, even during periods of significant sales order activity;</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stock market volume;</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estimates of our financial results or recommendations by securities analysts;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any of our solutions to achieve or maintain market acceptance;</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valuations of companies perceived to be similar to us;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 of competitive products or services;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debt;</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solutions, contracts, acquisitions, or strategic alliances;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investors’ general perception of us; and</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31" w:lineRule="exact"/>
        <w:rPr>
          <w:sz w:val="20"/>
          <w:szCs w:val="20"/>
          <w:color w:val="auto"/>
        </w:rPr>
      </w:pPr>
    </w:p>
    <w:p>
      <w:pPr>
        <w:ind w:right="140" w:firstLine="538"/>
        <w:spacing w:after="0" w:line="259" w:lineRule="auto"/>
        <w:rPr>
          <w:sz w:val="20"/>
          <w:szCs w:val="20"/>
          <w:color w:val="auto"/>
        </w:rPr>
      </w:pPr>
      <w:r>
        <w:rPr>
          <w:rFonts w:ascii="Arial" w:cs="Arial" w:eastAsia="Arial" w:hAnsi="Arial"/>
          <w:sz w:val="18"/>
          <w:szCs w:val="18"/>
          <w:color w:val="auto"/>
        </w:rPr>
        <w:t>In addition, if the market for software or technology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may delay, discourage, or inhibit a takeover that stockholders consider favorable.</w:t>
      </w:r>
    </w:p>
    <w:p>
      <w:pPr>
        <w:spacing w:after="0" w:line="121" w:lineRule="exact"/>
        <w:rPr>
          <w:sz w:val="20"/>
          <w:szCs w:val="20"/>
          <w:color w:val="auto"/>
        </w:rPr>
      </w:pPr>
    </w:p>
    <w:p>
      <w:pPr>
        <w:ind w:right="20" w:firstLine="538"/>
        <w:spacing w:after="0" w:line="259" w:lineRule="auto"/>
        <w:rPr>
          <w:sz w:val="20"/>
          <w:szCs w:val="20"/>
          <w:color w:val="auto"/>
        </w:rPr>
      </w:pPr>
      <w:r>
        <w:rPr>
          <w:rFonts w:ascii="Arial" w:cs="Arial" w:eastAsia="Arial" w:hAnsi="Arial"/>
          <w:sz w:val="18"/>
          <w:szCs w:val="18"/>
          <w:color w:val="auto"/>
        </w:rPr>
        <w:t>Provisions of our certificate of incorporation and bylaws and applicable provisions of Delaware law may delay, discourage, or inhibit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and may ultimately result in the market price of our common stock being lower than it would be without these provisions. These provisions:</w:t>
      </w:r>
    </w:p>
    <w:p>
      <w:pPr>
        <w:spacing w:after="0" w:line="79" w:lineRule="exact"/>
        <w:rPr>
          <w:sz w:val="20"/>
          <w:szCs w:val="20"/>
          <w:color w:val="auto"/>
        </w:rPr>
      </w:pPr>
    </w:p>
    <w:p>
      <w:pPr>
        <w:ind w:left="1060" w:right="80" w:hanging="52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by resolution of the board of directors;</w:t>
      </w:r>
    </w:p>
    <w:p>
      <w:pPr>
        <w:spacing w:after="0" w:line="130" w:lineRule="exact"/>
        <w:rPr>
          <w:rFonts w:ascii="Arial" w:cs="Arial" w:eastAsia="Arial" w:hAnsi="Arial"/>
          <w:sz w:val="18"/>
          <w:szCs w:val="18"/>
          <w:color w:val="auto"/>
        </w:rPr>
      </w:pPr>
    </w:p>
    <w:p>
      <w:pPr>
        <w:ind w:left="1060" w:right="140" w:hanging="52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left="1060" w:right="60" w:hanging="526"/>
        <w:spacing w:after="0" w:line="263"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75" w:lineRule="exact"/>
        <w:rPr>
          <w:rFonts w:ascii="Arial" w:cs="Arial" w:eastAsia="Arial" w:hAnsi="Arial"/>
          <w:sz w:val="18"/>
          <w:szCs w:val="18"/>
          <w:color w:val="auto"/>
        </w:rPr>
      </w:pPr>
    </w:p>
    <w:p>
      <w:pPr>
        <w:ind w:left="1060" w:hanging="52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 not provide for cumulative voting rights.</w:t>
      </w:r>
    </w:p>
    <w:p>
      <w:pPr>
        <w:spacing w:after="0" w:line="131" w:lineRule="exact"/>
        <w:rPr>
          <w:sz w:val="20"/>
          <w:szCs w:val="20"/>
          <w:color w:val="auto"/>
        </w:rPr>
      </w:pPr>
    </w:p>
    <w:p>
      <w:pPr>
        <w:ind w:right="120" w:firstLine="593"/>
        <w:spacing w:after="0" w:line="257" w:lineRule="auto"/>
        <w:rPr>
          <w:sz w:val="20"/>
          <w:szCs w:val="20"/>
          <w:color w:val="auto"/>
        </w:rPr>
      </w:pPr>
      <w:r>
        <w:rPr>
          <w:rFonts w:ascii="Arial" w:cs="Arial" w:eastAsia="Arial" w:hAnsi="Arial"/>
          <w:sz w:val="18"/>
          <w:szCs w:val="18"/>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declare dividends on our stock in the foreseeable future.</w:t>
      </w:r>
    </w:p>
    <w:p>
      <w:pPr>
        <w:spacing w:after="0" w:line="121" w:lineRule="exact"/>
        <w:rPr>
          <w:sz w:val="20"/>
          <w:szCs w:val="20"/>
          <w:color w:val="auto"/>
        </w:rPr>
      </w:pPr>
    </w:p>
    <w:p>
      <w:pPr>
        <w:ind w:right="40" w:firstLine="593"/>
        <w:spacing w:after="0" w:line="255"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therefore, do not anticipate declaring or paying cash dividends on our common stock in the foreseeable future. Investors may need to sell all or part of their holdings of our common stock after price appreciation, which may never occur, as the only way to realize any future gains on their investment. Any payment of future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AAE5"/>
        </w:rPr>
        <w:t>General Risks</w:t>
      </w:r>
    </w:p>
    <w:p>
      <w:pPr>
        <w:spacing w:after="0" w:line="32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58" w:lineRule="exact"/>
        <w:rPr>
          <w:sz w:val="20"/>
          <w:szCs w:val="20"/>
          <w:color w:val="auto"/>
        </w:rPr>
      </w:pPr>
    </w:p>
    <w:p>
      <w:pPr>
        <w:ind w:right="280" w:firstLine="593"/>
        <w:spacing w:after="0" w:line="296" w:lineRule="auto"/>
        <w:rPr>
          <w:sz w:val="20"/>
          <w:szCs w:val="20"/>
          <w:color w:val="auto"/>
        </w:rPr>
      </w:pPr>
      <w:r>
        <w:rPr>
          <w:rFonts w:ascii="Arial" w:cs="Arial" w:eastAsia="Arial" w:hAnsi="Arial"/>
          <w:sz w:val="16"/>
          <w:szCs w:val="16"/>
          <w:color w:val="auto"/>
        </w:rPr>
        <w:t>We may need to raise additional capital due to shortfalls in cash flow or for other reasons, and we may not be able to obtain debt or additional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53" w:lineRule="exact"/>
        <w:rPr>
          <w:sz w:val="20"/>
          <w:szCs w:val="20"/>
          <w:color w:val="auto"/>
        </w:rPr>
      </w:pPr>
    </w:p>
    <w:p>
      <w:pPr>
        <w:ind w:left="1060" w:hanging="52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enhance our solutions;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expand our technology development, sales and marketing organizations;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inability to do any of the foregoing could reduce our ability to compete successfully and adversely affect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240"/>
        <w:spacing w:after="0" w:line="282" w:lineRule="auto"/>
        <w:rPr>
          <w:sz w:val="20"/>
          <w:szCs w:val="20"/>
          <w:color w:val="auto"/>
        </w:rPr>
      </w:pPr>
      <w:r>
        <w:rPr>
          <w:rFonts w:ascii="Arial" w:cs="Arial" w:eastAsia="Arial" w:hAnsi="Arial"/>
          <w:sz w:val="18"/>
          <w:szCs w:val="18"/>
          <w:b w:val="1"/>
          <w:bCs w:val="1"/>
          <w:color w:val="auto"/>
        </w:rPr>
        <w:t>Unanticipated changes in effective tax rates or adverse outcomes resulting from examination of our income or other tax returns could adversely affect our operating results and financial condition.</w:t>
      </w:r>
    </w:p>
    <w:p>
      <w:pPr>
        <w:spacing w:after="0" w:line="58" w:lineRule="exact"/>
        <w:rPr>
          <w:sz w:val="20"/>
          <w:szCs w:val="20"/>
          <w:color w:val="auto"/>
        </w:rPr>
      </w:pPr>
    </w:p>
    <w:p>
      <w:pPr>
        <w:ind w:right="160" w:firstLine="538"/>
        <w:spacing w:after="0" w:line="263" w:lineRule="auto"/>
        <w:rPr>
          <w:sz w:val="20"/>
          <w:szCs w:val="20"/>
          <w:color w:val="auto"/>
        </w:rPr>
      </w:pPr>
      <w:r>
        <w:rPr>
          <w:rFonts w:ascii="Arial" w:cs="Arial" w:eastAsia="Arial" w:hAnsi="Arial"/>
          <w:sz w:val="18"/>
          <w:szCs w:val="18"/>
          <w:color w:val="auto"/>
        </w:rPr>
        <w:t>We are subject to income taxes in the U.S. and various foreign jurisdictions, and our domestic and international tax liabilities will be subject to the allocation of expenses in differing jurisdictions. Our future effective tax rates could be subject to volatility or adversely affected by a number of factors, including:</w:t>
      </w:r>
    </w:p>
    <w:p>
      <w:pPr>
        <w:spacing w:after="0" w:line="76" w:lineRule="exact"/>
        <w:rPr>
          <w:sz w:val="20"/>
          <w:szCs w:val="20"/>
          <w:color w:val="auto"/>
        </w:rPr>
      </w:pPr>
    </w:p>
    <w:p>
      <w:pPr>
        <w:ind w:left="1060" w:hanging="52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timing and amount of the release of tax valuation allowances;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expiration of, or detrimental changes in, research and development tax credit laws;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laws, regulations, accounting principles or interpretations thereof; and</w:t>
      </w:r>
    </w:p>
    <w:p>
      <w:pPr>
        <w:spacing w:after="0" w:line="130" w:lineRule="exact"/>
        <w:rPr>
          <w:rFonts w:ascii="Arial" w:cs="Arial" w:eastAsia="Arial" w:hAnsi="Arial"/>
          <w:sz w:val="18"/>
          <w:szCs w:val="18"/>
          <w:color w:val="auto"/>
        </w:rPr>
      </w:pPr>
    </w:p>
    <w:p>
      <w:pPr>
        <w:ind w:left="1060" w:right="380" w:hanging="52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earnings in countries where we have higher statutory tax rates.</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addition, we are subject to audits of our income, sales, and other taxes by the Internal Revenue Service and other foreign and state tax authorities.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Outcomes from these audits could have an adverse effect on our operating results and financial condition.</w:t>
      </w:r>
    </w:p>
    <w:p>
      <w:pPr>
        <w:spacing w:after="0" w:line="315"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 and investor confidence in our financial reporting.</w:t>
      </w:r>
    </w:p>
    <w:p>
      <w:pPr>
        <w:spacing w:after="0" w:line="72" w:lineRule="exact"/>
        <w:rPr>
          <w:sz w:val="20"/>
          <w:szCs w:val="20"/>
          <w:color w:val="auto"/>
        </w:rPr>
      </w:pPr>
    </w:p>
    <w:p>
      <w:pPr>
        <w:ind w:right="40" w:firstLine="538"/>
        <w:spacing w:after="0" w:line="270"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periodically.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Furthermore, implementing any appropriate future changes to our internal control over financial reporting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our business could be harmed and investor confidence in our financial reporting diminished.</w:t>
      </w:r>
    </w:p>
    <w:p>
      <w:pPr>
        <w:spacing w:after="0" w:line="285"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The extent to which the COVID-19 outbreak and measures taken in response thereto impact our business, results of operations and financial condition will depend on on-going and future developments and outcomes, which are highly uncertain and cannot be predicted.</w:t>
      </w:r>
    </w:p>
    <w:p>
      <w:pPr>
        <w:spacing w:after="0" w:line="36" w:lineRule="exact"/>
        <w:rPr>
          <w:sz w:val="20"/>
          <w:szCs w:val="20"/>
          <w:color w:val="auto"/>
        </w:rPr>
      </w:pPr>
    </w:p>
    <w:p>
      <w:pPr>
        <w:ind w:right="40" w:firstLine="538"/>
        <w:spacing w:after="0" w:line="263" w:lineRule="auto"/>
        <w:rPr>
          <w:sz w:val="20"/>
          <w:szCs w:val="20"/>
          <w:color w:val="auto"/>
        </w:rPr>
      </w:pPr>
      <w:r>
        <w:rPr>
          <w:rFonts w:ascii="Arial" w:cs="Arial" w:eastAsia="Arial" w:hAnsi="Arial"/>
          <w:sz w:val="18"/>
          <w:szCs w:val="18"/>
          <w:color w:val="auto"/>
        </w:rPr>
        <w:t>Our business operations and financial results may be adversely impacted by health epidemics, pandemics, and similar outbreaks. Despite our efforts to manage these impacts, their ultimate impact also depends on factors beyond our knowledge or control, including the duration and severity of any such outbreak and actions taken to contain its spread and mitigate its public health effects.</w:t>
      </w:r>
    </w:p>
    <w:p>
      <w:pPr>
        <w:spacing w:after="0" w:line="76" w:lineRule="exact"/>
        <w:rPr>
          <w:sz w:val="20"/>
          <w:szCs w:val="20"/>
          <w:color w:val="auto"/>
        </w:rPr>
      </w:pPr>
    </w:p>
    <w:p>
      <w:pPr>
        <w:ind w:right="80" w:firstLine="538"/>
        <w:spacing w:after="0" w:line="263" w:lineRule="auto"/>
        <w:rPr>
          <w:sz w:val="20"/>
          <w:szCs w:val="20"/>
          <w:color w:val="auto"/>
        </w:rPr>
      </w:pPr>
      <w:r>
        <w:rPr>
          <w:rFonts w:ascii="Arial" w:cs="Arial" w:eastAsia="Arial" w:hAnsi="Arial"/>
          <w:sz w:val="18"/>
          <w:szCs w:val="18"/>
          <w:color w:val="auto"/>
        </w:rPr>
        <w:t>The recent and rapidly spreading COVID-19 pandemic could have adverse impacts on our business operations by limiting our employees' ability to work and travel, disrupting our third party technology providers, or causing internal operational workflow to change, among other potentially unforeseen circumstances given the unprecedented and rapidly evolving situation.</w:t>
      </w:r>
    </w:p>
    <w:p>
      <w:pPr>
        <w:spacing w:after="0" w:line="76" w:lineRule="exact"/>
        <w:rPr>
          <w:sz w:val="20"/>
          <w:szCs w:val="20"/>
          <w:color w:val="auto"/>
        </w:rPr>
      </w:pPr>
    </w:p>
    <w:p>
      <w:pPr>
        <w:ind w:right="40" w:firstLine="538"/>
        <w:spacing w:after="0" w:line="277" w:lineRule="auto"/>
        <w:rPr>
          <w:sz w:val="20"/>
          <w:szCs w:val="20"/>
          <w:color w:val="auto"/>
        </w:rPr>
      </w:pPr>
      <w:r>
        <w:rPr>
          <w:rFonts w:ascii="Arial" w:cs="Arial" w:eastAsia="Arial" w:hAnsi="Arial"/>
          <w:sz w:val="18"/>
          <w:szCs w:val="18"/>
          <w:color w:val="auto"/>
        </w:rPr>
        <w:t>Additionally, the COVID-19 pandemic may continue to cause significant disruptions and changes in the economic or political conditions in markets in which we operate. This may cause significant volatility in demand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right="400"/>
        <w:spacing w:after="0" w:line="311" w:lineRule="auto"/>
        <w:rPr>
          <w:sz w:val="20"/>
          <w:szCs w:val="20"/>
          <w:color w:val="auto"/>
        </w:rPr>
      </w:pPr>
      <w:r>
        <w:rPr>
          <w:rFonts w:ascii="Arial" w:cs="Arial" w:eastAsia="Arial" w:hAnsi="Arial"/>
          <w:sz w:val="16"/>
          <w:szCs w:val="16"/>
          <w:color w:val="auto"/>
        </w:rPr>
        <w:t>our services due to, among other adverse impacts, disruption and downturns in our customers’ businesses and related supply chains, an acceleration of existing customer bankruptcies, or our customers’ ability to pay for our services when due or in full. Although certain customers may have a reduced demand for our services, we also may see increased demand by certain customer segments, potentially offsetting reduced demand.</w:t>
      </w:r>
    </w:p>
    <w:p>
      <w:pPr>
        <w:spacing w:after="0" w:line="25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1B.</w:t>
      </w:r>
      <w:r>
        <w:rPr>
          <w:sz w:val="20"/>
          <w:szCs w:val="20"/>
          <w:color w:val="auto"/>
        </w:rPr>
        <w:tab/>
      </w:r>
      <w:r>
        <w:rPr>
          <w:rFonts w:ascii="Arial" w:cs="Arial" w:eastAsia="Arial" w:hAnsi="Arial"/>
          <w:sz w:val="16"/>
          <w:szCs w:val="16"/>
          <w:b w:val="1"/>
          <w:bCs w:val="1"/>
          <w:color w:val="00AAE5"/>
        </w:rPr>
        <w:t>Unresolved Staff Comments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6"/>
          <w:szCs w:val="16"/>
          <w:b w:val="1"/>
          <w:bCs w:val="1"/>
          <w:color w:val="00AAE5"/>
        </w:rPr>
        <w:t>Properties</w:t>
      </w:r>
    </w:p>
    <w:p>
      <w:pPr>
        <w:spacing w:after="0" w:line="121" w:lineRule="exact"/>
        <w:rPr>
          <w:sz w:val="20"/>
          <w:szCs w:val="20"/>
          <w:color w:val="auto"/>
        </w:rPr>
      </w:pPr>
    </w:p>
    <w:p>
      <w:pPr>
        <w:ind w:firstLine="538"/>
        <w:spacing w:after="0" w:line="255" w:lineRule="auto"/>
        <w:rPr>
          <w:sz w:val="20"/>
          <w:szCs w:val="20"/>
          <w:color w:val="auto"/>
        </w:rPr>
      </w:pPr>
      <w:r>
        <w:rPr>
          <w:rFonts w:ascii="Arial" w:cs="Arial" w:eastAsia="Arial" w:hAnsi="Arial"/>
          <w:sz w:val="18"/>
          <w:szCs w:val="18"/>
          <w:color w:val="auto"/>
        </w:rPr>
        <w:t>Our corporate headquarters, including our principal administrative, marketing, sales, technical support and research and development facilities, are located in Minneapolis, Minnesota. This location includes approximately 198,000 square feet of space and is under lease through April 2027. The lease was amended in 2020 with the previous term through April 2025. We also lease office space in or near Kyiv, Ukraine; Little Falls, New Jersey and Houston, Texas; Toronto, Canada; Melbourne and Sydney, Australia; and Beijing, Hong Kong, China, and Amsterdam, Netherlands. We believe that our current facilities are suitable and adequate to meet our current needs and that suitable additional or substitute space will be available as needed to accommodate expansion of our operations.</w:t>
      </w:r>
    </w:p>
    <w:p>
      <w:pPr>
        <w:spacing w:after="0" w:line="29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5"/>
          <w:szCs w:val="15"/>
          <w:b w:val="1"/>
          <w:bCs w:val="1"/>
          <w:color w:val="00AAE5"/>
        </w:rPr>
        <w:t>Legal Proceedings</w:t>
      </w:r>
    </w:p>
    <w:p>
      <w:pPr>
        <w:spacing w:after="0" w:line="121" w:lineRule="exact"/>
        <w:rPr>
          <w:sz w:val="20"/>
          <w:szCs w:val="20"/>
          <w:color w:val="auto"/>
        </w:rPr>
      </w:pPr>
    </w:p>
    <w:p>
      <w:pPr>
        <w:jc w:val="both"/>
        <w:ind w:right="80" w:firstLine="538"/>
        <w:spacing w:after="0" w:line="263"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We believe that we have obtained adequate insurance coverage or rights to indemnification in connection with potential legal proceedings that may arise.</w:t>
      </w:r>
    </w:p>
    <w:p>
      <w:pPr>
        <w:spacing w:after="0" w:line="2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Mine Safety Disclosures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20574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00AAE5"/>
        </w:rPr>
        <w:t>PART II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5.</w:t>
      </w:r>
      <w:r>
        <w:rPr>
          <w:sz w:val="20"/>
          <w:szCs w:val="20"/>
          <w:color w:val="auto"/>
        </w:rPr>
        <w:tab/>
      </w:r>
      <w:r>
        <w:rPr>
          <w:rFonts w:ascii="Arial" w:cs="Arial" w:eastAsia="Arial" w:hAnsi="Arial"/>
          <w:sz w:val="16"/>
          <w:szCs w:val="16"/>
          <w:b w:val="1"/>
          <w:bCs w:val="1"/>
          <w:color w:val="00AAE5"/>
        </w:rPr>
        <w:t>Market for Registrant’s Common Equity, Related Stockholder Matters, and Issuer Purchases of Equity Securities</w:t>
      </w:r>
    </w:p>
    <w:p>
      <w:pPr>
        <w:spacing w:after="0" w:line="121" w:lineRule="exact"/>
        <w:rPr>
          <w:sz w:val="20"/>
          <w:szCs w:val="20"/>
          <w:color w:val="auto"/>
        </w:rPr>
      </w:pPr>
    </w:p>
    <w:p>
      <w:pPr>
        <w:ind w:right="280" w:firstLine="538"/>
        <w:spacing w:after="0" w:line="277"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common stock has traded on the Nasdaq Global Market under the symbol “SPSC” since April 22, 2010, the date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w:t>
      </w:r>
    </w:p>
    <w:p>
      <w:pPr>
        <w:spacing w:after="0" w:line="62" w:lineRule="exact"/>
        <w:rPr>
          <w:sz w:val="20"/>
          <w:szCs w:val="20"/>
          <w:color w:val="auto"/>
        </w:rPr>
      </w:pPr>
    </w:p>
    <w:p>
      <w:pPr>
        <w:ind w:right="280" w:firstLine="538"/>
        <w:spacing w:after="0" w:line="277"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As of February 10, 2021, we had 71 stockholders of record of our common stock, excluding holders whose stock is held</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nominee name and/or street name brokerage accounts.</w:t>
      </w:r>
    </w:p>
    <w:p>
      <w:pPr>
        <w:spacing w:after="0" w:line="62" w:lineRule="exact"/>
        <w:rPr>
          <w:sz w:val="20"/>
          <w:szCs w:val="20"/>
          <w:color w:val="auto"/>
        </w:rPr>
      </w:pPr>
    </w:p>
    <w:p>
      <w:pPr>
        <w:ind w:right="120" w:firstLine="538"/>
        <w:spacing w:after="0" w:line="25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We have not historically paid cash dividends on our common stock. We currently intend to retain our future earnings, if any, to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the operation and expansion of our business, and, therefore,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Stock Performance Graph and Cumulative Total Return</w:t>
      </w:r>
    </w:p>
    <w:p>
      <w:pPr>
        <w:spacing w:after="0" w:line="121" w:lineRule="exact"/>
        <w:rPr>
          <w:sz w:val="20"/>
          <w:szCs w:val="20"/>
          <w:color w:val="auto"/>
        </w:rPr>
      </w:pPr>
    </w:p>
    <w:p>
      <w:pPr>
        <w:ind w:firstLine="538"/>
        <w:spacing w:after="0" w:line="279" w:lineRule="auto"/>
        <w:rPr>
          <w:sz w:val="20"/>
          <w:szCs w:val="20"/>
          <w:color w:val="auto"/>
        </w:rPr>
      </w:pPr>
      <w:r>
        <w:rPr>
          <w:rFonts w:ascii="Arial" w:cs="Arial" w:eastAsia="Arial" w:hAnsi="Arial"/>
          <w:sz w:val="17"/>
          <w:szCs w:val="17"/>
          <w:i w:val="1"/>
          <w:iCs w:val="1"/>
          <w:color w:val="auto"/>
        </w:rPr>
        <w:t>Notwithstanding any statement to the contrary in any of our previous or future filings with the SEC, the following information relating to the price performance of our common stock shall not be deemed to be “filed” with the SEC or to be “soliciting material” under the Securities Exchange Act of 1934, as amended, (“Exchange Act”), and it shall not be deemed to be incorporated by reference into any of our filings under the (“Securities Act”) of 1933, as amended, or the Securities Act, or the Exchange Act, except to the extent we specifically incorporate it by reference into such filing.</w:t>
      </w:r>
    </w:p>
    <w:p>
      <w:pPr>
        <w:spacing w:after="0" w:line="63" w:lineRule="exact"/>
        <w:rPr>
          <w:sz w:val="20"/>
          <w:szCs w:val="20"/>
          <w:color w:val="auto"/>
        </w:rPr>
      </w:pPr>
    </w:p>
    <w:p>
      <w:pPr>
        <w:ind w:right="80" w:firstLine="538"/>
        <w:spacing w:after="0" w:line="293" w:lineRule="auto"/>
        <w:rPr>
          <w:sz w:val="20"/>
          <w:szCs w:val="20"/>
          <w:color w:val="auto"/>
        </w:rPr>
      </w:pPr>
      <w:r>
        <w:rPr>
          <w:rFonts w:ascii="Arial" w:cs="Arial" w:eastAsia="Arial" w:hAnsi="Arial"/>
          <w:sz w:val="16"/>
          <w:szCs w:val="16"/>
          <w:color w:val="auto"/>
        </w:rPr>
        <w:t>The table and graph below compare the cumulative total stockholder return of our common stock with that of the Nasdaq US Benchmark TR Index and the Nasdaq Computer Index from December 31, 2015 through December 31, 2020, utilizing the last trading day of each respective year. The return assumes that $100 was invested in shares of our common stock and the other indexes at the close of market on December 31, 2015, and that dividends, if any, were reinvested. In our Annual Report on Form 10-K for the year ended December 31, 2019, we compared our return to the Nasdaq US Benchmark Computer Services TR Index. In 2020, this index ceased measurement, and thus is no longer used for comparison. The comparisons in this table and graph are based on historical data and are not intended to forecast or be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20574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3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Comparison of Cumulative Total Returns of SPS Commerce, Inc. to Comparable Indexes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Nasdaq US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Nasdaq</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Nasdaq US</w:t>
            </w:r>
          </w:p>
        </w:tc>
      </w:t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Benchmark</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Computer</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Benchmark Computer</w:t>
            </w:r>
          </w:p>
        </w:tc>
      </w:tr>
      <w:tr>
        <w:trPr>
          <w:trHeight w:val="171"/>
        </w:trPr>
        <w:tc>
          <w:tcPr>
            <w:tcW w:w="4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880" w:type="dxa"/>
            <w:vAlign w:val="bottom"/>
            <w:gridSpan w:val="2"/>
          </w:tcPr>
          <w:p>
            <w:pPr>
              <w:ind w:left="340"/>
              <w:spacing w:after="0"/>
              <w:rPr>
                <w:sz w:val="20"/>
                <w:szCs w:val="20"/>
                <w:color w:val="auto"/>
              </w:rPr>
            </w:pPr>
            <w:r>
              <w:rPr>
                <w:rFonts w:ascii="Arial" w:cs="Arial" w:eastAsia="Arial" w:hAnsi="Arial"/>
                <w:sz w:val="14"/>
                <w:szCs w:val="14"/>
                <w:b w:val="1"/>
                <w:bCs w:val="1"/>
                <w:color w:val="auto"/>
              </w:rPr>
              <w:t>SPS Commerce</w:t>
            </w: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TR Index</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Index</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Services TR Index</w:t>
            </w:r>
          </w:p>
        </w:tc>
      </w:tr>
      <w:tr>
        <w:trPr>
          <w:trHeight w:val="223"/>
        </w:trPr>
        <w:tc>
          <w:tcPr>
            <w:tcW w:w="4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12/31/2015</w:t>
            </w:r>
          </w:p>
        </w:tc>
        <w:tc>
          <w:tcPr>
            <w:tcW w:w="12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ind w:left="13"/>
              <w:spacing w:after="0"/>
              <w:rPr>
                <w:sz w:val="20"/>
                <w:szCs w:val="20"/>
                <w:color w:val="auto"/>
              </w:rPr>
            </w:pPr>
            <w:r>
              <w:rPr>
                <w:rFonts w:ascii="Arial" w:cs="Arial" w:eastAsia="Arial" w:hAnsi="Arial"/>
                <w:sz w:val="18"/>
                <w:szCs w:val="18"/>
                <w:color w:val="auto"/>
                <w:w w:val="88"/>
              </w:rPr>
              <w:t>100.0</w:t>
            </w:r>
          </w:p>
        </w:tc>
        <w:tc>
          <w:tcPr>
            <w:tcW w:w="2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ind w:right="476"/>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90"/>
              </w:rPr>
              <w:t>12/30/2016</w:t>
            </w:r>
          </w:p>
        </w:tc>
        <w:tc>
          <w:tcPr>
            <w:tcW w:w="120" w:type="dxa"/>
            <w:vAlign w:val="bottom"/>
          </w:tcPr>
          <w:p>
            <w:pPr>
              <w:spacing w:after="0"/>
              <w:rPr>
                <w:sz w:val="19"/>
                <w:szCs w:val="19"/>
                <w:color w:val="auto"/>
              </w:rPr>
            </w:pPr>
          </w:p>
        </w:tc>
        <w:tc>
          <w:tcPr>
            <w:tcW w:w="1620" w:type="dxa"/>
            <w:vAlign w:val="bottom"/>
          </w:tcPr>
          <w:p>
            <w:pPr>
              <w:jc w:val="center"/>
              <w:ind w:left="13"/>
              <w:spacing w:after="0"/>
              <w:rPr>
                <w:sz w:val="20"/>
                <w:szCs w:val="20"/>
                <w:color w:val="auto"/>
              </w:rPr>
            </w:pPr>
            <w:r>
              <w:rPr>
                <w:rFonts w:ascii="Arial" w:cs="Arial" w:eastAsia="Arial" w:hAnsi="Arial"/>
                <w:sz w:val="18"/>
                <w:szCs w:val="18"/>
                <w:color w:val="auto"/>
                <w:w w:val="91"/>
              </w:rPr>
              <w:t>99.5</w:t>
            </w:r>
          </w:p>
        </w:tc>
        <w:tc>
          <w:tcPr>
            <w:tcW w:w="260" w:type="dxa"/>
            <w:vAlign w:val="bottom"/>
          </w:tcPr>
          <w:p>
            <w:pPr>
              <w:spacing w:after="0"/>
              <w:rPr>
                <w:sz w:val="19"/>
                <w:szCs w:val="19"/>
                <w:color w:val="auto"/>
              </w:rPr>
            </w:pPr>
          </w:p>
        </w:tc>
        <w:tc>
          <w:tcPr>
            <w:tcW w:w="1620" w:type="dxa"/>
            <w:vAlign w:val="bottom"/>
          </w:tcPr>
          <w:p>
            <w:pPr>
              <w:jc w:val="right"/>
              <w:ind w:right="496"/>
              <w:spacing w:after="0"/>
              <w:rPr>
                <w:sz w:val="20"/>
                <w:szCs w:val="20"/>
                <w:color w:val="auto"/>
              </w:rPr>
            </w:pPr>
            <w:r>
              <w:rPr>
                <w:rFonts w:ascii="Arial" w:cs="Arial" w:eastAsia="Arial" w:hAnsi="Arial"/>
                <w:sz w:val="18"/>
                <w:szCs w:val="18"/>
                <w:color w:val="auto"/>
              </w:rPr>
              <w:t>113.0</w:t>
            </w:r>
          </w:p>
        </w:tc>
        <w:tc>
          <w:tcPr>
            <w:tcW w:w="240" w:type="dxa"/>
            <w:vAlign w:val="bottom"/>
          </w:tcPr>
          <w:p>
            <w:pPr>
              <w:spacing w:after="0"/>
              <w:rPr>
                <w:sz w:val="19"/>
                <w:szCs w:val="19"/>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112.3</w:t>
            </w:r>
          </w:p>
        </w:tc>
        <w:tc>
          <w:tcPr>
            <w:tcW w:w="260" w:type="dxa"/>
            <w:vAlign w:val="bottom"/>
          </w:tcPr>
          <w:p>
            <w:pPr>
              <w:spacing w:after="0"/>
              <w:rPr>
                <w:sz w:val="19"/>
                <w:szCs w:val="19"/>
                <w:color w:val="auto"/>
              </w:rPr>
            </w:pPr>
          </w:p>
        </w:tc>
        <w:tc>
          <w:tcPr>
            <w:tcW w:w="1620" w:type="dxa"/>
            <w:vAlign w:val="bottom"/>
          </w:tcPr>
          <w:p>
            <w:pPr>
              <w:ind w:left="64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r>
      <w:tr>
        <w:trPr>
          <w:trHeight w:val="229"/>
        </w:trPr>
        <w:tc>
          <w:tcPr>
            <w:tcW w:w="4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12/29/2017</w:t>
            </w: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1"/>
              </w:rPr>
              <w:t>69.2</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476"/>
              <w:spacing w:after="0"/>
              <w:rPr>
                <w:sz w:val="20"/>
                <w:szCs w:val="20"/>
                <w:color w:val="auto"/>
              </w:rPr>
            </w:pPr>
            <w:r>
              <w:rPr>
                <w:rFonts w:ascii="Arial" w:cs="Arial" w:eastAsia="Arial" w:hAnsi="Arial"/>
                <w:sz w:val="18"/>
                <w:szCs w:val="18"/>
                <w:color w:val="auto"/>
              </w:rPr>
              <w:t>137.2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rPr>
              <w:t>155.8</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FF0FC"/>
          </w:tcPr>
          <w:p>
            <w:pPr>
              <w:spacing w:after="0"/>
              <w:rPr>
                <w:sz w:val="19"/>
                <w:szCs w:val="19"/>
                <w:color w:val="auto"/>
              </w:rPr>
            </w:pPr>
          </w:p>
        </w:tc>
      </w:tr>
      <w:tr>
        <w:trPr>
          <w:trHeight w:val="229"/>
        </w:trPr>
        <w:tc>
          <w:tcPr>
            <w:tcW w:w="4280" w:type="dxa"/>
            <w:vAlign w:val="bottom"/>
          </w:tcPr>
          <w:p>
            <w:pPr>
              <w:jc w:val="center"/>
              <w:spacing w:after="0"/>
              <w:rPr>
                <w:sz w:val="20"/>
                <w:szCs w:val="20"/>
                <w:color w:val="auto"/>
              </w:rPr>
            </w:pPr>
            <w:r>
              <w:rPr>
                <w:rFonts w:ascii="Arial" w:cs="Arial" w:eastAsia="Arial" w:hAnsi="Arial"/>
                <w:sz w:val="18"/>
                <w:szCs w:val="18"/>
                <w:color w:val="auto"/>
                <w:w w:val="90"/>
              </w:rPr>
              <w:t>12/31/2018</w:t>
            </w:r>
          </w:p>
        </w:tc>
        <w:tc>
          <w:tcPr>
            <w:tcW w:w="120" w:type="dxa"/>
            <w:vAlign w:val="bottom"/>
          </w:tcPr>
          <w:p>
            <w:pPr>
              <w:spacing w:after="0"/>
              <w:rPr>
                <w:sz w:val="19"/>
                <w:szCs w:val="19"/>
                <w:color w:val="auto"/>
              </w:rPr>
            </w:pPr>
          </w:p>
        </w:tc>
        <w:tc>
          <w:tcPr>
            <w:tcW w:w="1620" w:type="dxa"/>
            <w:vAlign w:val="bottom"/>
          </w:tcPr>
          <w:p>
            <w:pPr>
              <w:jc w:val="center"/>
              <w:ind w:left="13"/>
              <w:spacing w:after="0"/>
              <w:rPr>
                <w:sz w:val="20"/>
                <w:szCs w:val="20"/>
                <w:color w:val="auto"/>
              </w:rPr>
            </w:pPr>
            <w:r>
              <w:rPr>
                <w:rFonts w:ascii="Arial" w:cs="Arial" w:eastAsia="Arial" w:hAnsi="Arial"/>
                <w:sz w:val="18"/>
                <w:szCs w:val="18"/>
                <w:color w:val="auto"/>
                <w:w w:val="88"/>
              </w:rPr>
              <w:t>117.3</w:t>
            </w:r>
          </w:p>
        </w:tc>
        <w:tc>
          <w:tcPr>
            <w:tcW w:w="260" w:type="dxa"/>
            <w:vAlign w:val="bottom"/>
          </w:tcPr>
          <w:p>
            <w:pPr>
              <w:spacing w:after="0"/>
              <w:rPr>
                <w:sz w:val="19"/>
                <w:szCs w:val="19"/>
                <w:color w:val="auto"/>
              </w:rPr>
            </w:pPr>
          </w:p>
        </w:tc>
        <w:tc>
          <w:tcPr>
            <w:tcW w:w="1620" w:type="dxa"/>
            <w:vAlign w:val="bottom"/>
          </w:tcPr>
          <w:p>
            <w:pPr>
              <w:jc w:val="right"/>
              <w:ind w:right="476"/>
              <w:spacing w:after="0"/>
              <w:rPr>
                <w:sz w:val="20"/>
                <w:szCs w:val="20"/>
                <w:color w:val="auto"/>
              </w:rPr>
            </w:pPr>
            <w:r>
              <w:rPr>
                <w:rFonts w:ascii="Arial" w:cs="Arial" w:eastAsia="Arial" w:hAnsi="Arial"/>
                <w:sz w:val="18"/>
                <w:szCs w:val="18"/>
                <w:color w:val="auto"/>
              </w:rPr>
              <w:t>129.7</w:t>
            </w:r>
          </w:p>
        </w:tc>
        <w:tc>
          <w:tcPr>
            <w:tcW w:w="240" w:type="dxa"/>
            <w:vAlign w:val="bottom"/>
          </w:tcPr>
          <w:p>
            <w:pPr>
              <w:spacing w:after="0"/>
              <w:rPr>
                <w:sz w:val="19"/>
                <w:szCs w:val="19"/>
                <w:color w:val="auto"/>
              </w:rPr>
            </w:pPr>
          </w:p>
        </w:tc>
        <w:tc>
          <w:tcPr>
            <w:tcW w:w="1120" w:type="dxa"/>
            <w:vAlign w:val="bottom"/>
          </w:tcPr>
          <w:p>
            <w:pPr>
              <w:jc w:val="right"/>
              <w:ind w:right="216"/>
              <w:spacing w:after="0"/>
              <w:rPr>
                <w:sz w:val="20"/>
                <w:szCs w:val="20"/>
                <w:color w:val="auto"/>
              </w:rPr>
            </w:pPr>
            <w:r>
              <w:rPr>
                <w:rFonts w:ascii="Arial" w:cs="Arial" w:eastAsia="Arial" w:hAnsi="Arial"/>
                <w:sz w:val="18"/>
                <w:szCs w:val="18"/>
                <w:color w:val="auto"/>
              </w:rPr>
              <w:t>150.1</w:t>
            </w:r>
          </w:p>
        </w:tc>
        <w:tc>
          <w:tcPr>
            <w:tcW w:w="260" w:type="dxa"/>
            <w:vAlign w:val="bottom"/>
          </w:tcPr>
          <w:p>
            <w:pPr>
              <w:spacing w:after="0"/>
              <w:rPr>
                <w:sz w:val="19"/>
                <w:szCs w:val="19"/>
                <w:color w:val="auto"/>
              </w:rPr>
            </w:pPr>
          </w:p>
        </w:tc>
        <w:tc>
          <w:tcPr>
            <w:tcW w:w="1620" w:type="dxa"/>
            <w:vAlign w:val="bottom"/>
          </w:tcPr>
          <w:p>
            <w:pPr>
              <w:ind w:left="66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12/31/2019</w:t>
            </w: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88"/>
              </w:rPr>
              <w:t>157.9</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476"/>
              <w:spacing w:after="0"/>
              <w:rPr>
                <w:sz w:val="20"/>
                <w:szCs w:val="20"/>
                <w:color w:val="auto"/>
              </w:rPr>
            </w:pPr>
            <w:r>
              <w:rPr>
                <w:rFonts w:ascii="Arial" w:cs="Arial" w:eastAsia="Arial" w:hAnsi="Arial"/>
                <w:sz w:val="18"/>
                <w:szCs w:val="18"/>
                <w:color w:val="auto"/>
              </w:rPr>
              <w:t>170.1</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rPr>
              <w:t>225.6</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90"/>
              </w:rPr>
              <w:t>12/31/2020</w:t>
            </w:r>
          </w:p>
        </w:tc>
        <w:tc>
          <w:tcPr>
            <w:tcW w:w="120" w:type="dxa"/>
            <w:vAlign w:val="bottom"/>
          </w:tcPr>
          <w:p>
            <w:pPr>
              <w:spacing w:after="0"/>
              <w:rPr>
                <w:sz w:val="20"/>
                <w:szCs w:val="20"/>
                <w:color w:val="auto"/>
              </w:rPr>
            </w:pPr>
          </w:p>
        </w:tc>
        <w:tc>
          <w:tcPr>
            <w:tcW w:w="1620" w:type="dxa"/>
            <w:vAlign w:val="bottom"/>
          </w:tcPr>
          <w:p>
            <w:pPr>
              <w:jc w:val="center"/>
              <w:ind w:left="13"/>
              <w:spacing w:after="0"/>
              <w:rPr>
                <w:sz w:val="20"/>
                <w:szCs w:val="20"/>
                <w:color w:val="auto"/>
              </w:rPr>
            </w:pPr>
            <w:r>
              <w:rPr>
                <w:rFonts w:ascii="Arial" w:cs="Arial" w:eastAsia="Arial" w:hAnsi="Arial"/>
                <w:sz w:val="18"/>
                <w:szCs w:val="18"/>
                <w:color w:val="auto"/>
                <w:w w:val="88"/>
              </w:rPr>
              <w:t>309.3</w:t>
            </w:r>
          </w:p>
        </w:tc>
        <w:tc>
          <w:tcPr>
            <w:tcW w:w="260" w:type="dxa"/>
            <w:vAlign w:val="bottom"/>
          </w:tcPr>
          <w:p>
            <w:pPr>
              <w:spacing w:after="0"/>
              <w:rPr>
                <w:sz w:val="20"/>
                <w:szCs w:val="20"/>
                <w:color w:val="auto"/>
              </w:rPr>
            </w:pPr>
          </w:p>
        </w:tc>
        <w:tc>
          <w:tcPr>
            <w:tcW w:w="1620" w:type="dxa"/>
            <w:vAlign w:val="bottom"/>
          </w:tcPr>
          <w:p>
            <w:pPr>
              <w:jc w:val="right"/>
              <w:ind w:right="476"/>
              <w:spacing w:after="0"/>
              <w:rPr>
                <w:sz w:val="20"/>
                <w:szCs w:val="20"/>
                <w:color w:val="auto"/>
              </w:rPr>
            </w:pPr>
            <w:r>
              <w:rPr>
                <w:rFonts w:ascii="Arial" w:cs="Arial" w:eastAsia="Arial" w:hAnsi="Arial"/>
                <w:sz w:val="18"/>
                <w:szCs w:val="18"/>
                <w:color w:val="auto"/>
              </w:rPr>
              <w:t>206.3</w:t>
            </w:r>
          </w:p>
        </w:tc>
        <w:tc>
          <w:tcPr>
            <w:tcW w:w="240" w:type="dxa"/>
            <w:vAlign w:val="bottom"/>
          </w:tcPr>
          <w:p>
            <w:pPr>
              <w:spacing w:after="0"/>
              <w:rPr>
                <w:sz w:val="20"/>
                <w:szCs w:val="20"/>
                <w:color w:val="auto"/>
              </w:rPr>
            </w:pPr>
          </w:p>
        </w:tc>
        <w:tc>
          <w:tcPr>
            <w:tcW w:w="1120" w:type="dxa"/>
            <w:vAlign w:val="bottom"/>
          </w:tcPr>
          <w:p>
            <w:pPr>
              <w:jc w:val="right"/>
              <w:ind w:right="216"/>
              <w:spacing w:after="0"/>
              <w:rPr>
                <w:sz w:val="20"/>
                <w:szCs w:val="20"/>
                <w:color w:val="auto"/>
              </w:rPr>
            </w:pPr>
            <w:r>
              <w:rPr>
                <w:rFonts w:ascii="Arial" w:cs="Arial" w:eastAsia="Arial" w:hAnsi="Arial"/>
                <w:sz w:val="18"/>
                <w:szCs w:val="18"/>
                <w:color w:val="auto"/>
              </w:rPr>
              <w:t>338.3</w:t>
            </w:r>
          </w:p>
        </w:tc>
        <w:tc>
          <w:tcPr>
            <w:tcW w:w="260" w:type="dxa"/>
            <w:vAlign w:val="bottom"/>
          </w:tcPr>
          <w:p>
            <w:pPr>
              <w:spacing w:after="0"/>
              <w:rPr>
                <w:sz w:val="20"/>
                <w:szCs w:val="20"/>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273685</wp:posOffset>
            </wp:positionV>
            <wp:extent cx="5160645" cy="2314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6064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Sales of Registered Securities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right="220" w:firstLine="538"/>
        <w:spacing w:after="0" w:line="308" w:lineRule="auto"/>
        <w:rPr>
          <w:sz w:val="20"/>
          <w:szCs w:val="20"/>
          <w:color w:val="auto"/>
        </w:rPr>
      </w:pPr>
      <w:r>
        <w:rPr>
          <w:rFonts w:ascii="Arial" w:cs="Arial" w:eastAsia="Arial" w:hAnsi="Arial"/>
          <w:sz w:val="17"/>
          <w:szCs w:val="17"/>
          <w:color w:val="auto"/>
        </w:rPr>
        <w:t>On November 2, 2017, our board of directors authorized a program to repurchase up to $50.0 million of common stock over two years. Under the program we purchased approximately $46.3 million of stock and on November 2, 2019, $3.7 million expired from the program.</w:t>
      </w:r>
    </w:p>
    <w:p>
      <w:pPr>
        <w:spacing w:after="0" w:line="38" w:lineRule="exact"/>
        <w:rPr>
          <w:sz w:val="20"/>
          <w:szCs w:val="20"/>
          <w:color w:val="auto"/>
        </w:rPr>
      </w:pPr>
    </w:p>
    <w:p>
      <w:pPr>
        <w:ind w:right="280" w:firstLine="538"/>
        <w:spacing w:after="0" w:line="263" w:lineRule="auto"/>
        <w:rPr>
          <w:sz w:val="20"/>
          <w:szCs w:val="20"/>
          <w:color w:val="auto"/>
        </w:rPr>
      </w:pPr>
      <w:r>
        <w:rPr>
          <w:rFonts w:ascii="Arial" w:cs="Arial" w:eastAsia="Arial" w:hAnsi="Arial"/>
          <w:sz w:val="18"/>
          <w:szCs w:val="18"/>
          <w:color w:val="auto"/>
        </w:rPr>
        <w:t>On November 2, 2019, our board of directors authorized a new program to repurchase up to $50.0 million of common stock. Under the program, purchases may be made from time to time in the open market over two years. We did not make any purchases in the fourth quarter of 2020. As of December 31, 2020, $31.1 million was available for future share repurchases under the program.</w:t>
      </w:r>
    </w:p>
    <w:p>
      <w:pPr>
        <w:spacing w:after="0" w:line="184" w:lineRule="exact"/>
        <w:rPr>
          <w:sz w:val="20"/>
          <w:szCs w:val="20"/>
          <w:color w:val="auto"/>
        </w:rPr>
      </w:pPr>
    </w:p>
    <w:p>
      <w:pPr>
        <w:ind w:right="180" w:firstLine="538"/>
        <w:spacing w:after="0" w:line="293" w:lineRule="auto"/>
        <w:rPr>
          <w:sz w:val="20"/>
          <w:szCs w:val="20"/>
          <w:color w:val="auto"/>
        </w:rPr>
      </w:pPr>
      <w:r>
        <w:rPr>
          <w:rFonts w:ascii="Arial" w:cs="Arial" w:eastAsia="Arial" w:hAnsi="Arial"/>
          <w:sz w:val="18"/>
          <w:szCs w:val="18"/>
          <w:color w:val="auto"/>
        </w:rPr>
        <w:t>See Note K to our consolidated financial statements, included in this Annual Report on Form 10-K, for additional information regarding our stock repurchase program.</w:t>
      </w:r>
    </w:p>
    <w:p>
      <w:pPr>
        <w:spacing w:after="0" w:line="3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6.</w:t>
      </w:r>
      <w:r>
        <w:rPr>
          <w:sz w:val="20"/>
          <w:szCs w:val="20"/>
          <w:color w:val="auto"/>
        </w:rPr>
        <w:tab/>
      </w:r>
      <w:r>
        <w:rPr>
          <w:rFonts w:ascii="Arial" w:cs="Arial" w:eastAsia="Arial" w:hAnsi="Arial"/>
          <w:sz w:val="16"/>
          <w:szCs w:val="16"/>
          <w:b w:val="1"/>
          <w:bCs w:val="1"/>
          <w:color w:val="00AAE5"/>
        </w:rPr>
        <w:t>Selected Financial Data</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0574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tabs>
          <w:tab w:leader="none" w:pos="1060" w:val="left"/>
        </w:tabs>
        <w:rPr>
          <w:sz w:val="20"/>
          <w:szCs w:val="20"/>
          <w:color w:val="auto"/>
        </w:rPr>
      </w:pPr>
      <w:r>
        <w:rPr>
          <w:rFonts w:ascii="Arial" w:cs="Arial" w:eastAsia="Arial" w:hAnsi="Arial"/>
          <w:sz w:val="18"/>
          <w:szCs w:val="18"/>
          <w:b w:val="1"/>
          <w:bCs w:val="1"/>
          <w:color w:val="00AAE5"/>
        </w:rPr>
        <w:t>Item 7.</w:t>
      </w:r>
      <w:r>
        <w:rPr>
          <w:sz w:val="20"/>
          <w:szCs w:val="20"/>
          <w:color w:val="auto"/>
        </w:rPr>
        <w:tab/>
      </w:r>
      <w:r>
        <w:rPr>
          <w:rFonts w:ascii="Arial" w:cs="Arial" w:eastAsia="Arial" w:hAnsi="Arial"/>
          <w:sz w:val="16"/>
          <w:szCs w:val="16"/>
          <w:b w:val="1"/>
          <w:bCs w:val="1"/>
          <w:color w:val="00AAE5"/>
        </w:rPr>
        <w:t>Management’s Discussion and Analysis of Financial Condition and Results of Operations</w:t>
      </w:r>
    </w:p>
    <w:p>
      <w:pPr>
        <w:spacing w:after="0" w:line="121" w:lineRule="exact"/>
        <w:rPr>
          <w:sz w:val="20"/>
          <w:szCs w:val="20"/>
          <w:color w:val="auto"/>
        </w:rPr>
      </w:pPr>
    </w:p>
    <w:p>
      <w:pPr>
        <w:ind w:right="100" w:firstLine="53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section titled “Selected Financial Data” and our audited financial statements and related notes which are included elsewhere in this Annual Report on Form 10-K. Our actual results could differ materially from those anticipated in the forward-looking statements included in this discussion as a result of certain factors, including, but not limited to, those discussed in “Risk Factors” included elsewhere in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ind w:firstLine="538"/>
        <w:spacing w:after="0" w:line="279" w:lineRule="auto"/>
        <w:rPr>
          <w:sz w:val="20"/>
          <w:szCs w:val="20"/>
          <w:color w:val="auto"/>
        </w:rPr>
      </w:pPr>
      <w:r>
        <w:rPr>
          <w:rFonts w:ascii="Arial" w:cs="Arial" w:eastAsia="Arial" w:hAnsi="Arial"/>
          <w:sz w:val="17"/>
          <w:szCs w:val="17"/>
          <w:color w:val="auto"/>
        </w:rPr>
        <w:t>SPS Commerce is a leading provider of cloud-based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We derive the majority of our revenues from numerous monthly recurring subscriptions from businesses that utilize our solutions.</w:t>
      </w:r>
    </w:p>
    <w:p>
      <w:pPr>
        <w:spacing w:after="0" w:line="63" w:lineRule="exact"/>
        <w:rPr>
          <w:sz w:val="20"/>
          <w:szCs w:val="20"/>
          <w:color w:val="auto"/>
        </w:rPr>
      </w:pPr>
    </w:p>
    <w:p>
      <w:pPr>
        <w:ind w:right="80" w:firstLine="538"/>
        <w:spacing w:after="0" w:line="296" w:lineRule="auto"/>
        <w:rPr>
          <w:sz w:val="20"/>
          <w:szCs w:val="20"/>
          <w:color w:val="auto"/>
        </w:rPr>
      </w:pPr>
      <w:r>
        <w:rPr>
          <w:rFonts w:ascii="Arial" w:cs="Arial" w:eastAsia="Arial" w:hAnsi="Arial"/>
          <w:sz w:val="16"/>
          <w:szCs w:val="16"/>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 On December 16, 2020, we acquired D Masons Software, LLC (Data Masons), a leading provider of EDI System Automation solutions for the Microsoft Dynamics market. Due to the date of acquisition being near year-end, the acquisition did not have a material impact on operating results.</w:t>
      </w:r>
    </w:p>
    <w:p>
      <w:pPr>
        <w:spacing w:after="0" w:line="53" w:lineRule="exact"/>
        <w:rPr>
          <w:sz w:val="20"/>
          <w:szCs w:val="20"/>
          <w:color w:val="auto"/>
        </w:rPr>
      </w:pPr>
    </w:p>
    <w:p>
      <w:pPr>
        <w:ind w:right="40" w:firstLine="538"/>
        <w:spacing w:after="0" w:line="257" w:lineRule="auto"/>
        <w:rPr>
          <w:sz w:val="20"/>
          <w:szCs w:val="20"/>
          <w:color w:val="auto"/>
        </w:rPr>
      </w:pPr>
      <w:r>
        <w:rPr>
          <w:rFonts w:ascii="Arial" w:cs="Arial" w:eastAsia="Arial" w:hAnsi="Arial"/>
          <w:sz w:val="18"/>
          <w:szCs w:val="18"/>
          <w:color w:val="auto"/>
        </w:rPr>
        <w:t>For the years ended December 31, 2020, 2019, and 2018, we generated revenues of $312.6 million, $279.1 million and $248.2 million, respectively. Our quarter ended December 31, 2020 represented our 80th consecutive quarter of increased revenues. Recurring revenues from recurring revenue customers accounted for 94%, 94%, and 93% of our total revenues for the years ended December 31, 2020, 2019, and 2018, respectively. Our revenues are not concentrated with any customer, as our largest customer represented less than 1% of total revenues for the years ended December 31, 2020, 2019, and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Impact of COVID-19</w:t>
      </w:r>
    </w:p>
    <w:p>
      <w:pPr>
        <w:spacing w:after="0" w:line="121" w:lineRule="exact"/>
        <w:rPr>
          <w:sz w:val="20"/>
          <w:szCs w:val="20"/>
          <w:color w:val="auto"/>
        </w:rPr>
      </w:pPr>
    </w:p>
    <w:p>
      <w:pPr>
        <w:ind w:firstLine="538"/>
        <w:spacing w:after="0" w:line="254" w:lineRule="auto"/>
        <w:rPr>
          <w:sz w:val="20"/>
          <w:szCs w:val="20"/>
          <w:color w:val="auto"/>
        </w:rPr>
      </w:pPr>
      <w:r>
        <w:rPr>
          <w:rFonts w:ascii="Arial" w:cs="Arial" w:eastAsia="Arial" w:hAnsi="Arial"/>
          <w:sz w:val="18"/>
          <w:szCs w:val="18"/>
          <w:color w:val="auto"/>
        </w:rPr>
        <w:t>Although the global emergence of COVID-19 did not have a material adverse effect on our business, operating results, and overall financial performance for the year ended December 31, 2020, the future impact remains uncertain and depends on several factors, including, but not limited to, the pandemic’s duration and continued spread, impact on our customers, impact on our partners or employees, and impact on the economic environment and financial markets, all of which are uncertain and cannot be predicted. We have seen shifts in consumer and retailer behavior during the pandemic. We believe these shifts have not had a material positive or negative impact on our business as they appear to have increased the demand for EDI services in certain customer segments and decreased it in others. We will continue to actively monitor the situation and may take further actions that alter our business operations, as may be required by federal, state, or local authorities, or that we determine are in the best interests of our employees, customers, partners, and shareholders.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Key Financial Terms and Metrics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117" w:lineRule="exact"/>
        <w:rPr>
          <w:sz w:val="20"/>
          <w:szCs w:val="20"/>
          <w:color w:val="auto"/>
        </w:rPr>
      </w:pPr>
    </w:p>
    <w:p>
      <w:pPr>
        <w:ind w:right="80" w:firstLine="538"/>
        <w:spacing w:after="0" w:line="263" w:lineRule="auto"/>
        <w:rPr>
          <w:sz w:val="20"/>
          <w:szCs w:val="20"/>
          <w:color w:val="auto"/>
        </w:rPr>
      </w:pPr>
      <w:r>
        <w:rPr>
          <w:rFonts w:ascii="Arial" w:cs="Arial" w:eastAsia="Arial" w:hAnsi="Arial"/>
          <w:sz w:val="18"/>
          <w:szCs w:val="18"/>
          <w:i w:val="1"/>
          <w:iCs w:val="1"/>
          <w:color w:val="auto"/>
        </w:rPr>
        <w:t xml:space="preserve">Fulfillment. </w:t>
      </w:r>
      <w:r>
        <w:rPr>
          <w:rFonts w:ascii="Arial" w:cs="Arial" w:eastAsia="Arial" w:hAnsi="Arial"/>
          <w:sz w:val="18"/>
          <w:szCs w:val="18"/>
          <w:color w:val="auto"/>
        </w:rPr>
        <w:t>Our Fulfillment solution provides fulfillment automation and replaces or augments an organization’s existing trading partner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infrastructure, enabling suppliers to have visibility into the journey of an order and comply with retailers’ rule books and enabling the electronic exchange of information among numerous trading partners through various protocols.</w:t>
      </w:r>
    </w:p>
    <w:p>
      <w:pPr>
        <w:spacing w:after="0" w:line="76" w:lineRule="exact"/>
        <w:rPr>
          <w:sz w:val="20"/>
          <w:szCs w:val="20"/>
          <w:color w:val="auto"/>
        </w:rPr>
      </w:pPr>
    </w:p>
    <w:p>
      <w:pPr>
        <w:ind w:right="60" w:firstLine="538"/>
        <w:spacing w:after="0" w:line="263" w:lineRule="auto"/>
        <w:rPr>
          <w:sz w:val="20"/>
          <w:szCs w:val="20"/>
          <w:color w:val="auto"/>
        </w:rPr>
      </w:pPr>
      <w:r>
        <w:rPr>
          <w:rFonts w:ascii="Arial" w:cs="Arial" w:eastAsia="Arial" w:hAnsi="Arial"/>
          <w:sz w:val="18"/>
          <w:szCs w:val="18"/>
          <w:i w:val="1"/>
          <w:iCs w:val="1"/>
          <w:color w:val="auto"/>
        </w:rPr>
        <w:t xml:space="preserve">Analytics. </w:t>
      </w:r>
      <w:r>
        <w:rPr>
          <w:rFonts w:ascii="Arial" w:cs="Arial" w:eastAsia="Arial" w:hAnsi="Arial"/>
          <w:sz w:val="18"/>
          <w:szCs w:val="18"/>
          <w:color w:val="auto"/>
        </w:rPr>
        <w:t>Our Analytics solution consists of data analytics applications that enable our customers to improve their visibility across, and analysis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supply chains. When focused on point-of-sale data, for example, retailers and suppliers can ensure inventory is located where demand is highest. Retailers improve their visibility into supplier performance and their understanding of product sell-through.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0574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right="140" w:firstLine="538"/>
        <w:spacing w:after="0" w:line="286"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provide several peripheral solutions such as our assortment solution (which enables accurate order management and rapid fulfillment)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our community solution (which accelerates vendor onboarding and ensures trading partner adoption of new supply chain requirements). In addition to our solution offerings, we also provide one-time services such as professional services and testing and certification.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Operating Expenses</w:t>
      </w:r>
    </w:p>
    <w:p>
      <w:pPr>
        <w:spacing w:after="0" w:line="117" w:lineRule="exact"/>
        <w:rPr>
          <w:sz w:val="20"/>
          <w:szCs w:val="20"/>
          <w:color w:val="auto"/>
        </w:rPr>
      </w:pPr>
    </w:p>
    <w:p>
      <w:pPr>
        <w:ind w:right="20" w:firstLine="538"/>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consist primarily of personnel costs for our customer success and implementation teams, customer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and application support personnel. Cost of revenues also includes our cost of network services, which is primarily data center costs for the locations where we keep the equipment that serves our customers, cloud provider services, and connectivity costs that facilitate electronic data transmission between our customers and their trading partners.</w:t>
      </w:r>
    </w:p>
    <w:p>
      <w:pPr>
        <w:spacing w:after="0" w:line="79" w:lineRule="exact"/>
        <w:rPr>
          <w:sz w:val="20"/>
          <w:szCs w:val="20"/>
          <w:color w:val="auto"/>
        </w:rPr>
      </w:pPr>
    </w:p>
    <w:p>
      <w:pPr>
        <w:ind w:right="20" w:firstLine="538"/>
        <w:spacing w:after="0" w:line="27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personnel costs for our sales, marketing and product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teams, commissions earned by our sales personnel and marketing costs.</w:t>
      </w:r>
    </w:p>
    <w:p>
      <w:pPr>
        <w:spacing w:after="0" w:line="62" w:lineRule="exact"/>
        <w:rPr>
          <w:sz w:val="20"/>
          <w:szCs w:val="20"/>
          <w:color w:val="auto"/>
        </w:rPr>
      </w:pPr>
    </w:p>
    <w:p>
      <w:pPr>
        <w:ind w:firstLine="538"/>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personnel costs for development of new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of existing solutions, net of amounts capitalized as developed software. Our research and development group is also responsible for enhancing existing solutions and applications, internal tools, and developing new information maps that integrate our customers to their trading partners in compliance with those trading partners’ requirements.</w:t>
      </w:r>
    </w:p>
    <w:p>
      <w:pPr>
        <w:spacing w:after="0" w:line="79" w:lineRule="exact"/>
        <w:rPr>
          <w:sz w:val="20"/>
          <w:szCs w:val="20"/>
          <w:color w:val="auto"/>
        </w:rPr>
      </w:pPr>
    </w:p>
    <w:p>
      <w:pPr>
        <w:ind w:right="160" w:firstLine="538"/>
        <w:spacing w:after="0" w:line="34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consist primarily of personnel costs for finance, human resources,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information technology support, as well as legal, accounting, and other fees, such as bad debt expense and credit card processing fees.</w:t>
      </w:r>
    </w:p>
    <w:p>
      <w:pPr>
        <w:spacing w:after="0" w:line="16" w:lineRule="exact"/>
        <w:rPr>
          <w:sz w:val="20"/>
          <w:szCs w:val="20"/>
          <w:color w:val="auto"/>
        </w:rPr>
      </w:pPr>
    </w:p>
    <w:p>
      <w:pPr>
        <w:ind w:right="80" w:firstLine="538"/>
        <w:spacing w:after="0" w:line="277" w:lineRule="auto"/>
        <w:rPr>
          <w:sz w:val="20"/>
          <w:szCs w:val="20"/>
          <w:color w:val="auto"/>
        </w:rPr>
      </w:pPr>
      <w:r>
        <w:rPr>
          <w:rFonts w:ascii="Arial" w:cs="Arial" w:eastAsia="Arial" w:hAnsi="Arial"/>
          <w:sz w:val="18"/>
          <w:szCs w:val="18"/>
          <w:i w:val="1"/>
          <w:iCs w:val="1"/>
          <w:color w:val="auto"/>
        </w:rPr>
        <w:t xml:space="preserve">Overhead Allocation. </w:t>
      </w:r>
      <w:r>
        <w:rPr>
          <w:rFonts w:ascii="Arial" w:cs="Arial" w:eastAsia="Arial" w:hAnsi="Arial"/>
          <w:sz w:val="18"/>
          <w:szCs w:val="18"/>
          <w:color w:val="auto"/>
        </w:rPr>
        <w:t>We allocate overhead expenses such as rent, certain employee benefit costs, office supplies and depreciation of general office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to cost of revenues and operating expenses categories based on headcount.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Metrics</w:t>
      </w:r>
    </w:p>
    <w:p>
      <w:pPr>
        <w:spacing w:after="0" w:line="117" w:lineRule="exact"/>
        <w:rPr>
          <w:sz w:val="20"/>
          <w:szCs w:val="20"/>
          <w:color w:val="auto"/>
        </w:rPr>
      </w:pPr>
    </w:p>
    <w:p>
      <w:pPr>
        <w:ind w:right="220" w:firstLine="538"/>
        <w:spacing w:after="0" w:line="259" w:lineRule="auto"/>
        <w:rPr>
          <w:sz w:val="20"/>
          <w:szCs w:val="20"/>
          <w:color w:val="auto"/>
        </w:rPr>
      </w:pPr>
      <w:r>
        <w:rPr>
          <w:rFonts w:ascii="Arial" w:cs="Arial" w:eastAsia="Arial" w:hAnsi="Arial"/>
          <w:sz w:val="18"/>
          <w:szCs w:val="18"/>
          <w:i w:val="1"/>
          <w:iCs w:val="1"/>
          <w:color w:val="auto"/>
        </w:rPr>
        <w:t xml:space="preserve">Recurring Revenue Customers. </w:t>
      </w:r>
      <w:r>
        <w:rPr>
          <w:rFonts w:ascii="Arial" w:cs="Arial" w:eastAsia="Arial" w:hAnsi="Arial"/>
          <w:sz w:val="18"/>
          <w:szCs w:val="18"/>
          <w:color w:val="auto"/>
        </w:rPr>
        <w:t>As of December 31, 2020, we had approximately 33,000 customers with contracts to pay us recurring fees,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refer to as recurring revenue customers. We report recurring revenue customers as of the end of a period. A small portion of our recurring revenue customers consist of separate units within a larger organization. We treat each of these units, which may include divisions, departments, affiliates and franchises, as distinct customers.</w:t>
      </w:r>
    </w:p>
    <w:p>
      <w:pPr>
        <w:spacing w:after="0" w:line="79" w:lineRule="exact"/>
        <w:rPr>
          <w:sz w:val="20"/>
          <w:szCs w:val="20"/>
          <w:color w:val="auto"/>
        </w:rPr>
      </w:pPr>
    </w:p>
    <w:p>
      <w:pPr>
        <w:ind w:right="40" w:firstLine="538"/>
        <w:spacing w:after="0" w:line="296" w:lineRule="auto"/>
        <w:rPr>
          <w:sz w:val="20"/>
          <w:szCs w:val="20"/>
          <w:color w:val="auto"/>
        </w:rPr>
      </w:pPr>
      <w:r>
        <w:rPr>
          <w:rFonts w:ascii="Arial" w:cs="Arial" w:eastAsia="Arial" w:hAnsi="Arial"/>
          <w:sz w:val="16"/>
          <w:szCs w:val="16"/>
          <w:i w:val="1"/>
          <w:iCs w:val="1"/>
          <w:color w:val="auto"/>
        </w:rPr>
        <w:t xml:space="preserve">Average Recurring Revenues Per Recurring Revenue Customer. </w:t>
      </w:r>
      <w:r>
        <w:rPr>
          <w:rFonts w:ascii="Arial" w:cs="Arial" w:eastAsia="Arial" w:hAnsi="Arial"/>
          <w:sz w:val="16"/>
          <w:szCs w:val="16"/>
          <w:color w:val="auto"/>
        </w:rPr>
        <w:t>We calculate average recurring revenues per recurring revenue customer,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also refer to as wallet share, by dividing the recurring revenues from recurring revenue customers for the period by the average of the beginning and ending number of recurring revenue customers for the period. For interim periods, we annualize this number by multiplying the quotient calculated above by the quotient of 12 divided by the number of months in the period. We anticipate that average recurring revenues per recurring revenue customer will continue to increase as we increase the number of solutions we offer and increase the penetration of those solutions across our customer base.</w:t>
      </w:r>
    </w:p>
    <w:p>
      <w:pPr>
        <w:spacing w:after="0" w:line="53" w:lineRule="exact"/>
        <w:rPr>
          <w:sz w:val="20"/>
          <w:szCs w:val="20"/>
          <w:color w:val="auto"/>
        </w:rPr>
      </w:pPr>
    </w:p>
    <w:p>
      <w:pPr>
        <w:ind w:right="40" w:firstLine="538"/>
        <w:spacing w:after="0" w:line="296" w:lineRule="auto"/>
        <w:rPr>
          <w:sz w:val="20"/>
          <w:szCs w:val="20"/>
          <w:color w:val="auto"/>
        </w:rPr>
      </w:pPr>
      <w:r>
        <w:rPr>
          <w:rFonts w:ascii="Arial" w:cs="Arial" w:eastAsia="Arial" w:hAnsi="Arial"/>
          <w:sz w:val="16"/>
          <w:szCs w:val="16"/>
          <w:i w:val="1"/>
          <w:iCs w:val="1"/>
          <w:color w:val="auto"/>
        </w:rPr>
        <w:t xml:space="preserve">Non-GAAP Financial Measures. </w:t>
      </w:r>
      <w:r>
        <w:rPr>
          <w:rFonts w:ascii="Arial" w:cs="Arial" w:eastAsia="Arial" w:hAnsi="Arial"/>
          <w:sz w:val="16"/>
          <w:szCs w:val="16"/>
          <w:color w:val="auto"/>
        </w:rPr>
        <w:t>To supplement our financial statements, we also provide investors with Adjusted EBITDA and non-GAAP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53" w:lineRule="exact"/>
        <w:rPr>
          <w:sz w:val="20"/>
          <w:szCs w:val="20"/>
          <w:color w:val="auto"/>
        </w:rPr>
      </w:pPr>
    </w:p>
    <w:p>
      <w:pPr>
        <w:ind w:right="40" w:firstLine="538"/>
        <w:spacing w:after="0" w:line="301" w:lineRule="auto"/>
        <w:rPr>
          <w:sz w:val="20"/>
          <w:szCs w:val="20"/>
          <w:color w:val="auto"/>
        </w:rPr>
      </w:pPr>
      <w:r>
        <w:rPr>
          <w:rFonts w:ascii="Arial" w:cs="Arial" w:eastAsia="Arial" w:hAnsi="Arial"/>
          <w:sz w:val="16"/>
          <w:szCs w:val="16"/>
          <w:color w:val="auto"/>
        </w:rPr>
        <w:t>These non-GAAP measures should not be considered a substitute for, or superior to, financial measures calculated in accordance with GAAP. These non-GAAP 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0574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31"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00AAE5"/>
        </w:rPr>
        <w:t>Critical Accounting Policies and Estimates</w:t>
      </w:r>
    </w:p>
    <w:p>
      <w:pPr>
        <w:spacing w:after="0" w:line="121" w:lineRule="exact"/>
        <w:rPr>
          <w:sz w:val="20"/>
          <w:szCs w:val="20"/>
          <w:color w:val="auto"/>
        </w:rPr>
      </w:pPr>
    </w:p>
    <w:p>
      <w:pPr>
        <w:ind w:right="120" w:firstLine="538"/>
        <w:spacing w:after="0" w:line="275" w:lineRule="auto"/>
        <w:rPr>
          <w:sz w:val="20"/>
          <w:szCs w:val="20"/>
          <w:color w:val="auto"/>
        </w:rPr>
      </w:pPr>
      <w:r>
        <w:rPr>
          <w:rFonts w:ascii="Arial" w:cs="Arial" w:eastAsia="Arial" w:hAnsi="Arial"/>
          <w:sz w:val="17"/>
          <w:szCs w:val="17"/>
          <w:color w:val="auto"/>
        </w:rPr>
        <w:t>The discussion of our financial condition and results of operations is based upon our consolidated financial statements, which are prepared in accordance with GAAP. The preparation of these consolidated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68" w:lineRule="exact"/>
        <w:rPr>
          <w:sz w:val="20"/>
          <w:szCs w:val="20"/>
          <w:color w:val="auto"/>
        </w:rPr>
      </w:pPr>
    </w:p>
    <w:p>
      <w:pPr>
        <w:ind w:right="60" w:firstLine="538"/>
        <w:spacing w:after="0" w:line="257" w:lineRule="auto"/>
        <w:rPr>
          <w:sz w:val="20"/>
          <w:szCs w:val="20"/>
          <w:color w:val="auto"/>
        </w:rPr>
      </w:pPr>
      <w:r>
        <w:rPr>
          <w:rFonts w:ascii="Arial" w:cs="Arial" w:eastAsia="Arial" w:hAnsi="Arial"/>
          <w:sz w:val="18"/>
          <w:szCs w:val="18"/>
          <w:color w:val="auto"/>
        </w:rPr>
        <w:t>We believe that our significant accounting policies, which are described in the notes to our consolidated financial statements, involve a greater degree of judgment and complexity and are material to our financial statement presentation.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538"/>
        <w:spacing w:after="0" w:line="25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 Our set-up fees from customers are one-time revenues that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w:t>
      </w:r>
    </w:p>
    <w:p>
      <w:pPr>
        <w:spacing w:after="0" w:line="80" w:lineRule="exact"/>
        <w:rPr>
          <w:sz w:val="20"/>
          <w:szCs w:val="20"/>
          <w:color w:val="auto"/>
        </w:rPr>
      </w:pPr>
    </w:p>
    <w:p>
      <w:pPr>
        <w:jc w:val="both"/>
        <w:ind w:right="420" w:firstLine="538"/>
        <w:spacing w:after="0" w:line="263" w:lineRule="auto"/>
        <w:rPr>
          <w:sz w:val="20"/>
          <w:szCs w:val="20"/>
          <w:color w:val="auto"/>
        </w:rPr>
      </w:pPr>
      <w:r>
        <w:rPr>
          <w:rFonts w:ascii="Arial" w:cs="Arial" w:eastAsia="Arial" w:hAnsi="Arial"/>
          <w:sz w:val="18"/>
          <w:szCs w:val="18"/>
          <w:color w:val="auto"/>
        </w:rPr>
        <w:t>Certain contracts contain set-up fees that constitute a material renewal option right. This material right provides customers a significant future incentive that would not be otherwise available to that customer unless they entered into the contract as the set-up fees will not be incurred again upon contract renewal.</w:t>
      </w:r>
    </w:p>
    <w:p>
      <w:pPr>
        <w:spacing w:after="0" w:line="76" w:lineRule="exact"/>
        <w:rPr>
          <w:sz w:val="20"/>
          <w:szCs w:val="20"/>
          <w:color w:val="auto"/>
        </w:rPr>
      </w:pPr>
    </w:p>
    <w:p>
      <w:pPr>
        <w:jc w:val="both"/>
        <w:ind w:right="40" w:firstLine="538"/>
        <w:spacing w:after="0" w:line="263" w:lineRule="auto"/>
        <w:rPr>
          <w:sz w:val="20"/>
          <w:szCs w:val="20"/>
          <w:color w:val="auto"/>
        </w:rPr>
      </w:pPr>
      <w:r>
        <w:rPr>
          <w:rFonts w:ascii="Arial" w:cs="Arial" w:eastAsia="Arial" w:hAnsi="Arial"/>
          <w:sz w:val="18"/>
          <w:szCs w:val="18"/>
          <w:color w:val="auto"/>
        </w:rPr>
        <w:t>For our Fulfillment solution, we have determined that the set-up fees and related costs represent a material renewal option right to our customers as they will not be incurred again upon renewal. These set-up fees and related costs are deferred and recognized ratably over two years, which is the estimated period for which a material right is present for our customers.</w:t>
      </w:r>
    </w:p>
    <w:p>
      <w:pPr>
        <w:spacing w:after="0" w:line="76" w:lineRule="exact"/>
        <w:rPr>
          <w:sz w:val="20"/>
          <w:szCs w:val="20"/>
          <w:color w:val="auto"/>
        </w:rPr>
      </w:pPr>
    </w:p>
    <w:p>
      <w:pPr>
        <w:jc w:val="both"/>
        <w:ind w:right="20" w:firstLine="538"/>
        <w:spacing w:after="0" w:line="277" w:lineRule="auto"/>
        <w:rPr>
          <w:sz w:val="20"/>
          <w:szCs w:val="20"/>
          <w:color w:val="auto"/>
        </w:rPr>
      </w:pPr>
      <w:r>
        <w:rPr>
          <w:rFonts w:ascii="Arial" w:cs="Arial" w:eastAsia="Arial" w:hAnsi="Arial"/>
          <w:sz w:val="18"/>
          <w:szCs w:val="18"/>
          <w:color w:val="auto"/>
        </w:rPr>
        <w:t>For our Analytics solution, we have determined that the set-up fees do not represent a material customer renewal right and, as such, are deferred and recognized ratably over the estimated initial contract term, which is one year.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117" w:lineRule="exact"/>
        <w:rPr>
          <w:sz w:val="20"/>
          <w:szCs w:val="20"/>
          <w:color w:val="auto"/>
        </w:rPr>
      </w:pPr>
    </w:p>
    <w:p>
      <w:pPr>
        <w:ind w:firstLine="538"/>
        <w:spacing w:after="0" w:line="257" w:lineRule="auto"/>
        <w:rPr>
          <w:sz w:val="20"/>
          <w:szCs w:val="20"/>
          <w:color w:val="auto"/>
        </w:rPr>
      </w:pPr>
      <w:r>
        <w:rPr>
          <w:rFonts w:ascii="Arial" w:cs="Arial" w:eastAsia="Arial" w:hAnsi="Arial"/>
          <w:sz w:val="18"/>
          <w:szCs w:val="18"/>
          <w:color w:val="auto"/>
        </w:rPr>
        <w:t>Internal-use software consists of capitalized costs incurred during the application development stage, which include costs related to the design of the chosen path, coding, installation of the hardware necessary to run the software, and any testing done before the operational stage. Costs incurred during the preliminary project stage and post-implementation stage are expensed as incurred. Internal-use software is depreciated over the estimated useful life, three years, commencing on the date when the asset is ready for its intended use. Depreciation is computed using the straight-line method. Maintenance and enhancements of internal-use software are expensed as incurred.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40" w:firstLine="538"/>
        <w:spacing w:after="0" w:line="311" w:lineRule="auto"/>
        <w:rPr>
          <w:sz w:val="20"/>
          <w:szCs w:val="20"/>
          <w:color w:val="auto"/>
        </w:rPr>
      </w:pPr>
      <w:r>
        <w:rPr>
          <w:rFonts w:ascii="Arial" w:cs="Arial" w:eastAsia="Arial" w:hAnsi="Arial"/>
          <w:sz w:val="16"/>
          <w:szCs w:val="16"/>
          <w:color w:val="auto"/>
        </w:rPr>
        <w:t>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w:t>
      </w:r>
    </w:p>
    <w:p>
      <w:pPr>
        <w:spacing w:after="0" w:line="41" w:lineRule="exact"/>
        <w:rPr>
          <w:sz w:val="20"/>
          <w:szCs w:val="20"/>
          <w:color w:val="auto"/>
        </w:rPr>
      </w:pPr>
    </w:p>
    <w:p>
      <w:pPr>
        <w:ind w:right="340" w:firstLine="538"/>
        <w:spacing w:after="0" w:line="263" w:lineRule="auto"/>
        <w:rPr>
          <w:sz w:val="20"/>
          <w:szCs w:val="20"/>
          <w:color w:val="auto"/>
        </w:rPr>
      </w:pPr>
      <w:r>
        <w:rPr>
          <w:rFonts w:ascii="Arial" w:cs="Arial" w:eastAsia="Arial" w:hAnsi="Arial"/>
          <w:sz w:val="18"/>
          <w:szCs w:val="18"/>
          <w:color w:val="auto"/>
        </w:rPr>
        <w:t>Significant estimates in valuing certain intangible assets include, but are not limited to, future expected cash flows from acquired customers and acquired technology from a market participant perspective, useful lives, and discount rates. Significant estimates in valuing liabilities for contingent consideration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0574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ind w:right="300"/>
        <w:spacing w:after="0" w:line="277" w:lineRule="auto"/>
        <w:rPr>
          <w:sz w:val="20"/>
          <w:szCs w:val="20"/>
          <w:color w:val="auto"/>
        </w:rPr>
      </w:pPr>
      <w:r>
        <w:rPr>
          <w:rFonts w:ascii="Arial" w:cs="Arial" w:eastAsia="Arial" w:hAnsi="Arial"/>
          <w:sz w:val="18"/>
          <w:szCs w:val="18"/>
          <w:color w:val="auto"/>
        </w:rPr>
        <w:t>discount rates, projected financial results of the acquired businesses based on our most recent internal forecasts, and factors indicating the probability of achieving the forecasted results.</w:t>
      </w:r>
    </w:p>
    <w:p>
      <w:pPr>
        <w:spacing w:after="0" w:line="62" w:lineRule="exact"/>
        <w:rPr>
          <w:sz w:val="20"/>
          <w:szCs w:val="20"/>
          <w:color w:val="auto"/>
        </w:rPr>
      </w:pPr>
    </w:p>
    <w:p>
      <w:pPr>
        <w:ind w:right="140" w:firstLine="538"/>
        <w:spacing w:after="0" w:line="259" w:lineRule="auto"/>
        <w:rPr>
          <w:sz w:val="20"/>
          <w:szCs w:val="20"/>
          <w:color w:val="auto"/>
        </w:rPr>
      </w:pPr>
      <w:r>
        <w:rPr>
          <w:rFonts w:ascii="Arial" w:cs="Arial" w:eastAsia="Arial" w:hAnsi="Arial"/>
          <w:sz w:val="18"/>
          <w:szCs w:val="18"/>
          <w:color w:val="auto"/>
        </w:rPr>
        <w:t>Management’s estimates of fair value are based upon assumptions believed to be reasonable, but which are inherently uncertain and unpredictable and, as a result, actual results may differ from estimates.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 of revenue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312,630</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279,124</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33,506</w:t>
            </w:r>
          </w:p>
        </w:tc>
        <w:tc>
          <w:tcPr>
            <w:tcW w:w="4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99,836</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92,239</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7,597</w:t>
            </w:r>
          </w:p>
        </w:tc>
        <w:tc>
          <w:tcPr>
            <w:tcW w:w="4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212,794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186,885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25,909</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75,955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70,140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5,815</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31,024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28,305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2,719</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4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162,636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148,479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14,157</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50,158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38,406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11,752</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(1,844)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Change in earn-out liability</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(360)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4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52,680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42,070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10,610</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(1,264)</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45,586</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33,712</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11,874</w:t>
            </w:r>
          </w:p>
        </w:tc>
        <w:tc>
          <w:tcPr>
            <w:tcW w:w="4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of revenue' subtotals may not foot due to rounding</w:t>
      </w:r>
    </w:p>
    <w:p>
      <w:pPr>
        <w:spacing w:after="0" w:line="100" w:lineRule="exact"/>
        <w:rPr>
          <w:sz w:val="20"/>
          <w:szCs w:val="20"/>
          <w:color w:val="auto"/>
        </w:rPr>
      </w:pPr>
    </w:p>
    <w:p>
      <w:pPr>
        <w:ind w:right="260" w:firstLine="538"/>
        <w:spacing w:after="0" w:line="263"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revenues resulted from two primary factors: the increase in recurring revenue customers, which is driven by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growth and by business acquisitions, and the increase in average recurring revenues per recurring revenue customer, which we also refer to as wallet share.</w:t>
      </w:r>
    </w:p>
    <w:p>
      <w:pPr>
        <w:spacing w:after="0" w:line="76" w:lineRule="exact"/>
        <w:rPr>
          <w:sz w:val="20"/>
          <w:szCs w:val="20"/>
          <w:color w:val="auto"/>
        </w:rPr>
      </w:pPr>
    </w:p>
    <w:p>
      <w:pPr>
        <w:ind w:left="1060" w:hanging="52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8% to 33,151 at December 31, 2020 from 30,771 at December 31, 2019.</w:t>
      </w:r>
    </w:p>
    <w:p>
      <w:pPr>
        <w:spacing w:after="0" w:line="130" w:lineRule="exact"/>
        <w:rPr>
          <w:rFonts w:ascii="Arial" w:cs="Arial" w:eastAsia="Arial" w:hAnsi="Arial"/>
          <w:sz w:val="18"/>
          <w:szCs w:val="18"/>
          <w:color w:val="auto"/>
        </w:rPr>
      </w:pPr>
    </w:p>
    <w:p>
      <w:pPr>
        <w:ind w:left="1060" w:right="140" w:hanging="52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Wallet share increased 6% to $9,231 at December 31, 2020 from $8,722 at December 31, 2019. This was primarily attributable to increased usage of our solutions by our recurring revenue customers.</w:t>
      </w:r>
    </w:p>
    <w:p>
      <w:pPr>
        <w:spacing w:after="0" w:line="62" w:lineRule="exact"/>
        <w:rPr>
          <w:sz w:val="20"/>
          <w:szCs w:val="20"/>
          <w:color w:val="auto"/>
        </w:rPr>
      </w:pPr>
    </w:p>
    <w:p>
      <w:pPr>
        <w:jc w:val="both"/>
        <w:ind w:firstLine="538"/>
        <w:spacing w:after="0" w:line="286" w:lineRule="auto"/>
        <w:rPr>
          <w:sz w:val="20"/>
          <w:szCs w:val="20"/>
          <w:color w:val="auto"/>
        </w:rPr>
      </w:pPr>
      <w:r>
        <w:rPr>
          <w:rFonts w:ascii="Arial" w:cs="Arial" w:eastAsia="Arial" w:hAnsi="Arial"/>
          <w:sz w:val="17"/>
          <w:szCs w:val="17"/>
          <w:color w:val="auto"/>
        </w:rPr>
        <w:t>Recurring revenues from recurring revenue customers increased 13% in 2020, as compared to 2019, and accounted for 94% of our total revenues in 2020, unchanged from 94% in 2019. We anticipate that the number of recurring revenue customers and wallet share will continue to increase as we increase the number of solutions we offer and increase the penetration of those solutions across our customer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0574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3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30</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120" w:firstLine="538"/>
        <w:spacing w:after="0" w:line="257"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The increase in cost of revenues was primarily due to increased headcount which resulted in an increase of $5.5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personnel-related costs, such as salaries and benefits, and an increase of $1.1 million in stock-based compensation expense. Additionally, a $1.5 million increase in depreciation expense pertaining to continued investment in infrastructure to support our platform contributed to the increase in cost of revenue. Last, $0.5 million increase in software subscriptions utilized in optimizing internal productivity. The increases were partially offset by a decrease of $1.0 million in network costs.</w:t>
      </w:r>
    </w:p>
    <w:p>
      <w:pPr>
        <w:spacing w:after="0" w:line="80" w:lineRule="exact"/>
        <w:rPr>
          <w:sz w:val="20"/>
          <w:szCs w:val="20"/>
          <w:color w:val="auto"/>
        </w:rPr>
      </w:pPr>
    </w:p>
    <w:p>
      <w:pPr>
        <w:ind w:right="80" w:firstLine="538"/>
        <w:spacing w:after="0" w:line="279"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The increase in sales and marketing expense was primarily due to increased headcount which resulted in increases</w:t>
      </w:r>
      <w:r>
        <w:rPr>
          <w:rFonts w:ascii="Arial" w:cs="Arial" w:eastAsia="Arial" w:hAnsi="Arial"/>
          <w:sz w:val="17"/>
          <w:szCs w:val="17"/>
          <w:i w:val="1"/>
          <w:iCs w:val="1"/>
          <w:color w:val="auto"/>
        </w:rPr>
        <w:t xml:space="preserve"> </w:t>
      </w:r>
      <w:r>
        <w:rPr>
          <w:rFonts w:ascii="Arial" w:cs="Arial" w:eastAsia="Arial" w:hAnsi="Arial"/>
          <w:sz w:val="17"/>
          <w:szCs w:val="17"/>
          <w:color w:val="auto"/>
        </w:rPr>
        <w:t>of $2.7 million in personnel-related costs, such as salaries and benefits, and an increase of $1.2 million in stock-based compensation expense. The increase was also partially related to a $1.2 million increase in variable compensation earned by referral partners. Additionally, increases of $0.4 million in promotional expenses and $0.4 million in software subscriptions utilized in optimizing internal productivity.</w:t>
      </w:r>
    </w:p>
    <w:p>
      <w:pPr>
        <w:spacing w:after="0" w:line="63" w:lineRule="exact"/>
        <w:rPr>
          <w:sz w:val="20"/>
          <w:szCs w:val="20"/>
          <w:color w:val="auto"/>
        </w:rPr>
      </w:pPr>
    </w:p>
    <w:p>
      <w:pPr>
        <w:ind w:firstLine="538"/>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increase in research and development expense was primarily due to increased headcount which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in an increase of $0.7 million in personnel-related costs, such as salaries and benefits, and an increase of $1.0 million in stock-based compensation expense. The increase was also partially related to increases in occupancy expense of $0.4 million, depreciation expense of $0.3 million, and $0.3 million in software subscriptions utilized in optimizing internal productivity.</w:t>
      </w:r>
    </w:p>
    <w:p>
      <w:pPr>
        <w:spacing w:after="0" w:line="79" w:lineRule="exact"/>
        <w:rPr>
          <w:sz w:val="20"/>
          <w:szCs w:val="20"/>
          <w:color w:val="auto"/>
        </w:rPr>
      </w:pPr>
    </w:p>
    <w:p>
      <w:pPr>
        <w:ind w:right="80" w:firstLine="538"/>
        <w:spacing w:after="0" w:line="31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The increase in general and administrative expense was primarily due to continued business growth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resulted in increases of $2.2 million in bad debt expense and $0.4 million in credit card fees. Additionally, increases of $2.0 million in charitable donations and $1.0 million in stock-based compensation expenses led to the overall increase, partially offset by a decrease of $0.2 million in personnel-related costs.</w:t>
      </w:r>
    </w:p>
    <w:p>
      <w:pPr>
        <w:spacing w:after="0" w:line="41" w:lineRule="exact"/>
        <w:rPr>
          <w:sz w:val="20"/>
          <w:szCs w:val="20"/>
          <w:color w:val="auto"/>
        </w:rPr>
      </w:pPr>
    </w:p>
    <w:p>
      <w:pPr>
        <w:ind w:right="100" w:firstLine="538"/>
        <w:spacing w:after="0" w:line="27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The increase in amortization of intangible assets was driven by the amortization of the acquired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Data Masons.</w:t>
      </w:r>
    </w:p>
    <w:p>
      <w:pPr>
        <w:spacing w:after="0" w:line="62" w:lineRule="exact"/>
        <w:rPr>
          <w:sz w:val="20"/>
          <w:szCs w:val="20"/>
          <w:color w:val="auto"/>
        </w:rPr>
      </w:pPr>
    </w:p>
    <w:p>
      <w:pPr>
        <w:ind w:right="300" w:firstLine="538"/>
        <w:spacing w:after="0" w:line="279"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The decrease in interest income, net, other income (expense), net, and change in earn-out liability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interest income from investments and the decrease in the fair value of the earn-out liability, offset by increased realized gains from foreign currency on cash and investments held. The change in fair value of the earn-out liability was driven by an adjustment to the fair value of the EDIAdmin earnout liability due to actual revenue at the earn-out measurement date of December 31, 2020.</w:t>
      </w:r>
    </w:p>
    <w:p>
      <w:pPr>
        <w:spacing w:after="0" w:line="63" w:lineRule="exact"/>
        <w:rPr>
          <w:sz w:val="20"/>
          <w:szCs w:val="20"/>
          <w:color w:val="auto"/>
        </w:rPr>
      </w:pPr>
    </w:p>
    <w:p>
      <w:pPr>
        <w:jc w:val="both"/>
        <w:ind w:right="380" w:firstLine="538"/>
        <w:spacing w:after="0" w:line="263"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The decrease in income tax expense was primarily due to the increase in excess tax deductions from stock activity which</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income tax expense, partially offset by increases in pre-tax net income. See Note M to our consolidated financial statements, included in this Annual Report on Form 10-K, for additional information regarding our income taxes.</w:t>
      </w:r>
    </w:p>
    <w:p>
      <w:pPr>
        <w:spacing w:after="0" w:line="76" w:lineRule="exact"/>
        <w:rPr>
          <w:sz w:val="20"/>
          <w:szCs w:val="20"/>
          <w:color w:val="auto"/>
        </w:rPr>
      </w:pPr>
    </w:p>
    <w:p>
      <w:pPr>
        <w:ind w:right="140" w:firstLine="538"/>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adjusted for depreciation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amortization, investment income (interest income/expense, realized investments gain/loss excluding realized gain/loss from foreign currency on investments), income tax expense, stock-based compensation expense, realized gain/loss from foreign currency on cash and investments held, and other adjustments as necessary for a fair presentation. Other adjustments included the impact of the fair value adjustment for the EDIAdmin earn-out liability, returned escrow shares in 2019 related to the acquisition of Toolbox, and impairment of internally developed software. As part of executing a lease amendment, we incurred accelerated depreciation, included within Depreciation and Amortization, and offsetting accelerated tenant improvement benefit, included within Other. The following table provides a reconciliation of net income to Adjusted EBITDA: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100" w:type="dxa"/>
            <w:vAlign w:val="bottom"/>
            <w:tcBorders>
              <w:bottom w:val="single" w:sz="8" w:color="CFF0FC"/>
            </w:tcBorders>
            <w:vMerge w:val="continue"/>
          </w:tcPr>
          <w:p>
            <w:pPr>
              <w:spacing w:after="0"/>
              <w:rPr>
                <w:sz w:val="13"/>
                <w:szCs w:val="13"/>
                <w:color w:val="auto"/>
              </w:rPr>
            </w:pPr>
          </w:p>
        </w:tc>
        <w:tc>
          <w:tcPr>
            <w:tcW w:w="26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18,665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 net</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Income tax expense</w:t>
            </w: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7,094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w w:val="96"/>
              </w:rPr>
              <w:t>Realized gain from foreign currency on cash and investments held</w:t>
            </w: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(1,753)</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3"/>
        </w:trPr>
        <w:tc>
          <w:tcPr>
            <w:tcW w:w="510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26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86,994</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2620" w:type="dxa"/>
            <w:vAlign w:val="bottom"/>
            <w:vMerge w:val="restart"/>
          </w:tcPr>
          <w:p>
            <w:pPr>
              <w:jc w:val="right"/>
              <w:ind w:right="2068"/>
              <w:spacing w:after="0"/>
              <w:rPr>
                <w:sz w:val="20"/>
                <w:szCs w:val="20"/>
                <w:color w:val="auto"/>
              </w:rPr>
            </w:pPr>
            <w:r>
              <w:rPr>
                <w:rFonts w:ascii="Arial" w:cs="Arial" w:eastAsia="Arial" w:hAnsi="Arial"/>
                <w:sz w:val="14"/>
                <w:szCs w:val="14"/>
                <w:color w:val="auto"/>
              </w:rPr>
              <w:t>31</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10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5"/>
          </w:tcPr>
          <w:p>
            <w:pPr>
              <w:jc w:val="right"/>
              <w:spacing w:after="0"/>
              <w:rPr>
                <w:sz w:val="20"/>
                <w:szCs w:val="20"/>
                <w:color w:val="auto"/>
              </w:rPr>
            </w:pPr>
            <w:r>
              <w:rPr>
                <w:rFonts w:ascii="Arial" w:cs="Arial" w:eastAsia="Arial" w:hAnsi="Arial"/>
                <w:sz w:val="12"/>
                <w:szCs w:val="12"/>
                <w:b w:val="1"/>
                <w:bCs w:val="1"/>
                <w:color w:val="auto"/>
                <w:w w:val="94"/>
              </w:rPr>
              <w:t>Form 10-K for the Annual Period ended December 31, 2020</w:t>
            </w:r>
          </w:p>
        </w:tc>
        <w:tc>
          <w:tcPr>
            <w:tcW w:w="0" w:type="dxa"/>
            <w:vAlign w:val="bottom"/>
          </w:tcPr>
          <w:p>
            <w:pPr>
              <w:spacing w:after="0"/>
              <w:rPr>
                <w:sz w:val="1"/>
                <w:szCs w:val="1"/>
                <w:color w:val="auto"/>
              </w:rPr>
            </w:pPr>
          </w:p>
        </w:tc>
      </w:tr>
      <w:tr>
        <w:trPr>
          <w:trHeight w:val="329"/>
        </w:trPr>
        <w:tc>
          <w:tcPr>
            <w:tcW w:w="51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20" w:firstLine="538"/>
        <w:spacing w:after="0" w:line="293" w:lineRule="auto"/>
        <w:rPr>
          <w:sz w:val="20"/>
          <w:szCs w:val="20"/>
          <w:color w:val="auto"/>
        </w:rPr>
      </w:pPr>
      <w:r>
        <w:rPr>
          <w:rFonts w:ascii="Arial" w:cs="Arial" w:eastAsia="Arial" w:hAnsi="Arial"/>
          <w:sz w:val="16"/>
          <w:szCs w:val="16"/>
          <w:i w:val="1"/>
          <w:iCs w:val="1"/>
          <w:color w:val="auto"/>
        </w:rPr>
        <w:t xml:space="preserve">Non-GAAP Income per Share. </w:t>
      </w:r>
      <w:r>
        <w:rPr>
          <w:rFonts w:ascii="Arial" w:cs="Arial" w:eastAsia="Arial" w:hAnsi="Arial"/>
          <w:sz w:val="16"/>
          <w:szCs w:val="16"/>
          <w:color w:val="auto"/>
        </w:rPr>
        <w:t>Non-GAAP income per share, which is also a non-GAAP measure of financial performance, consists of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plus stock-based compensation expense, amortization expense related to intangible assets, realized gain/loss from foreign currency on cash and investments held, and other adjustments as necessary for a fair presentation, divided by the weighted average number of shares of common stock outstanding during each period. Other adjustments included the impact of the fair value adjustment for the EDIAdmin earn-out liability, returned escrow shares in 2019 related to the acquisition of ToolBox, and impairment of internally developed software. As part of executing a lease amendment, we incurred accelerated depreciation, included within Depreciation and Amortization, and offsetting accelerated tenant improvement benefit, included within Other.</w:t>
      </w:r>
    </w:p>
    <w:p>
      <w:pPr>
        <w:spacing w:after="0" w:line="56" w:lineRule="exact"/>
        <w:rPr>
          <w:sz w:val="20"/>
          <w:szCs w:val="20"/>
          <w:color w:val="auto"/>
        </w:rPr>
      </w:pPr>
    </w:p>
    <w:p>
      <w:pPr>
        <w:jc w:val="both"/>
        <w:ind w:right="140" w:firstLine="538"/>
        <w:spacing w:after="0" w:line="263" w:lineRule="auto"/>
        <w:rPr>
          <w:sz w:val="20"/>
          <w:szCs w:val="20"/>
          <w:color w:val="auto"/>
        </w:rPr>
      </w:pPr>
      <w:r>
        <w:rPr>
          <w:rFonts w:ascii="Arial" w:cs="Arial" w:eastAsia="Arial" w:hAnsi="Arial"/>
          <w:sz w:val="18"/>
          <w:szCs w:val="18"/>
          <w:color w:val="auto"/>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provides a reconciliation of net income to non-GAAP income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18,936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Realized gain from foreign currency on cash and investments held</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(1,753)</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(12,285)</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55,696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36,285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17" w:lineRule="exact"/>
        <w:rPr>
          <w:sz w:val="20"/>
          <w:szCs w:val="20"/>
          <w:color w:val="auto"/>
        </w:rPr>
      </w:pPr>
    </w:p>
    <w:p>
      <w:pPr>
        <w:ind w:right="220" w:firstLine="791"/>
        <w:spacing w:after="0" w:line="263" w:lineRule="auto"/>
        <w:rPr>
          <w:sz w:val="20"/>
          <w:szCs w:val="20"/>
          <w:color w:val="auto"/>
        </w:rPr>
      </w:pPr>
      <w:r>
        <w:rPr>
          <w:rFonts w:ascii="Arial" w:cs="Arial" w:eastAsia="Arial" w:hAnsi="Arial"/>
          <w:sz w:val="18"/>
          <w:szCs w:val="18"/>
          <w:color w:val="auto"/>
        </w:rPr>
        <w:t>The discussion of our results from operations for the year ended December 31, 2019 compared to the year ended December 31, 2018 can be found in Part II, Item 7, “Management’s Discussion and Analysis of Financial Condition and Results of Operations” in the Company’s Annual Report on Form 10-K for the year ended December 31, 2019.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Liquidity and Capital Resources</w:t>
      </w:r>
    </w:p>
    <w:p>
      <w:pPr>
        <w:spacing w:after="0" w:line="121" w:lineRule="exact"/>
        <w:rPr>
          <w:sz w:val="20"/>
          <w:szCs w:val="20"/>
          <w:color w:val="auto"/>
        </w:rPr>
      </w:pPr>
    </w:p>
    <w:p>
      <w:pPr>
        <w:ind w:right="40" w:firstLine="538"/>
        <w:spacing w:after="0" w:line="257" w:lineRule="auto"/>
        <w:rPr>
          <w:sz w:val="20"/>
          <w:szCs w:val="20"/>
          <w:color w:val="auto"/>
        </w:rPr>
      </w:pPr>
      <w:r>
        <w:rPr>
          <w:rFonts w:ascii="Arial" w:cs="Arial" w:eastAsia="Arial" w:hAnsi="Arial"/>
          <w:sz w:val="18"/>
          <w:szCs w:val="18"/>
          <w:color w:val="auto"/>
        </w:rPr>
        <w:t>At December 31, 2020, our principal sources of liquidity were cash and cash equivalents, certificates of deposit, and short-term investments totaling $187.5 million, and accounts receivable, net of allowance for credit losses, of $33.6 million, compared to $213.5 million and $31.5 million, respectively at December 31, 2019. Certificates of deposit and investments are invested in accordance with our investment policy, with a goal of maintaining liquidity and capital preservation. Our cash equivalents and short-term investments are held in highly liquid money market funds, commercial paper, federal agency securities and corporate debt securities.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the activity within the consolidated statement of cash flows: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Twelve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88,562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(120,469)</w:t>
            </w:r>
          </w:p>
        </w:tc>
        <w:tc>
          <w:tcPr>
            <w:tcW w:w="5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(14,313)</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(12,142)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791"/>
        <w:spacing w:after="0" w:line="277" w:lineRule="auto"/>
        <w:rPr>
          <w:sz w:val="20"/>
          <w:szCs w:val="20"/>
          <w:color w:val="auto"/>
        </w:rPr>
      </w:pPr>
      <w:r>
        <w:rPr>
          <w:rFonts w:ascii="Arial" w:cs="Arial" w:eastAsia="Arial" w:hAnsi="Arial"/>
          <w:sz w:val="18"/>
          <w:szCs w:val="18"/>
          <w:color w:val="auto"/>
        </w:rPr>
        <w:t>The discussion of our liquidity and capital resources for the year ended December 31, 2019 compared to the year ended December 31, 2018 can be found in Part II, Item 7, “Management’s Discussion and Analysis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32</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Financial Condition and Results of Operations” in the Company’s Annual Report on Form 10-K for the year ended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increase in operating cash flows was primarily driven by continued business growth, which resulted in increased net income.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117" w:lineRule="exact"/>
        <w:rPr>
          <w:sz w:val="20"/>
          <w:szCs w:val="20"/>
          <w:color w:val="auto"/>
        </w:rPr>
      </w:pPr>
    </w:p>
    <w:p>
      <w:pPr>
        <w:ind w:firstLine="538"/>
        <w:spacing w:after="0" w:line="263" w:lineRule="auto"/>
        <w:rPr>
          <w:sz w:val="20"/>
          <w:szCs w:val="20"/>
          <w:color w:val="auto"/>
        </w:rPr>
      </w:pPr>
      <w:r>
        <w:rPr>
          <w:rFonts w:ascii="Arial" w:cs="Arial" w:eastAsia="Arial" w:hAnsi="Arial"/>
          <w:sz w:val="18"/>
          <w:szCs w:val="18"/>
          <w:color w:val="auto"/>
        </w:rPr>
        <w:t>The decrease in cash used in investing activities was primarily due to an additional $87.2 million in cash used for acquisitions of business and intangible assets, driven by the larger acquisition in 2020 as compared to 2019. Additionally, the change was due to a $16.1 million increase in purchases of investments, net of maturities in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change was primarily due to the $12.4 million increase in net proceeds from stock option exercises.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Foreign Currency Exchange Rate Changes</w:t>
      </w:r>
    </w:p>
    <w:p>
      <w:pPr>
        <w:spacing w:after="0" w:line="117" w:lineRule="exact"/>
        <w:rPr>
          <w:sz w:val="20"/>
          <w:szCs w:val="20"/>
          <w:color w:val="auto"/>
        </w:rPr>
      </w:pPr>
    </w:p>
    <w:p>
      <w:pPr>
        <w:ind w:right="340" w:firstLine="538"/>
        <w:spacing w:after="0" w:line="308" w:lineRule="auto"/>
        <w:rPr>
          <w:sz w:val="20"/>
          <w:szCs w:val="20"/>
          <w:color w:val="auto"/>
        </w:rPr>
      </w:pPr>
      <w:r>
        <w:rPr>
          <w:rFonts w:ascii="Arial" w:cs="Arial" w:eastAsia="Arial" w:hAnsi="Arial"/>
          <w:sz w:val="17"/>
          <w:szCs w:val="17"/>
          <w:color w:val="auto"/>
        </w:rPr>
        <w:t>For information regarding the effect of foreign currency exchange rate changes, refer to the section entitled “</w:t>
      </w:r>
      <w:r>
        <w:rPr>
          <w:rFonts w:ascii="Arial" w:cs="Arial" w:eastAsia="Arial" w:hAnsi="Arial"/>
          <w:sz w:val="17"/>
          <w:szCs w:val="17"/>
          <w:i w:val="1"/>
          <w:iCs w:val="1"/>
          <w:color w:val="auto"/>
        </w:rPr>
        <w:t>Foreign Currency Exchange Risk,</w:t>
      </w:r>
      <w:r>
        <w:rPr>
          <w:rFonts w:ascii="Arial" w:cs="Arial" w:eastAsia="Arial" w:hAnsi="Arial"/>
          <w:sz w:val="17"/>
          <w:szCs w:val="17"/>
          <w:color w:val="auto"/>
        </w:rPr>
        <w:t>” included in Part II, Item 7A, “Quantitative and Qualitative Disclosures About Market Risk” of this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Adequacy of Capital Resources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060" w:hanging="52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30" w:lineRule="exact"/>
        <w:rPr>
          <w:rFonts w:ascii="Arial" w:cs="Arial" w:eastAsia="Arial" w:hAnsi="Arial"/>
          <w:sz w:val="18"/>
          <w:szCs w:val="18"/>
          <w:color w:val="auto"/>
        </w:rPr>
      </w:pPr>
    </w:p>
    <w:p>
      <w:pPr>
        <w:ind w:left="1060" w:right="340" w:hanging="52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our operations in the U.S. and internationally;</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131" w:lineRule="exact"/>
        <w:rPr>
          <w:sz w:val="20"/>
          <w:szCs w:val="20"/>
          <w:color w:val="auto"/>
        </w:rPr>
      </w:pPr>
    </w:p>
    <w:p>
      <w:pPr>
        <w:ind w:right="200" w:firstLine="538"/>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62" w:lineRule="exact"/>
        <w:rPr>
          <w:sz w:val="20"/>
          <w:szCs w:val="20"/>
          <w:color w:val="auto"/>
        </w:rPr>
      </w:pPr>
    </w:p>
    <w:p>
      <w:pPr>
        <w:ind w:right="260" w:firstLine="538"/>
        <w:spacing w:after="0" w:line="277" w:lineRule="auto"/>
        <w:rPr>
          <w:sz w:val="20"/>
          <w:szCs w:val="20"/>
          <w:color w:val="auto"/>
        </w:rPr>
      </w:pPr>
      <w:r>
        <w:rPr>
          <w:rFonts w:ascii="Arial" w:cs="Arial" w:eastAsia="Arial" w:hAnsi="Arial"/>
          <w:sz w:val="18"/>
          <w:szCs w:val="18"/>
          <w:color w:val="auto"/>
        </w:rPr>
        <w:t>We believe our cash, cash equivalents, investments, and cash flows from our operations will be sufficient to meet our working capital and capital expenditure requirements for at least the next twelve months.</w:t>
      </w:r>
    </w:p>
    <w:p>
      <w:pPr>
        <w:spacing w:after="0" w:line="62" w:lineRule="exact"/>
        <w:rPr>
          <w:sz w:val="20"/>
          <w:szCs w:val="20"/>
          <w:color w:val="auto"/>
        </w:rPr>
      </w:pPr>
    </w:p>
    <w:p>
      <w:pPr>
        <w:ind w:right="540" w:firstLine="538"/>
        <w:spacing w:after="0" w:line="277" w:lineRule="auto"/>
        <w:rPr>
          <w:sz w:val="20"/>
          <w:szCs w:val="20"/>
          <w:color w:val="auto"/>
        </w:rPr>
      </w:pPr>
      <w:r>
        <w:rPr>
          <w:rFonts w:ascii="Arial" w:cs="Arial" w:eastAsia="Arial" w:hAnsi="Arial"/>
          <w:sz w:val="18"/>
          <w:szCs w:val="18"/>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60" w:firstLine="538"/>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33</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Contractual and Commercial Commitment Summary</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contractual obligations and commercial commitments as of December 31, 2020 are summarized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Payments Due by Period (in thousands)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1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97"/>
              <w:spacing w:after="0" w:line="147" w:lineRule="exact"/>
              <w:rPr>
                <w:sz w:val="20"/>
                <w:szCs w:val="20"/>
                <w:color w:val="auto"/>
              </w:rPr>
            </w:pPr>
            <w:r>
              <w:rPr>
                <w:rFonts w:ascii="Arial" w:cs="Arial" w:eastAsia="Arial" w:hAnsi="Arial"/>
                <w:sz w:val="14"/>
                <w:szCs w:val="14"/>
                <w:b w:val="1"/>
                <w:bCs w:val="1"/>
                <w:color w:val="auto"/>
                <w:w w:val="95"/>
              </w:rPr>
              <w:t>Less Than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8"/>
              </w:rPr>
              <w:t>More Than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1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3"/>
              </w:rPr>
              <w:t>Contractual Obligations</w:t>
            </w:r>
          </w:p>
        </w:tc>
        <w:tc>
          <w:tcPr>
            <w:tcW w:w="2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17"/>
              <w:spacing w:after="0" w:line="158" w:lineRule="exact"/>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5"/>
                <w:szCs w:val="15"/>
                <w:color w:val="auto"/>
              </w:rPr>
            </w:pPr>
          </w:p>
        </w:tc>
        <w:tc>
          <w:tcPr>
            <w:tcW w:w="86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w w:val="99"/>
              </w:rPr>
              <w:t>3-5 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5"/>
                <w:szCs w:val="15"/>
                <w:color w:val="auto"/>
              </w:rPr>
            </w:pPr>
          </w:p>
        </w:tc>
        <w:tc>
          <w:tcPr>
            <w:tcW w:w="92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Total</w:t>
            </w:r>
          </w:p>
        </w:tc>
      </w:tr>
      <w:tr>
        <w:trPr>
          <w:trHeight w:val="217"/>
        </w:trPr>
        <w:tc>
          <w:tcPr>
            <w:tcW w:w="4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Operating lease obligations, including imputed interest</w:t>
            </w:r>
          </w:p>
        </w:tc>
        <w:tc>
          <w:tcPr>
            <w:tcW w:w="10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9,130</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7,785</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4,753</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25,396</w:t>
            </w: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4180" w:type="dxa"/>
            <w:vAlign w:val="bottom"/>
            <w:gridSpan w:val="2"/>
          </w:tcPr>
          <w:p>
            <w:pPr>
              <w:spacing w:after="0"/>
              <w:rPr>
                <w:sz w:val="20"/>
                <w:szCs w:val="20"/>
                <w:color w:val="auto"/>
              </w:rPr>
            </w:pPr>
            <w:r>
              <w:rPr>
                <w:rFonts w:ascii="Arial" w:cs="Arial" w:eastAsia="Arial" w:hAnsi="Arial"/>
                <w:sz w:val="14"/>
                <w:szCs w:val="14"/>
                <w:color w:val="auto"/>
              </w:rPr>
              <w:t>Purchase commitments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11,413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17,925</w:t>
            </w:r>
          </w:p>
        </w:tc>
        <w:tc>
          <w:tcPr>
            <w:tcW w:w="100" w:type="dxa"/>
            <w:vAlign w:val="bottom"/>
          </w:tcPr>
          <w:p>
            <w:pPr>
              <w:spacing w:after="0"/>
              <w:rPr>
                <w:sz w:val="19"/>
                <w:szCs w:val="19"/>
                <w:color w:val="auto"/>
              </w:rPr>
            </w:pPr>
          </w:p>
        </w:tc>
      </w:tr>
      <w:tr>
        <w:trPr>
          <w:trHeight w:val="223"/>
        </w:trPr>
        <w:tc>
          <w:tcPr>
            <w:tcW w:w="1500" w:type="dxa"/>
            <w:vAlign w:val="bottom"/>
            <w:tcBorders>
              <w:top w:val="single" w:sz="8" w:color="CFF0FC"/>
            </w:tcBorders>
            <w:shd w:val="clear" w:color="auto" w:fill="CFF0FC"/>
          </w:tcPr>
          <w:p>
            <w:pPr>
              <w:spacing w:after="0"/>
              <w:rPr>
                <w:sz w:val="19"/>
                <w:szCs w:val="19"/>
                <w:color w:val="auto"/>
              </w:rPr>
            </w:pPr>
          </w:p>
        </w:tc>
        <w:tc>
          <w:tcPr>
            <w:tcW w:w="26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43,321</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60" w:firstLine="538"/>
        <w:spacing w:after="0" w:line="263" w:lineRule="auto"/>
        <w:rPr>
          <w:sz w:val="20"/>
          <w:szCs w:val="20"/>
          <w:color w:val="auto"/>
        </w:rPr>
      </w:pPr>
      <w:r>
        <w:rPr>
          <w:rFonts w:ascii="Arial" w:cs="Arial" w:eastAsia="Arial" w:hAnsi="Arial"/>
          <w:sz w:val="18"/>
          <w:szCs w:val="18"/>
          <w:color w:val="auto"/>
        </w:rPr>
        <w:t>For information regarding recent accounting pronouncements, refer to Note A, General, in our Notes to Consolidated Financial Statements in the sections entitled “Recently Adopted Accounting Pronouncements” and “Accounting Pronouncements Not Yet Adopted” as applicable, included in Part II, Item 8, “Financial Instruments and Supplementary Data” of this Annual Report on Form 10-K.</w:t>
      </w:r>
    </w:p>
    <w:p>
      <w:pPr>
        <w:spacing w:after="0" w:line="2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7A.</w:t>
      </w:r>
      <w:r>
        <w:rPr>
          <w:sz w:val="20"/>
          <w:szCs w:val="20"/>
          <w:color w:val="auto"/>
        </w:rPr>
        <w:tab/>
      </w:r>
      <w:r>
        <w:rPr>
          <w:rFonts w:ascii="Arial" w:cs="Arial" w:eastAsia="Arial" w:hAnsi="Arial"/>
          <w:sz w:val="16"/>
          <w:szCs w:val="16"/>
          <w:b w:val="1"/>
          <w:bCs w:val="1"/>
          <w:color w:val="00AAE5"/>
        </w:rPr>
        <w:t>Quantitative and Qualitative Disclosures About Market Risk</w:t>
      </w:r>
    </w:p>
    <w:p>
      <w:pPr>
        <w:spacing w:after="0" w:line="121" w:lineRule="exact"/>
        <w:rPr>
          <w:sz w:val="20"/>
          <w:szCs w:val="20"/>
          <w:color w:val="auto"/>
        </w:rPr>
      </w:pPr>
    </w:p>
    <w:p>
      <w:pPr>
        <w:ind w:right="80" w:firstLine="538"/>
        <w:spacing w:after="0" w:line="301" w:lineRule="auto"/>
        <w:rPr>
          <w:sz w:val="20"/>
          <w:szCs w:val="20"/>
          <w:color w:val="auto"/>
        </w:rPr>
      </w:pPr>
      <w:r>
        <w:rPr>
          <w:rFonts w:ascii="Arial" w:cs="Arial" w:eastAsia="Arial" w:hAnsi="Arial"/>
          <w:sz w:val="16"/>
          <w:szCs w:val="16"/>
          <w:i w:val="1"/>
          <w:iCs w:val="1"/>
          <w:color w:val="auto"/>
        </w:rPr>
        <w:t xml:space="preserve">Interest Rate Sensitivity Risk. </w:t>
      </w:r>
      <w:r>
        <w:rPr>
          <w:rFonts w:ascii="Arial" w:cs="Arial" w:eastAsia="Arial" w:hAnsi="Arial"/>
          <w:sz w:val="16"/>
          <w:szCs w:val="16"/>
          <w:color w:val="auto"/>
        </w:rPr>
        <w:t>The principal objectives of our investment activities are to preserve principal, provide liquidity and maximize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minimizing risk of material loss. We are exposed to market risk related to changes in interest rates. However, based on the nature and current level of our investments (primarily cash and cash equivalents, which approximate fair value due to their short maturities, certificates of deposit and marketable securities), we believe there is no material risk exposure. We do not enter into investments for trading or speculative purposes.</w:t>
      </w:r>
    </w:p>
    <w:p>
      <w:pPr>
        <w:spacing w:after="0" w:line="49" w:lineRule="exact"/>
        <w:rPr>
          <w:sz w:val="20"/>
          <w:szCs w:val="20"/>
          <w:color w:val="auto"/>
        </w:rPr>
      </w:pPr>
    </w:p>
    <w:p>
      <w:pPr>
        <w:ind w:right="560" w:firstLine="538"/>
        <w:spacing w:after="0" w:line="277" w:lineRule="auto"/>
        <w:rPr>
          <w:sz w:val="20"/>
          <w:szCs w:val="20"/>
          <w:color w:val="auto"/>
        </w:rPr>
      </w:pPr>
      <w:r>
        <w:rPr>
          <w:rFonts w:ascii="Arial" w:cs="Arial" w:eastAsia="Arial" w:hAnsi="Arial"/>
          <w:sz w:val="18"/>
          <w:szCs w:val="18"/>
          <w:color w:val="auto"/>
        </w:rPr>
        <w:t>We did not have any variable interest rate outstanding debt as of December 31, 2020 and 2019. We therefore do not have any material risk to interest rate fluctuations.</w:t>
      </w:r>
    </w:p>
    <w:p>
      <w:pPr>
        <w:spacing w:after="0" w:line="62" w:lineRule="exact"/>
        <w:rPr>
          <w:sz w:val="20"/>
          <w:szCs w:val="20"/>
          <w:color w:val="auto"/>
        </w:rPr>
      </w:pPr>
    </w:p>
    <w:p>
      <w:pPr>
        <w:ind w:right="20" w:firstLine="538"/>
        <w:spacing w:after="0" w:line="271" w:lineRule="auto"/>
        <w:rPr>
          <w:sz w:val="20"/>
          <w:szCs w:val="20"/>
          <w:color w:val="auto"/>
        </w:rPr>
      </w:pPr>
      <w:r>
        <w:rPr>
          <w:rFonts w:ascii="Arial" w:cs="Arial" w:eastAsia="Arial" w:hAnsi="Arial"/>
          <w:sz w:val="17"/>
          <w:szCs w:val="17"/>
          <w:i w:val="1"/>
          <w:iCs w:val="1"/>
          <w:color w:val="auto"/>
        </w:rPr>
        <w:t xml:space="preserve">Foreign Currency Exchange Risk. </w:t>
      </w:r>
      <w:r>
        <w:rPr>
          <w:rFonts w:ascii="Arial" w:cs="Arial" w:eastAsia="Arial" w:hAnsi="Arial"/>
          <w:sz w:val="17"/>
          <w:szCs w:val="17"/>
          <w:color w:val="auto"/>
        </w:rPr>
        <w:t>We have revenue, expenses, assets, and liabilities that are denominated in currencies other than the U.S. dollar,</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the Australian and Canadian dollars. As of December 31, 2020, we maintained approximately 7% of our total cash and cash equivalents outside of the U.S. in foreign currencies, primarily in Australian and Canadian dollars. Our results of operations and cash flows were not materially affected by fluctuation in foreign currency exchange rates and we believe that a hypothetical 10% change in foreign currency exchange rates or an inability to access foreign funds would not materially affect our ability to meet our operational needs or result in a material foreign currency loss in the future.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20574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00AAE5"/>
              </w:rPr>
              <w:t>Item 8.</w:t>
            </w:r>
          </w:p>
        </w:tc>
        <w:tc>
          <w:tcPr>
            <w:tcW w:w="7040" w:type="dxa"/>
            <w:vAlign w:val="bottom"/>
          </w:tcPr>
          <w:p>
            <w:pPr>
              <w:ind w:left="260"/>
              <w:spacing w:after="0"/>
              <w:rPr>
                <w:sz w:val="20"/>
                <w:szCs w:val="20"/>
                <w:color w:val="auto"/>
              </w:rPr>
            </w:pPr>
            <w:r>
              <w:rPr>
                <w:rFonts w:ascii="Arial" w:cs="Arial" w:eastAsia="Arial" w:hAnsi="Arial"/>
                <w:sz w:val="18"/>
                <w:szCs w:val="18"/>
                <w:b w:val="1"/>
                <w:bCs w:val="1"/>
                <w:color w:val="00AAE5"/>
              </w:rPr>
              <w:t>Financial Statements and Supplementary Data</w:t>
            </w:r>
          </w:p>
        </w:tc>
        <w:tc>
          <w:tcPr>
            <w:tcW w:w="2420" w:type="dxa"/>
            <w:vAlign w:val="bottom"/>
          </w:tcPr>
          <w:p>
            <w:pPr>
              <w:spacing w:after="0"/>
              <w:rPr>
                <w:sz w:val="20"/>
                <w:szCs w:val="20"/>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b w:val="1"/>
                <w:bCs w:val="1"/>
                <w:color w:val="00AAE5"/>
              </w:rPr>
              <w:t>SPS Commerce, Inc. and Subsidiaries Consolidated Financial Statements</w:t>
            </w:r>
          </w:p>
        </w:tc>
        <w:tc>
          <w:tcPr>
            <w:tcW w:w="2420" w:type="dxa"/>
            <w:vAlign w:val="bottom"/>
          </w:tcPr>
          <w:p>
            <w:pPr>
              <w:spacing w:after="0"/>
              <w:rPr>
                <w:sz w:val="24"/>
                <w:szCs w:val="24"/>
                <w:color w:val="auto"/>
              </w:rPr>
            </w:pPr>
          </w:p>
        </w:tc>
      </w:tr>
      <w:tr>
        <w:trPr>
          <w:trHeight w:val="418"/>
        </w:trPr>
        <w:tc>
          <w:tcPr>
            <w:tcW w:w="786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Reports of Independent Registered Public Accounting Firm</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Consolidated Balance Sheets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Consolidated Statements of Comprehensive Income</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Consolidated Statements of Stockholders’ Equity</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Consolidated Statements of Cash Flows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860" w:type="dxa"/>
            <w:vAlign w:val="bottom"/>
            <w:gridSpan w:val="2"/>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Notes to Consolidated Financial Statements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205740"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35</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have audited the accompanying consolidated balance sheets of SPS Commerce, Inc. and subsidiaries (the Company) as of December 31, 2020 and 2019, the related consolidated statements of comprehensive income, stockholders’ equity, and cash flows for each of the years in the three-year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5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23, 2021 expressed an unqualified opinion on the effectiveness of the Company’s internal control over financial reporting.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As discussed in Note A to the consolidated financial statements, the Company has changed its method of accounting for leases as of January 1, 2019 due to the adoption of Financial Accounting Standards Board’s Accounting Standards Codification (ASC) Topic 842,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05740"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0"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36</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320"/>
        <w:spacing w:after="0"/>
        <w:rPr>
          <w:sz w:val="20"/>
          <w:szCs w:val="20"/>
          <w:color w:val="auto"/>
        </w:rPr>
      </w:pPr>
      <w:r>
        <w:rPr>
          <w:rFonts w:ascii="Arial" w:cs="Arial" w:eastAsia="Arial" w:hAnsi="Arial"/>
          <w:sz w:val="18"/>
          <w:szCs w:val="18"/>
          <w:i w:val="1"/>
          <w:iCs w:val="1"/>
          <w:color w:val="auto"/>
        </w:rPr>
        <w:t>Assessment of the capitalized internal costs to develop internal-use software</w:t>
      </w:r>
    </w:p>
    <w:p>
      <w:pPr>
        <w:spacing w:after="0" w:line="117" w:lineRule="exact"/>
        <w:rPr>
          <w:sz w:val="20"/>
          <w:szCs w:val="20"/>
          <w:color w:val="auto"/>
        </w:rPr>
      </w:pPr>
    </w:p>
    <w:p>
      <w:pPr>
        <w:ind w:left="320" w:right="80"/>
        <w:spacing w:after="0" w:line="263" w:lineRule="auto"/>
        <w:rPr>
          <w:sz w:val="20"/>
          <w:szCs w:val="20"/>
          <w:color w:val="auto"/>
        </w:rPr>
      </w:pPr>
      <w:r>
        <w:rPr>
          <w:rFonts w:ascii="Arial" w:cs="Arial" w:eastAsia="Arial" w:hAnsi="Arial"/>
          <w:sz w:val="18"/>
          <w:szCs w:val="18"/>
          <w:color w:val="auto"/>
        </w:rPr>
        <w:t>As discussed in Note A to the consolidated financial statements, the Company capitalizes costs incurred to develop internal-use software during the application development stage. Capitalized internal-use software is recorded within property and equipment and depreciated over the estimated useful life.</w:t>
      </w:r>
    </w:p>
    <w:p>
      <w:pPr>
        <w:spacing w:after="0" w:line="76" w:lineRule="exact"/>
        <w:rPr>
          <w:sz w:val="20"/>
          <w:szCs w:val="20"/>
          <w:color w:val="auto"/>
        </w:rPr>
      </w:pPr>
    </w:p>
    <w:p>
      <w:pPr>
        <w:ind w:left="320" w:right="320"/>
        <w:spacing w:after="0" w:line="263" w:lineRule="auto"/>
        <w:rPr>
          <w:sz w:val="20"/>
          <w:szCs w:val="20"/>
          <w:color w:val="auto"/>
        </w:rPr>
      </w:pPr>
      <w:r>
        <w:rPr>
          <w:rFonts w:ascii="Arial" w:cs="Arial" w:eastAsia="Arial" w:hAnsi="Arial"/>
          <w:sz w:val="18"/>
          <w:szCs w:val="18"/>
          <w:color w:val="auto"/>
        </w:rPr>
        <w:t>We identified the assessment of the capitalized internal costs to develop internal-use software as a critical audit matter. Subjective auditor judgment was required to assess the stage of software development for new internal-use software or upgrades and enhancements for existing internal-use software, which determines when costs should be capitalized.</w:t>
      </w:r>
    </w:p>
    <w:p>
      <w:pPr>
        <w:spacing w:after="0" w:line="76" w:lineRule="exact"/>
        <w:rPr>
          <w:sz w:val="20"/>
          <w:szCs w:val="20"/>
          <w:color w:val="auto"/>
        </w:rPr>
      </w:pPr>
    </w:p>
    <w:p>
      <w:pPr>
        <w:ind w:left="320" w:right="80"/>
        <w:spacing w:after="0" w:line="271"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internal-use software process. This included controls related to the evaluation and approval of new internal-use software projects or upgrades and enhancements to existing internal-use software projects, monitoring of the software development stage, and capitalization of internal costs. We examined a sample of capitalized internal-use software costs to evaluate costs that were capitalized for new internal-use software or upgrades and enhancements for existing internal-use software. For each sample, we evaluated the capitalized costs and assessed the stage of software development by inspecting underlying documentation and inquiring of the Company’s technology developers performing the internal-use software development activities regarding the specific nature, stage of completion, and hours incurred on the project.</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Evaluation of the acquisition-date fair value of subscriber relationships and developed technology intangible assets</w:t>
      </w:r>
    </w:p>
    <w:p>
      <w:pPr>
        <w:spacing w:after="0" w:line="117" w:lineRule="exact"/>
        <w:rPr>
          <w:sz w:val="20"/>
          <w:szCs w:val="20"/>
          <w:color w:val="auto"/>
        </w:rPr>
      </w:pPr>
    </w:p>
    <w:p>
      <w:pPr>
        <w:ind w:left="320" w:right="40"/>
        <w:spacing w:after="0" w:line="279" w:lineRule="auto"/>
        <w:rPr>
          <w:sz w:val="20"/>
          <w:szCs w:val="20"/>
          <w:color w:val="auto"/>
        </w:rPr>
      </w:pPr>
      <w:r>
        <w:rPr>
          <w:rFonts w:ascii="Arial" w:cs="Arial" w:eastAsia="Arial" w:hAnsi="Arial"/>
          <w:sz w:val="17"/>
          <w:szCs w:val="17"/>
          <w:color w:val="auto"/>
        </w:rPr>
        <w:t>As discussed in Notes A and B to the consolidated financial statements, on December 16, 2020, the Company acquired Data Masons for a purchase price of $100 million. The Company records all assets and liabilities, including intangible assets, acquired in a business combination at fair value. As a result of the transaction, the Company acquired subscriber relationships and developed technology intangible assets. The acquisition-date fair value for these assets was $17.6 million and $25.4 million, respectively.</w:t>
      </w:r>
    </w:p>
    <w:p>
      <w:pPr>
        <w:spacing w:after="0" w:line="63" w:lineRule="exact"/>
        <w:rPr>
          <w:sz w:val="20"/>
          <w:szCs w:val="20"/>
          <w:color w:val="auto"/>
        </w:rPr>
      </w:pPr>
    </w:p>
    <w:p>
      <w:pPr>
        <w:jc w:val="both"/>
        <w:ind w:left="320" w:right="40"/>
        <w:spacing w:after="0" w:line="311" w:lineRule="auto"/>
        <w:rPr>
          <w:sz w:val="20"/>
          <w:szCs w:val="20"/>
          <w:color w:val="auto"/>
        </w:rPr>
      </w:pPr>
      <w:r>
        <w:rPr>
          <w:rFonts w:ascii="Arial" w:cs="Arial" w:eastAsia="Arial" w:hAnsi="Arial"/>
          <w:sz w:val="16"/>
          <w:szCs w:val="16"/>
          <w:color w:val="auto"/>
        </w:rPr>
        <w:t>We identified the evaluation of the acquisition-date fair value of subscriber relationships and developed technology intangible assets as a critical audit matter. A higher degree of subjective auditor judgment was required in evaluating assumptions regarding future revenue growth rates from acquired subscriber relationships and acquired technology and discount rates used in the respective fair value measurements.</w:t>
      </w:r>
    </w:p>
    <w:p>
      <w:pPr>
        <w:spacing w:after="0" w:line="41" w:lineRule="exact"/>
        <w:rPr>
          <w:sz w:val="20"/>
          <w:szCs w:val="20"/>
          <w:color w:val="auto"/>
        </w:rPr>
      </w:pPr>
    </w:p>
    <w:p>
      <w:pPr>
        <w:ind w:left="320" w:right="20"/>
        <w:spacing w:after="0" w:line="266"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acquisition-date valuation process. This included controls related to the development of the future revenue growth rates and discount rates. To assess the future revenue growth rates used in the valuations, we compared forecasted revenue to Data Masons’ historical actual results, and we evaluated the future revenue growth rates from existing customers by comparing the future revenue growth rates to those of comparable companies and industry data. In addition, we involved valuation professionals with specialized skills and knowledge, who assisted in:</w:t>
      </w:r>
    </w:p>
    <w:p>
      <w:pPr>
        <w:spacing w:after="0" w:line="4" w:lineRule="exact"/>
        <w:rPr>
          <w:sz w:val="20"/>
          <w:szCs w:val="20"/>
          <w:color w:val="auto"/>
        </w:rPr>
      </w:pPr>
    </w:p>
    <w:p>
      <w:pPr>
        <w:ind w:left="1100" w:right="440" w:hanging="392"/>
        <w:spacing w:after="0" w:line="208"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evaluating the discount rates by comparing them against discount rates ranges that were independently developed using publicly</w:t>
      </w:r>
      <w:r>
        <w:rPr>
          <w:rFonts w:ascii="Arial" w:cs="Arial" w:eastAsia="Arial" w:hAnsi="Arial"/>
          <w:sz w:val="22"/>
          <w:szCs w:val="22"/>
          <w:color w:val="auto"/>
        </w:rPr>
        <w:t xml:space="preserve"> </w:t>
      </w:r>
      <w:r>
        <w:rPr>
          <w:rFonts w:ascii="Arial" w:cs="Arial" w:eastAsia="Arial" w:hAnsi="Arial"/>
          <w:sz w:val="17"/>
          <w:szCs w:val="17"/>
          <w:color w:val="auto"/>
        </w:rPr>
        <w:t xml:space="preserve">available market data for comparable companies, </w:t>
      </w:r>
      <w:r>
        <w:rPr>
          <w:rFonts w:ascii="Arial" w:cs="Arial" w:eastAsia="Arial" w:hAnsi="Arial"/>
          <w:sz w:val="17"/>
          <w:szCs w:val="17"/>
          <w:i w:val="1"/>
          <w:iCs w:val="1"/>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137160</wp:posOffset>
            </wp:positionV>
            <wp:extent cx="205740"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76" w:lineRule="exact"/>
        <w:rPr>
          <w:sz w:val="20"/>
          <w:szCs w:val="20"/>
          <w:color w:val="auto"/>
        </w:rPr>
      </w:pPr>
    </w:p>
    <w:p>
      <w:pPr>
        <w:spacing w:after="0"/>
        <w:tabs>
          <w:tab w:leader="none" w:pos="4940" w:val="left"/>
          <w:tab w:leader="none" w:pos="77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37</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220980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800" w:top="665" w:right="339" w:bottom="1440" w:gutter="0" w:footer="0" w:header="0"/>
        </w:sectPr>
      </w:pPr>
    </w:p>
    <w:bookmarkStart w:id="37" w:name="page38"/>
    <w:bookmarkEnd w:id="37"/>
    <w:p>
      <w:pPr>
        <w:ind w:left="1580" w:right="340" w:hanging="392"/>
        <w:spacing w:after="0" w:line="226"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performing a sensitivity analysis by developing estimates of the acquisition-date fair value of the subscriber relationships and</w:t>
      </w:r>
      <w:r>
        <w:rPr>
          <w:rFonts w:ascii="Arial" w:cs="Arial" w:eastAsia="Arial" w:hAnsi="Arial"/>
          <w:sz w:val="22"/>
          <w:szCs w:val="22"/>
          <w:color w:val="auto"/>
        </w:rPr>
        <w:t xml:space="preserve"> </w:t>
      </w:r>
      <w:r>
        <w:rPr>
          <w:rFonts w:ascii="Arial" w:cs="Arial" w:eastAsia="Arial" w:hAnsi="Arial"/>
          <w:sz w:val="17"/>
          <w:szCs w:val="17"/>
          <w:color w:val="auto"/>
        </w:rPr>
        <w:t>developed technology intangible assets using reasonably possible changes to forecasted revenue and the independently developed discount rates, and comparing the results to the Company’s fair value estimates.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5740"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8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38</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We have audited SPS Commerce, Inc. and subsidiaries’ (the Company)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r>
        <w:rPr>
          <w:rFonts w:ascii="Arial" w:cs="Arial" w:eastAsia="Arial" w:hAnsi="Arial"/>
          <w:sz w:val="16"/>
          <w:szCs w:val="16"/>
          <w:i w:val="1"/>
          <w:iCs w:val="1"/>
          <w:color w:val="auto"/>
        </w:rPr>
        <w:t>.</w:t>
      </w:r>
      <w:r>
        <w:rPr>
          <w:rFonts w:ascii="Arial" w:cs="Arial" w:eastAsia="Arial" w:hAnsi="Arial"/>
          <w:sz w:val="16"/>
          <w:szCs w:val="16"/>
          <w:color w:val="auto"/>
        </w:rPr>
        <w:t xml:space="preserve"> In our opinion, the Company maintained, in all material respects, effective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4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2020 and 2019, the related consolidated statements of comprehensive income, stockholders’ equity, and cash flows for each of the years in the three-year period ended December 31, 2020, and the related notes (collectively, the consolidated financial statements), and our report dated February 23, 2021, expressed an unqualified opinion on those consolidated financial statements.</w:t>
      </w:r>
    </w:p>
    <w:p>
      <w:pPr>
        <w:spacing w:after="0" w:line="4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acquired the Data Masons business during 2020, and management excluded from its assessment of the effectiveness of the Company’s internal control over financial reporting as of December 31, 2020, Data Masons’ internal control over financial reporting associated with total assets of approximately 3% and total revenues of less than 1%, in the consolidated financial statements of the Company as of and for the year ended December 31, 2020. Our audit of internal control over financial reporting of the Company also excluded an evaluation of the internal control over financial reporting of the Data Masons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05740"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36"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39</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5740"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8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40</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shares)</w:t>
            </w: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348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149,692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37,786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37,811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380"/>
              <w:spacing w:after="0"/>
              <w:rPr>
                <w:sz w:val="20"/>
                <w:szCs w:val="20"/>
                <w:color w:val="auto"/>
              </w:rPr>
            </w:pPr>
            <w:r>
              <w:rPr>
                <w:rFonts w:ascii="Arial" w:cs="Arial" w:eastAsia="Arial" w:hAnsi="Arial"/>
                <w:sz w:val="16"/>
                <w:szCs w:val="16"/>
                <w:color w:val="auto"/>
              </w:rPr>
              <w:t>Allowance for credit losses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(4,233)</w:t>
            </w:r>
          </w:p>
        </w:tc>
        <w:tc>
          <w:tcPr>
            <w:tcW w:w="4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Accounts receivable, net</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33,578</w:t>
            </w:r>
          </w:p>
        </w:tc>
        <w:tc>
          <w:tcPr>
            <w:tcW w:w="2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31,532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37,988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12,312</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271,356</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291,621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26,432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15,581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134,853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INTANGIBLE ASSETS,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60,230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INVESTMENTS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costs, non-current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income tax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 non-current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2,705</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526,458</w:t>
            </w:r>
          </w:p>
        </w:tc>
        <w:tc>
          <w:tcPr>
            <w:tcW w:w="28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447,440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ind w:left="20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Accrued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22,872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22,303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37,947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2,798</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80,132</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68,030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revenue, non-current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2,996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 non-current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19,672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income tax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2,937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liabilities, non-current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liabilities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105,737</w:t>
            </w:r>
          </w:p>
        </w:tc>
        <w:tc>
          <w:tcPr>
            <w:tcW w:w="280" w:type="dxa"/>
            <w:vAlign w:val="bottom"/>
            <w:tcBorders>
              <w:bottom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92,564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$0.001 par value; 5,000,000 shares authorized; 0 shares issued and outstanding</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720" w:type="dxa"/>
            <w:vAlign w:val="bottom"/>
          </w:tcPr>
          <w:p>
            <w:pPr>
              <w:ind w:left="260"/>
              <w:spacing w:after="0"/>
              <w:rPr>
                <w:sz w:val="20"/>
                <w:szCs w:val="20"/>
                <w:color w:val="auto"/>
              </w:rPr>
            </w:pPr>
            <w:r>
              <w:rPr>
                <w:rFonts w:ascii="Arial" w:cs="Arial" w:eastAsia="Arial" w:hAnsi="Arial"/>
                <w:sz w:val="16"/>
                <w:szCs w:val="16"/>
                <w:color w:val="auto"/>
                <w:w w:val="94"/>
              </w:rPr>
              <w:t>Common stock, $0.001 par value; 110,000,000 and 55,000,000 shares authorized; 37,100,467 and 36,104,619</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60"/>
              <w:spacing w:after="0"/>
              <w:rPr>
                <w:sz w:val="20"/>
                <w:szCs w:val="20"/>
                <w:color w:val="auto"/>
              </w:rPr>
            </w:pPr>
            <w:r>
              <w:rPr>
                <w:rFonts w:ascii="Arial" w:cs="Arial" w:eastAsia="Arial" w:hAnsi="Arial"/>
                <w:sz w:val="16"/>
                <w:szCs w:val="16"/>
                <w:color w:val="auto"/>
              </w:rPr>
              <w:t>shares issued; and 35,487,217 and 34,863,271 shares outstanding, respectively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 stock, at cost; 1,613,250 and 1,241,348 shares, respectively</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(65,247)</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(46,297)</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393,462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354,115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93,490</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48,973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(1,021)</w:t>
            </w:r>
          </w:p>
        </w:tc>
        <w:tc>
          <w:tcPr>
            <w:tcW w:w="4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420,721</w:t>
            </w:r>
          </w:p>
        </w:tc>
        <w:tc>
          <w:tcPr>
            <w:tcW w:w="2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354,876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526,458</w:t>
            </w:r>
          </w:p>
        </w:tc>
        <w:tc>
          <w:tcPr>
            <w:tcW w:w="280" w:type="dxa"/>
            <w:vAlign w:val="bottom"/>
          </w:tcPr>
          <w:p>
            <w:pPr>
              <w:spacing w:after="0"/>
              <w:rPr>
                <w:sz w:val="17"/>
                <w:szCs w:val="17"/>
                <w:color w:val="auto"/>
              </w:rPr>
            </w:pP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447,440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41</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80" w:type="dxa"/>
            <w:vAlign w:val="bottom"/>
            <w:tcBorders>
              <w:bottom w:val="single" w:sz="8" w:color="CFF0FC"/>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312,630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99,836</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212,794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186,885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75,955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70,140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162,636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148,479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38,406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Change in earn-out liability</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42,070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45,586</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33,712</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(expense)</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investments, net of tax of ($3), $122 and $132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80" w:type="dxa"/>
            <w:vAlign w:val="bottom"/>
          </w:tcPr>
          <w:p>
            <w:pPr>
              <w:ind w:left="260"/>
              <w:spacing w:after="0"/>
              <w:rPr>
                <w:sz w:val="20"/>
                <w:szCs w:val="20"/>
                <w:color w:val="auto"/>
              </w:rPr>
            </w:pPr>
            <w:r>
              <w:rPr>
                <w:rFonts w:ascii="Arial" w:cs="Arial" w:eastAsia="Arial" w:hAnsi="Arial"/>
                <w:sz w:val="18"/>
                <w:szCs w:val="18"/>
                <w:color w:val="auto"/>
                <w:w w:val="93"/>
              </w:rPr>
              <w:t>Reclassification of unrealized gain on investments into earnings, net of tax of ($52),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($133) and ($91)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(398)</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comprehensive income (expense)</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46,516</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34,971</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Net income per share</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Diluted</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0.94</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36,002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42</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Retained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1"/>
              </w:rPr>
              <w:t>Additional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Earnings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3"/>
              </w:rPr>
              <w:t>Total</w:t>
            </w:r>
          </w:p>
        </w:tc>
      </w:tr>
      <w:tr>
        <w:trPr>
          <w:trHeight w:val="143"/>
        </w:trPr>
        <w:tc>
          <w:tcPr>
            <w:tcW w:w="2140" w:type="dxa"/>
            <w:vAlign w:val="bottom"/>
          </w:tcPr>
          <w:p>
            <w:pPr>
              <w:spacing w:after="0"/>
              <w:rPr>
                <w:sz w:val="12"/>
                <w:szCs w:val="12"/>
                <w:color w:val="auto"/>
              </w:rPr>
            </w:pPr>
          </w:p>
        </w:tc>
        <w:tc>
          <w:tcPr>
            <w:tcW w:w="2020" w:type="dxa"/>
            <w:vAlign w:val="bottom"/>
            <w:tcBorders>
              <w:bottom w:val="single" w:sz="8" w:color="auto"/>
            </w:tcBorders>
            <w:gridSpan w:val="5"/>
          </w:tcPr>
          <w:p>
            <w:pPr>
              <w:jc w:val="right"/>
              <w:ind w:right="577"/>
              <w:spacing w:after="0"/>
              <w:rPr>
                <w:sz w:val="20"/>
                <w:szCs w:val="20"/>
                <w:color w:val="auto"/>
              </w:rPr>
            </w:pPr>
            <w:r>
              <w:rPr>
                <w:rFonts w:ascii="Arial" w:cs="Arial" w:eastAsia="Arial" w:hAnsi="Arial"/>
                <w:sz w:val="12"/>
                <w:szCs w:val="12"/>
                <w:b w:val="1"/>
                <w:bCs w:val="1"/>
                <w:color w:val="auto"/>
              </w:rPr>
              <w:t>Common Stock</w:t>
            </w:r>
          </w:p>
        </w:tc>
        <w:tc>
          <w:tcPr>
            <w:tcW w:w="180" w:type="dxa"/>
            <w:vAlign w:val="bottom"/>
          </w:tcPr>
          <w:p>
            <w:pPr>
              <w:spacing w:after="0"/>
              <w:rPr>
                <w:sz w:val="12"/>
                <w:szCs w:val="12"/>
                <w:color w:val="auto"/>
              </w:rPr>
            </w:pPr>
          </w:p>
        </w:tc>
        <w:tc>
          <w:tcPr>
            <w:tcW w:w="202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2"/>
                <w:szCs w:val="12"/>
                <w:b w:val="1"/>
                <w:bCs w:val="1"/>
                <w:color w:val="auto"/>
              </w:rPr>
              <w:t>Treasury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Comprehensive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Stockholders'</w:t>
            </w:r>
          </w:p>
        </w:tc>
      </w:tr>
      <w:tr>
        <w:trPr>
          <w:trHeight w:val="142"/>
        </w:trPr>
        <w:tc>
          <w:tcPr>
            <w:tcW w:w="2140" w:type="dxa"/>
            <w:vAlign w:val="bottom"/>
          </w:tcPr>
          <w:p>
            <w:pPr>
              <w:spacing w:after="0"/>
              <w:rPr>
                <w:sz w:val="20"/>
                <w:szCs w:val="20"/>
                <w:color w:val="auto"/>
              </w:rPr>
            </w:pPr>
            <w:r>
              <w:rPr>
                <w:rFonts w:ascii="Arial" w:cs="Arial" w:eastAsia="Arial" w:hAnsi="Arial"/>
                <w:sz w:val="12"/>
                <w:szCs w:val="12"/>
                <w:b w:val="1"/>
                <w:bCs w:val="1"/>
                <w:color w:val="auto"/>
              </w:rPr>
              <w:t>(in thousands, except shares)</w:t>
            </w:r>
          </w:p>
        </w:tc>
        <w:tc>
          <w:tcPr>
            <w:tcW w:w="10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920" w:type="dxa"/>
            <w:vAlign w:val="bottom"/>
          </w:tcPr>
          <w:p>
            <w:pPr>
              <w:jc w:val="right"/>
              <w:ind w:right="237"/>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2"/>
                <w:szCs w:val="12"/>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Deficit)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Income (Loss)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Equity</w:t>
            </w:r>
          </w:p>
        </w:tc>
      </w:tr>
      <w:tr>
        <w:trPr>
          <w:trHeight w:val="142"/>
        </w:trPr>
        <w:tc>
          <w:tcPr>
            <w:tcW w:w="21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Balances, December 31, 2017</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34,254,012</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34</w:t>
            </w:r>
          </w:p>
        </w:tc>
        <w:tc>
          <w:tcPr>
            <w:tcW w:w="18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244,294</w:t>
            </w:r>
          </w:p>
        </w:tc>
        <w:tc>
          <w:tcPr>
            <w:tcW w:w="1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(5,815)</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301,846</w:t>
            </w: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(8,611)</w:t>
            </w: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657</w:t>
            </w:r>
          </w:p>
        </w:tc>
        <w:tc>
          <w:tcPr>
            <w:tcW w:w="2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288,111</w:t>
            </w: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214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11,270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11,270</w:t>
            </w:r>
          </w:p>
        </w:tc>
        <w:tc>
          <w:tcPr>
            <w:tcW w:w="100" w:type="dxa"/>
            <w:vAlign w:val="bottom"/>
          </w:tcPr>
          <w:p>
            <w:pPr>
              <w:spacing w:after="0"/>
              <w:rPr>
                <w:sz w:val="12"/>
                <w:szCs w:val="12"/>
                <w:color w:val="auto"/>
              </w:rPr>
            </w:pPr>
          </w:p>
        </w:tc>
      </w:tr>
      <w:tr>
        <w:trPr>
          <w:trHeight w:val="134"/>
        </w:trPr>
        <w:tc>
          <w:tcPr>
            <w:tcW w:w="214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rPr>
              <w:t>Exercise of stock options and</w:t>
            </w: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1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issuance of restricted stock</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866,398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14,342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14,344</w:t>
            </w:r>
          </w:p>
        </w:tc>
        <w:tc>
          <w:tcPr>
            <w:tcW w:w="100" w:type="dxa"/>
            <w:vAlign w:val="bottom"/>
            <w:shd w:val="clear" w:color="auto" w:fill="CFF0FC"/>
          </w:tcPr>
          <w:p>
            <w:pPr>
              <w:spacing w:after="0"/>
              <w:rPr>
                <w:sz w:val="12"/>
                <w:szCs w:val="12"/>
                <w:color w:val="auto"/>
              </w:rPr>
            </w:pPr>
          </w:p>
        </w:tc>
      </w:tr>
      <w:tr>
        <w:trPr>
          <w:trHeight w:val="149"/>
        </w:trPr>
        <w:tc>
          <w:tcPr>
            <w:tcW w:w="2140" w:type="dxa"/>
            <w:vAlign w:val="bottom"/>
          </w:tcPr>
          <w:p>
            <w:pPr>
              <w:ind w:left="140"/>
              <w:spacing w:after="0"/>
              <w:rPr>
                <w:sz w:val="20"/>
                <w:szCs w:val="20"/>
                <w:color w:val="auto"/>
              </w:rPr>
            </w:pPr>
            <w:r>
              <w:rPr>
                <w:rFonts w:ascii="Arial" w:cs="Arial" w:eastAsia="Arial" w:hAnsi="Arial"/>
                <w:sz w:val="13"/>
                <w:szCs w:val="13"/>
                <w:color w:val="auto"/>
              </w:rPr>
              <w:t>Employee stock purchase plan</w:t>
            </w:r>
          </w:p>
        </w:tc>
        <w:tc>
          <w:tcPr>
            <w:tcW w:w="900" w:type="dxa"/>
            <w:vAlign w:val="bottom"/>
          </w:tcPr>
          <w:p>
            <w:pPr>
              <w:jc w:val="right"/>
              <w:spacing w:after="0"/>
              <w:rPr>
                <w:sz w:val="20"/>
                <w:szCs w:val="20"/>
                <w:color w:val="auto"/>
              </w:rPr>
            </w:pPr>
            <w:r>
              <w:rPr>
                <w:rFonts w:ascii="Arial" w:cs="Arial" w:eastAsia="Arial" w:hAnsi="Arial"/>
                <w:sz w:val="13"/>
                <w:szCs w:val="13"/>
                <w:color w:val="auto"/>
              </w:rPr>
              <w:t>69,596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1,745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1,745</w:t>
            </w:r>
          </w:p>
        </w:tc>
        <w:tc>
          <w:tcPr>
            <w:tcW w:w="100" w:type="dxa"/>
            <w:vAlign w:val="bottom"/>
          </w:tcPr>
          <w:p>
            <w:pPr>
              <w:spacing w:after="0"/>
              <w:rPr>
                <w:sz w:val="12"/>
                <w:szCs w:val="12"/>
                <w:color w:val="auto"/>
              </w:rPr>
            </w:pPr>
          </w:p>
        </w:tc>
      </w:tr>
      <w:tr>
        <w:trPr>
          <w:trHeight w:val="148"/>
        </w:trPr>
        <w:tc>
          <w:tcPr>
            <w:tcW w:w="21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Repurchases of common stock</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(579,490)</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579,490</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(19,864)</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(19,864)</w:t>
            </w:r>
          </w:p>
        </w:tc>
      </w:tr>
      <w:tr>
        <w:trPr>
          <w:trHeight w:val="148"/>
        </w:trPr>
        <w:tc>
          <w:tcPr>
            <w:tcW w:w="2140" w:type="dxa"/>
            <w:vAlign w:val="bottom"/>
          </w:tcPr>
          <w:p>
            <w:pPr>
              <w:ind w:left="140"/>
              <w:spacing w:after="0"/>
              <w:rPr>
                <w:sz w:val="20"/>
                <w:szCs w:val="20"/>
                <w:color w:val="auto"/>
              </w:rPr>
            </w:pPr>
            <w:r>
              <w:rPr>
                <w:rFonts w:ascii="Arial" w:cs="Arial" w:eastAsia="Arial" w:hAnsi="Arial"/>
                <w:sz w:val="13"/>
                <w:szCs w:val="13"/>
                <w:color w:val="auto"/>
              </w:rPr>
              <w:t>Stock issued for acquisition</w:t>
            </w:r>
          </w:p>
        </w:tc>
        <w:tc>
          <w:tcPr>
            <w:tcW w:w="900" w:type="dxa"/>
            <w:vAlign w:val="bottom"/>
          </w:tcPr>
          <w:p>
            <w:pPr>
              <w:jc w:val="right"/>
              <w:spacing w:after="0"/>
              <w:rPr>
                <w:sz w:val="20"/>
                <w:szCs w:val="20"/>
                <w:color w:val="auto"/>
              </w:rPr>
            </w:pPr>
            <w:r>
              <w:rPr>
                <w:rFonts w:ascii="Arial" w:cs="Arial" w:eastAsia="Arial" w:hAnsi="Arial"/>
                <w:sz w:val="13"/>
                <w:szCs w:val="13"/>
                <w:color w:val="auto"/>
              </w:rPr>
              <w:t>80,956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3,371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3,371</w:t>
            </w:r>
          </w:p>
        </w:tc>
        <w:tc>
          <w:tcPr>
            <w:tcW w:w="100" w:type="dxa"/>
            <w:vAlign w:val="bottom"/>
          </w:tcPr>
          <w:p>
            <w:pPr>
              <w:spacing w:after="0"/>
              <w:rPr>
                <w:sz w:val="12"/>
                <w:szCs w:val="12"/>
                <w:color w:val="auto"/>
              </w:rPr>
            </w:pPr>
          </w:p>
        </w:tc>
      </w:tr>
      <w:tr>
        <w:trPr>
          <w:trHeight w:val="148"/>
        </w:trPr>
        <w:tc>
          <w:tcPr>
            <w:tcW w:w="21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income</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23,872</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23,872</w:t>
            </w:r>
          </w:p>
        </w:tc>
        <w:tc>
          <w:tcPr>
            <w:tcW w:w="100" w:type="dxa"/>
            <w:vAlign w:val="bottom"/>
            <w:shd w:val="clear" w:color="auto" w:fill="CFF0FC"/>
          </w:tcPr>
          <w:p>
            <w:pPr>
              <w:spacing w:after="0"/>
              <w:rPr>
                <w:sz w:val="12"/>
                <w:szCs w:val="12"/>
                <w:color w:val="auto"/>
              </w:rPr>
            </w:pPr>
          </w:p>
        </w:tc>
      </w:tr>
      <w:tr>
        <w:trPr>
          <w:trHeight w:val="134"/>
        </w:trPr>
        <w:tc>
          <w:tcPr>
            <w:tcW w:w="2140" w:type="dxa"/>
            <w:vAlign w:val="bottom"/>
          </w:tcPr>
          <w:p>
            <w:pPr>
              <w:ind w:left="140"/>
              <w:spacing w:after="0" w:line="134" w:lineRule="exact"/>
              <w:rPr>
                <w:sz w:val="20"/>
                <w:szCs w:val="20"/>
                <w:color w:val="auto"/>
              </w:rPr>
            </w:pPr>
            <w:r>
              <w:rPr>
                <w:rFonts w:ascii="Arial" w:cs="Arial" w:eastAsia="Arial" w:hAnsi="Arial"/>
                <w:sz w:val="13"/>
                <w:szCs w:val="13"/>
                <w:color w:val="auto"/>
              </w:rPr>
              <w:t>Foreign currency translation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140" w:type="dxa"/>
            <w:vAlign w:val="bottom"/>
          </w:tcPr>
          <w:p>
            <w:pPr>
              <w:ind w:left="140"/>
              <w:spacing w:after="0"/>
              <w:rPr>
                <w:sz w:val="20"/>
                <w:szCs w:val="20"/>
                <w:color w:val="auto"/>
              </w:rPr>
            </w:pPr>
            <w:r>
              <w:rPr>
                <w:rFonts w:ascii="Arial" w:cs="Arial" w:eastAsia="Arial" w:hAnsi="Arial"/>
                <w:sz w:val="13"/>
                <w:szCs w:val="13"/>
                <w:color w:val="auto"/>
              </w:rPr>
              <w:t>adjustments</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(3,999)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(3,999)</w:t>
            </w:r>
          </w:p>
        </w:tc>
      </w:tr>
      <w:tr>
        <w:trPr>
          <w:trHeight w:val="134"/>
        </w:trPr>
        <w:tc>
          <w:tcPr>
            <w:tcW w:w="214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w w:val="95"/>
              </w:rPr>
              <w:t>Unrealized gain on investments, net</w:t>
            </w: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1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of tax</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w:t>
            </w:r>
          </w:p>
        </w:tc>
        <w:tc>
          <w:tcPr>
            <w:tcW w:w="100" w:type="dxa"/>
            <w:vAlign w:val="bottom"/>
            <w:shd w:val="clear" w:color="auto" w:fill="CFF0FC"/>
          </w:tcPr>
          <w:p>
            <w:pPr>
              <w:spacing w:after="0"/>
              <w:rPr>
                <w:sz w:val="12"/>
                <w:szCs w:val="12"/>
                <w:color w:val="auto"/>
              </w:rPr>
            </w:pPr>
          </w:p>
        </w:tc>
      </w:tr>
      <w:tr>
        <w:trPr>
          <w:trHeight w:val="134"/>
        </w:trPr>
        <w:tc>
          <w:tcPr>
            <w:tcW w:w="2140" w:type="dxa"/>
            <w:vAlign w:val="bottom"/>
          </w:tcPr>
          <w:p>
            <w:pPr>
              <w:ind w:left="140"/>
              <w:spacing w:after="0" w:line="134" w:lineRule="exact"/>
              <w:rPr>
                <w:sz w:val="20"/>
                <w:szCs w:val="20"/>
                <w:color w:val="auto"/>
              </w:rPr>
            </w:pPr>
            <w:r>
              <w:rPr>
                <w:rFonts w:ascii="Arial" w:cs="Arial" w:eastAsia="Arial" w:hAnsi="Arial"/>
                <w:sz w:val="13"/>
                <w:szCs w:val="13"/>
                <w:color w:val="auto"/>
              </w:rPr>
              <w:t>Reclassification of gain on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140" w:type="dxa"/>
            <w:vAlign w:val="bottom"/>
          </w:tcPr>
          <w:p>
            <w:pPr>
              <w:ind w:left="140"/>
              <w:spacing w:after="0"/>
              <w:rPr>
                <w:sz w:val="20"/>
                <w:szCs w:val="20"/>
                <w:color w:val="auto"/>
              </w:rPr>
            </w:pPr>
            <w:r>
              <w:rPr>
                <w:rFonts w:ascii="Arial" w:cs="Arial" w:eastAsia="Arial" w:hAnsi="Arial"/>
                <w:sz w:val="13"/>
                <w:szCs w:val="13"/>
                <w:color w:val="auto"/>
                <w:w w:val="95"/>
              </w:rPr>
              <w:t>investments into earnings, net of tax</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(273)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(273)</w:t>
            </w:r>
          </w:p>
        </w:tc>
      </w:tr>
      <w:tr>
        <w:trPr>
          <w:trHeight w:val="142"/>
        </w:trPr>
        <w:tc>
          <w:tcPr>
            <w:tcW w:w="21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Balances, December 31, 2018</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34,691,472</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w:t>
            </w:r>
          </w:p>
        </w:tc>
        <w:tc>
          <w:tcPr>
            <w:tcW w:w="18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823,784</w:t>
            </w:r>
          </w:p>
        </w:tc>
        <w:tc>
          <w:tcPr>
            <w:tcW w:w="1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(25,679)</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332,574</w:t>
            </w: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15,261</w:t>
            </w: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(3,218)</w:t>
            </w:r>
          </w:p>
        </w:tc>
        <w:tc>
          <w:tcPr>
            <w:tcW w:w="2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318,974</w:t>
            </w: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214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13,365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13,365</w:t>
            </w:r>
          </w:p>
        </w:tc>
        <w:tc>
          <w:tcPr>
            <w:tcW w:w="100" w:type="dxa"/>
            <w:vAlign w:val="bottom"/>
          </w:tcPr>
          <w:p>
            <w:pPr>
              <w:spacing w:after="0"/>
              <w:rPr>
                <w:sz w:val="12"/>
                <w:szCs w:val="12"/>
                <w:color w:val="auto"/>
              </w:rPr>
            </w:pPr>
          </w:p>
        </w:tc>
      </w:tr>
      <w:tr>
        <w:trPr>
          <w:trHeight w:val="134"/>
        </w:trPr>
        <w:tc>
          <w:tcPr>
            <w:tcW w:w="214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rPr>
              <w:t>Exercise of stock options and</w:t>
            </w: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1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issuance of restricted stock</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536,034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6,207</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6,207</w:t>
            </w:r>
          </w:p>
        </w:tc>
        <w:tc>
          <w:tcPr>
            <w:tcW w:w="100" w:type="dxa"/>
            <w:vAlign w:val="bottom"/>
            <w:shd w:val="clear" w:color="auto" w:fill="CFF0FC"/>
          </w:tcPr>
          <w:p>
            <w:pPr>
              <w:spacing w:after="0"/>
              <w:rPr>
                <w:sz w:val="12"/>
                <w:szCs w:val="12"/>
                <w:color w:val="auto"/>
              </w:rPr>
            </w:pPr>
          </w:p>
        </w:tc>
      </w:tr>
      <w:tr>
        <w:trPr>
          <w:trHeight w:val="149"/>
        </w:trPr>
        <w:tc>
          <w:tcPr>
            <w:tcW w:w="2140" w:type="dxa"/>
            <w:vAlign w:val="bottom"/>
          </w:tcPr>
          <w:p>
            <w:pPr>
              <w:ind w:left="140"/>
              <w:spacing w:after="0"/>
              <w:rPr>
                <w:sz w:val="20"/>
                <w:szCs w:val="20"/>
                <w:color w:val="auto"/>
              </w:rPr>
            </w:pPr>
            <w:r>
              <w:rPr>
                <w:rFonts w:ascii="Arial" w:cs="Arial" w:eastAsia="Arial" w:hAnsi="Arial"/>
                <w:sz w:val="13"/>
                <w:szCs w:val="13"/>
                <w:color w:val="auto"/>
              </w:rPr>
              <w:t>Employee stock purchase plan</w:t>
            </w:r>
          </w:p>
        </w:tc>
        <w:tc>
          <w:tcPr>
            <w:tcW w:w="900" w:type="dxa"/>
            <w:vAlign w:val="bottom"/>
          </w:tcPr>
          <w:p>
            <w:pPr>
              <w:jc w:val="right"/>
              <w:spacing w:after="0"/>
              <w:rPr>
                <w:sz w:val="20"/>
                <w:szCs w:val="20"/>
                <w:color w:val="auto"/>
              </w:rPr>
            </w:pPr>
            <w:r>
              <w:rPr>
                <w:rFonts w:ascii="Arial" w:cs="Arial" w:eastAsia="Arial" w:hAnsi="Arial"/>
                <w:sz w:val="13"/>
                <w:szCs w:val="13"/>
                <w:color w:val="auto"/>
              </w:rPr>
              <w:t>58,851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2,269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2,269</w:t>
            </w:r>
          </w:p>
        </w:tc>
        <w:tc>
          <w:tcPr>
            <w:tcW w:w="100" w:type="dxa"/>
            <w:vAlign w:val="bottom"/>
          </w:tcPr>
          <w:p>
            <w:pPr>
              <w:spacing w:after="0"/>
              <w:rPr>
                <w:sz w:val="12"/>
                <w:szCs w:val="12"/>
                <w:color w:val="auto"/>
              </w:rPr>
            </w:pPr>
          </w:p>
        </w:tc>
      </w:tr>
      <w:tr>
        <w:trPr>
          <w:trHeight w:val="148"/>
        </w:trPr>
        <w:tc>
          <w:tcPr>
            <w:tcW w:w="21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Repurchases of common stock</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(417,564)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417,564</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(20,618)</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(20,618)</w:t>
            </w:r>
          </w:p>
        </w:tc>
      </w:tr>
      <w:tr>
        <w:trPr>
          <w:trHeight w:val="134"/>
        </w:trPr>
        <w:tc>
          <w:tcPr>
            <w:tcW w:w="2140" w:type="dxa"/>
            <w:vAlign w:val="bottom"/>
          </w:tcPr>
          <w:p>
            <w:pPr>
              <w:ind w:left="140"/>
              <w:spacing w:after="0" w:line="134" w:lineRule="exact"/>
              <w:rPr>
                <w:sz w:val="20"/>
                <w:szCs w:val="20"/>
                <w:color w:val="auto"/>
              </w:rPr>
            </w:pPr>
            <w:r>
              <w:rPr>
                <w:rFonts w:ascii="Arial" w:cs="Arial" w:eastAsia="Arial" w:hAnsi="Arial"/>
                <w:sz w:val="13"/>
                <w:szCs w:val="13"/>
                <w:color w:val="auto"/>
                <w:w w:val="94"/>
              </w:rPr>
              <w:t>Settlement and subsequent return of</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140" w:type="dxa"/>
            <w:vAlign w:val="bottom"/>
          </w:tcPr>
          <w:p>
            <w:pPr>
              <w:ind w:left="140"/>
              <w:spacing w:after="0"/>
              <w:rPr>
                <w:sz w:val="20"/>
                <w:szCs w:val="20"/>
                <w:color w:val="auto"/>
              </w:rPr>
            </w:pPr>
            <w:r>
              <w:rPr>
                <w:rFonts w:ascii="Arial" w:cs="Arial" w:eastAsia="Arial" w:hAnsi="Arial"/>
                <w:sz w:val="13"/>
                <w:szCs w:val="13"/>
                <w:color w:val="auto"/>
              </w:rPr>
              <w:t>shares</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(5,522)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(300)</w:t>
            </w:r>
          </w:p>
        </w:tc>
      </w:tr>
      <w:tr>
        <w:trPr>
          <w:trHeight w:val="148"/>
        </w:trPr>
        <w:tc>
          <w:tcPr>
            <w:tcW w:w="21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income</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33,712</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33,712</w:t>
            </w:r>
          </w:p>
        </w:tc>
        <w:tc>
          <w:tcPr>
            <w:tcW w:w="100" w:type="dxa"/>
            <w:vAlign w:val="bottom"/>
            <w:shd w:val="clear" w:color="auto" w:fill="CFF0FC"/>
          </w:tcPr>
          <w:p>
            <w:pPr>
              <w:spacing w:after="0"/>
              <w:rPr>
                <w:sz w:val="12"/>
                <w:szCs w:val="12"/>
                <w:color w:val="auto"/>
              </w:rPr>
            </w:pPr>
          </w:p>
        </w:tc>
      </w:tr>
      <w:tr>
        <w:trPr>
          <w:trHeight w:val="134"/>
        </w:trPr>
        <w:tc>
          <w:tcPr>
            <w:tcW w:w="2140" w:type="dxa"/>
            <w:vAlign w:val="bottom"/>
          </w:tcPr>
          <w:p>
            <w:pPr>
              <w:ind w:left="140"/>
              <w:spacing w:after="0" w:line="134" w:lineRule="exact"/>
              <w:rPr>
                <w:sz w:val="20"/>
                <w:szCs w:val="20"/>
                <w:color w:val="auto"/>
              </w:rPr>
            </w:pPr>
            <w:r>
              <w:rPr>
                <w:rFonts w:ascii="Arial" w:cs="Arial" w:eastAsia="Arial" w:hAnsi="Arial"/>
                <w:sz w:val="13"/>
                <w:szCs w:val="13"/>
                <w:color w:val="auto"/>
              </w:rPr>
              <w:t>Foreign currency translation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140" w:type="dxa"/>
            <w:vAlign w:val="bottom"/>
          </w:tcPr>
          <w:p>
            <w:pPr>
              <w:ind w:left="140"/>
              <w:spacing w:after="0"/>
              <w:rPr>
                <w:sz w:val="20"/>
                <w:szCs w:val="20"/>
                <w:color w:val="auto"/>
              </w:rPr>
            </w:pPr>
            <w:r>
              <w:rPr>
                <w:rFonts w:ascii="Arial" w:cs="Arial" w:eastAsia="Arial" w:hAnsi="Arial"/>
                <w:sz w:val="13"/>
                <w:szCs w:val="13"/>
                <w:color w:val="auto"/>
              </w:rPr>
              <w:t>adjustments</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1,290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1,290</w:t>
            </w:r>
          </w:p>
        </w:tc>
        <w:tc>
          <w:tcPr>
            <w:tcW w:w="100" w:type="dxa"/>
            <w:vAlign w:val="bottom"/>
          </w:tcPr>
          <w:p>
            <w:pPr>
              <w:spacing w:after="0"/>
              <w:rPr>
                <w:sz w:val="12"/>
                <w:szCs w:val="12"/>
                <w:color w:val="auto"/>
              </w:rPr>
            </w:pPr>
          </w:p>
        </w:tc>
      </w:tr>
      <w:tr>
        <w:trPr>
          <w:trHeight w:val="134"/>
        </w:trPr>
        <w:tc>
          <w:tcPr>
            <w:tcW w:w="214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w w:val="95"/>
              </w:rPr>
              <w:t>Unrealized gain on investments, net</w:t>
            </w: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1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of tax</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w:t>
            </w:r>
          </w:p>
        </w:tc>
        <w:tc>
          <w:tcPr>
            <w:tcW w:w="100" w:type="dxa"/>
            <w:vAlign w:val="bottom"/>
            <w:shd w:val="clear" w:color="auto" w:fill="CFF0FC"/>
          </w:tcPr>
          <w:p>
            <w:pPr>
              <w:spacing w:after="0"/>
              <w:rPr>
                <w:sz w:val="12"/>
                <w:szCs w:val="12"/>
                <w:color w:val="auto"/>
              </w:rPr>
            </w:pPr>
          </w:p>
        </w:tc>
      </w:tr>
      <w:tr>
        <w:trPr>
          <w:trHeight w:val="134"/>
        </w:trPr>
        <w:tc>
          <w:tcPr>
            <w:tcW w:w="2140" w:type="dxa"/>
            <w:vAlign w:val="bottom"/>
          </w:tcPr>
          <w:p>
            <w:pPr>
              <w:ind w:left="140"/>
              <w:spacing w:after="0" w:line="134" w:lineRule="exact"/>
              <w:rPr>
                <w:sz w:val="20"/>
                <w:szCs w:val="20"/>
                <w:color w:val="auto"/>
              </w:rPr>
            </w:pPr>
            <w:r>
              <w:rPr>
                <w:rFonts w:ascii="Arial" w:cs="Arial" w:eastAsia="Arial" w:hAnsi="Arial"/>
                <w:sz w:val="13"/>
                <w:szCs w:val="13"/>
                <w:color w:val="auto"/>
              </w:rPr>
              <w:t>Reclassification of gain on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140" w:type="dxa"/>
            <w:vAlign w:val="bottom"/>
          </w:tcPr>
          <w:p>
            <w:pPr>
              <w:ind w:left="140"/>
              <w:spacing w:after="0"/>
              <w:rPr>
                <w:sz w:val="20"/>
                <w:szCs w:val="20"/>
                <w:color w:val="auto"/>
              </w:rPr>
            </w:pPr>
            <w:r>
              <w:rPr>
                <w:rFonts w:ascii="Arial" w:cs="Arial" w:eastAsia="Arial" w:hAnsi="Arial"/>
                <w:sz w:val="13"/>
                <w:szCs w:val="13"/>
                <w:color w:val="auto"/>
                <w:w w:val="95"/>
              </w:rPr>
              <w:t>investments into earnings, net of tax</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(398)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(398)</w:t>
            </w:r>
          </w:p>
        </w:tc>
      </w:tr>
      <w:tr>
        <w:trPr>
          <w:trHeight w:val="148"/>
        </w:trPr>
        <w:tc>
          <w:tcPr>
            <w:tcW w:w="21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Adoption of ASU 2018-02</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2"/>
                <w:szCs w:val="12"/>
                <w:color w:val="auto"/>
              </w:rPr>
            </w:pPr>
          </w:p>
        </w:tc>
      </w:tr>
      <w:tr>
        <w:trPr>
          <w:trHeight w:val="142"/>
        </w:trPr>
        <w:tc>
          <w:tcPr>
            <w:tcW w:w="2140" w:type="dxa"/>
            <w:vAlign w:val="bottom"/>
          </w:tcPr>
          <w:p>
            <w:pPr>
              <w:spacing w:after="0" w:line="142" w:lineRule="exact"/>
              <w:rPr>
                <w:sz w:val="20"/>
                <w:szCs w:val="20"/>
                <w:color w:val="auto"/>
              </w:rPr>
            </w:pPr>
            <w:r>
              <w:rPr>
                <w:rFonts w:ascii="Arial" w:cs="Arial" w:eastAsia="Arial" w:hAnsi="Arial"/>
                <w:sz w:val="13"/>
                <w:szCs w:val="13"/>
                <w:color w:val="auto"/>
              </w:rPr>
              <w:t>Balances, December 31, 2019</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34,863,271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36</w:t>
            </w:r>
          </w:p>
        </w:tc>
        <w:tc>
          <w:tcPr>
            <w:tcW w:w="18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1,241,348</w:t>
            </w:r>
          </w:p>
        </w:tc>
        <w:tc>
          <w:tcPr>
            <w:tcW w:w="180" w:type="dxa"/>
            <w:vAlign w:val="bottom"/>
          </w:tcPr>
          <w:p>
            <w:pPr>
              <w:spacing w:after="0"/>
              <w:rPr>
                <w:sz w:val="12"/>
                <w:szCs w:val="12"/>
                <w:color w:val="auto"/>
              </w:rPr>
            </w:pPr>
          </w:p>
        </w:tc>
        <w:tc>
          <w:tcPr>
            <w:tcW w:w="16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(46,297)</w:t>
            </w:r>
          </w:p>
        </w:tc>
        <w:tc>
          <w:tcPr>
            <w:tcW w:w="2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354,115</w:t>
            </w:r>
          </w:p>
        </w:tc>
        <w:tc>
          <w:tcPr>
            <w:tcW w:w="18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48,973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(1,951)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354,876</w:t>
            </w:r>
          </w:p>
        </w:tc>
        <w:tc>
          <w:tcPr>
            <w:tcW w:w="100" w:type="dxa"/>
            <w:vAlign w:val="bottom"/>
          </w:tcPr>
          <w:p>
            <w:pPr>
              <w:spacing w:after="0"/>
              <w:rPr>
                <w:sz w:val="12"/>
                <w:szCs w:val="12"/>
                <w:color w:val="auto"/>
              </w:rPr>
            </w:pPr>
          </w:p>
        </w:tc>
      </w:tr>
      <w:tr>
        <w:trPr>
          <w:trHeight w:val="148"/>
        </w:trPr>
        <w:tc>
          <w:tcPr>
            <w:tcW w:w="21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17,382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17,382</w:t>
            </w:r>
          </w:p>
        </w:tc>
        <w:tc>
          <w:tcPr>
            <w:tcW w:w="100" w:type="dxa"/>
            <w:vAlign w:val="bottom"/>
            <w:shd w:val="clear" w:color="auto" w:fill="CFF0FC"/>
          </w:tcPr>
          <w:p>
            <w:pPr>
              <w:spacing w:after="0"/>
              <w:rPr>
                <w:sz w:val="12"/>
                <w:szCs w:val="12"/>
                <w:color w:val="auto"/>
              </w:rPr>
            </w:pPr>
          </w:p>
        </w:tc>
      </w:tr>
      <w:tr>
        <w:trPr>
          <w:trHeight w:val="134"/>
        </w:trPr>
        <w:tc>
          <w:tcPr>
            <w:tcW w:w="2140" w:type="dxa"/>
            <w:vAlign w:val="bottom"/>
          </w:tcPr>
          <w:p>
            <w:pPr>
              <w:ind w:left="140"/>
              <w:spacing w:after="0" w:line="134" w:lineRule="exact"/>
              <w:rPr>
                <w:sz w:val="20"/>
                <w:szCs w:val="20"/>
                <w:color w:val="auto"/>
              </w:rPr>
            </w:pPr>
            <w:r>
              <w:rPr>
                <w:rFonts w:ascii="Arial" w:cs="Arial" w:eastAsia="Arial" w:hAnsi="Arial"/>
                <w:sz w:val="13"/>
                <w:szCs w:val="13"/>
                <w:color w:val="auto"/>
              </w:rPr>
              <w:t>Exercise of stock options and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140" w:type="dxa"/>
            <w:vAlign w:val="bottom"/>
          </w:tcPr>
          <w:p>
            <w:pPr>
              <w:ind w:left="140"/>
              <w:spacing w:after="0"/>
              <w:rPr>
                <w:sz w:val="20"/>
                <w:szCs w:val="20"/>
                <w:color w:val="auto"/>
              </w:rPr>
            </w:pPr>
            <w:r>
              <w:rPr>
                <w:rFonts w:ascii="Arial" w:cs="Arial" w:eastAsia="Arial" w:hAnsi="Arial"/>
                <w:sz w:val="13"/>
                <w:szCs w:val="13"/>
                <w:color w:val="auto"/>
              </w:rPr>
              <w:t>issuance of restricted stock</w:t>
            </w:r>
          </w:p>
        </w:tc>
        <w:tc>
          <w:tcPr>
            <w:tcW w:w="900" w:type="dxa"/>
            <w:vAlign w:val="bottom"/>
          </w:tcPr>
          <w:p>
            <w:pPr>
              <w:jc w:val="right"/>
              <w:spacing w:after="0"/>
              <w:rPr>
                <w:sz w:val="20"/>
                <w:szCs w:val="20"/>
                <w:color w:val="auto"/>
              </w:rPr>
            </w:pPr>
            <w:r>
              <w:rPr>
                <w:rFonts w:ascii="Arial" w:cs="Arial" w:eastAsia="Arial" w:hAnsi="Arial"/>
                <w:sz w:val="13"/>
                <w:szCs w:val="13"/>
                <w:color w:val="auto"/>
              </w:rPr>
              <w:t>934,015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18,591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18,592</w:t>
            </w:r>
          </w:p>
        </w:tc>
        <w:tc>
          <w:tcPr>
            <w:tcW w:w="100" w:type="dxa"/>
            <w:vAlign w:val="bottom"/>
          </w:tcPr>
          <w:p>
            <w:pPr>
              <w:spacing w:after="0"/>
              <w:rPr>
                <w:sz w:val="12"/>
                <w:szCs w:val="12"/>
                <w:color w:val="auto"/>
              </w:rPr>
            </w:pPr>
          </w:p>
        </w:tc>
      </w:tr>
      <w:tr>
        <w:trPr>
          <w:trHeight w:val="148"/>
        </w:trPr>
        <w:tc>
          <w:tcPr>
            <w:tcW w:w="21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Employee stock purchase plan</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61,833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3,374</w:t>
            </w:r>
          </w:p>
        </w:tc>
        <w:tc>
          <w:tcPr>
            <w:tcW w:w="100" w:type="dxa"/>
            <w:vAlign w:val="bottom"/>
            <w:shd w:val="clear" w:color="auto" w:fill="CFF0FC"/>
          </w:tcPr>
          <w:p>
            <w:pPr>
              <w:spacing w:after="0"/>
              <w:rPr>
                <w:sz w:val="12"/>
                <w:szCs w:val="12"/>
                <w:color w:val="auto"/>
              </w:rPr>
            </w:pPr>
          </w:p>
        </w:tc>
      </w:tr>
      <w:tr>
        <w:trPr>
          <w:trHeight w:val="148"/>
        </w:trPr>
        <w:tc>
          <w:tcPr>
            <w:tcW w:w="214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(371,902)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371,902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(18,950)</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(18,950)</w:t>
            </w:r>
          </w:p>
        </w:tc>
      </w:tr>
      <w:tr>
        <w:trPr>
          <w:trHeight w:val="148"/>
        </w:trPr>
        <w:tc>
          <w:tcPr>
            <w:tcW w:w="21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income</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45,586</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45,586</w:t>
            </w:r>
          </w:p>
        </w:tc>
        <w:tc>
          <w:tcPr>
            <w:tcW w:w="100" w:type="dxa"/>
            <w:vAlign w:val="bottom"/>
            <w:shd w:val="clear" w:color="auto" w:fill="CFF0FC"/>
          </w:tcPr>
          <w:p>
            <w:pPr>
              <w:spacing w:after="0"/>
              <w:rPr>
                <w:sz w:val="12"/>
                <w:szCs w:val="12"/>
                <w:color w:val="auto"/>
              </w:rPr>
            </w:pPr>
          </w:p>
        </w:tc>
      </w:tr>
      <w:tr>
        <w:trPr>
          <w:trHeight w:val="134"/>
        </w:trPr>
        <w:tc>
          <w:tcPr>
            <w:tcW w:w="2140" w:type="dxa"/>
            <w:vAlign w:val="bottom"/>
          </w:tcPr>
          <w:p>
            <w:pPr>
              <w:ind w:left="140"/>
              <w:spacing w:after="0" w:line="134" w:lineRule="exact"/>
              <w:rPr>
                <w:sz w:val="20"/>
                <w:szCs w:val="20"/>
                <w:color w:val="auto"/>
              </w:rPr>
            </w:pPr>
            <w:r>
              <w:rPr>
                <w:rFonts w:ascii="Arial" w:cs="Arial" w:eastAsia="Arial" w:hAnsi="Arial"/>
                <w:sz w:val="13"/>
                <w:szCs w:val="13"/>
                <w:color w:val="auto"/>
              </w:rPr>
              <w:t>Foreign currency translation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140" w:type="dxa"/>
            <w:vAlign w:val="bottom"/>
          </w:tcPr>
          <w:p>
            <w:pPr>
              <w:ind w:left="140"/>
              <w:spacing w:after="0"/>
              <w:rPr>
                <w:sz w:val="20"/>
                <w:szCs w:val="20"/>
                <w:color w:val="auto"/>
              </w:rPr>
            </w:pPr>
            <w:r>
              <w:rPr>
                <w:rFonts w:ascii="Arial" w:cs="Arial" w:eastAsia="Arial" w:hAnsi="Arial"/>
                <w:sz w:val="13"/>
                <w:szCs w:val="13"/>
                <w:color w:val="auto"/>
              </w:rPr>
              <w:t>adjustments</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1,097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1,097</w:t>
            </w:r>
          </w:p>
        </w:tc>
        <w:tc>
          <w:tcPr>
            <w:tcW w:w="100" w:type="dxa"/>
            <w:vAlign w:val="bottom"/>
          </w:tcPr>
          <w:p>
            <w:pPr>
              <w:spacing w:after="0"/>
              <w:rPr>
                <w:sz w:val="12"/>
                <w:szCs w:val="12"/>
                <w:color w:val="auto"/>
              </w:rPr>
            </w:pPr>
          </w:p>
        </w:tc>
      </w:tr>
      <w:tr>
        <w:trPr>
          <w:trHeight w:val="134"/>
        </w:trPr>
        <w:tc>
          <w:tcPr>
            <w:tcW w:w="2140" w:type="dxa"/>
            <w:vAlign w:val="bottom"/>
            <w:shd w:val="clear" w:color="auto" w:fill="CFF0FC"/>
          </w:tcPr>
          <w:p>
            <w:pPr>
              <w:ind w:left="140"/>
              <w:spacing w:after="0" w:line="134" w:lineRule="exact"/>
              <w:rPr>
                <w:sz w:val="20"/>
                <w:szCs w:val="20"/>
                <w:color w:val="auto"/>
              </w:rPr>
            </w:pPr>
            <w:r>
              <w:rPr>
                <w:rFonts w:ascii="Arial" w:cs="Arial" w:eastAsia="Arial" w:hAnsi="Arial"/>
                <w:sz w:val="13"/>
                <w:szCs w:val="13"/>
                <w:color w:val="auto"/>
                <w:w w:val="96"/>
              </w:rPr>
              <w:t>Unrealized loss on investments, net</w:t>
            </w: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1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of tax</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w:t>
            </w:r>
          </w:p>
        </w:tc>
      </w:tr>
      <w:tr>
        <w:trPr>
          <w:trHeight w:val="134"/>
        </w:trPr>
        <w:tc>
          <w:tcPr>
            <w:tcW w:w="2140" w:type="dxa"/>
            <w:vAlign w:val="bottom"/>
          </w:tcPr>
          <w:p>
            <w:pPr>
              <w:ind w:left="140"/>
              <w:spacing w:after="0" w:line="134" w:lineRule="exact"/>
              <w:rPr>
                <w:sz w:val="20"/>
                <w:szCs w:val="20"/>
                <w:color w:val="auto"/>
              </w:rPr>
            </w:pPr>
            <w:r>
              <w:rPr>
                <w:rFonts w:ascii="Arial" w:cs="Arial" w:eastAsia="Arial" w:hAnsi="Arial"/>
                <w:sz w:val="13"/>
                <w:szCs w:val="13"/>
                <w:color w:val="auto"/>
              </w:rPr>
              <w:t>Reclassification of gain on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140" w:type="dxa"/>
            <w:vAlign w:val="bottom"/>
          </w:tcPr>
          <w:p>
            <w:pPr>
              <w:ind w:left="140"/>
              <w:spacing w:after="0"/>
              <w:rPr>
                <w:sz w:val="20"/>
                <w:szCs w:val="20"/>
                <w:color w:val="auto"/>
              </w:rPr>
            </w:pPr>
            <w:r>
              <w:rPr>
                <w:rFonts w:ascii="Arial" w:cs="Arial" w:eastAsia="Arial" w:hAnsi="Arial"/>
                <w:sz w:val="13"/>
                <w:szCs w:val="13"/>
                <w:color w:val="auto"/>
                <w:w w:val="95"/>
              </w:rPr>
              <w:t>investments into earnings, net of tax</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(157)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(157)</w:t>
            </w:r>
          </w:p>
        </w:tc>
      </w:tr>
      <w:tr>
        <w:trPr>
          <w:trHeight w:val="149"/>
        </w:trPr>
        <w:tc>
          <w:tcPr>
            <w:tcW w:w="21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Adoption of ASU 2016-13</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(1,069)</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(1,069)</w:t>
            </w:r>
          </w:p>
        </w:tc>
      </w:tr>
      <w:tr>
        <w:trPr>
          <w:trHeight w:val="142"/>
        </w:trPr>
        <w:tc>
          <w:tcPr>
            <w:tcW w:w="2140" w:type="dxa"/>
            <w:vAlign w:val="bottom"/>
          </w:tcPr>
          <w:p>
            <w:pPr>
              <w:spacing w:after="0" w:line="142" w:lineRule="exact"/>
              <w:rPr>
                <w:sz w:val="20"/>
                <w:szCs w:val="20"/>
                <w:color w:val="auto"/>
              </w:rPr>
            </w:pPr>
            <w:r>
              <w:rPr>
                <w:rFonts w:ascii="Arial" w:cs="Arial" w:eastAsia="Arial" w:hAnsi="Arial"/>
                <w:sz w:val="13"/>
                <w:szCs w:val="13"/>
                <w:color w:val="auto"/>
              </w:rPr>
              <w:t>Balances, December 31, 2020</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35,487,217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w:t>
            </w:r>
          </w:p>
        </w:tc>
        <w:tc>
          <w:tcPr>
            <w:tcW w:w="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1,613,250</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(65,247)</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393,462</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93,490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(1,021)</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420,721</w:t>
            </w:r>
          </w:p>
        </w:tc>
        <w:tc>
          <w:tcPr>
            <w:tcW w:w="100" w:type="dxa"/>
            <w:vAlign w:val="bottom"/>
          </w:tcPr>
          <w:p>
            <w:pPr>
              <w:spacing w:after="0"/>
              <w:rPr>
                <w:sz w:val="12"/>
                <w:szCs w:val="12"/>
                <w:color w:val="auto"/>
              </w:rPr>
            </w:pPr>
          </w:p>
        </w:tc>
      </w:tr>
      <w:tr>
        <w:trPr>
          <w:trHeight w:val="20"/>
        </w:trPr>
        <w:tc>
          <w:tcPr>
            <w:tcW w:w="2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43</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80" w:type="dxa"/>
            <w:vAlign w:val="bottom"/>
            <w:tcBorders>
              <w:bottom w:val="single" w:sz="8" w:color="CFF0FC"/>
            </w:tcBorders>
            <w:vMerge w:val="continue"/>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45,586</w:t>
            </w:r>
          </w:p>
        </w:tc>
        <w:tc>
          <w:tcPr>
            <w:tcW w:w="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33,712</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Reconciliation of net income to net cash provided by operating</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activities</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7,581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earn-out liability</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(445)</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 and equipment</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11,123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intangible assets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500"/>
              <w:spacing w:after="0"/>
              <w:rPr>
                <w:sz w:val="20"/>
                <w:szCs w:val="20"/>
                <w:color w:val="auto"/>
              </w:rPr>
            </w:pPr>
            <w:r>
              <w:rPr>
                <w:rFonts w:ascii="Arial" w:cs="Arial" w:eastAsia="Arial" w:hAnsi="Arial"/>
                <w:sz w:val="16"/>
                <w:szCs w:val="16"/>
                <w:color w:val="auto"/>
              </w:rPr>
              <w:t>Provision for credit losses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3,499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18,936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500"/>
              <w:spacing w:after="0"/>
              <w:rPr>
                <w:sz w:val="20"/>
                <w:szCs w:val="20"/>
                <w:color w:val="auto"/>
              </w:rPr>
            </w:pPr>
            <w:r>
              <w:rPr>
                <w:rFonts w:ascii="Arial" w:cs="Arial" w:eastAsia="Arial" w:hAnsi="Arial"/>
                <w:sz w:val="16"/>
                <w:szCs w:val="16"/>
                <w:color w:val="auto"/>
              </w:rPr>
              <w:t>Other, net</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(574)</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assets and liabilities, net of effects of</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acquisition</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(5,922)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(6,771)</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(4,569)</w:t>
            </w: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costs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(3,414)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(1,441)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213"/>
        </w:trPr>
        <w:tc>
          <w:tcPr>
            <w:tcW w:w="5580" w:type="dxa"/>
            <w:vAlign w:val="bottom"/>
          </w:tcPr>
          <w:p>
            <w:pPr>
              <w:ind w:left="740"/>
              <w:spacing w:after="0"/>
              <w:rPr>
                <w:sz w:val="20"/>
                <w:szCs w:val="20"/>
                <w:color w:val="auto"/>
              </w:rPr>
            </w:pPr>
            <w:r>
              <w:rPr>
                <w:rFonts w:ascii="Arial" w:cs="Arial" w:eastAsia="Arial" w:hAnsi="Arial"/>
                <w:sz w:val="16"/>
                <w:szCs w:val="16"/>
                <w:color w:val="auto"/>
              </w:rPr>
              <w:t>Other current and non-current assets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(2,768)</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(3,333)</w:t>
            </w: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(489)</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740"/>
              <w:spacing w:after="0"/>
              <w:rPr>
                <w:sz w:val="20"/>
                <w:szCs w:val="20"/>
                <w:color w:val="auto"/>
              </w:rPr>
            </w:pPr>
            <w:r>
              <w:rPr>
                <w:rFonts w:ascii="Arial" w:cs="Arial" w:eastAsia="Arial" w:hAnsi="Arial"/>
                <w:sz w:val="16"/>
                <w:szCs w:val="16"/>
                <w:color w:val="auto"/>
              </w:rPr>
              <w:t>Accrued compensation</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(1,257)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Accrued expenses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3"/>
        </w:trPr>
        <w:tc>
          <w:tcPr>
            <w:tcW w:w="5580" w:type="dxa"/>
            <w:vAlign w:val="bottom"/>
          </w:tcPr>
          <w:p>
            <w:pPr>
              <w:ind w:left="740"/>
              <w:spacing w:after="0"/>
              <w:rPr>
                <w:sz w:val="20"/>
                <w:szCs w:val="20"/>
                <w:color w:val="auto"/>
              </w:rPr>
            </w:pPr>
            <w:r>
              <w:rPr>
                <w:rFonts w:ascii="Arial" w:cs="Arial" w:eastAsia="Arial" w:hAnsi="Arial"/>
                <w:sz w:val="16"/>
                <w:szCs w:val="16"/>
                <w:color w:val="auto"/>
              </w:rPr>
              <w:t>Deferred revenue</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6,366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rent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740"/>
              <w:spacing w:after="0"/>
              <w:rPr>
                <w:sz w:val="20"/>
                <w:szCs w:val="20"/>
                <w:color w:val="auto"/>
              </w:rPr>
            </w:pPr>
            <w:r>
              <w:rPr>
                <w:rFonts w:ascii="Arial" w:cs="Arial" w:eastAsia="Arial" w:hAnsi="Arial"/>
                <w:sz w:val="16"/>
                <w:szCs w:val="16"/>
                <w:color w:val="auto"/>
              </w:rPr>
              <w:t>Operating leases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(1,234)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10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88,562</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71,794</w:t>
            </w: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55,015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property and equipment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(16,467)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(13,585)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(13,750)</w:t>
            </w: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Purchases of investments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(74,797)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(73,700)</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(81,666)</w:t>
            </w: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Maturities of investments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69,461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84,472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Acquisition of business and intangible assets, net</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(98,666)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(11,500)</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(27,273)</w:t>
            </w:r>
          </w:p>
        </w:tc>
        <w:tc>
          <w:tcPr>
            <w:tcW w:w="0" w:type="dxa"/>
            <w:vAlign w:val="bottom"/>
          </w:tcPr>
          <w:p>
            <w:pPr>
              <w:spacing w:after="0"/>
              <w:rPr>
                <w:sz w:val="1"/>
                <w:szCs w:val="1"/>
                <w:color w:val="auto"/>
              </w:rPr>
            </w:pPr>
          </w:p>
        </w:tc>
      </w:tr>
      <w:tr>
        <w:trPr>
          <w:trHeight w:val="20"/>
        </w:trPr>
        <w:tc>
          <w:tcPr>
            <w:tcW w:w="558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0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80" w:type="dxa"/>
            <w:vAlign w:val="bottom"/>
            <w:vMerge w:val="continue"/>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(120,469)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(14,313)</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(40,465)</w:t>
            </w:r>
          </w:p>
        </w:tc>
        <w:tc>
          <w:tcPr>
            <w:tcW w:w="0" w:type="dxa"/>
            <w:vAlign w:val="bottom"/>
          </w:tcPr>
          <w:p>
            <w:pPr>
              <w:spacing w:after="0"/>
              <w:rPr>
                <w:sz w:val="1"/>
                <w:szCs w:val="1"/>
                <w:color w:val="auto"/>
              </w:rPr>
            </w:pPr>
          </w:p>
        </w:tc>
      </w:tr>
      <w:tr>
        <w:trPr>
          <w:trHeight w:val="207"/>
        </w:trPr>
        <w:tc>
          <w:tcPr>
            <w:tcW w:w="55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0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Repurchases of common stock</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(18,950)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(20,618)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(19,864)</w:t>
            </w: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Net proceeds from exercise of options to purchase common stock</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proceeds from employee stock purchase plan</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Payment for earn-out liability</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(688)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58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10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80" w:type="dxa"/>
            <w:vAlign w:val="bottom"/>
            <w:vMerge w:val="continue"/>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(12,142)</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(3,775)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6"/>
                <w:szCs w:val="16"/>
                <w:color w:val="auto"/>
              </w:rPr>
              <w:t>Effect of foreign currency exchange rate changes</w:t>
            </w: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5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5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and cash equivalents</w:t>
            </w:r>
          </w:p>
        </w:tc>
        <w:tc>
          <w:tcPr>
            <w:tcW w:w="10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80" w:type="dxa"/>
            <w:vAlign w:val="bottom"/>
            <w:vMerge w:val="continue"/>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(29,560)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45,393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at beginning of year</w:t>
            </w:r>
          </w:p>
        </w:tc>
        <w:tc>
          <w:tcPr>
            <w:tcW w:w="10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179,252</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133,859</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123,127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end of year</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149,692</w:t>
            </w:r>
          </w:p>
        </w:tc>
        <w:tc>
          <w:tcPr>
            <w:tcW w:w="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179,252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10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income taxes, net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1,656</w:t>
            </w: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Non-cash financing activities: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purchases of property and equipment on account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Pr>
          <w:p>
            <w:pPr>
              <w:ind w:left="500"/>
              <w:spacing w:after="0"/>
              <w:rPr>
                <w:sz w:val="20"/>
                <w:szCs w:val="20"/>
                <w:color w:val="auto"/>
              </w:rPr>
            </w:pPr>
            <w:r>
              <w:rPr>
                <w:rFonts w:ascii="Arial" w:cs="Arial" w:eastAsia="Arial" w:hAnsi="Arial"/>
                <w:sz w:val="16"/>
                <w:szCs w:val="16"/>
                <w:color w:val="auto"/>
              </w:rPr>
              <w:t>Common stock issued for business acquisitions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44</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117" w:lineRule="exact"/>
        <w:rPr>
          <w:sz w:val="20"/>
          <w:szCs w:val="20"/>
          <w:color w:val="auto"/>
        </w:rPr>
      </w:pPr>
    </w:p>
    <w:p>
      <w:pPr>
        <w:ind w:right="80" w:firstLine="538"/>
        <w:spacing w:after="0" w:line="311" w:lineRule="auto"/>
        <w:rPr>
          <w:sz w:val="20"/>
          <w:szCs w:val="20"/>
          <w:color w:val="auto"/>
        </w:rPr>
      </w:pPr>
      <w:r>
        <w:rPr>
          <w:rFonts w:ascii="Arial" w:cs="Arial" w:eastAsia="Arial" w:hAnsi="Arial"/>
          <w:sz w:val="16"/>
          <w:szCs w:val="16"/>
          <w:color w:val="auto"/>
        </w:rPr>
        <w:t>SPS Commerce is a leading provider of cloud-based supply chain management solutions that make it easier for retailers, suppliers, distributors, and logistics firms to orchestrate the management of item data, order fulfillment, inventory control and sales analytics across all channels. Implementing and maintaining a suite of supply chain management capabilities is resource intensive and is not a core competency for most businesses.</w:t>
      </w:r>
    </w:p>
    <w:p>
      <w:pPr>
        <w:spacing w:after="0" w:line="41" w:lineRule="exact"/>
        <w:rPr>
          <w:sz w:val="20"/>
          <w:szCs w:val="20"/>
          <w:color w:val="auto"/>
        </w:rPr>
      </w:pPr>
    </w:p>
    <w:p>
      <w:pPr>
        <w:ind w:right="100" w:firstLine="538"/>
        <w:spacing w:after="0" w:line="259" w:lineRule="auto"/>
        <w:rPr>
          <w:sz w:val="20"/>
          <w:szCs w:val="20"/>
          <w:color w:val="auto"/>
        </w:rPr>
      </w:pPr>
      <w:r>
        <w:rPr>
          <w:rFonts w:ascii="Arial" w:cs="Arial" w:eastAsia="Arial" w:hAnsi="Arial"/>
          <w:sz w:val="18"/>
          <w:szCs w:val="18"/>
          <w:color w:val="auto"/>
        </w:rPr>
        <w:t>The services offered by SPS Commerce eliminate the need for on-premise software and support staff by taking on that capability on the customer’s behalf. The solutions SPS Commerce provides enable our customers to increase their supply cycle agility, optimize their inventory levels and sell-through, reduce operational costs and gain increased visibility into customer orders, ensuring that suppliers, distributors, and logistics firms can satisfy retailer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80" w:firstLine="538"/>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consolidated financial statements.</w:t>
      </w:r>
    </w:p>
    <w:p>
      <w:pPr>
        <w:spacing w:after="0" w:line="184" w:lineRule="exact"/>
        <w:rPr>
          <w:sz w:val="20"/>
          <w:szCs w:val="20"/>
          <w:color w:val="auto"/>
        </w:rPr>
      </w:pPr>
    </w:p>
    <w:p>
      <w:pPr>
        <w:ind w:right="300" w:firstLine="611"/>
        <w:spacing w:after="0" w:line="277" w:lineRule="auto"/>
        <w:rPr>
          <w:sz w:val="20"/>
          <w:szCs w:val="20"/>
          <w:color w:val="auto"/>
        </w:rPr>
      </w:pPr>
      <w:r>
        <w:rPr>
          <w:rFonts w:ascii="Arial" w:cs="Arial" w:eastAsia="Arial" w:hAnsi="Arial"/>
          <w:sz w:val="18"/>
          <w:szCs w:val="18"/>
          <w:color w:val="auto"/>
        </w:rPr>
        <w:t xml:space="preserve">Effective January 1, 2020, we adopted Accounting Standards Update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with a modified-retrospective approach and recorded a $1.1 million cumulative-effect adjustment to retained earnings.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July 25, 2019, we announced that our board of directors declared a two-for-one stock split of our common stock, effected in the form of</w:t>
      </w:r>
    </w:p>
    <w:p>
      <w:pPr>
        <w:spacing w:after="0" w:line="23"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a 100 percent stock dividend as of the record date on August 8, 2019. The stock split dividend was distributed on August 22, 2019. Earnings per share and weighted average shares outstanding are presented in this Annual Report on Form 10-K after the effect of the 100 percent stock dividend. The two-for-one stock split is reflected in the share amounts in all periods presented in this Annual Report on Form 10-K.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120" w:firstLine="538"/>
        <w:spacing w:after="0" w:line="296" w:lineRule="auto"/>
        <w:rPr>
          <w:sz w:val="20"/>
          <w:szCs w:val="20"/>
          <w:color w:val="auto"/>
        </w:rPr>
      </w:pPr>
      <w:r>
        <w:rPr>
          <w:rFonts w:ascii="Arial" w:cs="Arial" w:eastAsia="Arial" w:hAnsi="Arial"/>
          <w:sz w:val="16"/>
          <w:szCs w:val="16"/>
          <w:color w:val="auto"/>
        </w:rPr>
        <w:t>The functional currency of our foreign operations is generally the applicable local currency. The functional currency is translated into U.S. dollars for balance sheet accounts using current exchange rates in effect as of the balance sheet date and for revenue and expense accounts using an average exchange rate during the year. The translation adjustments are deferred as a component of other comprehensive income within the consolidated statements of comprehensive income and the consolidated statements of stockholders' equity. Gains or losses resulting from transactions denominated in foreign currencies, if any, are included in other income (expense), net in our consolidated statements of comprehensive income.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538"/>
        <w:spacing w:after="0" w:line="263"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05740"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45</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240" w:firstLine="538"/>
        <w:spacing w:after="0" w:line="308" w:lineRule="auto"/>
        <w:rPr>
          <w:sz w:val="20"/>
          <w:szCs w:val="20"/>
          <w:color w:val="auto"/>
        </w:rPr>
      </w:pPr>
      <w:r>
        <w:rPr>
          <w:rFonts w:ascii="Arial" w:cs="Arial" w:eastAsia="Arial" w:hAnsi="Arial"/>
          <w:sz w:val="17"/>
          <w:szCs w:val="17"/>
          <w:color w:val="auto"/>
        </w:rPr>
        <w:t>We recognize the fair value of the assets acquired and the liabilities assumed at the acquisition date, separately from goodwill. Goodwill as of the acquisition date is measured as the excess of consideration transferred and the amount of the assets acquired and the liabilities assumed.</w:t>
      </w:r>
    </w:p>
    <w:p>
      <w:pPr>
        <w:spacing w:after="0" w:line="38" w:lineRule="exact"/>
        <w:rPr>
          <w:sz w:val="20"/>
          <w:szCs w:val="20"/>
          <w:color w:val="auto"/>
        </w:rPr>
      </w:pPr>
    </w:p>
    <w:p>
      <w:pPr>
        <w:ind w:right="80" w:firstLine="538"/>
        <w:spacing w:after="0" w:line="255" w:lineRule="auto"/>
        <w:rPr>
          <w:sz w:val="20"/>
          <w:szCs w:val="20"/>
          <w:color w:val="auto"/>
        </w:rPr>
      </w:pPr>
      <w:r>
        <w:rPr>
          <w:rFonts w:ascii="Arial" w:cs="Arial" w:eastAsia="Arial" w:hAnsi="Arial"/>
          <w:sz w:val="18"/>
          <w:szCs w:val="18"/>
          <w:color w:val="auto"/>
        </w:rPr>
        <w:t>Assets acquired include tangible and intangible assets. We use estimates and assumptions that we believe are reasonable as a part of the purchase price allocation, which includes the process to determine the value and useful lives of purchased intangible assets and the process to determine the value of any contingent consideration liabilities. We recorded the acquisition-date fair value of any contingent liabilities, such as earn-out provisions, as part of the consideration transferred. The earn-out liability fair value is subsequently remeasured at each reporting date. The Company evaluates each contingent consideration to determine the valuation approach. See Notes B and E for valuation methods utilized in the fair value remeasurement as of the reporting date.</w:t>
      </w:r>
    </w:p>
    <w:p>
      <w:pPr>
        <w:spacing w:after="0" w:line="84" w:lineRule="exact"/>
        <w:rPr>
          <w:sz w:val="20"/>
          <w:szCs w:val="20"/>
          <w:color w:val="auto"/>
        </w:rPr>
      </w:pPr>
    </w:p>
    <w:p>
      <w:pPr>
        <w:ind w:right="20" w:firstLine="538"/>
        <w:spacing w:after="0" w:line="257" w:lineRule="auto"/>
        <w:rPr>
          <w:sz w:val="20"/>
          <w:szCs w:val="20"/>
          <w:color w:val="auto"/>
        </w:rPr>
      </w:pPr>
      <w:r>
        <w:rPr>
          <w:rFonts w:ascii="Arial" w:cs="Arial" w:eastAsia="Arial" w:hAnsi="Arial"/>
          <w:sz w:val="18"/>
          <w:szCs w:val="18"/>
          <w:color w:val="auto"/>
        </w:rPr>
        <w:t>While we believe these estimates and assumptions are reasonable, they are inherently uncertain and subject to refinement. As a result, during the measurement period, which may be up to one year from the acquisition date, we may record adjustments to the fair value of the assets acquired and the liabilities assumed. Any such adjustments would be recorded as an offset to goodwill or a working capital adjustment as applicable. Upon the conclusion of the measurement period or final determination of the fair values, whichever comes first, any subsequent adjustments would be recorded in our consolidated statements of comprehensive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operate in and report on one segment, which is supply chain management solutions</w:t>
      </w:r>
      <w:r>
        <w:rPr>
          <w:rFonts w:ascii="Arial" w:cs="Arial" w:eastAsia="Arial" w:hAnsi="Arial"/>
          <w:sz w:val="18"/>
          <w:szCs w:val="18"/>
          <w:i w:val="1"/>
          <w:i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17" w:lineRule="exact"/>
        <w:rPr>
          <w:sz w:val="20"/>
          <w:szCs w:val="20"/>
          <w:color w:val="auto"/>
        </w:rPr>
      </w:pPr>
    </w:p>
    <w:p>
      <w:pPr>
        <w:ind w:right="400" w:firstLine="538"/>
        <w:spacing w:after="0" w:line="308" w:lineRule="auto"/>
        <w:rPr>
          <w:sz w:val="20"/>
          <w:szCs w:val="20"/>
          <w:color w:val="auto"/>
        </w:rPr>
      </w:pPr>
      <w:r>
        <w:rPr>
          <w:rFonts w:ascii="Arial" w:cs="Arial" w:eastAsia="Arial" w:hAnsi="Arial"/>
          <w:sz w:val="17"/>
          <w:szCs w:val="17"/>
          <w:color w:val="auto"/>
        </w:rPr>
        <w:t>We rely on hardware and software licensed from third parties to offer our on-demand solutions. Our management believes alternate sources are available; however, disruption or termination of these relationships could adversely affect our operating results in the near term.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80" w:firstLine="538"/>
        <w:spacing w:after="0" w:line="263"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and cash equivalents in financial institutions in excess of federally insured limits and accounts receivable. Cash and cash equivalents are held with financial institutions that we believe are subject to minimal risk.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 w:firstLine="538"/>
        <w:spacing w:after="0" w:line="277" w:lineRule="auto"/>
        <w:rPr>
          <w:sz w:val="20"/>
          <w:szCs w:val="20"/>
          <w:color w:val="auto"/>
        </w:rPr>
      </w:pPr>
      <w:r>
        <w:rPr>
          <w:rFonts w:ascii="Arial" w:cs="Arial" w:eastAsia="Arial" w:hAnsi="Arial"/>
          <w:sz w:val="18"/>
          <w:szCs w:val="18"/>
          <w:color w:val="auto"/>
        </w:rPr>
        <w:t>Cash and cash equivalents consist of cash and highly liquid investments with original maturities of less than 90 days. Cash and cash equivalents are stated at fair value.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38"/>
        <w:spacing w:after="0" w:line="293" w:lineRule="auto"/>
        <w:rPr>
          <w:sz w:val="20"/>
          <w:szCs w:val="20"/>
          <w:color w:val="auto"/>
        </w:rPr>
      </w:pPr>
      <w:r>
        <w:rPr>
          <w:rFonts w:ascii="Arial" w:cs="Arial" w:eastAsia="Arial" w:hAnsi="Arial"/>
          <w:sz w:val="16"/>
          <w:szCs w:val="16"/>
          <w:color w:val="auto"/>
        </w:rPr>
        <w:t>Management determines the appropriate classification of certificates of deposit and marketable securities at the time of purchase and reevaluates such determination at each balance sheet date. Securities are classified as available for sale and are carried at fair value, with the change in unrealized gains and losses, net of tax, reported as unrealized gains on investments on the consolidated statements of comprehensive income. Fair value is determined based on quoted market rates when observable or utilizing data points that are observable, such as quoted prices, interest rates and yield curves. When a determination has been made that an other-than-temporary decline in fair value has occurred, the amount of the decline that is related to a credit loss is realized and is included in other income (expense), net in the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205740"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3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46</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right="360" w:firstLine="538"/>
        <w:spacing w:after="0" w:line="277" w:lineRule="auto"/>
        <w:rPr>
          <w:sz w:val="20"/>
          <w:szCs w:val="20"/>
          <w:color w:val="auto"/>
        </w:rPr>
      </w:pPr>
      <w:r>
        <w:rPr>
          <w:rFonts w:ascii="Arial" w:cs="Arial" w:eastAsia="Arial" w:hAnsi="Arial"/>
          <w:sz w:val="18"/>
          <w:szCs w:val="18"/>
          <w:color w:val="auto"/>
        </w:rPr>
        <w:t>The carrying amounts of our short-term financial instruments, which include cash, cash equivalents, accounts receivable, and accounts payable, approximates fair value due to their short-term nature.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40" w:firstLine="538"/>
        <w:spacing w:after="0" w:line="275" w:lineRule="auto"/>
        <w:rPr>
          <w:sz w:val="20"/>
          <w:szCs w:val="20"/>
          <w:color w:val="auto"/>
        </w:rPr>
      </w:pPr>
      <w:r>
        <w:rPr>
          <w:rFonts w:ascii="Arial" w:cs="Arial" w:eastAsia="Arial" w:hAnsi="Arial"/>
          <w:sz w:val="17"/>
          <w:szCs w:val="17"/>
          <w:color w:val="auto"/>
        </w:rPr>
        <w:t>Accounts receivable are initially recorded upon the sale of solutions to customers. Credit is granted in the normal course of business without collateral. Accounts receivable are stated net of allowances for credit losses, which represent estimated losses resulting from the inability of certain customers to make the required payments. When determining the allowance, we pool our outstanding accounts receivable invoices based on the contractual due date of payment at the balance sheet date. We take several factors into consideration for estimated credit losses by pool, primarily our historical credit losses, with additional adjustments made for current and future macro-economic conditions and retail bankruptcy trends. We write-off accounts receivable when they are determined to be uncollectible. Changes in the allowance are recorded as bad debt expense and are included in general and administrative expense in our consolidated statements of comprehensive income.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60" w:firstLine="538"/>
        <w:spacing w:after="0" w:line="342" w:lineRule="auto"/>
        <w:rPr>
          <w:sz w:val="20"/>
          <w:szCs w:val="20"/>
          <w:color w:val="auto"/>
        </w:rPr>
      </w:pPr>
      <w:r>
        <w:rPr>
          <w:rFonts w:ascii="Arial" w:cs="Arial" w:eastAsia="Arial" w:hAnsi="Arial"/>
          <w:sz w:val="16"/>
          <w:szCs w:val="16"/>
          <w:color w:val="auto"/>
        </w:rPr>
        <w:t>Property and equipment, including assets acquired under capital lease obligations, are stated at cost, net of accumulated depreciation and amortization. Depreciation and amortization are computed using the straight-line method over the estimated useful lives when placed in service, which are:</w:t>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Computer equipment and software: 2 to 3 years</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Office equipment and furniture: 5 to 7 years</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Leasehold improvements: the shorter of the useful life of the asset or the remaining term of the lease</w:t>
      </w:r>
    </w:p>
    <w:p>
      <w:pPr>
        <w:spacing w:after="0" w:line="117" w:lineRule="exact"/>
        <w:rPr>
          <w:sz w:val="20"/>
          <w:szCs w:val="20"/>
          <w:color w:val="auto"/>
        </w:rPr>
      </w:pPr>
    </w:p>
    <w:p>
      <w:pPr>
        <w:ind w:right="100" w:firstLine="538"/>
        <w:spacing w:after="0" w:line="277" w:lineRule="auto"/>
        <w:rPr>
          <w:sz w:val="20"/>
          <w:szCs w:val="20"/>
          <w:color w:val="auto"/>
        </w:rPr>
      </w:pPr>
      <w:r>
        <w:rPr>
          <w:rFonts w:ascii="Arial" w:cs="Arial" w:eastAsia="Arial" w:hAnsi="Arial"/>
          <w:sz w:val="18"/>
          <w:szCs w:val="18"/>
          <w:color w:val="auto"/>
        </w:rPr>
        <w:t>Significant additions or improvements extending asset lives beyond one year are capitalized, while repairs and maintenance are charged to expense as incurred.</w:t>
      </w:r>
    </w:p>
    <w:p>
      <w:pPr>
        <w:spacing w:after="0" w:line="62" w:lineRule="exact"/>
        <w:rPr>
          <w:sz w:val="20"/>
          <w:szCs w:val="20"/>
          <w:color w:val="auto"/>
        </w:rPr>
      </w:pPr>
    </w:p>
    <w:p>
      <w:pPr>
        <w:ind w:right="220" w:firstLine="538"/>
        <w:spacing w:after="0" w:line="279" w:lineRule="auto"/>
        <w:rPr>
          <w:sz w:val="20"/>
          <w:szCs w:val="20"/>
          <w:color w:val="auto"/>
        </w:rPr>
      </w:pPr>
      <w:r>
        <w:rPr>
          <w:rFonts w:ascii="Arial" w:cs="Arial" w:eastAsia="Arial" w:hAnsi="Arial"/>
          <w:sz w:val="17"/>
          <w:szCs w:val="17"/>
          <w:color w:val="auto"/>
        </w:rPr>
        <w:t>We capitalize and amortize eligible costs to acquire or develop internal-use software that are incurred during the application development stage. Costs incurred during the preliminary project stage and post-implementation stage are expensed as incurred. Internal-use software is depreciated over the estimated useful life, three years, commencing on the date when the asset is ready for its intended use. Depreciation is computed using the straight-line method. Maintenance and enhancements of internal-use software are expensed as incurred.</w:t>
      </w:r>
    </w:p>
    <w:p>
      <w:pPr>
        <w:spacing w:after="0" w:line="63" w:lineRule="exact"/>
        <w:rPr>
          <w:sz w:val="20"/>
          <w:szCs w:val="20"/>
          <w:color w:val="auto"/>
        </w:rPr>
      </w:pPr>
    </w:p>
    <w:p>
      <w:pPr>
        <w:ind w:right="520" w:firstLine="538"/>
        <w:spacing w:after="0" w:line="277" w:lineRule="auto"/>
        <w:rPr>
          <w:sz w:val="20"/>
          <w:szCs w:val="20"/>
          <w:color w:val="auto"/>
        </w:rPr>
      </w:pPr>
      <w:r>
        <w:rPr>
          <w:rFonts w:ascii="Arial" w:cs="Arial" w:eastAsia="Arial" w:hAnsi="Arial"/>
          <w:sz w:val="18"/>
          <w:szCs w:val="18"/>
          <w:color w:val="auto"/>
        </w:rPr>
        <w:t>The assets and related accumulated depreciation and amortization are adjusted for asset retirements and disposals and abandoned internal-use software with the resulting gain or loss included in our consolidated statements of comprehensive income.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80" w:firstLine="538"/>
        <w:spacing w:after="0" w:line="277"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assets, current operating lease liabilities, and long-term operating lease liabilities in our consolidated balance sheets.</w:t>
      </w:r>
    </w:p>
    <w:p>
      <w:pPr>
        <w:spacing w:after="0" w:line="62" w:lineRule="exact"/>
        <w:rPr>
          <w:sz w:val="20"/>
          <w:szCs w:val="20"/>
          <w:color w:val="auto"/>
        </w:rPr>
      </w:pPr>
    </w:p>
    <w:p>
      <w:pPr>
        <w:ind w:right="80" w:firstLine="538"/>
        <w:spacing w:after="0" w:line="270" w:lineRule="auto"/>
        <w:rPr>
          <w:sz w:val="20"/>
          <w:szCs w:val="20"/>
          <w:color w:val="auto"/>
        </w:rPr>
      </w:pPr>
      <w:r>
        <w:rPr>
          <w:rFonts w:ascii="Arial" w:cs="Arial" w:eastAsia="Arial" w:hAnsi="Arial"/>
          <w:sz w:val="17"/>
          <w:szCs w:val="17"/>
          <w:color w:val="auto"/>
        </w:rPr>
        <w:t>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estimate the discount rate for a similar collateralized asset by estimating costs of borrowing. We use the implicit interest rate when readily determinable. The operating lease ROU asset also includes any lease payments made and lease incentives that have been incurred. The options to extend our leases are not recognized as part of our ROU assets and lease liabilities unless it is reasonably certain that we will exercise that option. Lease expense for lease payments is recognized on a straight-line basis over the lease term. For all leases, we combine non-lease components with the related lease components and account for it as a single lease component. The ROU assets are subject to the same impairment process as our long-lived assets. Additionally, we review our lease liabilities for remeasurement whenever there is a triggering event or when relevant facts and circumstances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205740"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47</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firstLine="538"/>
        <w:spacing w:after="0" w:line="277" w:lineRule="auto"/>
        <w:rPr>
          <w:sz w:val="20"/>
          <w:szCs w:val="20"/>
          <w:color w:val="auto"/>
        </w:rPr>
      </w:pPr>
      <w:r>
        <w:rPr>
          <w:rFonts w:ascii="Arial" w:cs="Arial" w:eastAsia="Arial" w:hAnsi="Arial"/>
          <w:sz w:val="18"/>
          <w:szCs w:val="18"/>
          <w:color w:val="auto"/>
        </w:rPr>
        <w:t>Research and development costs primarily include maintenance and data conversion activities related to our cloud-based supply chain management solutions and are expensed as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firstLine="538"/>
        <w:spacing w:after="0" w:line="296"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acquired in business combinations. We test goodwill for impairment annually at November 30, or more frequently if events or changes in circumstances indicate that the asset might be impaired. The impairment test is conducted by comparing the fair value of the net assets with the carrying amount of the reporting unit. We determine the fair value of the reporting unit based on our market capitalization at the testing date. If the carrying amount exceeds the fair value of the reporting unit, we would recognize an impairment loss in the consolidated statements of comprehensive income, to the extent that the carrying amount exceeds fair value.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220" w:firstLine="538"/>
        <w:spacing w:after="0" w:line="311" w:lineRule="auto"/>
        <w:rPr>
          <w:sz w:val="20"/>
          <w:szCs w:val="20"/>
          <w:color w:val="auto"/>
        </w:rPr>
      </w:pPr>
      <w:r>
        <w:rPr>
          <w:rFonts w:ascii="Arial" w:cs="Arial" w:eastAsia="Arial" w:hAnsi="Arial"/>
          <w:sz w:val="16"/>
          <w:szCs w:val="16"/>
          <w:color w:val="auto"/>
        </w:rPr>
        <w:t>Assets acquired in business combinations may include identifiable intangible assets such as subscriber relationships, developed technology, and non-competition agreements. We recognize the fair value of the identifiable intangible assets acquired separately from goodwill. We have determined the fair value and useful lives of our purchased intangible assets using certain estimates and assumptions that we believe are reasonable.</w:t>
      </w:r>
    </w:p>
    <w:p>
      <w:pPr>
        <w:spacing w:after="0" w:line="41" w:lineRule="exact"/>
        <w:rPr>
          <w:sz w:val="20"/>
          <w:szCs w:val="20"/>
          <w:color w:val="auto"/>
        </w:rPr>
      </w:pPr>
    </w:p>
    <w:p>
      <w:pPr>
        <w:ind w:right="540" w:firstLine="538"/>
        <w:spacing w:after="0" w:line="308" w:lineRule="auto"/>
        <w:rPr>
          <w:sz w:val="20"/>
          <w:szCs w:val="20"/>
          <w:color w:val="auto"/>
        </w:rPr>
      </w:pPr>
      <w:r>
        <w:rPr>
          <w:rFonts w:ascii="Arial" w:cs="Arial" w:eastAsia="Arial" w:hAnsi="Arial"/>
          <w:sz w:val="17"/>
          <w:szCs w:val="17"/>
          <w:color w:val="auto"/>
        </w:rPr>
        <w:t>The purchased intangible assets are being amortized on a straight-line basis over their estimated useful lives, which are seven to ten years for subscriber relationships, three to five years for non-competition agreements and three to ten years for acquired technology.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Party Implementation Assets</w:t>
      </w:r>
    </w:p>
    <w:p>
      <w:pPr>
        <w:spacing w:after="0" w:line="117" w:lineRule="exact"/>
        <w:rPr>
          <w:sz w:val="20"/>
          <w:szCs w:val="20"/>
          <w:color w:val="auto"/>
        </w:rPr>
      </w:pPr>
    </w:p>
    <w:p>
      <w:pPr>
        <w:ind w:right="280" w:firstLine="538"/>
        <w:spacing w:after="0" w:line="277" w:lineRule="auto"/>
        <w:rPr>
          <w:sz w:val="20"/>
          <w:szCs w:val="20"/>
          <w:color w:val="auto"/>
        </w:rPr>
      </w:pPr>
      <w:r>
        <w:rPr>
          <w:rFonts w:ascii="Arial" w:cs="Arial" w:eastAsia="Arial" w:hAnsi="Arial"/>
          <w:sz w:val="18"/>
          <w:szCs w:val="18"/>
          <w:color w:val="auto"/>
        </w:rPr>
        <w:t>Third party implementation costs are capitalized assets included in Other Assets and relate to implementation costs incurred for software hosting arrangements.</w:t>
      </w:r>
    </w:p>
    <w:p>
      <w:pPr>
        <w:spacing w:after="0" w:line="62" w:lineRule="exact"/>
        <w:rPr>
          <w:sz w:val="20"/>
          <w:szCs w:val="20"/>
          <w:color w:val="auto"/>
        </w:rPr>
      </w:pPr>
    </w:p>
    <w:p>
      <w:pPr>
        <w:ind w:right="120" w:firstLine="538"/>
        <w:spacing w:after="0" w:line="342" w:lineRule="auto"/>
        <w:rPr>
          <w:sz w:val="20"/>
          <w:szCs w:val="20"/>
          <w:color w:val="auto"/>
        </w:rPr>
      </w:pPr>
      <w:r>
        <w:rPr>
          <w:rFonts w:ascii="Arial" w:cs="Arial" w:eastAsia="Arial" w:hAnsi="Arial"/>
          <w:sz w:val="16"/>
          <w:szCs w:val="16"/>
          <w:color w:val="auto"/>
        </w:rPr>
        <w:t>Capitalized implementation costs are recognized on a straight-line basis beginning when the application is ready for its intended use and ending on the expected termination date of the hosting arrangement, including consideration of the noncancelable contractual term and reasonably certain renewals.</w:t>
      </w:r>
    </w:p>
    <w:p>
      <w:pPr>
        <w:spacing w:after="0" w:line="16" w:lineRule="exact"/>
        <w:rPr>
          <w:sz w:val="20"/>
          <w:szCs w:val="20"/>
          <w:color w:val="auto"/>
        </w:rPr>
      </w:pPr>
    </w:p>
    <w:p>
      <w:pPr>
        <w:ind w:right="540" w:firstLine="538"/>
        <w:spacing w:after="0" w:line="277" w:lineRule="auto"/>
        <w:rPr>
          <w:sz w:val="20"/>
          <w:szCs w:val="20"/>
          <w:color w:val="auto"/>
        </w:rPr>
      </w:pPr>
      <w:r>
        <w:rPr>
          <w:rFonts w:ascii="Arial" w:cs="Arial" w:eastAsia="Arial" w:hAnsi="Arial"/>
          <w:sz w:val="18"/>
          <w:szCs w:val="18"/>
          <w:color w:val="auto"/>
        </w:rPr>
        <w:t>The terms are between four and six years for our current hosting arrangements. Recognized expense is reported in general and administrative expense, which is where the hosting arrangement subscriptions are reported.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38"/>
        <w:spacing w:after="0" w:line="279" w:lineRule="auto"/>
        <w:rPr>
          <w:sz w:val="20"/>
          <w:szCs w:val="20"/>
          <w:color w:val="auto"/>
        </w:rPr>
      </w:pPr>
      <w:r>
        <w:rPr>
          <w:rFonts w:ascii="Arial" w:cs="Arial" w:eastAsia="Arial" w:hAnsi="Arial"/>
          <w:sz w:val="17"/>
          <w:szCs w:val="17"/>
          <w:color w:val="auto"/>
        </w:rPr>
        <w:t>We review our long-lived assets for impairment whenever events or changes in circumstances indicate that the carrying amount may not be recoverable. The carrying amount of a long-lived asset is not recoverable if the carrying amount of an asset group exceeds the sum of the undiscounted cash flows expected to result from the use and eventual disposition of the assets at the date it is tested for recoverability, whether in use or under development. An impairment loss is measured as the amount by which the carrying amount of a long-lived asset exceeds its fair value.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538"/>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48</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ind w:left="54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180" w:hanging="389"/>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180" w:hanging="389"/>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180" w:hanging="389"/>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180" w:hanging="389"/>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1180" w:hanging="389"/>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Note C for further descriptions of our revenue recognition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Costs</w:t>
      </w:r>
    </w:p>
    <w:p>
      <w:pPr>
        <w:spacing w:after="0" w:line="117" w:lineRule="exact"/>
        <w:rPr>
          <w:sz w:val="20"/>
          <w:szCs w:val="20"/>
          <w:color w:val="auto"/>
        </w:rPr>
      </w:pPr>
    </w:p>
    <w:p>
      <w:pPr>
        <w:ind w:right="20" w:firstLine="538"/>
        <w:spacing w:after="0" w:line="286" w:lineRule="auto"/>
        <w:rPr>
          <w:sz w:val="20"/>
          <w:szCs w:val="20"/>
          <w:color w:val="auto"/>
        </w:rPr>
      </w:pPr>
      <w:r>
        <w:rPr>
          <w:rFonts w:ascii="Arial" w:cs="Arial" w:eastAsia="Arial" w:hAnsi="Arial"/>
          <w:sz w:val="17"/>
          <w:szCs w:val="17"/>
          <w:color w:val="auto"/>
        </w:rPr>
        <w:t>Deferred costs are those that are incurred to fulfill or obtain customer contracts and that are considered incremental and recoverable costs. These consist primarily of customer implementation costs, commissions paid to sales personnel and third-party partners for customer referrals, respectively. These costs are deferred and amortized over the expected period of benefit which we have determined to be two years.</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Sales commissions are calculated based on estimated annual recurring revenue to be generated over the customer’s initial contract period.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included in sales and marketing expenses in the accompanying consolidated statements of comprehensive income.</w:t>
      </w:r>
    </w:p>
    <w:p>
      <w:pPr>
        <w:spacing w:after="0" w:line="116" w:lineRule="exact"/>
        <w:rPr>
          <w:sz w:val="20"/>
          <w:szCs w:val="20"/>
          <w:color w:val="auto"/>
        </w:rPr>
      </w:pPr>
    </w:p>
    <w:p>
      <w:pPr>
        <w:ind w:right="460" w:firstLine="538"/>
        <w:spacing w:after="0" w:line="277" w:lineRule="auto"/>
        <w:rPr>
          <w:sz w:val="20"/>
          <w:szCs w:val="20"/>
          <w:color w:val="auto"/>
        </w:rPr>
      </w:pPr>
      <w:r>
        <w:rPr>
          <w:rFonts w:ascii="Arial" w:cs="Arial" w:eastAsia="Arial" w:hAnsi="Arial"/>
          <w:sz w:val="18"/>
          <w:szCs w:val="18"/>
          <w:color w:val="auto"/>
        </w:rPr>
        <w:t>Customer implementation costs are based on actual costs incurred. Amortization expense is included in cost of revenues in the accompanying consolidated statements of comprehensive income.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40" w:firstLine="538"/>
        <w:spacing w:after="0" w:line="257" w:lineRule="auto"/>
        <w:rPr>
          <w:sz w:val="20"/>
          <w:szCs w:val="20"/>
          <w:color w:val="auto"/>
        </w:rPr>
      </w:pPr>
      <w:r>
        <w:rPr>
          <w:rFonts w:ascii="Arial" w:cs="Arial" w:eastAsia="Arial" w:hAnsi="Arial"/>
          <w:sz w:val="18"/>
          <w:szCs w:val="18"/>
          <w:color w:val="auto"/>
        </w:rPr>
        <w:t>We recognize the cost of all share-based payments to employees, executive officers, and non-employee members of the Company’s Board of Directors, including grants of incentive and nonqualified stock options, performance share units (“PSUs”), restricted stock awards (“RSAs”), restricted stock units (“RSUs”), deferred stock units (“DSUs”), employee stock purchase plan (“ESPP”), and 401(k) stock match in the consolidated financial statements based on the grant date fair value of those awards. This cost is recognized over the period for which an employee is required to provide service in exchange for the award or the performance period, as applicable.</w:t>
      </w:r>
    </w:p>
    <w:p>
      <w:pPr>
        <w:spacing w:after="0" w:line="80" w:lineRule="exact"/>
        <w:rPr>
          <w:sz w:val="20"/>
          <w:szCs w:val="20"/>
          <w:color w:val="auto"/>
        </w:rPr>
      </w:pPr>
    </w:p>
    <w:p>
      <w:pPr>
        <w:ind w:right="20" w:firstLine="538"/>
        <w:spacing w:after="0" w:line="290" w:lineRule="auto"/>
        <w:rPr>
          <w:sz w:val="20"/>
          <w:szCs w:val="20"/>
          <w:color w:val="auto"/>
        </w:rPr>
      </w:pPr>
      <w:r>
        <w:rPr>
          <w:rFonts w:ascii="Arial" w:cs="Arial" w:eastAsia="Arial" w:hAnsi="Arial"/>
          <w:sz w:val="16"/>
          <w:szCs w:val="16"/>
          <w:color w:val="auto"/>
        </w:rPr>
        <w:t>In valuing share-based awards, excluding PSUs, judgment is required in determining the expected volatility of common stock and the expected term individuals will hold their share-based awards prior to exercising. The expected volatility of the options is based on the historical volatility of our common stock. Beginning with awards granted in 2020, the expected term of the options is derived from historical data on employee exercises and post-vesting employment termination behavior. For awards granted prior to 2020, the expected term of the options was based on the simplified method which does not consider historical employee exercise behavior. Additional valuation inputs include our expected non-issuance of future common stock dividends and the risk-free interest rate that is based on the U.S. Treasury rates at the date of grant with maturity dates approximately equaling the expected life at the grant date. For PSUs, the grant date fair value is estimated using a Monte Carlo simulation that utilizes multiple input variables that determine the probability of satisfying the performance conditions stipulated in the award. For all awards, we recognize forfeitures as they occur.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38"/>
        <w:spacing w:after="0" w:line="257" w:lineRule="auto"/>
        <w:rPr>
          <w:sz w:val="20"/>
          <w:szCs w:val="20"/>
          <w:color w:val="auto"/>
        </w:rPr>
      </w:pPr>
      <w:r>
        <w:rPr>
          <w:rFonts w:ascii="Arial" w:cs="Arial" w:eastAsia="Arial" w:hAnsi="Arial"/>
          <w:sz w:val="18"/>
          <w:szCs w:val="18"/>
          <w:color w:val="auto"/>
        </w:rPr>
        <w:t>We account for income taxes using the asset and liability method, which requires recognition of deferred tax assets and liabilities for the expected future tax consequences of events that have been included in the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in our judgement, it is more likely than not that some or all of the deferred tax asset will not be realized.</w:t>
      </w:r>
    </w:p>
    <w:p>
      <w:pPr>
        <w:spacing w:after="0" w:line="80" w:lineRule="exact"/>
        <w:rPr>
          <w:sz w:val="20"/>
          <w:szCs w:val="20"/>
          <w:color w:val="auto"/>
        </w:rPr>
      </w:pPr>
    </w:p>
    <w:p>
      <w:pPr>
        <w:ind w:right="160" w:firstLine="538"/>
        <w:spacing w:after="0" w:line="277" w:lineRule="auto"/>
        <w:rPr>
          <w:sz w:val="20"/>
          <w:szCs w:val="20"/>
          <w:color w:val="auto"/>
        </w:rPr>
      </w:pPr>
      <w:r>
        <w:rPr>
          <w:rFonts w:ascii="Arial" w:cs="Arial" w:eastAsia="Arial" w:hAnsi="Arial"/>
          <w:sz w:val="18"/>
          <w:szCs w:val="18"/>
          <w:color w:val="auto"/>
        </w:rPr>
        <w:t>We assess our ability to realize our deferred tax assets at the end of each reporting period. Realization of our deferred tax assets is contingent upon future taxable earnings. Accordingly, this assessment requires estimates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49</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260"/>
        <w:spacing w:after="0" w:line="263" w:lineRule="auto"/>
        <w:rPr>
          <w:sz w:val="20"/>
          <w:szCs w:val="20"/>
          <w:color w:val="auto"/>
        </w:rPr>
      </w:pPr>
      <w:r>
        <w:rPr>
          <w:rFonts w:ascii="Arial" w:cs="Arial" w:eastAsia="Arial" w:hAnsi="Arial"/>
          <w:sz w:val="18"/>
          <w:szCs w:val="18"/>
          <w:color w:val="auto"/>
        </w:rPr>
        <w:t>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76" w:lineRule="exact"/>
        <w:rPr>
          <w:sz w:val="20"/>
          <w:szCs w:val="20"/>
          <w:color w:val="auto"/>
        </w:rPr>
      </w:pPr>
    </w:p>
    <w:p>
      <w:pPr>
        <w:ind w:right="100" w:firstLine="538"/>
        <w:spacing w:after="0" w:line="286" w:lineRule="auto"/>
        <w:rPr>
          <w:sz w:val="20"/>
          <w:szCs w:val="20"/>
          <w:color w:val="auto"/>
        </w:rPr>
      </w:pPr>
      <w:r>
        <w:rPr>
          <w:rFonts w:ascii="Arial" w:cs="Arial" w:eastAsia="Arial" w:hAnsi="Arial"/>
          <w:sz w:val="17"/>
          <w:szCs w:val="17"/>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Basic net income per share has been computed using the weighted average number of shares of common stock outstanding during each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Diluted net income per share also includes the impact of our outstanding potential common shares, including options, RSUs, RSAs, PSUs, and DSUs.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Potential common shares that are anti-dilutive are excluded from the calculation of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5740"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8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50</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Standard</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 of Issuance</w:t>
            </w:r>
          </w:p>
        </w:tc>
        <w:tc>
          <w:tcPr>
            <w:tcW w:w="3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Description</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Adopted</w:t>
            </w:r>
          </w:p>
        </w:tc>
        <w:tc>
          <w:tcPr>
            <w:tcW w:w="35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Effect on the Financial Statements</w:t>
            </w:r>
          </w:p>
        </w:tc>
      </w:tr>
      <w:tr>
        <w:trPr>
          <w:trHeight w:val="209"/>
        </w:trPr>
        <w:tc>
          <w:tcPr>
            <w:tcW w:w="1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ASU 2016-13</w:t>
            </w:r>
            <w:r>
              <w:rPr>
                <w:rFonts w:ascii="Arial" w:cs="Arial" w:eastAsia="Arial" w:hAnsi="Arial"/>
                <w:sz w:val="18"/>
                <w:szCs w:val="18"/>
                <w:color w:val="auto"/>
              </w:rPr>
              <w:t>,</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1"/>
              </w:rPr>
              <w:t>June</w:t>
            </w: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The amendment in this update replaces the</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 2020</w:t>
            </w:r>
          </w:p>
        </w:tc>
        <w:tc>
          <w:tcPr>
            <w:tcW w:w="35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5"/>
              </w:rPr>
              <w:t>The adoption of this standard did not have a</w:t>
            </w:r>
          </w:p>
        </w:tc>
      </w:tr>
      <w:tr>
        <w:trPr>
          <w:trHeight w:val="216"/>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Financial</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incurred loss impairment methodology in</w:t>
            </w:r>
          </w:p>
        </w:tc>
        <w:tc>
          <w:tcPr>
            <w:tcW w:w="1240" w:type="dxa"/>
            <w:vAlign w:val="bottom"/>
            <w:shd w:val="clear" w:color="auto" w:fill="CFF0FC"/>
          </w:tcPr>
          <w:p>
            <w:pPr>
              <w:spacing w:after="0"/>
              <w:rPr>
                <w:sz w:val="18"/>
                <w:szCs w:val="18"/>
                <w:color w:val="auto"/>
              </w:rPr>
            </w:pPr>
          </w:p>
        </w:tc>
        <w:tc>
          <w:tcPr>
            <w:tcW w:w="35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4"/>
              </w:rPr>
              <w:t>material impact on our consolidated financial</w:t>
            </w:r>
          </w:p>
        </w:tc>
      </w:tr>
      <w:tr>
        <w:trPr>
          <w:trHeight w:val="216"/>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Instruments - Credit</w:t>
            </w:r>
          </w:p>
        </w:tc>
        <w:tc>
          <w:tcPr>
            <w:tcW w:w="126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current GAAP with a methodology that</w:t>
            </w:r>
          </w:p>
        </w:tc>
        <w:tc>
          <w:tcPr>
            <w:tcW w:w="1240" w:type="dxa"/>
            <w:vAlign w:val="bottom"/>
            <w:shd w:val="clear" w:color="auto" w:fill="CFF0FC"/>
          </w:tcPr>
          <w:p>
            <w:pPr>
              <w:spacing w:after="0"/>
              <w:rPr>
                <w:sz w:val="18"/>
                <w:szCs w:val="18"/>
                <w:color w:val="auto"/>
              </w:rPr>
            </w:pPr>
          </w:p>
        </w:tc>
        <w:tc>
          <w:tcPr>
            <w:tcW w:w="3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statements. See above under "Accounts</w:t>
            </w:r>
          </w:p>
        </w:tc>
      </w:tr>
      <w:tr>
        <w:trPr>
          <w:trHeight w:val="216"/>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Losses (Topic 326),</w:t>
            </w:r>
          </w:p>
        </w:tc>
        <w:tc>
          <w:tcPr>
            <w:tcW w:w="126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4"/>
              </w:rPr>
              <w:t>reflects expected credit losses on instruments</w:t>
            </w:r>
          </w:p>
        </w:tc>
        <w:tc>
          <w:tcPr>
            <w:tcW w:w="1240" w:type="dxa"/>
            <w:vAlign w:val="bottom"/>
            <w:shd w:val="clear" w:color="auto" w:fill="CFF0FC"/>
          </w:tcPr>
          <w:p>
            <w:pPr>
              <w:spacing w:after="0"/>
              <w:rPr>
                <w:sz w:val="18"/>
                <w:szCs w:val="18"/>
                <w:color w:val="auto"/>
              </w:rPr>
            </w:pPr>
          </w:p>
        </w:tc>
        <w:tc>
          <w:tcPr>
            <w:tcW w:w="3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Receivable" for significant inputs for the</w:t>
            </w:r>
          </w:p>
        </w:tc>
      </w:tr>
      <w:tr>
        <w:trPr>
          <w:trHeight w:val="216"/>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Measurement of</w:t>
            </w:r>
          </w:p>
        </w:tc>
        <w:tc>
          <w:tcPr>
            <w:tcW w:w="126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within its scope, including trade receivables.</w:t>
            </w:r>
          </w:p>
        </w:tc>
        <w:tc>
          <w:tcPr>
            <w:tcW w:w="1240" w:type="dxa"/>
            <w:vAlign w:val="bottom"/>
            <w:shd w:val="clear" w:color="auto" w:fill="CFF0FC"/>
          </w:tcPr>
          <w:p>
            <w:pPr>
              <w:spacing w:after="0"/>
              <w:rPr>
                <w:sz w:val="18"/>
                <w:szCs w:val="18"/>
                <w:color w:val="auto"/>
              </w:rPr>
            </w:pPr>
          </w:p>
        </w:tc>
        <w:tc>
          <w:tcPr>
            <w:tcW w:w="3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allowance for credit losses.</w:t>
            </w:r>
          </w:p>
        </w:tc>
      </w:tr>
      <w:tr>
        <w:trPr>
          <w:trHeight w:val="216"/>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Credit Losses on</w:t>
            </w:r>
          </w:p>
        </w:tc>
        <w:tc>
          <w:tcPr>
            <w:tcW w:w="126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This update is intended to provide financial</w:t>
            </w:r>
          </w:p>
        </w:tc>
        <w:tc>
          <w:tcPr>
            <w:tcW w:w="124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r>
      <w:tr>
        <w:trPr>
          <w:trHeight w:val="216"/>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w w:val="96"/>
              </w:rPr>
              <w:t>Financial Statements</w:t>
            </w:r>
          </w:p>
        </w:tc>
        <w:tc>
          <w:tcPr>
            <w:tcW w:w="126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statement users with more decision-useful</w:t>
            </w:r>
          </w:p>
        </w:tc>
        <w:tc>
          <w:tcPr>
            <w:tcW w:w="124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r>
      <w:tr>
        <w:trPr>
          <w:trHeight w:val="230"/>
        </w:trPr>
        <w:tc>
          <w:tcPr>
            <w:tcW w:w="16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6"/>
              </w:rPr>
              <w:t>information about the expected credit losses.</w:t>
            </w:r>
          </w:p>
        </w:tc>
        <w:tc>
          <w:tcPr>
            <w:tcW w:w="1240" w:type="dxa"/>
            <w:vAlign w:val="bottom"/>
            <w:shd w:val="clear" w:color="auto" w:fill="CFF0FC"/>
          </w:tcPr>
          <w:p>
            <w:pPr>
              <w:spacing w:after="0"/>
              <w:rPr>
                <w:sz w:val="20"/>
                <w:szCs w:val="20"/>
                <w:color w:val="auto"/>
              </w:rPr>
            </w:pPr>
          </w:p>
        </w:tc>
        <w:tc>
          <w:tcPr>
            <w:tcW w:w="3500" w:type="dxa"/>
            <w:vAlign w:val="bottom"/>
            <w:shd w:val="clear" w:color="auto" w:fill="CFF0FC"/>
          </w:tcPr>
          <w:p>
            <w:pPr>
              <w:spacing w:after="0"/>
              <w:rPr>
                <w:sz w:val="20"/>
                <w:szCs w:val="20"/>
                <w:color w:val="auto"/>
              </w:rPr>
            </w:pPr>
          </w:p>
        </w:tc>
      </w:tr>
      <w:tr>
        <w:trPr>
          <w:trHeight w:val="215"/>
        </w:trPr>
        <w:tc>
          <w:tcPr>
            <w:tcW w:w="1640" w:type="dxa"/>
            <w:vAlign w:val="bottom"/>
          </w:tcPr>
          <w:p>
            <w:pPr>
              <w:spacing w:after="0"/>
              <w:rPr>
                <w:sz w:val="20"/>
                <w:szCs w:val="20"/>
                <w:color w:val="auto"/>
              </w:rPr>
            </w:pPr>
            <w:r>
              <w:rPr>
                <w:rFonts w:ascii="Arial" w:cs="Arial" w:eastAsia="Arial" w:hAnsi="Arial"/>
                <w:sz w:val="18"/>
                <w:szCs w:val="18"/>
                <w:b w:val="1"/>
                <w:bCs w:val="1"/>
                <w:color w:val="auto"/>
              </w:rPr>
              <w:t>ASU 2018-13</w:t>
            </w:r>
            <w:r>
              <w:rPr>
                <w:rFonts w:ascii="Arial" w:cs="Arial" w:eastAsia="Arial" w:hAnsi="Arial"/>
                <w:sz w:val="18"/>
                <w:szCs w:val="18"/>
                <w:color w:val="auto"/>
              </w:rPr>
              <w:t>, Fair</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August 2018</w:t>
            </w:r>
          </w:p>
        </w:tc>
        <w:tc>
          <w:tcPr>
            <w:tcW w:w="3600" w:type="dxa"/>
            <w:vAlign w:val="bottom"/>
          </w:tcPr>
          <w:p>
            <w:pPr>
              <w:ind w:left="140"/>
              <w:spacing w:after="0"/>
              <w:rPr>
                <w:sz w:val="20"/>
                <w:szCs w:val="20"/>
                <w:color w:val="auto"/>
              </w:rPr>
            </w:pPr>
            <w:r>
              <w:rPr>
                <w:rFonts w:ascii="Arial" w:cs="Arial" w:eastAsia="Arial" w:hAnsi="Arial"/>
                <w:sz w:val="18"/>
                <w:szCs w:val="18"/>
                <w:color w:val="auto"/>
                <w:w w:val="93"/>
              </w:rPr>
              <w:t>This ASU adds, modifies and removes several</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January 2020</w:t>
            </w:r>
          </w:p>
        </w:tc>
        <w:tc>
          <w:tcPr>
            <w:tcW w:w="3500" w:type="dxa"/>
            <w:vAlign w:val="bottom"/>
          </w:tcPr>
          <w:p>
            <w:pPr>
              <w:ind w:left="140"/>
              <w:spacing w:after="0"/>
              <w:rPr>
                <w:sz w:val="20"/>
                <w:szCs w:val="20"/>
                <w:color w:val="auto"/>
              </w:rPr>
            </w:pPr>
            <w:r>
              <w:rPr>
                <w:rFonts w:ascii="Arial" w:cs="Arial" w:eastAsia="Arial" w:hAnsi="Arial"/>
                <w:sz w:val="18"/>
                <w:szCs w:val="18"/>
                <w:color w:val="auto"/>
                <w:w w:val="95"/>
              </w:rPr>
              <w:t>The adoption of this standard did not have a</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Value Measurement</w:t>
            </w:r>
          </w:p>
        </w:tc>
        <w:tc>
          <w:tcPr>
            <w:tcW w:w="126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8"/>
              </w:rPr>
              <w:t>disclosure requirements relative to the three</w:t>
            </w:r>
          </w:p>
        </w:tc>
        <w:tc>
          <w:tcPr>
            <w:tcW w:w="124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w w:val="94"/>
              </w:rPr>
              <w:t>material impact on our consolidated financial</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(Topic 820),</w:t>
            </w:r>
          </w:p>
        </w:tc>
        <w:tc>
          <w:tcPr>
            <w:tcW w:w="126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6"/>
              </w:rPr>
              <w:t>levels of inputs used to measure fair value in</w:t>
            </w:r>
          </w:p>
        </w:tc>
        <w:tc>
          <w:tcPr>
            <w:tcW w:w="124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rPr>
              <w:t>statements.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Disclosure</w:t>
            </w:r>
          </w:p>
        </w:tc>
        <w:tc>
          <w:tcPr>
            <w:tcW w:w="126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accordance with Topic 820, Fair Value</w:t>
            </w:r>
          </w:p>
        </w:tc>
        <w:tc>
          <w:tcPr>
            <w:tcW w:w="124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Framework -</w:t>
            </w:r>
          </w:p>
        </w:tc>
        <w:tc>
          <w:tcPr>
            <w:tcW w:w="126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Measurement.</w:t>
            </w:r>
          </w:p>
        </w:tc>
        <w:tc>
          <w:tcPr>
            <w:tcW w:w="124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Changes to the</w:t>
            </w:r>
          </w:p>
        </w:tc>
        <w:tc>
          <w:tcPr>
            <w:tcW w:w="12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Disclosure</w:t>
            </w:r>
          </w:p>
        </w:tc>
        <w:tc>
          <w:tcPr>
            <w:tcW w:w="12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Requirements for</w:t>
            </w:r>
          </w:p>
        </w:tc>
        <w:tc>
          <w:tcPr>
            <w:tcW w:w="12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Fair Value</w:t>
            </w:r>
          </w:p>
        </w:tc>
        <w:tc>
          <w:tcPr>
            <w:tcW w:w="12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Measurement</w:t>
            </w:r>
          </w:p>
        </w:tc>
        <w:tc>
          <w:tcPr>
            <w:tcW w:w="12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215"/>
        </w:trPr>
        <w:tc>
          <w:tcPr>
            <w:tcW w:w="1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ASU 2017-04</w:t>
            </w:r>
            <w:r>
              <w:rPr>
                <w:rFonts w:ascii="Arial" w:cs="Arial" w:eastAsia="Arial" w:hAnsi="Arial"/>
                <w:sz w:val="18"/>
                <w:szCs w:val="18"/>
                <w:color w:val="auto"/>
              </w:rPr>
              <w:t>,</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 2017</w:t>
            </w: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This amendment eliminates Step 2 from the</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 2020</w:t>
            </w:r>
          </w:p>
        </w:tc>
        <w:tc>
          <w:tcPr>
            <w:tcW w:w="35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5"/>
              </w:rPr>
              <w:t>The adoption of this standard did not have a</w:t>
            </w:r>
          </w:p>
        </w:tc>
      </w:tr>
      <w:tr>
        <w:trPr>
          <w:trHeight w:val="216"/>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Intangibles -</w:t>
            </w:r>
          </w:p>
        </w:tc>
        <w:tc>
          <w:tcPr>
            <w:tcW w:w="1260" w:type="dxa"/>
            <w:vAlign w:val="bottom"/>
            <w:shd w:val="clear" w:color="auto" w:fill="CFF0FC"/>
          </w:tcPr>
          <w:p>
            <w:pPr>
              <w:spacing w:after="0"/>
              <w:rPr>
                <w:sz w:val="18"/>
                <w:szCs w:val="18"/>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 test.</w:t>
            </w:r>
          </w:p>
        </w:tc>
        <w:tc>
          <w:tcPr>
            <w:tcW w:w="1240" w:type="dxa"/>
            <w:vAlign w:val="bottom"/>
            <w:shd w:val="clear" w:color="auto" w:fill="CFF0FC"/>
          </w:tcPr>
          <w:p>
            <w:pPr>
              <w:spacing w:after="0"/>
              <w:rPr>
                <w:sz w:val="18"/>
                <w:szCs w:val="18"/>
                <w:color w:val="auto"/>
              </w:rPr>
            </w:pPr>
          </w:p>
        </w:tc>
        <w:tc>
          <w:tcPr>
            <w:tcW w:w="35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4"/>
              </w:rPr>
              <w:t>material impact on our consolidated financial</w:t>
            </w:r>
          </w:p>
        </w:tc>
      </w:tr>
      <w:tr>
        <w:trPr>
          <w:trHeight w:val="216"/>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w:t>
            </w:r>
          </w:p>
        </w:tc>
        <w:tc>
          <w:tcPr>
            <w:tcW w:w="126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statements.</w:t>
            </w:r>
          </w:p>
        </w:tc>
      </w:tr>
      <w:tr>
        <w:trPr>
          <w:trHeight w:val="216"/>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(Topic 350),</w:t>
            </w:r>
          </w:p>
        </w:tc>
        <w:tc>
          <w:tcPr>
            <w:tcW w:w="126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r>
      <w:tr>
        <w:trPr>
          <w:trHeight w:val="216"/>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Simplifying the Test</w:t>
            </w:r>
          </w:p>
        </w:tc>
        <w:tc>
          <w:tcPr>
            <w:tcW w:w="126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r>
      <w:tr>
        <w:trPr>
          <w:trHeight w:val="216"/>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for Goodwill</w:t>
            </w:r>
          </w:p>
        </w:tc>
        <w:tc>
          <w:tcPr>
            <w:tcW w:w="126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r>
      <w:tr>
        <w:trPr>
          <w:trHeight w:val="230"/>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Impairment</w:t>
            </w:r>
          </w:p>
        </w:tc>
        <w:tc>
          <w:tcPr>
            <w:tcW w:w="1260" w:type="dxa"/>
            <w:vAlign w:val="bottom"/>
            <w:shd w:val="clear" w:color="auto" w:fill="CFF0FC"/>
          </w:tcPr>
          <w:p>
            <w:pPr>
              <w:spacing w:after="0"/>
              <w:rPr>
                <w:sz w:val="20"/>
                <w:szCs w:val="20"/>
                <w:color w:val="auto"/>
              </w:rPr>
            </w:pPr>
          </w:p>
        </w:tc>
        <w:tc>
          <w:tcPr>
            <w:tcW w:w="36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500" w:type="dxa"/>
            <w:vAlign w:val="bottom"/>
            <w:shd w:val="clear" w:color="auto" w:fill="CFF0FC"/>
          </w:tcPr>
          <w:p>
            <w:pPr>
              <w:spacing w:after="0"/>
              <w:rPr>
                <w:sz w:val="20"/>
                <w:szCs w:val="20"/>
                <w:color w:val="auto"/>
              </w:rPr>
            </w:pPr>
          </w:p>
        </w:tc>
      </w:tr>
      <w:tr>
        <w:trPr>
          <w:trHeight w:val="798"/>
        </w:trPr>
        <w:tc>
          <w:tcPr>
            <w:tcW w:w="2900" w:type="dxa"/>
            <w:vAlign w:val="bottom"/>
            <w:gridSpan w:val="2"/>
          </w:tcPr>
          <w:p>
            <w:pPr>
              <w:ind w:left="480"/>
              <w:spacing w:after="0"/>
              <w:rPr>
                <w:sz w:val="20"/>
                <w:szCs w:val="20"/>
                <w:color w:val="auto"/>
              </w:rPr>
            </w:pPr>
            <w:r>
              <w:rPr>
                <w:rFonts w:ascii="Arial" w:cs="Arial" w:eastAsia="Arial" w:hAnsi="Arial"/>
                <w:sz w:val="14"/>
                <w:szCs w:val="14"/>
                <w:b w:val="1"/>
                <w:bCs w:val="1"/>
                <w:color w:val="auto"/>
              </w:rPr>
              <w:t>SPS COMMERCE, INC.</w:t>
            </w:r>
          </w:p>
        </w:tc>
        <w:tc>
          <w:tcPr>
            <w:tcW w:w="3600" w:type="dxa"/>
            <w:vAlign w:val="bottom"/>
          </w:tcPr>
          <w:p>
            <w:pPr>
              <w:ind w:left="2540"/>
              <w:spacing w:after="0"/>
              <w:rPr>
                <w:sz w:val="20"/>
                <w:szCs w:val="20"/>
                <w:color w:val="auto"/>
              </w:rPr>
            </w:pPr>
            <w:r>
              <w:rPr>
                <w:rFonts w:ascii="Arial" w:cs="Arial" w:eastAsia="Arial" w:hAnsi="Arial"/>
                <w:sz w:val="14"/>
                <w:szCs w:val="14"/>
                <w:color w:val="auto"/>
              </w:rPr>
              <w:t>51</w:t>
            </w:r>
          </w:p>
        </w:tc>
        <w:tc>
          <w:tcPr>
            <w:tcW w:w="1240" w:type="dxa"/>
            <w:vAlign w:val="bottom"/>
          </w:tcPr>
          <w:p>
            <w:pPr>
              <w:spacing w:after="0"/>
              <w:rPr>
                <w:sz w:val="24"/>
                <w:szCs w:val="24"/>
                <w:color w:val="auto"/>
              </w:rPr>
            </w:pPr>
          </w:p>
        </w:tc>
        <w:tc>
          <w:tcPr>
            <w:tcW w:w="3500" w:type="dxa"/>
            <w:vAlign w:val="bottom"/>
          </w:tcPr>
          <w:p>
            <w:pPr>
              <w:ind w:left="520"/>
              <w:spacing w:after="0"/>
              <w:rPr>
                <w:sz w:val="20"/>
                <w:szCs w:val="20"/>
                <w:color w:val="auto"/>
              </w:rPr>
            </w:pPr>
            <w:r>
              <w:rPr>
                <w:rFonts w:ascii="Arial" w:cs="Arial" w:eastAsia="Arial" w:hAnsi="Arial"/>
                <w:sz w:val="12"/>
                <w:szCs w:val="12"/>
                <w:b w:val="1"/>
                <w:bCs w:val="1"/>
                <w:color w:val="auto"/>
                <w:w w:val="88"/>
              </w:rPr>
              <w:t>Form 10-K for the Annual Period ended December 31, 2020</w:t>
            </w:r>
          </w:p>
        </w:tc>
      </w:tr>
      <w:tr>
        <w:trPr>
          <w:trHeight w:val="329"/>
        </w:trPr>
        <w:tc>
          <w:tcPr>
            <w:tcW w:w="16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00AAE5"/>
        </w:rPr>
        <w:t>NOTE B – Business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Masons</w:t>
      </w:r>
    </w:p>
    <w:p>
      <w:pPr>
        <w:spacing w:after="0" w:line="121" w:lineRule="exact"/>
        <w:rPr>
          <w:sz w:val="20"/>
          <w:szCs w:val="20"/>
          <w:color w:val="auto"/>
        </w:rPr>
      </w:pPr>
    </w:p>
    <w:p>
      <w:pPr>
        <w:ind w:right="80" w:firstLine="538"/>
        <w:spacing w:after="0" w:line="272" w:lineRule="auto"/>
        <w:rPr>
          <w:sz w:val="20"/>
          <w:szCs w:val="20"/>
          <w:color w:val="auto"/>
        </w:rPr>
      </w:pPr>
      <w:r>
        <w:rPr>
          <w:rFonts w:ascii="Arial" w:cs="Arial" w:eastAsia="Arial" w:hAnsi="Arial"/>
          <w:sz w:val="17"/>
          <w:szCs w:val="17"/>
          <w:color w:val="auto"/>
        </w:rPr>
        <w:t>On December 16, 2020, we acquired all of the outstanding equity ownership interests of D Masons Software, LLC (“Data Masons”), a leading provider of EDI System Automation solutions for the Microsoft Dynamics market. Pursuant to the membership interest purchase agreement, given a target working capital level, the total transaction price was $100 million. $98.7 million was paid in cash at closing and $0.4 million is due from the sellers as part of the initial net working capital adjustment. Additionally, the agreement allows for up to $1.9 million of contingent consideration based on the outcome of the PPP loan forgiveness as described below. The purchase accounting for the acquisition has not been finalized as of December 31, 2020. Provisional amounts are primarily related to intangible assets, net working capital, and tax positions. We expect to finalize the allocation of the purchase price within the one-year measurement period following the acquisition.</w:t>
      </w:r>
    </w:p>
    <w:p>
      <w:pPr>
        <w:spacing w:after="0" w:line="177" w:lineRule="exact"/>
        <w:rPr>
          <w:sz w:val="20"/>
          <w:szCs w:val="20"/>
          <w:color w:val="auto"/>
        </w:rPr>
      </w:pPr>
    </w:p>
    <w:p>
      <w:pPr>
        <w:ind w:right="100" w:firstLine="494"/>
        <w:spacing w:after="0" w:line="256" w:lineRule="auto"/>
        <w:rPr>
          <w:sz w:val="20"/>
          <w:szCs w:val="20"/>
          <w:color w:val="auto"/>
        </w:rPr>
      </w:pPr>
      <w:r>
        <w:rPr>
          <w:rFonts w:ascii="Arial" w:cs="Arial" w:eastAsia="Arial" w:hAnsi="Arial"/>
          <w:sz w:val="18"/>
          <w:szCs w:val="18"/>
          <w:color w:val="auto"/>
        </w:rPr>
        <w:t>In May 2020, prior to acquisition, Data Masons received a loan (“PPP Loan”) of $1.9 million pursuant to the Paycheck Protection Program (“PPP”) as established by the Coronavirus Aid, Relief, and Economic Security (“CARES”) Act. Amounts outstanding under the loan bear interest of 1.0% per annum with a maturity date two years from the commencement date. The PPP Loan is subject to forgiveness under the PPP to the extent proceeds of the loan are used for eligible expenditures. In November 2020, Data Masons applied for full forgiveness of the PPP Loan. As of the acquisition date and December 31, 2020, there had not been determination from the Small Business Administration as to whether the Company will be eligible for forgiveness, in whole or in part. In conjunction with the provisions of the PPP loan program for a business combination, Data Masons placed the balance of the PPP Loan and accrued interest of $1.9 million in cash escrow with the lender. To the extent the PPP Loan is forgiven, this cash escrow will be released to the Company.</w:t>
      </w:r>
    </w:p>
    <w:p>
      <w:pPr>
        <w:spacing w:after="0" w:line="191" w:lineRule="exact"/>
        <w:rPr>
          <w:sz w:val="20"/>
          <w:szCs w:val="20"/>
          <w:color w:val="auto"/>
        </w:rPr>
      </w:pPr>
    </w:p>
    <w:p>
      <w:pPr>
        <w:ind w:right="60" w:firstLine="494"/>
        <w:spacing w:after="0" w:line="271" w:lineRule="auto"/>
        <w:rPr>
          <w:sz w:val="20"/>
          <w:szCs w:val="20"/>
          <w:color w:val="auto"/>
        </w:rPr>
      </w:pPr>
      <w:r>
        <w:rPr>
          <w:rFonts w:ascii="Arial" w:cs="Arial" w:eastAsia="Arial" w:hAnsi="Arial"/>
          <w:sz w:val="17"/>
          <w:szCs w:val="17"/>
          <w:color w:val="auto"/>
        </w:rPr>
        <w:t>Additionally, the Company has a contingent liability with the former owners of Data Masons, that will require an additional $1.9 million payment in the event the PPP loan is forgiven. While it is unknown, the Company has determined that it is probable that Data Masons’ use of the PPP Loan proceeds will meet the conditions for full forgiveness under the PPP. As such, the Company has recorded $1.9 million of contingent consideration as part of the total transaction price, included in accrued expenses on the consolidated balance sheet. The Company has also recorded the $1.9 million PPP loan with the lender within accrued expenses, as well as a $1.9 million government grant receivable within other current assets on the consolidated balance sheet. The payout of the contingent liability will be determined based upon the PPP Loan forgiveness application ruling, which is expected to occur in 2021. If the ruling results in partial forgiveness or no forgiveness of the PPP loan, the contingent liability and the government grant receivable will each be reduced by an equal and offsetting amount of the unforgiven portion of the PPP loan.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ind w:firstLine="538"/>
        <w:spacing w:after="0" w:line="255" w:lineRule="auto"/>
        <w:rPr>
          <w:sz w:val="20"/>
          <w:szCs w:val="20"/>
          <w:color w:val="auto"/>
        </w:rPr>
      </w:pPr>
      <w:r>
        <w:rPr>
          <w:rFonts w:ascii="Arial" w:cs="Arial" w:eastAsia="Arial" w:hAnsi="Arial"/>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recognized intangible assets and certain liabilities assumed.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 All recorded goodwill is expected to be deductible for tax purposes.</w:t>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summarizes the estimated fair values of the assets acquired and liabilities assumed at the acquisition date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900" w:type="dxa"/>
            <w:vAlign w:val="bottom"/>
            <w:shd w:val="clear" w:color="auto" w:fill="CFF0FC"/>
          </w:tcPr>
          <w:p>
            <w:pPr>
              <w:spacing w:after="0"/>
              <w:rPr>
                <w:sz w:val="21"/>
                <w:szCs w:val="21"/>
                <w:color w:val="auto"/>
              </w:rPr>
            </w:pPr>
          </w:p>
        </w:tc>
        <w:tc>
          <w:tcPr>
            <w:tcW w:w="3020" w:type="dxa"/>
            <w:vAlign w:val="bottom"/>
            <w:gridSpan w:val="3"/>
            <w:shd w:val="clear" w:color="auto" w:fill="CFF0FC"/>
          </w:tcPr>
          <w:p>
            <w:pPr>
              <w:jc w:val="right"/>
              <w:ind w:right="549"/>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FF0FC"/>
          </w:tcPr>
          <w:p>
            <w:pPr>
              <w:spacing w:after="0"/>
              <w:rPr>
                <w:sz w:val="21"/>
                <w:szCs w:val="21"/>
                <w:color w:val="auto"/>
              </w:rPr>
            </w:pP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Accounts receivable</w:t>
            </w:r>
          </w:p>
        </w:tc>
        <w:tc>
          <w:tcPr>
            <w:tcW w:w="29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3,801</w:t>
            </w:r>
          </w:p>
        </w:tc>
        <w:tc>
          <w:tcPr>
            <w:tcW w:w="100" w:type="dxa"/>
            <w:vAlign w:val="bottom"/>
          </w:tcPr>
          <w:p>
            <w:pPr>
              <w:spacing w:after="0"/>
              <w:rPr>
                <w:sz w:val="21"/>
                <w:szCs w:val="2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and non-current assets</w:t>
            </w:r>
          </w:p>
        </w:tc>
        <w:tc>
          <w:tcPr>
            <w:tcW w:w="290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100" w:type="dxa"/>
            <w:vAlign w:val="bottom"/>
            <w:shd w:val="clear" w:color="auto" w:fill="CFF0FC"/>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Goodwill</w:t>
            </w:r>
          </w:p>
        </w:tc>
        <w:tc>
          <w:tcPr>
            <w:tcW w:w="29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56,960</w:t>
            </w: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90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Current liabilities</w:t>
            </w:r>
          </w:p>
        </w:tc>
        <w:tc>
          <w:tcPr>
            <w:tcW w:w="29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(3,593)</w:t>
            </w: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90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(2,196)</w:t>
            </w:r>
          </w:p>
        </w:tc>
      </w:tr>
      <w:tr>
        <w:trPr>
          <w:trHeight w:val="223"/>
        </w:trPr>
        <w:tc>
          <w:tcPr>
            <w:tcW w:w="40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103,167</w:t>
            </w:r>
          </w:p>
        </w:tc>
        <w:tc>
          <w:tcPr>
            <w:tcW w:w="100" w:type="dxa"/>
            <w:vAlign w:val="bottom"/>
          </w:tcPr>
          <w:p>
            <w:pPr>
              <w:spacing w:after="0"/>
              <w:rPr>
                <w:sz w:val="19"/>
                <w:szCs w:val="19"/>
                <w:color w:val="auto"/>
              </w:rPr>
            </w:pPr>
          </w:p>
        </w:tc>
      </w:tr>
      <w:tr>
        <w:trPr>
          <w:trHeight w:val="697"/>
        </w:trPr>
        <w:tc>
          <w:tcPr>
            <w:tcW w:w="4020" w:type="dxa"/>
            <w:vAlign w:val="bottom"/>
          </w:tcPr>
          <w:p>
            <w:pPr>
              <w:ind w:left="480"/>
              <w:spacing w:after="0"/>
              <w:rPr>
                <w:sz w:val="20"/>
                <w:szCs w:val="20"/>
                <w:color w:val="auto"/>
              </w:rPr>
            </w:pPr>
            <w:r>
              <w:rPr>
                <w:rFonts w:ascii="Arial" w:cs="Arial" w:eastAsia="Arial" w:hAnsi="Arial"/>
                <w:sz w:val="14"/>
                <w:szCs w:val="14"/>
                <w:b w:val="1"/>
                <w:bCs w:val="1"/>
                <w:color w:val="auto"/>
              </w:rPr>
              <w:t>SPS COMMERCE, INC.</w:t>
            </w:r>
          </w:p>
        </w:tc>
        <w:tc>
          <w:tcPr>
            <w:tcW w:w="2900" w:type="dxa"/>
            <w:vAlign w:val="bottom"/>
          </w:tcPr>
          <w:p>
            <w:pPr>
              <w:jc w:val="right"/>
              <w:ind w:right="1268"/>
              <w:spacing w:after="0"/>
              <w:rPr>
                <w:sz w:val="20"/>
                <w:szCs w:val="20"/>
                <w:color w:val="auto"/>
              </w:rPr>
            </w:pPr>
            <w:r>
              <w:rPr>
                <w:rFonts w:ascii="Arial" w:cs="Arial" w:eastAsia="Arial" w:hAnsi="Arial"/>
                <w:sz w:val="14"/>
                <w:szCs w:val="14"/>
                <w:color w:val="auto"/>
              </w:rPr>
              <w:t>52</w:t>
            </w:r>
          </w:p>
        </w:tc>
        <w:tc>
          <w:tcPr>
            <w:tcW w:w="4320" w:type="dxa"/>
            <w:vAlign w:val="bottom"/>
            <w:gridSpan w:val="5"/>
          </w:tcPr>
          <w:p>
            <w:pPr>
              <w:jc w:val="right"/>
              <w:spacing w:after="0"/>
              <w:rPr>
                <w:sz w:val="20"/>
                <w:szCs w:val="20"/>
                <w:color w:val="auto"/>
              </w:rPr>
            </w:pPr>
            <w:r>
              <w:rPr>
                <w:rFonts w:ascii="Arial" w:cs="Arial" w:eastAsia="Arial" w:hAnsi="Arial"/>
                <w:sz w:val="12"/>
                <w:szCs w:val="12"/>
                <w:b w:val="1"/>
                <w:bCs w:val="1"/>
                <w:color w:val="auto"/>
              </w:rPr>
              <w:t>Form 10-K for the Annual Period ended December 31, 2020</w:t>
            </w:r>
          </w:p>
        </w:tc>
      </w:tr>
      <w:tr>
        <w:trPr>
          <w:trHeight w:val="329"/>
        </w:trPr>
        <w:tc>
          <w:tcPr>
            <w:tcW w:w="40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Purchased Intangible Assets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95"/>
              </w:rPr>
              <w:t>Estimated</w:t>
            </w:r>
          </w:p>
        </w:tc>
        <w:tc>
          <w:tcPr>
            <w:tcW w:w="160" w:type="dxa"/>
            <w:vAlign w:val="bottom"/>
          </w:tcPr>
          <w:p>
            <w:pPr>
              <w:spacing w:after="0"/>
              <w:rPr>
                <w:sz w:val="14"/>
                <w:szCs w:val="14"/>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62"/>
        </w:trPr>
        <w:tc>
          <w:tcPr>
            <w:tcW w:w="6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Arial" w:cs="Arial" w:eastAsia="Arial" w:hAnsi="Arial"/>
                <w:sz w:val="14"/>
                <w:szCs w:val="14"/>
                <w:b w:val="1"/>
                <w:bCs w:val="1"/>
                <w:color w:val="auto"/>
              </w:rPr>
              <w:t>Purchased Intangible Assets</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4"/>
                <w:szCs w:val="14"/>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6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3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17,600</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Developed technology</w:t>
            </w:r>
          </w:p>
        </w:tc>
        <w:tc>
          <w:tcPr>
            <w:tcW w:w="30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25,400</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43,000</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00AAE5"/>
              </w:rPr>
              <w:t>NOTE C – Revenue</w:t>
            </w: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80" w:type="dxa"/>
            <w:vAlign w:val="bottom"/>
          </w:tcPr>
          <w:p>
            <w:pPr>
              <w:ind w:left="540"/>
              <w:spacing w:after="0"/>
              <w:rPr>
                <w:sz w:val="20"/>
                <w:szCs w:val="20"/>
                <w:color w:val="auto"/>
              </w:rPr>
            </w:pPr>
            <w:r>
              <w:rPr>
                <w:rFonts w:ascii="Arial" w:cs="Arial" w:eastAsia="Arial" w:hAnsi="Arial"/>
                <w:sz w:val="18"/>
                <w:szCs w:val="18"/>
                <w:color w:val="auto"/>
              </w:rPr>
              <w:t>We derive our revenues primarily from the following revenue streams: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Fulfillment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251,272</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219,297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190,783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Analytics</w:t>
            </w:r>
          </w:p>
        </w:tc>
        <w:tc>
          <w:tcPr>
            <w:tcW w:w="3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38,824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37,038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4,920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5,671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3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295,016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262,006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230,654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One-time revenues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17,614</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17,118</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17,586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312,630</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279,124</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248,240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538"/>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180" w:hanging="38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180" w:hanging="38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180" w:hanging="38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180" w:hanging="38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1180" w:hanging="38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Revenues</w:t>
      </w:r>
    </w:p>
    <w:p>
      <w:pPr>
        <w:spacing w:after="0" w:line="117" w:lineRule="exact"/>
        <w:rPr>
          <w:sz w:val="20"/>
          <w:szCs w:val="20"/>
          <w:color w:val="auto"/>
        </w:rPr>
      </w:pPr>
    </w:p>
    <w:p>
      <w:pPr>
        <w:ind w:right="140" w:firstLine="538"/>
        <w:spacing w:after="0" w:line="257" w:lineRule="auto"/>
        <w:rPr>
          <w:sz w:val="20"/>
          <w:szCs w:val="20"/>
          <w:color w:val="auto"/>
        </w:rPr>
      </w:pPr>
      <w:r>
        <w:rPr>
          <w:rFonts w:ascii="Arial" w:cs="Arial" w:eastAsia="Arial" w:hAnsi="Arial"/>
          <w:sz w:val="18"/>
          <w:szCs w:val="18"/>
          <w:color w:val="auto"/>
        </w:rPr>
        <w:t>Recurring revenues consist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80" w:lineRule="exact"/>
        <w:rPr>
          <w:sz w:val="20"/>
          <w:szCs w:val="20"/>
          <w:color w:val="auto"/>
        </w:rPr>
      </w:pPr>
    </w:p>
    <w:p>
      <w:pPr>
        <w:jc w:val="both"/>
        <w:ind w:right="20" w:firstLine="538"/>
        <w:spacing w:after="0" w:line="263" w:lineRule="auto"/>
        <w:rPr>
          <w:sz w:val="20"/>
          <w:szCs w:val="20"/>
          <w:color w:val="auto"/>
        </w:rPr>
      </w:pPr>
      <w:r>
        <w:rPr>
          <w:rFonts w:ascii="Arial" w:cs="Arial" w:eastAsia="Arial" w:hAnsi="Arial"/>
          <w:sz w:val="18"/>
          <w:szCs w:val="18"/>
          <w:color w:val="auto"/>
        </w:rPr>
        <w:t>The deferred revenue liabilities for recurring revenue contracts are for one year or less and recognized on a ratable basis over the contract term. We have applied the optional exemption to not disclose information about the remaining performance obligations for contracts which have original durations of one year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05740"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53</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One-time Revenues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One-time revenues consist of set-up fees from customers and miscellaneous one-time fees.</w:t>
      </w:r>
    </w:p>
    <w:p>
      <w:pPr>
        <w:spacing w:after="0" w:line="117" w:lineRule="exact"/>
        <w:rPr>
          <w:sz w:val="20"/>
          <w:szCs w:val="20"/>
          <w:color w:val="auto"/>
        </w:rPr>
      </w:pPr>
    </w:p>
    <w:p>
      <w:pPr>
        <w:ind w:right="440" w:firstLine="538"/>
        <w:spacing w:after="0" w:line="286" w:lineRule="auto"/>
        <w:rPr>
          <w:sz w:val="20"/>
          <w:szCs w:val="20"/>
          <w:color w:val="auto"/>
        </w:rPr>
      </w:pPr>
      <w:r>
        <w:rPr>
          <w:rFonts w:ascii="Arial" w:cs="Arial" w:eastAsia="Arial" w:hAnsi="Arial"/>
          <w:sz w:val="17"/>
          <w:szCs w:val="17"/>
          <w:color w:val="auto"/>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w:t>
      </w:r>
    </w:p>
    <w:p>
      <w:pPr>
        <w:spacing w:after="0" w:line="57" w:lineRule="exact"/>
        <w:rPr>
          <w:sz w:val="20"/>
          <w:szCs w:val="20"/>
          <w:color w:val="auto"/>
        </w:rPr>
      </w:pPr>
    </w:p>
    <w:p>
      <w:pPr>
        <w:ind w:right="360" w:firstLine="538"/>
        <w:spacing w:after="0" w:line="263" w:lineRule="auto"/>
        <w:rPr>
          <w:sz w:val="20"/>
          <w:szCs w:val="20"/>
          <w:color w:val="auto"/>
        </w:rPr>
      </w:pPr>
      <w:r>
        <w:rPr>
          <w:rFonts w:ascii="Arial" w:cs="Arial" w:eastAsia="Arial" w:hAnsi="Arial"/>
          <w:sz w:val="18"/>
          <w:szCs w:val="18"/>
          <w:color w:val="auto"/>
        </w:rPr>
        <w:t>Certain contracts contain set-up fees that constitute a material renewal option right. This material right provides customers a significant future incentive that would not be otherwise available to that customer unless they entered into the contract, as the set-up fees will not be incurred again upon contract renewal.</w:t>
      </w:r>
    </w:p>
    <w:p>
      <w:pPr>
        <w:spacing w:after="0" w:line="76" w:lineRule="exact"/>
        <w:rPr>
          <w:sz w:val="20"/>
          <w:szCs w:val="20"/>
          <w:color w:val="auto"/>
        </w:rPr>
      </w:pPr>
    </w:p>
    <w:p>
      <w:pPr>
        <w:jc w:val="both"/>
        <w:ind w:right="40" w:firstLine="538"/>
        <w:spacing w:after="0" w:line="263" w:lineRule="auto"/>
        <w:rPr>
          <w:sz w:val="20"/>
          <w:szCs w:val="20"/>
          <w:color w:val="auto"/>
        </w:rPr>
      </w:pPr>
      <w:r>
        <w:rPr>
          <w:rFonts w:ascii="Arial" w:cs="Arial" w:eastAsia="Arial" w:hAnsi="Arial"/>
          <w:sz w:val="18"/>
          <w:szCs w:val="18"/>
          <w:color w:val="auto"/>
        </w:rPr>
        <w:t>For our Fulfillment solution, we have determined that the set-up fees and related costs represent a material renewal option right to our customers as they will not be incurred again upon renewal. These set-up fees and related costs are deferred and recognized ratably over two years, which is the estimated period for which a material right is present for our customers.</w:t>
      </w:r>
    </w:p>
    <w:p>
      <w:pPr>
        <w:spacing w:after="0" w:line="76" w:lineRule="exact"/>
        <w:rPr>
          <w:sz w:val="20"/>
          <w:szCs w:val="20"/>
          <w:color w:val="auto"/>
        </w:rPr>
      </w:pPr>
    </w:p>
    <w:p>
      <w:pPr>
        <w:jc w:val="both"/>
        <w:ind w:right="20" w:firstLine="538"/>
        <w:spacing w:after="0" w:line="277" w:lineRule="auto"/>
        <w:rPr>
          <w:sz w:val="20"/>
          <w:szCs w:val="20"/>
          <w:color w:val="auto"/>
        </w:rPr>
      </w:pPr>
      <w:r>
        <w:rPr>
          <w:rFonts w:ascii="Arial" w:cs="Arial" w:eastAsia="Arial" w:hAnsi="Arial"/>
          <w:sz w:val="18"/>
          <w:szCs w:val="18"/>
          <w:color w:val="auto"/>
        </w:rPr>
        <w:t>For our Analytics solution, we have determined that the set-up fees do not represent a material customer renewal right and, as such, are deferred and recognized ratably over the estimated initial contract term, which is generally one year.</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r>
      <w:tr>
        <w:trPr>
          <w:trHeight w:val="237"/>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11,410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11,056</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set-up fees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(10,810)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(10,395)</w:t>
            </w: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Balance, end of year</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11,118</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10,518</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538"/>
        <w:spacing w:after="0" w:line="277" w:lineRule="auto"/>
        <w:rPr>
          <w:sz w:val="20"/>
          <w:szCs w:val="20"/>
          <w:color w:val="auto"/>
        </w:rPr>
      </w:pPr>
      <w:r>
        <w:rPr>
          <w:rFonts w:ascii="Arial" w:cs="Arial" w:eastAsia="Arial" w:hAnsi="Arial"/>
          <w:sz w:val="18"/>
          <w:szCs w:val="18"/>
          <w:color w:val="auto"/>
        </w:rPr>
        <w:t>The entire balance of set-up fees will be recognized within two years and, as such, current amounts will be recognized in the next 1-12 months and non-current amounts will be recognized in the next 13-24 months.</w:t>
      </w:r>
    </w:p>
    <w:p>
      <w:pPr>
        <w:spacing w:after="0" w:line="62" w:lineRule="exact"/>
        <w:rPr>
          <w:sz w:val="20"/>
          <w:szCs w:val="20"/>
          <w:color w:val="auto"/>
        </w:rPr>
      </w:pPr>
    </w:p>
    <w:p>
      <w:pPr>
        <w:jc w:val="both"/>
        <w:ind w:right="60" w:firstLine="538"/>
        <w:spacing w:after="0" w:line="263" w:lineRule="auto"/>
        <w:rPr>
          <w:sz w:val="20"/>
          <w:szCs w:val="20"/>
          <w:color w:val="auto"/>
        </w:rPr>
      </w:pPr>
      <w:r>
        <w:rPr>
          <w:rFonts w:ascii="Arial" w:cs="Arial" w:eastAsia="Arial" w:hAnsi="Arial"/>
          <w:sz w:val="18"/>
          <w:szCs w:val="18"/>
          <w:color w:val="auto"/>
        </w:rPr>
        <w:t>Miscellaneous one-time fees consist of professional services and testing and certification. The deferred revenue liability for these one-time fees are for one year or less and recognized at the time service is provided. We have applied the optional exemption to not disclose information about the remaining performance obligations for contracts which have original durations of one year or less.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D – Deferred Costs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activity of deferred costs and amortization of deferred costs: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4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3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900" w:type="dxa"/>
            <w:vAlign w:val="bottom"/>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28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46,941</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Incurred deferred costs</w:t>
            </w:r>
          </w:p>
        </w:tc>
        <w:tc>
          <w:tcPr>
            <w:tcW w:w="2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54,421</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deferred costs</w:t>
            </w:r>
          </w:p>
        </w:tc>
        <w:tc>
          <w:tcPr>
            <w:tcW w:w="28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5"/>
              </w:rPr>
              <w:t>(50,767)</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(48,417)</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Balance, end of year</w:t>
            </w:r>
          </w:p>
        </w:tc>
        <w:tc>
          <w:tcPr>
            <w:tcW w:w="28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50,595</w:t>
            </w: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E –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investments</w:t>
      </w:r>
    </w:p>
    <w:p>
      <w:pPr>
        <w:spacing w:after="0" w:line="117" w:lineRule="exact"/>
        <w:rPr>
          <w:sz w:val="20"/>
          <w:szCs w:val="20"/>
          <w:color w:val="auto"/>
        </w:rPr>
      </w:pPr>
    </w:p>
    <w:p>
      <w:pPr>
        <w:ind w:right="60" w:firstLine="538"/>
        <w:spacing w:after="0" w:line="279" w:lineRule="auto"/>
        <w:rPr>
          <w:sz w:val="20"/>
          <w:szCs w:val="20"/>
          <w:color w:val="auto"/>
        </w:rPr>
      </w:pPr>
      <w:r>
        <w:rPr>
          <w:rFonts w:ascii="Arial" w:cs="Arial" w:eastAsia="Arial" w:hAnsi="Arial"/>
          <w:sz w:val="17"/>
          <w:szCs w:val="17"/>
          <w:color w:val="auto"/>
        </w:rPr>
        <w:t>We invest primarily in money market funds, certificates of deposit, highly liquid debt instruments of the U.S. government and U.S. corporate debt securities. Highly liquid investments with original maturities of 90 days or less are classified as cash equivalents. Investments with remaining maturities of less than one year from the balance sheet date are classified as short-term investments whereas those with remaining maturities of more than one year from the balance sheet date are classified as investments. Our marketable securities are classified as available-for-sale.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54</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intend to hold marketable securities until maturity; however, we may sell these securities at any time for use in current operations or for other purposes.</w:t>
      </w:r>
    </w:p>
    <w:p>
      <w:pPr>
        <w:spacing w:after="0" w:line="140" w:lineRule="exact"/>
        <w:rPr>
          <w:sz w:val="20"/>
          <w:szCs w:val="20"/>
          <w:color w:val="auto"/>
        </w:rPr>
      </w:pPr>
    </w:p>
    <w:p>
      <w:pPr>
        <w:ind w:right="140" w:firstLine="538"/>
        <w:spacing w:after="0" w:line="259" w:lineRule="auto"/>
        <w:rPr>
          <w:sz w:val="20"/>
          <w:szCs w:val="20"/>
          <w:color w:val="auto"/>
        </w:rPr>
      </w:pPr>
      <w:r>
        <w:rPr>
          <w:rFonts w:ascii="Arial" w:cs="Arial" w:eastAsia="Arial" w:hAnsi="Arial"/>
          <w:sz w:val="18"/>
          <w:szCs w:val="18"/>
          <w:color w:val="auto"/>
        </w:rPr>
        <w:t>Our marketable securities are carried at fair value and unrealized gains and losses on these investments, net of taxes, are included in accumulated other comprehensive loss in the consolidated balance sheets. Realized gains or losses are included in other income (expense), net in the consolidated statements of comprehensive income. Certain securities accrue interest that is included in other income (expense), net. The unrealized gains (losses) noted below are exclusive of previously recognized interest income.</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equivalents and investments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35"/>
              <w:spacing w:after="0" w:line="147"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740" w:type="dxa"/>
            <w:vAlign w:val="bottom"/>
          </w:tcPr>
          <w:p>
            <w:pPr>
              <w:jc w:val="center"/>
              <w:ind w:right="113"/>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35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Losses, net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Gains, net</w:t>
            </w:r>
          </w:p>
        </w:tc>
        <w:tc>
          <w:tcPr>
            <w:tcW w:w="1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5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112,907</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112,907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151,266</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151,266</w:t>
            </w:r>
          </w:p>
        </w:tc>
        <w:tc>
          <w:tcPr>
            <w:tcW w:w="100" w:type="dxa"/>
            <w:vAlign w:val="bottom"/>
          </w:tcPr>
          <w:p>
            <w:pPr>
              <w:spacing w:after="0"/>
              <w:rPr>
                <w:sz w:val="19"/>
                <w:szCs w:val="19"/>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 of deposit</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10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9,805</w:t>
            </w:r>
          </w:p>
        </w:tc>
        <w:tc>
          <w:tcPr>
            <w:tcW w:w="100" w:type="dxa"/>
            <w:vAlign w:val="bottom"/>
            <w:shd w:val="clear" w:color="auto" w:fill="CFF0FC"/>
          </w:tcPr>
          <w:p>
            <w:pPr>
              <w:spacing w:after="0"/>
              <w:rPr>
                <w:sz w:val="19"/>
                <w:szCs w:val="19"/>
                <w:color w:val="auto"/>
              </w:rPr>
            </w:pPr>
          </w:p>
        </w:tc>
      </w:tr>
      <w:tr>
        <w:trPr>
          <w:trHeight w:val="229"/>
        </w:trPr>
        <w:tc>
          <w:tcPr>
            <w:tcW w:w="35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7,503</w:t>
            </w:r>
          </w:p>
        </w:tc>
        <w:tc>
          <w:tcPr>
            <w:tcW w:w="100" w:type="dxa"/>
            <w:vAlign w:val="bottom"/>
          </w:tcPr>
          <w:p>
            <w:pPr>
              <w:spacing w:after="0"/>
              <w:rPr>
                <w:sz w:val="19"/>
                <w:szCs w:val="19"/>
                <w:color w:val="auto"/>
              </w:rPr>
            </w:pPr>
          </w:p>
        </w:tc>
      </w:tr>
      <w:tr>
        <w:trPr>
          <w:trHeight w:val="230"/>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9,946</w:t>
            </w:r>
          </w:p>
        </w:tc>
        <w:tc>
          <w:tcPr>
            <w:tcW w:w="100" w:type="dxa"/>
            <w:vAlign w:val="bottom"/>
            <w:shd w:val="clear" w:color="auto" w:fill="CFF0FC"/>
          </w:tcPr>
          <w:p>
            <w:pPr>
              <w:spacing w:after="0"/>
              <w:rPr>
                <w:sz w:val="19"/>
                <w:szCs w:val="19"/>
                <w:color w:val="auto"/>
              </w:rPr>
            </w:pPr>
          </w:p>
        </w:tc>
      </w:tr>
      <w:tr>
        <w:trPr>
          <w:trHeight w:val="263"/>
        </w:trPr>
        <w:tc>
          <w:tcPr>
            <w:tcW w:w="3560" w:type="dxa"/>
            <w:vAlign w:val="bottom"/>
            <w:tcBorders>
              <w:bottom w:val="single" w:sz="8" w:color="CFF0FC"/>
            </w:tcBorders>
          </w:tcPr>
          <w:p>
            <w:pPr>
              <w:spacing w:after="0"/>
              <w:rPr>
                <w:sz w:val="22"/>
                <w:szCs w:val="22"/>
                <w:color w:val="auto"/>
              </w:rPr>
            </w:pPr>
          </w:p>
        </w:tc>
        <w:tc>
          <w:tcPr>
            <w:tcW w:w="11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153,304</w:t>
            </w:r>
          </w:p>
        </w:tc>
        <w:tc>
          <w:tcPr>
            <w:tcW w:w="2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153,193</w:t>
            </w:r>
          </w:p>
        </w:tc>
        <w:tc>
          <w:tcPr>
            <w:tcW w:w="2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185,439</w:t>
            </w:r>
          </w:p>
        </w:tc>
        <w:tc>
          <w:tcPr>
            <w:tcW w:w="2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185,550</w:t>
            </w:r>
          </w:p>
        </w:tc>
        <w:tc>
          <w:tcPr>
            <w:tcW w:w="100" w:type="dxa"/>
            <w:vAlign w:val="bottom"/>
            <w:tcBorders>
              <w:bottom w:val="single" w:sz="8" w:color="CFF0FC"/>
            </w:tcBorders>
          </w:tcPr>
          <w:p>
            <w:pPr>
              <w:spacing w:after="0"/>
              <w:rPr>
                <w:sz w:val="22"/>
                <w:szCs w:val="22"/>
                <w:color w:val="auto"/>
              </w:rPr>
            </w:pPr>
          </w:p>
        </w:tc>
      </w:tr>
      <w:tr>
        <w:trPr>
          <w:trHeight w:val="21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Maturing within one year</w:t>
            </w: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150,693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185,550</w:t>
            </w:r>
          </w:p>
        </w:tc>
        <w:tc>
          <w:tcPr>
            <w:tcW w:w="100" w:type="dxa"/>
            <w:vAlign w:val="bottom"/>
            <w:shd w:val="clear" w:color="auto" w:fill="CFF0FC"/>
          </w:tcPr>
          <w:p>
            <w:pPr>
              <w:spacing w:after="0"/>
              <w:rPr>
                <w:sz w:val="18"/>
                <w:szCs w:val="18"/>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Maturing within one to two years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5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jc w:val="both"/>
        <w:ind w:right="120" w:firstLine="538"/>
        <w:spacing w:after="0" w:line="340" w:lineRule="auto"/>
        <w:rPr>
          <w:sz w:val="20"/>
          <w:szCs w:val="20"/>
          <w:color w:val="auto"/>
        </w:rPr>
      </w:pPr>
      <w:r>
        <w:rPr>
          <w:rFonts w:ascii="Arial" w:cs="Arial" w:eastAsia="Arial" w:hAnsi="Arial"/>
          <w:sz w:val="15"/>
          <w:szCs w:val="15"/>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23" w:lineRule="exact"/>
        <w:rPr>
          <w:sz w:val="20"/>
          <w:szCs w:val="20"/>
          <w:color w:val="auto"/>
        </w:rPr>
      </w:pPr>
    </w:p>
    <w:p>
      <w:pPr>
        <w:ind w:left="1060" w:hanging="52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1060" w:right="200" w:hanging="526"/>
        <w:spacing w:after="0" w:line="259"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78" w:lineRule="exact"/>
        <w:rPr>
          <w:rFonts w:ascii="Arial" w:cs="Arial" w:eastAsia="Arial" w:hAnsi="Arial"/>
          <w:sz w:val="18"/>
          <w:szCs w:val="18"/>
          <w:color w:val="auto"/>
        </w:rPr>
      </w:pPr>
    </w:p>
    <w:p>
      <w:pPr>
        <w:ind w:left="540" w:right="480" w:hanging="6"/>
        <w:spacing w:after="0" w:line="383" w:lineRule="auto"/>
        <w:tabs>
          <w:tab w:leader="none" w:pos="10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 unobservable inputs to the valuation methodology that are significant to the measurement of fair value of assets or liabilities. We obtain the fair values of our level 2 available-for-sale securities from a professional pricing service.</w:t>
      </w:r>
    </w:p>
    <w:p>
      <w:pPr>
        <w:spacing w:after="0" w:line="1" w:lineRule="exact"/>
        <w:rPr>
          <w:sz w:val="20"/>
          <w:szCs w:val="20"/>
          <w:color w:val="auto"/>
        </w:rPr>
      </w:pPr>
    </w:p>
    <w:p>
      <w:pPr>
        <w:ind w:right="160" w:firstLine="538"/>
        <w:spacing w:after="0" w:line="264" w:lineRule="auto"/>
        <w:rPr>
          <w:sz w:val="20"/>
          <w:szCs w:val="20"/>
          <w:color w:val="auto"/>
        </w:rPr>
      </w:pPr>
      <w:r>
        <w:rPr>
          <w:rFonts w:ascii="Arial" w:cs="Arial" w:eastAsia="Arial" w:hAnsi="Arial"/>
          <w:sz w:val="18"/>
          <w:szCs w:val="18"/>
          <w:color w:val="auto"/>
        </w:rPr>
        <w:t>For the earn-out liability related to the EDIAdmin acquisition, the Company utilized the Monte Carlo simulation method to estimate the fair value of this contingent liability as of the reporting date. Thousands of iterations of the simulation were performed using forecasted revenues to develop a distribution of future values of recurring revenue which, in turn, provide indicated earn-out payments. The total estimated fair value equals the sum of the average present values of the indicated earn-out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05740"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7"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55</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right="200" w:firstLine="538"/>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92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112,907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20,024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Data Masons Contingent Consideration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1,878</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9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5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151,266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EDIAdmin Earn-out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405</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538"/>
        <w:spacing w:after="0" w:line="275" w:lineRule="auto"/>
        <w:rPr>
          <w:sz w:val="20"/>
          <w:szCs w:val="20"/>
          <w:color w:val="auto"/>
        </w:rPr>
      </w:pPr>
      <w:r>
        <w:rPr>
          <w:rFonts w:ascii="Arial" w:cs="Arial" w:eastAsia="Arial" w:hAnsi="Arial"/>
          <w:sz w:val="17"/>
          <w:szCs w:val="17"/>
          <w:color w:val="auto"/>
        </w:rPr>
        <w:t>During the year ending December 31, 2020, we recognized a gain of $0.1 million in our consolidated statements of comprehensive income due to the remeasurement of the EDIAdmin contingent liability and paid $0.7 million for a portion of the contingent liability. The remaining portion of the earn-out liability that is expected to be paid in the first quarter of 2021 has been determined to be $0.1 million, given the completion of certain revenue milestones for the year ending December 31, 2020. As such, $0.1 million of the earn-out consideration is included in accrued expenses in the consolidated balance sheet at December 31, 2020 and transferred from the Level 3 earn-out liability.</w:t>
      </w:r>
    </w:p>
    <w:p>
      <w:pPr>
        <w:spacing w:after="0" w:line="176" w:lineRule="exact"/>
        <w:rPr>
          <w:sz w:val="20"/>
          <w:szCs w:val="20"/>
          <w:color w:val="auto"/>
        </w:rPr>
      </w:pPr>
    </w:p>
    <w:p>
      <w:pPr>
        <w:ind w:right="280" w:firstLine="538"/>
        <w:spacing w:after="0" w:line="277" w:lineRule="auto"/>
        <w:rPr>
          <w:sz w:val="20"/>
          <w:szCs w:val="20"/>
          <w:color w:val="auto"/>
        </w:rPr>
      </w:pPr>
      <w:r>
        <w:rPr>
          <w:rFonts w:ascii="Arial" w:cs="Arial" w:eastAsia="Arial" w:hAnsi="Arial"/>
          <w:sz w:val="18"/>
          <w:szCs w:val="18"/>
          <w:color w:val="auto"/>
        </w:rPr>
        <w:t>Other than the transfer relating to the EDIAdmin contingent consideration, there were no other transfers in or out of our Level 1, 2, or 3 assets or liabilities during the years ended December 31, 2020 and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right="80" w:firstLine="538"/>
        <w:spacing w:after="0" w:line="311" w:lineRule="auto"/>
        <w:rPr>
          <w:sz w:val="20"/>
          <w:szCs w:val="20"/>
          <w:color w:val="auto"/>
        </w:rPr>
      </w:pPr>
      <w:r>
        <w:rPr>
          <w:rFonts w:ascii="Arial" w:cs="Arial" w:eastAsia="Arial" w:hAnsi="Arial"/>
          <w:sz w:val="16"/>
          <w:szCs w:val="16"/>
          <w:color w:val="auto"/>
        </w:rPr>
        <w:t>We measure certain assets and liabilities at fair value on a nonrecurring basis. Assets that are measured at fair value on a nonrecurring basis include long-lived assets, goodwill, and indefinite-lived intangible assets, which would generally be recorded at fair value as a result of an impairment charge. Assets acquired and liabilities assumed as part of business combinations are measured at fair value. For additional information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20574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23"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56</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combinations and the related nonrecurring fair value measurement of the assets acquired and liabilities assumed, refer to Note 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F – Allowance for Credit Losses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allowance for credit losses activity, included in accounts receivable, net,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60"/>
              <w:spacing w:after="0"/>
              <w:rPr>
                <w:sz w:val="20"/>
                <w:szCs w:val="20"/>
                <w:color w:val="auto"/>
              </w:rPr>
            </w:pPr>
            <w:r>
              <w:rPr>
                <w:rFonts w:ascii="Arial" w:cs="Arial" w:eastAsia="Arial" w:hAnsi="Arial"/>
                <w:sz w:val="18"/>
                <w:szCs w:val="18"/>
                <w:color w:val="auto"/>
              </w:rPr>
              <w:t>Adoption of ASU 2016-13</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Data Masons acquired receivables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Provision for credit losses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3,499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Write-offs, net of recoveries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(4,319)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107"/>
              <w:spacing w:after="0"/>
              <w:rPr>
                <w:sz w:val="20"/>
                <w:szCs w:val="20"/>
                <w:color w:val="auto"/>
              </w:rPr>
            </w:pPr>
            <w:r>
              <w:rPr>
                <w:rFonts w:ascii="Arial" w:cs="Arial" w:eastAsia="Arial" w:hAnsi="Arial"/>
                <w:sz w:val="18"/>
                <w:szCs w:val="18"/>
                <w:color w:val="auto"/>
              </w:rPr>
              <w:t>(3,422)</w:t>
            </w:r>
          </w:p>
        </w:tc>
        <w:tc>
          <w:tcPr>
            <w:tcW w:w="2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Balance, end of year</w:t>
            </w:r>
          </w:p>
        </w:tc>
        <w:tc>
          <w:tcPr>
            <w:tcW w:w="1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00AAE5"/>
              </w:rPr>
              <w:t>NOTE G – Property and Equipment, net</w:t>
            </w:r>
          </w:p>
        </w:tc>
        <w:tc>
          <w:tcPr>
            <w:tcW w:w="1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4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tcPr>
          <w:p>
            <w:pPr>
              <w:ind w:left="540"/>
              <w:spacing w:after="0"/>
              <w:rPr>
                <w:sz w:val="20"/>
                <w:szCs w:val="20"/>
                <w:color w:val="auto"/>
              </w:rPr>
            </w:pPr>
            <w:r>
              <w:rPr>
                <w:rFonts w:ascii="Arial" w:cs="Arial" w:eastAsia="Arial" w:hAnsi="Arial"/>
                <w:sz w:val="18"/>
                <w:szCs w:val="18"/>
                <w:color w:val="auto"/>
              </w:rPr>
              <w:t>Property and equipment, net included the following:</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480" w:type="dxa"/>
            <w:vAlign w:val="bottom"/>
            <w:tcBorders>
              <w:bottom w:val="single" w:sz="8" w:color="CFF0FC"/>
            </w:tcBorders>
            <w:vMerge w:val="continue"/>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54,030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85,584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74,326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(59,152)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(50,574)</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20" w:firstLine="538"/>
        <w:spacing w:after="0" w:line="277" w:lineRule="auto"/>
        <w:rPr>
          <w:sz w:val="20"/>
          <w:szCs w:val="20"/>
          <w:color w:val="auto"/>
        </w:rPr>
      </w:pPr>
      <w:r>
        <w:rPr>
          <w:rFonts w:ascii="Arial" w:cs="Arial" w:eastAsia="Arial" w:hAnsi="Arial"/>
          <w:sz w:val="18"/>
          <w:szCs w:val="18"/>
          <w:color w:val="auto"/>
        </w:rPr>
        <w:t>Depreciation and amortization expense of property and equipment for the years ended December 31, 2020, 2019, and 2018 was $13.1 million, $11.1 million, and $8.6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H – Goodwill and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changes in the net carrying amount of goodwill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1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center"/>
              <w:ind w:right="442"/>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76,845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69,658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60"/>
              <w:spacing w:after="0"/>
              <w:rPr>
                <w:sz w:val="20"/>
                <w:szCs w:val="20"/>
                <w:color w:val="auto"/>
              </w:rPr>
            </w:pPr>
            <w:r>
              <w:rPr>
                <w:rFonts w:ascii="Arial" w:cs="Arial" w:eastAsia="Arial" w:hAnsi="Arial"/>
                <w:sz w:val="18"/>
                <w:szCs w:val="18"/>
                <w:color w:val="auto"/>
              </w:rPr>
              <w:t>Additions from business acquisitions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56,960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Balance, end of year</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bottom w:val="single" w:sz="8" w:color="auto"/>
            </w:tcBorders>
          </w:tcPr>
          <w:p>
            <w:pPr>
              <w:jc w:val="center"/>
              <w:ind w:right="442"/>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134,853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6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600"/>
              <w:spacing w:after="0"/>
              <w:rPr>
                <w:sz w:val="20"/>
                <w:szCs w:val="20"/>
                <w:color w:val="auto"/>
              </w:rPr>
            </w:pPr>
            <w:r>
              <w:rPr>
                <w:rFonts w:ascii="Arial" w:cs="Arial" w:eastAsia="Arial" w:hAnsi="Arial"/>
                <w:sz w:val="18"/>
                <w:szCs w:val="18"/>
                <w:color w:val="auto"/>
              </w:rPr>
              <w:t>Intangible assets, net included the following:</w:t>
            </w: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6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780" w:type="dxa"/>
            <w:vAlign w:val="bottom"/>
            <w:gridSpan w:val="2"/>
          </w:tcPr>
          <w:p>
            <w:pPr>
              <w:jc w:val="center"/>
              <w:ind w:left="98"/>
              <w:spacing w:after="0" w:line="133" w:lineRule="exact"/>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left="98"/>
              <w:spacing w:after="0" w:line="149" w:lineRule="exact"/>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62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1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54,447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(24,792)</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101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(2,724)</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30,471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88,340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(28,207)</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color w:val="auto"/>
              </w:rPr>
              <w:t>57</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46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20" w:type="dxa"/>
            <w:vAlign w:val="bottom"/>
            <w:gridSpan w:val="13"/>
          </w:tcPr>
          <w:p>
            <w:pPr>
              <w:ind w:left="540"/>
              <w:spacing w:after="0"/>
              <w:rPr>
                <w:sz w:val="20"/>
                <w:szCs w:val="20"/>
                <w:color w:val="auto"/>
              </w:rPr>
            </w:pPr>
            <w:r>
              <w:rPr>
                <w:rFonts w:ascii="Arial" w:cs="Arial" w:eastAsia="Arial" w:hAnsi="Arial"/>
                <w:sz w:val="12"/>
                <w:szCs w:val="12"/>
                <w:b w:val="1"/>
                <w:bCs w:val="1"/>
                <w:color w:val="auto"/>
                <w:w w:val="88"/>
              </w:rPr>
              <w:t>Form 10-K for the Annual Period ended December 31, 2020</w:t>
            </w:r>
          </w:p>
        </w:tc>
        <w:tc>
          <w:tcPr>
            <w:tcW w:w="0" w:type="dxa"/>
            <w:vAlign w:val="bottom"/>
          </w:tcPr>
          <w:p>
            <w:pPr>
              <w:spacing w:after="0"/>
              <w:rPr>
                <w:sz w:val="1"/>
                <w:szCs w:val="1"/>
                <w:color w:val="auto"/>
              </w:rPr>
            </w:pPr>
          </w:p>
        </w:tc>
      </w:tr>
      <w:tr>
        <w:trPr>
          <w:trHeight w:val="329"/>
        </w:trPr>
        <w:tc>
          <w:tcPr>
            <w:tcW w:w="4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2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43,640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(2,371)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(2,643)</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54,737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(32,301)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estimated annual amortization expense related to intangible assets subject to amortization for the next five years and thereafter was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8,838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CFF0FC"/>
            </w:tcBorders>
          </w:tcPr>
          <w:p>
            <w:pPr>
              <w:spacing w:after="0"/>
              <w:rPr>
                <w:sz w:val="19"/>
                <w:szCs w:val="19"/>
                <w:color w:val="auto"/>
              </w:rPr>
            </w:pPr>
          </w:p>
        </w:tc>
        <w:tc>
          <w:tcPr>
            <w:tcW w:w="15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17,879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60,230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b w:val="1"/>
                <w:bCs w:val="1"/>
                <w:color w:val="00AAE5"/>
              </w:rPr>
              <w:t>NOTE I – Other Assets</w:t>
            </w: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160" w:type="dxa"/>
            <w:vAlign w:val="bottom"/>
            <w:gridSpan w:val="4"/>
          </w:tcPr>
          <w:p>
            <w:pPr>
              <w:ind w:left="540"/>
              <w:spacing w:after="0"/>
              <w:rPr>
                <w:sz w:val="20"/>
                <w:szCs w:val="20"/>
                <w:color w:val="auto"/>
              </w:rPr>
            </w:pPr>
            <w:r>
              <w:rPr>
                <w:rFonts w:ascii="Arial" w:cs="Arial" w:eastAsia="Arial" w:hAnsi="Arial"/>
                <w:sz w:val="18"/>
                <w:szCs w:val="18"/>
                <w:color w:val="auto"/>
                <w:w w:val="91"/>
              </w:rPr>
              <w:t>The changes in the net amount of capitalized implementation costs for software hosting arrangements was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260"/>
              <w:spacing w:after="0"/>
              <w:rPr>
                <w:sz w:val="20"/>
                <w:szCs w:val="20"/>
                <w:color w:val="auto"/>
              </w:rPr>
            </w:pPr>
            <w:r>
              <w:rPr>
                <w:rFonts w:ascii="Arial" w:cs="Arial" w:eastAsia="Arial" w:hAnsi="Arial"/>
                <w:sz w:val="18"/>
                <w:szCs w:val="18"/>
                <w:color w:val="auto"/>
              </w:rPr>
              <w:t>Capitalized implementation fees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implementation fees</w:t>
            </w:r>
          </w:p>
        </w:tc>
        <w:tc>
          <w:tcPr>
            <w:tcW w:w="4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Balance, end of year</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J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are obligated under non-cancellable operating leases, primarily for office space and certain equipment,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320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4"/>
                <w:szCs w:val="14"/>
                <w:color w:val="auto"/>
              </w:rPr>
            </w:pPr>
          </w:p>
        </w:tc>
        <w:tc>
          <w:tcPr>
            <w:tcW w:w="2080" w:type="dxa"/>
            <w:vAlign w:val="bottom"/>
            <w:tcBorders>
              <w:bottom w:val="single" w:sz="8" w:color="auto"/>
            </w:tcBorders>
            <w:gridSpan w:val="3"/>
          </w:tcPr>
          <w:p>
            <w:pPr>
              <w:jc w:val="center"/>
              <w:ind w:left="564"/>
              <w:spacing w:after="0"/>
              <w:rPr>
                <w:sz w:val="20"/>
                <w:szCs w:val="20"/>
                <w:color w:val="auto"/>
              </w:rPr>
            </w:pPr>
            <w:r>
              <w:rPr>
                <w:rFonts w:ascii="Arial" w:cs="Arial" w:eastAsia="Arial" w:hAnsi="Arial"/>
                <w:sz w:val="14"/>
                <w:szCs w:val="14"/>
                <w:b w:val="1"/>
                <w:bCs w:val="1"/>
                <w:color w:val="auto"/>
                <w:w w:val="91"/>
              </w:rPr>
              <w:t>December 31, 2019</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remaining term)</w:t>
            </w:r>
          </w:p>
        </w:tc>
        <w:tc>
          <w:tcPr>
            <w:tcW w:w="182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Remaining Term</w:t>
            </w:r>
          </w:p>
        </w:tc>
        <w:tc>
          <w:tcPr>
            <w:tcW w:w="100" w:type="dxa"/>
            <w:vAlign w:val="bottom"/>
          </w:tcPr>
          <w:p>
            <w:pPr>
              <w:spacing w:after="0"/>
              <w:rPr>
                <w:sz w:val="11"/>
                <w:szCs w:val="11"/>
                <w:color w:val="auto"/>
              </w:rPr>
            </w:pPr>
          </w:p>
        </w:tc>
        <w:tc>
          <w:tcPr>
            <w:tcW w:w="12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Right-of-Use Asset</w:t>
            </w:r>
          </w:p>
        </w:tc>
        <w:tc>
          <w:tcPr>
            <w:tcW w:w="260" w:type="dxa"/>
            <w:vAlign w:val="bottom"/>
          </w:tcPr>
          <w:p>
            <w:pPr>
              <w:spacing w:after="0"/>
              <w:rPr>
                <w:sz w:val="11"/>
                <w:szCs w:val="11"/>
                <w:color w:val="auto"/>
              </w:rPr>
            </w:pPr>
          </w:p>
        </w:tc>
        <w:tc>
          <w:tcPr>
            <w:tcW w:w="158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4"/>
              </w:rPr>
              <w:t>Remaining Term</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Right-of-Use Asset</w:t>
            </w:r>
          </w:p>
        </w:tc>
        <w:tc>
          <w:tcPr>
            <w:tcW w:w="0" w:type="dxa"/>
            <w:vAlign w:val="bottom"/>
          </w:tcPr>
          <w:p>
            <w:pPr>
              <w:spacing w:after="0"/>
              <w:rPr>
                <w:sz w:val="1"/>
                <w:szCs w:val="1"/>
                <w:color w:val="auto"/>
              </w:rPr>
            </w:pPr>
          </w:p>
        </w:tc>
      </w:tr>
      <w:tr>
        <w:trPr>
          <w:trHeight w:val="171"/>
        </w:trPr>
        <w:tc>
          <w:tcPr>
            <w:tcW w:w="4940" w:type="dxa"/>
            <w:vAlign w:val="bottom"/>
            <w:vMerge w:val="continue"/>
          </w:tcPr>
          <w:p>
            <w:pPr>
              <w:spacing w:after="0"/>
              <w:rPr>
                <w:sz w:val="14"/>
                <w:szCs w:val="14"/>
                <w:color w:val="auto"/>
              </w:rPr>
            </w:pPr>
          </w:p>
        </w:tc>
        <w:tc>
          <w:tcPr>
            <w:tcW w:w="1820" w:type="dxa"/>
            <w:vAlign w:val="bottom"/>
            <w:gridSpan w:val="2"/>
          </w:tcPr>
          <w:p>
            <w:pPr>
              <w:ind w:left="48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(years)</w:t>
            </w: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Minneapolis, MN lease</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10,992</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Kyiv, Ukraine lease</w:t>
            </w: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leases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&lt;1-5</w:t>
            </w:r>
          </w:p>
        </w:tc>
        <w:tc>
          <w:tcPr>
            <w:tcW w:w="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&lt;1-5</w:t>
            </w:r>
          </w:p>
        </w:tc>
        <w:tc>
          <w:tcPr>
            <w:tcW w:w="4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15,581</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1400" w:type="dxa"/>
            <w:vAlign w:val="bottom"/>
            <w:vMerge w:val="restart"/>
          </w:tcPr>
          <w:p>
            <w:pPr>
              <w:ind w:left="500"/>
              <w:spacing w:after="0"/>
              <w:rPr>
                <w:sz w:val="20"/>
                <w:szCs w:val="20"/>
                <w:color w:val="auto"/>
              </w:rPr>
            </w:pPr>
            <w:r>
              <w:rPr>
                <w:rFonts w:ascii="Arial" w:cs="Arial" w:eastAsia="Arial" w:hAnsi="Arial"/>
                <w:sz w:val="14"/>
                <w:szCs w:val="14"/>
                <w:color w:val="auto"/>
              </w:rPr>
              <w:t>58</w:t>
            </w: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49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100" w:type="dxa"/>
            <w:vAlign w:val="bottom"/>
            <w:gridSpan w:val="6"/>
          </w:tcPr>
          <w:p>
            <w:pPr>
              <w:jc w:val="center"/>
              <w:ind w:left="41"/>
              <w:spacing w:after="0"/>
              <w:rPr>
                <w:sz w:val="20"/>
                <w:szCs w:val="20"/>
                <w:color w:val="auto"/>
              </w:rPr>
            </w:pPr>
            <w:r>
              <w:rPr>
                <w:rFonts w:ascii="Arial" w:cs="Arial" w:eastAsia="Arial" w:hAnsi="Arial"/>
                <w:sz w:val="12"/>
                <w:szCs w:val="12"/>
                <w:b w:val="1"/>
                <w:bCs w:val="1"/>
                <w:color w:val="auto"/>
                <w:w w:val="89"/>
              </w:rPr>
              <w:t>Form 10-K for the Annual Period ended December 31, 2020</w:t>
            </w:r>
          </w:p>
        </w:tc>
        <w:tc>
          <w:tcPr>
            <w:tcW w:w="0" w:type="dxa"/>
            <w:vAlign w:val="bottom"/>
          </w:tcPr>
          <w:p>
            <w:pPr>
              <w:spacing w:after="0"/>
              <w:rPr>
                <w:sz w:val="1"/>
                <w:szCs w:val="1"/>
                <w:color w:val="auto"/>
              </w:rPr>
            </w:pPr>
          </w:p>
        </w:tc>
      </w:tr>
      <w:tr>
        <w:trPr>
          <w:trHeight w:val="330"/>
        </w:trPr>
        <w:tc>
          <w:tcPr>
            <w:tcW w:w="49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jc w:val="both"/>
        <w:ind w:right="20" w:firstLine="538"/>
        <w:spacing w:after="0" w:line="294" w:lineRule="auto"/>
        <w:rPr>
          <w:sz w:val="20"/>
          <w:szCs w:val="20"/>
          <w:color w:val="auto"/>
        </w:rPr>
      </w:pPr>
      <w:r>
        <w:rPr>
          <w:rFonts w:ascii="Arial" w:cs="Arial" w:eastAsia="Arial" w:hAnsi="Arial"/>
          <w:sz w:val="17"/>
          <w:szCs w:val="17"/>
          <w:color w:val="auto"/>
        </w:rPr>
        <w:t>In December 2020, we executed the fifth amendment to our lease agreement for our current headquarters located in Minneapolis, Minnesota where we lease approximately 198,000 square feet under an agreement that expires in April 2027. The lease also has two options to extend the term for five years each at a market rate determined in accordance with the lease. Incentives of $2.4 million are included as a lease component.</w:t>
      </w:r>
    </w:p>
    <w:p>
      <w:pPr>
        <w:spacing w:after="0" w:line="51" w:lineRule="exact"/>
        <w:rPr>
          <w:sz w:val="20"/>
          <w:szCs w:val="20"/>
          <w:color w:val="auto"/>
        </w:rPr>
      </w:pPr>
    </w:p>
    <w:p>
      <w:pPr>
        <w:jc w:val="both"/>
        <w:ind w:right="320" w:firstLine="538"/>
        <w:spacing w:after="0" w:line="271" w:lineRule="auto"/>
        <w:rPr>
          <w:sz w:val="20"/>
          <w:szCs w:val="20"/>
          <w:color w:val="auto"/>
        </w:rPr>
      </w:pPr>
      <w:r>
        <w:rPr>
          <w:rFonts w:ascii="Arial" w:cs="Arial" w:eastAsia="Arial" w:hAnsi="Arial"/>
          <w:sz w:val="18"/>
          <w:szCs w:val="18"/>
          <w:color w:val="auto"/>
        </w:rPr>
        <w:t>In December 2019, we executed a lease agreement for a new Kyiv, Ukraine location, where we lease approximately 17,000 square feet under an agreement that expires on May 31, 2025. The lease includes one option to extend the term for five years and six months at a market rate determined in accordance with the lease.</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components of lease expense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FF0FC"/>
            </w:tcBorders>
            <w:vMerge w:val="continue"/>
          </w:tcPr>
          <w:p>
            <w:pPr>
              <w:spacing w:after="0"/>
              <w:rPr>
                <w:sz w:val="13"/>
                <w:szCs w:val="13"/>
                <w:color w:val="auto"/>
              </w:rPr>
            </w:pPr>
          </w:p>
        </w:tc>
        <w:tc>
          <w:tcPr>
            <w:tcW w:w="26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37"/>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1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w:t>
            </w:r>
          </w:p>
        </w:tc>
        <w:tc>
          <w:tcPr>
            <w:tcW w:w="4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268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420" w:type="dxa"/>
            <w:vAlign w:val="bottom"/>
            <w:tcBorders>
              <w:bottom w:val="single" w:sz="8" w:color="CFF0FC"/>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spacing w:after="0"/>
              <w:rPr>
                <w:sz w:val="19"/>
                <w:szCs w:val="19"/>
                <w:color w:val="auto"/>
              </w:rPr>
            </w:pPr>
          </w:p>
        </w:tc>
        <w:tc>
          <w:tcPr>
            <w:tcW w:w="26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6,297</w:t>
            </w:r>
          </w:p>
        </w:tc>
        <w:tc>
          <w:tcPr>
            <w:tcW w:w="4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538"/>
        <w:spacing w:after="0" w:line="277" w:lineRule="auto"/>
        <w:rPr>
          <w:sz w:val="20"/>
          <w:szCs w:val="20"/>
          <w:color w:val="auto"/>
        </w:rPr>
      </w:pPr>
      <w:r>
        <w:rPr>
          <w:rFonts w:ascii="Arial" w:cs="Arial" w:eastAsia="Arial" w:hAnsi="Arial"/>
          <w:sz w:val="18"/>
          <w:szCs w:val="18"/>
          <w:color w:val="auto"/>
        </w:rPr>
        <w:t>Rent expense for all operating leases, which includes minimum lease payments and other charges such as common area maintenance fees, charged to operations was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69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Rent expense</w:t>
            </w: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6920" w:type="dxa"/>
            <w:vAlign w:val="bottom"/>
          </w:tcPr>
          <w:p>
            <w:pPr>
              <w:ind w:left="54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920" w:type="dxa"/>
            <w:vAlign w:val="bottom"/>
            <w:tcBorders>
              <w:bottom w:val="single" w:sz="8" w:color="CFF0FC"/>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5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4,134</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4,383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ROU assets obtained in exchange for operating lease liabilities</w:t>
            </w:r>
          </w:p>
        </w:tc>
        <w:tc>
          <w:tcPr>
            <w:tcW w:w="4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12,801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December 31, 2020</w:t>
            </w:r>
          </w:p>
        </w:tc>
        <w:tc>
          <w:tcPr>
            <w:tcW w:w="2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 years</w:t>
            </w:r>
          </w:p>
        </w:tc>
        <w:tc>
          <w:tcPr>
            <w:tcW w:w="360" w:type="dxa"/>
            <w:vAlign w:val="bottom"/>
            <w:tcBorders>
              <w:top w:val="single" w:sz="8" w:color="CFF0FC"/>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 years</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23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bl>
    <w:p>
      <w:pPr>
        <w:spacing w:after="0" w:line="1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 December 31, 2020, our future minimum payments under operating leases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200" w:type="dxa"/>
            <w:vAlign w:val="bottom"/>
            <w:shd w:val="clear" w:color="auto" w:fill="CFF0FC"/>
          </w:tcPr>
          <w:p>
            <w:pPr>
              <w:spacing w:after="0"/>
              <w:rPr>
                <w:sz w:val="19"/>
                <w:szCs w:val="19"/>
                <w:color w:val="auto"/>
              </w:rPr>
            </w:pPr>
          </w:p>
        </w:tc>
        <w:tc>
          <w:tcPr>
            <w:tcW w:w="276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2022</w:t>
            </w:r>
          </w:p>
        </w:tc>
        <w:tc>
          <w:tcPr>
            <w:tcW w:w="3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2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2024</w:t>
            </w:r>
          </w:p>
        </w:tc>
        <w:tc>
          <w:tcPr>
            <w:tcW w:w="3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2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200" w:type="dxa"/>
            <w:vAlign w:val="bottom"/>
            <w:tcBorders>
              <w:bottom w:val="single" w:sz="8" w:color="CFF0FC"/>
            </w:tcBorders>
          </w:tcPr>
          <w:p>
            <w:pPr>
              <w:spacing w:after="0"/>
              <w:rPr>
                <w:sz w:val="19"/>
                <w:szCs w:val="19"/>
                <w:color w:val="auto"/>
              </w:rPr>
            </w:pPr>
          </w:p>
        </w:tc>
        <w:tc>
          <w:tcPr>
            <w:tcW w:w="17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Less: imputed interest</w:t>
            </w:r>
          </w:p>
        </w:tc>
        <w:tc>
          <w:tcPr>
            <w:tcW w:w="3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320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3200" w:type="dxa"/>
            <w:vAlign w:val="bottom"/>
            <w:vMerge w:val="restart"/>
          </w:tcPr>
          <w:p>
            <w:pPr>
              <w:jc w:val="right"/>
              <w:ind w:right="1268"/>
              <w:spacing w:after="0"/>
              <w:rPr>
                <w:sz w:val="20"/>
                <w:szCs w:val="20"/>
                <w:color w:val="auto"/>
              </w:rPr>
            </w:pPr>
            <w:r>
              <w:rPr>
                <w:rFonts w:ascii="Arial" w:cs="Arial" w:eastAsia="Arial" w:hAnsi="Arial"/>
                <w:sz w:val="14"/>
                <w:szCs w:val="14"/>
                <w:color w:val="auto"/>
              </w:rPr>
              <w:t>59</w:t>
            </w:r>
          </w:p>
        </w:tc>
        <w:tc>
          <w:tcPr>
            <w:tcW w:w="1720" w:type="dxa"/>
            <w:vAlign w:val="bottom"/>
          </w:tcPr>
          <w:p>
            <w:pPr>
              <w:spacing w:after="0" w:line="20" w:lineRule="exact"/>
              <w:rPr>
                <w:sz w:val="1"/>
                <w:szCs w:val="1"/>
                <w:color w:val="auto"/>
              </w:rPr>
            </w:pPr>
          </w:p>
        </w:tc>
        <w:tc>
          <w:tcPr>
            <w:tcW w:w="2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3720" w:type="dxa"/>
            <w:vAlign w:val="bottom"/>
            <w:vMerge w:val="continue"/>
          </w:tcPr>
          <w:p>
            <w:pPr>
              <w:spacing w:after="0"/>
              <w:rPr>
                <w:sz w:val="24"/>
                <w:szCs w:val="24"/>
                <w:color w:val="auto"/>
              </w:rPr>
            </w:pPr>
          </w:p>
        </w:tc>
        <w:tc>
          <w:tcPr>
            <w:tcW w:w="3200" w:type="dxa"/>
            <w:vAlign w:val="bottom"/>
            <w:vMerge w:val="continue"/>
          </w:tcPr>
          <w:p>
            <w:pPr>
              <w:spacing w:after="0"/>
              <w:rPr>
                <w:sz w:val="24"/>
                <w:szCs w:val="24"/>
                <w:color w:val="auto"/>
              </w:rPr>
            </w:pPr>
          </w:p>
        </w:tc>
        <w:tc>
          <w:tcPr>
            <w:tcW w:w="4320" w:type="dxa"/>
            <w:vAlign w:val="bottom"/>
            <w:gridSpan w:val="4"/>
          </w:tcPr>
          <w:p>
            <w:pPr>
              <w:jc w:val="right"/>
              <w:spacing w:after="0"/>
              <w:rPr>
                <w:sz w:val="20"/>
                <w:szCs w:val="20"/>
                <w:color w:val="auto"/>
              </w:rPr>
            </w:pPr>
            <w:r>
              <w:rPr>
                <w:rFonts w:ascii="Arial" w:cs="Arial" w:eastAsia="Arial" w:hAnsi="Arial"/>
                <w:sz w:val="12"/>
                <w:szCs w:val="12"/>
                <w:b w:val="1"/>
                <w:bCs w:val="1"/>
                <w:color w:val="auto"/>
              </w:rPr>
              <w:t>Form 10-K for the Annual Period ended December 31, 2020</w:t>
            </w:r>
          </w:p>
        </w:tc>
        <w:tc>
          <w:tcPr>
            <w:tcW w:w="0" w:type="dxa"/>
            <w:vAlign w:val="bottom"/>
          </w:tcPr>
          <w:p>
            <w:pPr>
              <w:spacing w:after="0"/>
              <w:rPr>
                <w:sz w:val="1"/>
                <w:szCs w:val="1"/>
                <w:color w:val="auto"/>
              </w:rPr>
            </w:pPr>
          </w:p>
        </w:tc>
      </w:tr>
      <w:tr>
        <w:trPr>
          <w:trHeight w:val="329"/>
        </w:trPr>
        <w:tc>
          <w:tcPr>
            <w:tcW w:w="37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right="480" w:firstLine="494"/>
        <w:spacing w:after="0" w:line="277" w:lineRule="auto"/>
        <w:rPr>
          <w:sz w:val="20"/>
          <w:szCs w:val="20"/>
          <w:color w:val="auto"/>
        </w:rPr>
      </w:pPr>
      <w:r>
        <w:rPr>
          <w:rFonts w:ascii="Arial" w:cs="Arial" w:eastAsia="Arial" w:hAnsi="Arial"/>
          <w:sz w:val="18"/>
          <w:szCs w:val="18"/>
          <w:color w:val="auto"/>
        </w:rPr>
        <w:t>In 2020, we entered into separate noncancelable agreements with computing infrastructure and customer relationship management vendors for services through 2023. At December 31, 2020, the total remaining purchase commitment was $17.9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80" w:firstLine="538"/>
        <w:spacing w:after="0" w:line="277" w:lineRule="auto"/>
        <w:rPr>
          <w:sz w:val="20"/>
          <w:szCs w:val="20"/>
          <w:color w:val="auto"/>
        </w:rPr>
      </w:pPr>
      <w:r>
        <w:rPr>
          <w:rFonts w:ascii="Arial" w:cs="Arial" w:eastAsia="Arial" w:hAnsi="Arial"/>
          <w:sz w:val="18"/>
          <w:szCs w:val="18"/>
          <w:color w:val="auto"/>
        </w:rPr>
        <w:t>We may be involved in various claims and legal actions in the normal course of business. We believe that the outcome of any such claim or legal action is not expected to have a material effect on our financial position, results of operations or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K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right="320" w:firstLine="538"/>
        <w:spacing w:after="0" w:line="277" w:lineRule="auto"/>
        <w:rPr>
          <w:sz w:val="20"/>
          <w:szCs w:val="20"/>
          <w:color w:val="auto"/>
        </w:rPr>
      </w:pPr>
      <w:r>
        <w:rPr>
          <w:rFonts w:ascii="Arial" w:cs="Arial" w:eastAsia="Arial" w:hAnsi="Arial"/>
          <w:sz w:val="18"/>
          <w:szCs w:val="18"/>
          <w:color w:val="auto"/>
        </w:rPr>
        <w:t>On August 22, 2019, we effected a two-for-one stock split of our common stock. There was no change in the number of our authorized common shares. All share and per share data have been adjusted for all periods presented to reflect the stock split.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31" w:lineRule="exact"/>
        <w:rPr>
          <w:sz w:val="20"/>
          <w:szCs w:val="20"/>
          <w:color w:val="auto"/>
        </w:rPr>
      </w:pPr>
    </w:p>
    <w:p>
      <w:pPr>
        <w:ind w:firstLine="538"/>
        <w:spacing w:after="0" w:line="269" w:lineRule="auto"/>
        <w:rPr>
          <w:sz w:val="20"/>
          <w:szCs w:val="20"/>
          <w:color w:val="auto"/>
        </w:rPr>
      </w:pPr>
      <w:r>
        <w:rPr>
          <w:rFonts w:ascii="Arial" w:cs="Arial" w:eastAsia="Arial" w:hAnsi="Arial"/>
          <w:sz w:val="18"/>
          <w:szCs w:val="18"/>
          <w:color w:val="auto"/>
        </w:rPr>
        <w:t>On November 2, 2017, our board of directors authorized a program to repurchase up to $50.0 million of common stock over two years. On November 2, 2019, $3.7 million expired from the program. On November 2, 2019, our board of directors authorized a new program to repurchase up to $50 million of common stock. Under the program, purchases may be made from time to time in the open market over two years. As of December 31, 2020, $31.1 million of the share repurchase authorized was available for future share repurchases.</w:t>
      </w:r>
    </w:p>
    <w:p>
      <w:pPr>
        <w:spacing w:after="0" w:line="395" w:lineRule="exact"/>
        <w:rPr>
          <w:sz w:val="20"/>
          <w:szCs w:val="20"/>
          <w:color w:val="auto"/>
        </w:rPr>
      </w:pPr>
    </w:p>
    <w:p>
      <w:pPr>
        <w:ind w:right="60" w:firstLine="538"/>
        <w:spacing w:after="0" w:line="277" w:lineRule="auto"/>
        <w:rPr>
          <w:sz w:val="20"/>
          <w:szCs w:val="20"/>
          <w:color w:val="auto"/>
        </w:rPr>
      </w:pPr>
      <w:r>
        <w:rPr>
          <w:rFonts w:ascii="Arial" w:cs="Arial" w:eastAsia="Arial" w:hAnsi="Arial"/>
          <w:sz w:val="18"/>
          <w:szCs w:val="18"/>
          <w:color w:val="auto"/>
        </w:rPr>
        <w:t>Under the programs, we purchased 0.4 million, 0.4 million, and 0.6 million shares at costs of $19.0 million, $20.6 million, and $19.9 million for the years ended December 31, 2020, 2019, and 2018, respectively.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L – Stock-Based Compensation</w:t>
      </w:r>
    </w:p>
    <w:p>
      <w:pPr>
        <w:spacing w:after="0" w:line="121" w:lineRule="exact"/>
        <w:rPr>
          <w:sz w:val="20"/>
          <w:szCs w:val="20"/>
          <w:color w:val="auto"/>
        </w:rPr>
      </w:pPr>
    </w:p>
    <w:p>
      <w:pPr>
        <w:jc w:val="both"/>
        <w:ind w:right="380" w:firstLine="538"/>
        <w:spacing w:after="0" w:line="271"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including PSUs, RSAs, RSUs, and DSUs, to employees, non-employee directors and other consultants who provide services to us. We also provide an ESPP and 401(k) stock match.</w:t>
      </w:r>
    </w:p>
    <w:p>
      <w:pPr>
        <w:spacing w:after="0" w:line="68" w:lineRule="exact"/>
        <w:rPr>
          <w:sz w:val="20"/>
          <w:szCs w:val="20"/>
          <w:color w:val="auto"/>
        </w:rPr>
      </w:pPr>
    </w:p>
    <w:p>
      <w:pPr>
        <w:ind w:right="160" w:firstLine="538"/>
        <w:spacing w:after="0" w:line="259" w:lineRule="auto"/>
        <w:rPr>
          <w:sz w:val="20"/>
          <w:szCs w:val="20"/>
          <w:color w:val="auto"/>
        </w:rPr>
      </w:pPr>
      <w:r>
        <w:rPr>
          <w:rFonts w:ascii="Arial" w:cs="Arial" w:eastAsia="Arial" w:hAnsi="Arial"/>
          <w:sz w:val="18"/>
          <w:szCs w:val="18"/>
          <w:color w:val="auto"/>
        </w:rPr>
        <w:t>RSAs result in the issuance of new shares when granted. For other stock-based awards, new shares are issued when the award is exercised, vested, or released according to the terms of the agreement. In February 2020, February 2019, and January 2018, 2.1 million additional shares were reserved for future issuance under our 2010 Equity Incentive Plan. At December 31, 2020 there were approximately 15.8 million shares available for grant under approved equity compensation plans.</w:t>
      </w:r>
    </w:p>
    <w:p>
      <w:pPr>
        <w:spacing w:after="0" w:line="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tcBorders>
              <w:bottom w:val="single" w:sz="8" w:color="CFF0FC"/>
            </w:tcBorders>
            <w:vMerge w:val="continue"/>
          </w:tcPr>
          <w:p>
            <w:pPr>
              <w:spacing w:after="0"/>
              <w:rPr>
                <w:sz w:val="13"/>
                <w:szCs w:val="13"/>
                <w:color w:val="auto"/>
              </w:rPr>
            </w:pPr>
          </w:p>
        </w:tc>
        <w:tc>
          <w:tcPr>
            <w:tcW w:w="28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8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Operating expenses</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8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18,936</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14,690</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2840" w:type="dxa"/>
            <w:vAlign w:val="bottom"/>
            <w:vMerge w:val="restart"/>
          </w:tcPr>
          <w:p>
            <w:pPr>
              <w:jc w:val="right"/>
              <w:ind w:right="1008"/>
              <w:spacing w:after="0"/>
              <w:rPr>
                <w:sz w:val="20"/>
                <w:szCs w:val="20"/>
                <w:color w:val="auto"/>
              </w:rPr>
            </w:pPr>
            <w:r>
              <w:rPr>
                <w:rFonts w:ascii="Arial" w:cs="Arial" w:eastAsia="Arial" w:hAnsi="Arial"/>
                <w:sz w:val="14"/>
                <w:szCs w:val="14"/>
                <w:color w:val="auto"/>
              </w:rPr>
              <w:t>60</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382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6"/>
          </w:tcPr>
          <w:p>
            <w:pPr>
              <w:ind w:left="40"/>
              <w:spacing w:after="0"/>
              <w:rPr>
                <w:sz w:val="20"/>
                <w:szCs w:val="20"/>
                <w:color w:val="auto"/>
              </w:rPr>
            </w:pPr>
            <w:r>
              <w:rPr>
                <w:rFonts w:ascii="Arial" w:cs="Arial" w:eastAsia="Arial" w:hAnsi="Arial"/>
                <w:sz w:val="12"/>
                <w:szCs w:val="12"/>
                <w:b w:val="1"/>
                <w:bCs w:val="1"/>
                <w:color w:val="auto"/>
                <w:w w:val="88"/>
              </w:rPr>
              <w:t>Form 10-K for the Annual Period ended December 31, 2020</w:t>
            </w:r>
          </w:p>
        </w:tc>
        <w:tc>
          <w:tcPr>
            <w:tcW w:w="0" w:type="dxa"/>
            <w:vAlign w:val="bottom"/>
          </w:tcPr>
          <w:p>
            <w:pPr>
              <w:spacing w:after="0"/>
              <w:rPr>
                <w:sz w:val="1"/>
                <w:szCs w:val="1"/>
                <w:color w:val="auto"/>
              </w:rPr>
            </w:pPr>
          </w:p>
        </w:tc>
      </w:tr>
      <w:tr>
        <w:trPr>
          <w:trHeight w:val="330"/>
        </w:trPr>
        <w:tc>
          <w:tcPr>
            <w:tcW w:w="38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0" w:name="page61"/>
    <w:bookmarkEnd w:id="60"/>
    <w:p>
      <w:pPr>
        <w:ind w:left="540"/>
        <w:spacing w:after="0"/>
        <w:rPr>
          <w:sz w:val="20"/>
          <w:szCs w:val="20"/>
          <w:color w:val="auto"/>
        </w:rPr>
      </w:pPr>
      <w:r>
        <w:rPr>
          <w:rFonts w:ascii="Arial" w:cs="Arial" w:eastAsia="Arial" w:hAnsi="Arial"/>
          <w:sz w:val="18"/>
          <w:szCs w:val="18"/>
          <w:color w:val="auto"/>
        </w:rPr>
        <w:t>Stock-based compensation expense by type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Borders>
              <w:bottom w:val="single" w:sz="8" w:color="CFF0FC"/>
            </w:tcBorders>
            <w:vMerge w:val="continue"/>
          </w:tcPr>
          <w:p>
            <w:pPr>
              <w:spacing w:after="0"/>
              <w:rPr>
                <w:sz w:val="13"/>
                <w:szCs w:val="13"/>
                <w:color w:val="auto"/>
              </w:rPr>
            </w:pPr>
          </w:p>
        </w:tc>
        <w:tc>
          <w:tcPr>
            <w:tcW w:w="25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options</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60"/>
              <w:spacing w:after="0"/>
              <w:rPr>
                <w:sz w:val="20"/>
                <w:szCs w:val="20"/>
                <w:color w:val="auto"/>
              </w:rPr>
            </w:pPr>
            <w:r>
              <w:rPr>
                <w:rFonts w:ascii="Arial" w:cs="Arial" w:eastAsia="Arial" w:hAnsi="Arial"/>
                <w:sz w:val="18"/>
                <w:szCs w:val="18"/>
                <w:color w:val="auto"/>
              </w:rPr>
              <w:t>PSUs</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RSUs</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RSAs and DSUs</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ESPP</w:t>
            </w:r>
          </w:p>
        </w:tc>
        <w:tc>
          <w:tcPr>
            <w:tcW w:w="2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401(k) stock match</w:t>
            </w:r>
          </w:p>
        </w:tc>
        <w:tc>
          <w:tcPr>
            <w:tcW w:w="25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shd w:val="clear" w:color="auto" w:fill="CFF0FC"/>
          </w:tcPr>
          <w:p>
            <w:pPr>
              <w:spacing w:after="0"/>
              <w:rPr>
                <w:sz w:val="19"/>
                <w:szCs w:val="19"/>
                <w:color w:val="auto"/>
              </w:rPr>
            </w:pPr>
          </w:p>
        </w:tc>
        <w:tc>
          <w:tcPr>
            <w:tcW w:w="25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18,936</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14,690</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 w:firstLine="538"/>
        <w:spacing w:after="0" w:line="277" w:lineRule="auto"/>
        <w:rPr>
          <w:sz w:val="20"/>
          <w:szCs w:val="20"/>
          <w:color w:val="auto"/>
        </w:rPr>
      </w:pPr>
      <w:r>
        <w:rPr>
          <w:rFonts w:ascii="Arial" w:cs="Arial" w:eastAsia="Arial" w:hAnsi="Arial"/>
          <w:sz w:val="18"/>
          <w:szCs w:val="18"/>
          <w:color w:val="auto"/>
        </w:rPr>
        <w:t>As of December 31, 2020, there was $24.1 million of unrecognized stock-based compensation expense under our equity compensation plans, which is expected to be recognized over a weighted-average period of 2.4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40" w:firstLine="538"/>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Weighted 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Options</w:t>
            </w: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Exercise Price</w:t>
            </w:r>
          </w:p>
        </w:tc>
      </w:tr>
      <w:tr>
        <w:trPr>
          <w:trHeight w:val="171"/>
        </w:trPr>
        <w:tc>
          <w:tcPr>
            <w:tcW w:w="7720" w:type="dxa"/>
            <w:vAlign w:val="bottom"/>
          </w:tcPr>
          <w:p>
            <w:pPr>
              <w:spacing w:after="0"/>
              <w:rPr>
                <w:sz w:val="14"/>
                <w:szCs w:val="14"/>
                <w:color w:val="auto"/>
              </w:rPr>
            </w:pPr>
          </w:p>
        </w:tc>
        <w:tc>
          <w:tcPr>
            <w:tcW w:w="1540" w:type="dxa"/>
            <w:vAlign w:val="bottom"/>
          </w:tcPr>
          <w:p>
            <w:pPr>
              <w:jc w:val="right"/>
              <w:ind w:right="61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2,194,662</w:t>
            </w:r>
          </w:p>
        </w:tc>
        <w:tc>
          <w:tcPr>
            <w:tcW w:w="3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362,944</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29.94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(688,668)</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(122,470)</w:t>
            </w:r>
          </w:p>
        </w:tc>
        <w:tc>
          <w:tcPr>
            <w:tcW w:w="156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1,746,468</w:t>
            </w:r>
          </w:p>
        </w:tc>
        <w:tc>
          <w:tcPr>
            <w:tcW w:w="3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184,434</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53.92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(346,098)</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(40,892)</w:t>
            </w:r>
          </w:p>
        </w:tc>
        <w:tc>
          <w:tcPr>
            <w:tcW w:w="1560" w:type="dxa"/>
            <w:vAlign w:val="bottom"/>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1,543,912</w:t>
            </w:r>
          </w:p>
        </w:tc>
        <w:tc>
          <w:tcPr>
            <w:tcW w:w="3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127,974</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59.02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(712,074)</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(14,926)</w:t>
            </w:r>
          </w:p>
        </w:tc>
        <w:tc>
          <w:tcPr>
            <w:tcW w:w="1560" w:type="dxa"/>
            <w:vAlign w:val="bottom"/>
          </w:tcPr>
          <w:p>
            <w:pPr>
              <w:jc w:val="right"/>
              <w:spacing w:after="0"/>
              <w:rPr>
                <w:sz w:val="20"/>
                <w:szCs w:val="20"/>
                <w:color w:val="auto"/>
              </w:rPr>
            </w:pPr>
            <w:r>
              <w:rPr>
                <w:rFonts w:ascii="Arial" w:cs="Arial" w:eastAsia="Arial" w:hAnsi="Arial"/>
                <w:sz w:val="18"/>
                <w:szCs w:val="18"/>
                <w:color w:val="auto"/>
              </w:rPr>
              <w:t>43.14</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944,886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4" w:lineRule="exact"/>
        <w:rPr>
          <w:sz w:val="20"/>
          <w:szCs w:val="20"/>
          <w:color w:val="auto"/>
        </w:rPr>
      </w:pPr>
    </w:p>
    <w:p>
      <w:pPr>
        <w:ind w:right="520" w:firstLine="538"/>
        <w:spacing w:after="0" w:line="293" w:lineRule="auto"/>
        <w:rPr>
          <w:sz w:val="20"/>
          <w:szCs w:val="20"/>
          <w:color w:val="auto"/>
        </w:rPr>
      </w:pPr>
      <w:r>
        <w:rPr>
          <w:rFonts w:ascii="Arial" w:cs="Arial" w:eastAsia="Arial" w:hAnsi="Arial"/>
          <w:sz w:val="18"/>
          <w:szCs w:val="18"/>
          <w:color w:val="auto"/>
        </w:rPr>
        <w:t>Of the total outstanding options at December 31, 2020, 0.7 million were exercisable. The outstanding and exercisable options had a weighted average exercise price of $32.35 per share and a weighted average remaining contractual life of 3.4 years.</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presents the intrinsic value of options exercised and outstanding and factors related to our stock options: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60" w:type="dxa"/>
            <w:vAlign w:val="bottom"/>
            <w:tcBorders>
              <w:bottom w:val="single" w:sz="8" w:color="CFF0FC"/>
            </w:tcBorders>
            <w:vMerge w:val="continue"/>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Fair value of options vested</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2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31,737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11,103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Intrinsic value of options outstanding</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67,918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39,194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Weighted-average fair value per share of options granted</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4760" w:type="dxa"/>
            <w:vAlign w:val="bottom"/>
          </w:tcPr>
          <w:p>
            <w:pPr>
              <w:ind w:left="480"/>
              <w:spacing w:after="0"/>
              <w:rPr>
                <w:sz w:val="20"/>
                <w:szCs w:val="20"/>
                <w:color w:val="auto"/>
              </w:rPr>
            </w:pPr>
            <w:r>
              <w:rPr>
                <w:rFonts w:ascii="Arial" w:cs="Arial" w:eastAsia="Arial" w:hAnsi="Arial"/>
                <w:sz w:val="14"/>
                <w:szCs w:val="14"/>
                <w:b w:val="1"/>
                <w:bCs w:val="1"/>
                <w:color w:val="auto"/>
              </w:rPr>
              <w:t>SPS COMMERCE, INC.</w:t>
            </w:r>
          </w:p>
        </w:tc>
        <w:tc>
          <w:tcPr>
            <w:tcW w:w="1900" w:type="dxa"/>
            <w:vAlign w:val="bottom"/>
          </w:tcPr>
          <w:p>
            <w:pPr>
              <w:jc w:val="right"/>
              <w:ind w:right="1008"/>
              <w:spacing w:after="0"/>
              <w:rPr>
                <w:sz w:val="20"/>
                <w:szCs w:val="20"/>
                <w:color w:val="auto"/>
              </w:rPr>
            </w:pPr>
            <w:r>
              <w:rPr>
                <w:rFonts w:ascii="Arial" w:cs="Arial" w:eastAsia="Arial" w:hAnsi="Arial"/>
                <w:sz w:val="14"/>
                <w:szCs w:val="14"/>
                <w:color w:val="auto"/>
              </w:rPr>
              <w:t>61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6"/>
          </w:tcPr>
          <w:p>
            <w:pPr>
              <w:ind w:left="40"/>
              <w:spacing w:after="0"/>
              <w:rPr>
                <w:sz w:val="20"/>
                <w:szCs w:val="20"/>
                <w:color w:val="auto"/>
              </w:rPr>
            </w:pPr>
            <w:r>
              <w:rPr>
                <w:rFonts w:ascii="Arial" w:cs="Arial" w:eastAsia="Arial" w:hAnsi="Arial"/>
                <w:sz w:val="12"/>
                <w:szCs w:val="12"/>
                <w:b w:val="1"/>
                <w:bCs w:val="1"/>
                <w:color w:val="auto"/>
                <w:w w:val="88"/>
              </w:rPr>
              <w:t>Form 10-K for the Annual Period ended December 31, 2020</w:t>
            </w:r>
          </w:p>
        </w:tc>
        <w:tc>
          <w:tcPr>
            <w:tcW w:w="0" w:type="dxa"/>
            <w:vAlign w:val="bottom"/>
          </w:tcPr>
          <w:p>
            <w:pPr>
              <w:spacing w:after="0"/>
              <w:rPr>
                <w:sz w:val="1"/>
                <w:szCs w:val="1"/>
                <w:color w:val="auto"/>
              </w:rPr>
            </w:pPr>
          </w:p>
        </w:tc>
      </w:tr>
      <w:tr>
        <w:trPr>
          <w:trHeight w:val="329"/>
        </w:trPr>
        <w:tc>
          <w:tcPr>
            <w:tcW w:w="47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1" w:name="page62"/>
    <w:bookmarkEnd w:id="61"/>
    <w:p>
      <w:pPr>
        <w:ind w:right="720" w:firstLine="538"/>
        <w:spacing w:after="0" w:line="277" w:lineRule="auto"/>
        <w:rPr>
          <w:sz w:val="20"/>
          <w:szCs w:val="20"/>
          <w:color w:val="auto"/>
        </w:rPr>
      </w:pPr>
      <w:r>
        <w:rPr>
          <w:rFonts w:ascii="Arial" w:cs="Arial" w:eastAsia="Arial" w:hAnsi="Arial"/>
          <w:sz w:val="18"/>
          <w:szCs w:val="18"/>
          <w:color w:val="auto"/>
        </w:rPr>
        <w:t>The fair values of the options granted were estimated on the date of grant using the Black-Scholes option pricing model with the following weighted-average assumptions:</w:t>
      </w:r>
    </w:p>
    <w:p>
      <w:pPr>
        <w:spacing w:after="0" w:line="256"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2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r>
      <w:tr>
        <w:trPr>
          <w:trHeight w:val="229"/>
        </w:trPr>
        <w:tc>
          <w:tcPr>
            <w:tcW w:w="74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Life (in years)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0.99%</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Restricted Stock Units and Awards, and Deferred Stock Units</w:t>
      </w:r>
    </w:p>
    <w:p>
      <w:pPr>
        <w:spacing w:after="0" w:line="117" w:lineRule="exact"/>
        <w:rPr>
          <w:sz w:val="20"/>
          <w:szCs w:val="20"/>
          <w:color w:val="auto"/>
        </w:rPr>
      </w:pPr>
    </w:p>
    <w:p>
      <w:pPr>
        <w:jc w:val="both"/>
        <w:ind w:right="460" w:firstLine="538"/>
        <w:spacing w:after="0" w:line="259" w:lineRule="auto"/>
        <w:rPr>
          <w:sz w:val="20"/>
          <w:szCs w:val="20"/>
          <w:color w:val="auto"/>
        </w:rPr>
      </w:pPr>
      <w:r>
        <w:rPr>
          <w:rFonts w:ascii="Arial" w:cs="Arial" w:eastAsia="Arial" w:hAnsi="Arial"/>
          <w:sz w:val="18"/>
          <w:szCs w:val="18"/>
          <w:color w:val="auto"/>
        </w:rPr>
        <w:t>In February 2020, 2019, and 2018, our executive officers were granted PSU awards with vesting contingent on our total shareholder return as compared to indexed total shareholder return over the course of a fiscal based three-year performance period, starting in the year of grant. Expense is recognized on a straight-line basis over the performance period, regardless of whether the market condition is satisfied as the likelihood of the market condition being met is included in the fair-value measurement of the award.</w:t>
      </w:r>
    </w:p>
    <w:p>
      <w:pPr>
        <w:spacing w:after="0" w:line="79" w:lineRule="exact"/>
        <w:rPr>
          <w:sz w:val="20"/>
          <w:szCs w:val="20"/>
          <w:color w:val="auto"/>
        </w:rPr>
      </w:pPr>
    </w:p>
    <w:p>
      <w:pPr>
        <w:ind w:right="380" w:firstLine="538"/>
        <w:spacing w:after="0" w:line="342" w:lineRule="auto"/>
        <w:rPr>
          <w:sz w:val="20"/>
          <w:szCs w:val="20"/>
          <w:color w:val="auto"/>
        </w:rPr>
      </w:pPr>
      <w:r>
        <w:rPr>
          <w:rFonts w:ascii="Arial" w:cs="Arial" w:eastAsia="Arial" w:hAnsi="Arial"/>
          <w:sz w:val="16"/>
          <w:szCs w:val="16"/>
          <w:color w:val="auto"/>
        </w:rPr>
        <w:t>In February 2017, our executive officers were granted PSU awards with vesting contingent on successful attainment of pre-determined revenue targets over the course of a three-year performance period (fiscal 2017 – 2019). The awards were forfeited in 2020 as the targets were not met.</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RSUs generally vest over four years and, upon vesting, the holder is entitled to receive shares of our common stock.</w:t>
      </w:r>
    </w:p>
    <w:p>
      <w:pPr>
        <w:spacing w:after="0" w:line="117" w:lineRule="exact"/>
        <w:rPr>
          <w:sz w:val="20"/>
          <w:szCs w:val="20"/>
          <w:color w:val="auto"/>
        </w:rPr>
      </w:pPr>
    </w:p>
    <w:p>
      <w:pPr>
        <w:ind w:right="80" w:firstLine="538"/>
        <w:spacing w:after="0" w:line="359" w:lineRule="auto"/>
        <w:rPr>
          <w:sz w:val="20"/>
          <w:szCs w:val="20"/>
          <w:color w:val="auto"/>
        </w:rPr>
      </w:pPr>
      <w:r>
        <w:rPr>
          <w:rFonts w:ascii="Arial" w:cs="Arial" w:eastAsia="Arial" w:hAnsi="Arial"/>
          <w:sz w:val="16"/>
          <w:szCs w:val="16"/>
          <w:color w:val="auto"/>
        </w:rPr>
        <w:t>RSAs vest over one year and, upon vesting, the holder is entitled to receive shares of our common stock. In lieu of RSAs, a participant may elect to receive DSUs with one year vesting, but the participant directs delayed receipt of common shares of up to ten years after the end of service to us.</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Activity for our PSU, RSU, RSA, and DSU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60" w:type="dxa"/>
            <w:vAlign w:val="bottom"/>
          </w:tcPr>
          <w:p>
            <w:pPr>
              <w:jc w:val="right"/>
              <w:ind w:right="61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jc w:val="center"/>
              <w:ind w:right="1431"/>
              <w:spacing w:after="0"/>
              <w:rPr>
                <w:sz w:val="20"/>
                <w:szCs w:val="20"/>
                <w:color w:val="auto"/>
              </w:rPr>
            </w:pPr>
            <w:r>
              <w:rPr>
                <w:rFonts w:ascii="Arial" w:cs="Arial" w:eastAsia="Arial" w:hAnsi="Arial"/>
                <w:sz w:val="18"/>
                <w:szCs w:val="18"/>
                <w:color w:val="auto"/>
                <w:w w:val="89"/>
              </w:rPr>
              <w:t>Outstanding at December 31, 2017</w:t>
            </w:r>
          </w:p>
        </w:tc>
        <w:tc>
          <w:tcPr>
            <w:tcW w:w="36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646,560</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Granted</w:t>
            </w:r>
          </w:p>
        </w:tc>
        <w:tc>
          <w:tcPr>
            <w:tcW w:w="36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360,198</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36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(176,802)</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368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(71,622)</w:t>
            </w:r>
          </w:p>
        </w:tc>
        <w:tc>
          <w:tcPr>
            <w:tcW w:w="1560" w:type="dxa"/>
            <w:vAlign w:val="bottom"/>
          </w:tcPr>
          <w:p>
            <w:pPr>
              <w:jc w:val="right"/>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jc w:val="center"/>
              <w:ind w:right="1431"/>
              <w:spacing w:after="0"/>
              <w:rPr>
                <w:sz w:val="20"/>
                <w:szCs w:val="20"/>
                <w:color w:val="auto"/>
              </w:rPr>
            </w:pPr>
            <w:r>
              <w:rPr>
                <w:rFonts w:ascii="Arial" w:cs="Arial" w:eastAsia="Arial" w:hAnsi="Arial"/>
                <w:sz w:val="18"/>
                <w:szCs w:val="18"/>
                <w:color w:val="auto"/>
                <w:w w:val="89"/>
              </w:rPr>
              <w:t>Outstanding at December 31, 2018</w:t>
            </w:r>
          </w:p>
        </w:tc>
        <w:tc>
          <w:tcPr>
            <w:tcW w:w="36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758,334</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60"/>
              <w:spacing w:after="0"/>
              <w:rPr>
                <w:sz w:val="20"/>
                <w:szCs w:val="20"/>
                <w:color w:val="auto"/>
              </w:rPr>
            </w:pPr>
            <w:r>
              <w:rPr>
                <w:rFonts w:ascii="Arial" w:cs="Arial" w:eastAsia="Arial" w:hAnsi="Arial"/>
                <w:sz w:val="18"/>
                <w:szCs w:val="18"/>
                <w:color w:val="auto"/>
              </w:rPr>
              <w:t>Granted</w:t>
            </w:r>
          </w:p>
        </w:tc>
        <w:tc>
          <w:tcPr>
            <w:tcW w:w="36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288,462</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36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(217,424)</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368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(31,826)</w:t>
            </w:r>
          </w:p>
        </w:tc>
        <w:tc>
          <w:tcPr>
            <w:tcW w:w="1560" w:type="dxa"/>
            <w:vAlign w:val="bottom"/>
          </w:tcPr>
          <w:p>
            <w:pPr>
              <w:jc w:val="right"/>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jc w:val="center"/>
              <w:ind w:right="1431"/>
              <w:spacing w:after="0"/>
              <w:rPr>
                <w:sz w:val="20"/>
                <w:szCs w:val="20"/>
                <w:color w:val="auto"/>
              </w:rPr>
            </w:pPr>
            <w:r>
              <w:rPr>
                <w:rFonts w:ascii="Arial" w:cs="Arial" w:eastAsia="Arial" w:hAnsi="Arial"/>
                <w:sz w:val="18"/>
                <w:szCs w:val="18"/>
                <w:color w:val="auto"/>
                <w:w w:val="89"/>
              </w:rPr>
              <w:t>Outstanding at December 31, 2019</w:t>
            </w:r>
          </w:p>
        </w:tc>
        <w:tc>
          <w:tcPr>
            <w:tcW w:w="36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797,546</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Granted</w:t>
            </w:r>
          </w:p>
        </w:tc>
        <w:tc>
          <w:tcPr>
            <w:tcW w:w="36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331,264</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36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(222,606)</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368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(167,782)</w:t>
            </w:r>
          </w:p>
        </w:tc>
        <w:tc>
          <w:tcPr>
            <w:tcW w:w="1560" w:type="dxa"/>
            <w:vAlign w:val="bottom"/>
          </w:tcPr>
          <w:p>
            <w:pPr>
              <w:jc w:val="right"/>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bottom w:val="single" w:sz="8" w:color="CFF0FC"/>
            </w:tcBorders>
            <w:shd w:val="clear" w:color="auto" w:fill="CFF0FC"/>
          </w:tcPr>
          <w:p>
            <w:pPr>
              <w:jc w:val="center"/>
              <w:ind w:right="1431"/>
              <w:spacing w:after="0"/>
              <w:rPr>
                <w:sz w:val="20"/>
                <w:szCs w:val="20"/>
                <w:color w:val="auto"/>
              </w:rPr>
            </w:pPr>
            <w:r>
              <w:rPr>
                <w:rFonts w:ascii="Arial" w:cs="Arial" w:eastAsia="Arial" w:hAnsi="Arial"/>
                <w:sz w:val="18"/>
                <w:szCs w:val="18"/>
                <w:color w:val="auto"/>
                <w:w w:val="89"/>
              </w:rPr>
              <w:t>Outstanding at December 31, 2020</w:t>
            </w:r>
          </w:p>
        </w:tc>
        <w:tc>
          <w:tcPr>
            <w:tcW w:w="368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738,422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jc w:val="center"/>
              <w:ind w:right="1451"/>
              <w:spacing w:after="0"/>
              <w:rPr>
                <w:sz w:val="20"/>
                <w:szCs w:val="20"/>
                <w:color w:val="auto"/>
              </w:rPr>
            </w:pPr>
            <w:r>
              <w:rPr>
                <w:rFonts w:ascii="Arial" w:cs="Arial" w:eastAsia="Arial" w:hAnsi="Arial"/>
                <w:sz w:val="14"/>
                <w:szCs w:val="14"/>
                <w:b w:val="1"/>
                <w:bCs w:val="1"/>
                <w:color w:val="auto"/>
              </w:rPr>
              <w:t>SPS COMMERCE, INC.</w:t>
            </w:r>
          </w:p>
        </w:tc>
        <w:tc>
          <w:tcPr>
            <w:tcW w:w="3680" w:type="dxa"/>
            <w:vAlign w:val="bottom"/>
            <w:vMerge w:val="restart"/>
          </w:tcPr>
          <w:p>
            <w:pPr>
              <w:jc w:val="right"/>
              <w:ind w:right="2068"/>
              <w:spacing w:after="0"/>
              <w:rPr>
                <w:sz w:val="20"/>
                <w:szCs w:val="20"/>
                <w:color w:val="auto"/>
              </w:rPr>
            </w:pPr>
            <w:r>
              <w:rPr>
                <w:rFonts w:ascii="Arial" w:cs="Arial" w:eastAsia="Arial" w:hAnsi="Arial"/>
                <w:sz w:val="14"/>
                <w:szCs w:val="14"/>
                <w:color w:val="auto"/>
              </w:rPr>
              <w:t>62</w:t>
            </w:r>
          </w:p>
        </w:tc>
        <w:tc>
          <w:tcPr>
            <w:tcW w:w="1560" w:type="dxa"/>
            <w:vAlign w:val="bottom"/>
            <w:tcBorders>
              <w:bottom w:val="single" w:sz="8" w:color="auto"/>
            </w:tcBorders>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4040" w:type="dxa"/>
            <w:vAlign w:val="bottom"/>
            <w:vMerge w:val="continue"/>
          </w:tcPr>
          <w:p>
            <w:pPr>
              <w:spacing w:after="0"/>
              <w:rPr>
                <w:sz w:val="24"/>
                <w:szCs w:val="24"/>
                <w:color w:val="auto"/>
              </w:rPr>
            </w:pPr>
          </w:p>
        </w:tc>
        <w:tc>
          <w:tcPr>
            <w:tcW w:w="3680" w:type="dxa"/>
            <w:vAlign w:val="bottom"/>
            <w:vMerge w:val="continue"/>
          </w:tcPr>
          <w:p>
            <w:pPr>
              <w:spacing w:after="0"/>
              <w:rPr>
                <w:sz w:val="24"/>
                <w:szCs w:val="24"/>
                <w:color w:val="auto"/>
              </w:rPr>
            </w:pPr>
          </w:p>
        </w:tc>
        <w:tc>
          <w:tcPr>
            <w:tcW w:w="3520" w:type="dxa"/>
            <w:vAlign w:val="bottom"/>
            <w:gridSpan w:val="4"/>
          </w:tcPr>
          <w:p>
            <w:pPr>
              <w:ind w:left="540"/>
              <w:spacing w:after="0"/>
              <w:rPr>
                <w:sz w:val="20"/>
                <w:szCs w:val="20"/>
                <w:color w:val="auto"/>
              </w:rPr>
            </w:pPr>
            <w:r>
              <w:rPr>
                <w:rFonts w:ascii="Arial" w:cs="Arial" w:eastAsia="Arial" w:hAnsi="Arial"/>
                <w:sz w:val="12"/>
                <w:szCs w:val="12"/>
                <w:b w:val="1"/>
                <w:bCs w:val="1"/>
                <w:color w:val="auto"/>
                <w:w w:val="88"/>
              </w:rPr>
              <w:t>Form 10-K for the Annual Period ended December 31, 2020</w:t>
            </w:r>
          </w:p>
        </w:tc>
        <w:tc>
          <w:tcPr>
            <w:tcW w:w="0" w:type="dxa"/>
            <w:vAlign w:val="bottom"/>
          </w:tcPr>
          <w:p>
            <w:pPr>
              <w:spacing w:after="0"/>
              <w:rPr>
                <w:sz w:val="1"/>
                <w:szCs w:val="1"/>
                <w:color w:val="auto"/>
              </w:rPr>
            </w:pPr>
          </w:p>
        </w:tc>
      </w:tr>
      <w:tr>
        <w:trPr>
          <w:trHeight w:val="329"/>
        </w:trPr>
        <w:tc>
          <w:tcPr>
            <w:tcW w:w="40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ind w:right="60" w:firstLine="538"/>
        <w:spacing w:after="0" w:line="277" w:lineRule="auto"/>
        <w:rPr>
          <w:sz w:val="20"/>
          <w:szCs w:val="20"/>
          <w:color w:val="auto"/>
        </w:rPr>
      </w:pPr>
      <w:r>
        <w:rPr>
          <w:rFonts w:ascii="Arial" w:cs="Arial" w:eastAsia="Arial" w:hAnsi="Arial"/>
          <w:sz w:val="18"/>
          <w:szCs w:val="18"/>
          <w:color w:val="auto"/>
        </w:rPr>
        <w:t>The number of PSUs, RSUs, and DSUs outstanding at December 31, 2020 included 122,910 units that have vested, but the shares of common stock have not yet been issued, pursuant to the terms of the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538"/>
        <w:spacing w:after="0" w:line="261" w:lineRule="auto"/>
        <w:rPr>
          <w:sz w:val="20"/>
          <w:szCs w:val="20"/>
          <w:color w:val="auto"/>
        </w:rPr>
      </w:pPr>
      <w:r>
        <w:rPr>
          <w:rFonts w:ascii="Arial" w:cs="Arial" w:eastAsia="Arial" w:hAnsi="Arial"/>
          <w:sz w:val="18"/>
          <w:szCs w:val="18"/>
          <w:color w:val="auto"/>
        </w:rPr>
        <w:t>Our ESPP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one share of common stock at the beginning or end of each stock purchase period. The plan consists of two six-month offering periods, beginning on January 1 and July 1 of each calendar year. A total of 1.9 million shares of common stock are remaining for issuance under the plan at December 31, 2020.</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ESPP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2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20" w:type="dxa"/>
            <w:vAlign w:val="bottom"/>
            <w:tcBorders>
              <w:bottom w:val="single" w:sz="8" w:color="CFF0FC"/>
            </w:tcBorders>
            <w:vMerge w:val="continue"/>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Amounts for shares purchased</w:t>
            </w:r>
          </w:p>
        </w:tc>
        <w:tc>
          <w:tcPr>
            <w:tcW w:w="2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Shares purchased</w:t>
            </w: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61,833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58,851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160" w:firstLine="538"/>
        <w:spacing w:after="0" w:line="277" w:lineRule="auto"/>
        <w:rPr>
          <w:sz w:val="20"/>
          <w:szCs w:val="20"/>
          <w:color w:val="auto"/>
        </w:rPr>
      </w:pPr>
      <w:r>
        <w:rPr>
          <w:rFonts w:ascii="Arial" w:cs="Arial" w:eastAsia="Arial" w:hAnsi="Arial"/>
          <w:sz w:val="18"/>
          <w:szCs w:val="18"/>
          <w:color w:val="auto"/>
        </w:rPr>
        <w:t>The fair value was estimated based on the market price of our common stock at the beginning of each offering period and using the Black-Scholes option pricing model with the following weighted-average assumptions:</w:t>
      </w:r>
    </w:p>
    <w:p>
      <w:pPr>
        <w:spacing w:after="0" w:line="200" w:lineRule="exact"/>
        <w:rPr>
          <w:sz w:val="20"/>
          <w:szCs w:val="20"/>
          <w:color w:val="auto"/>
        </w:rPr>
      </w:pPr>
    </w:p>
    <w:p>
      <w:pPr>
        <w:spacing w:after="0" w:line="272"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2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29"/>
        </w:trPr>
        <w:tc>
          <w:tcPr>
            <w:tcW w:w="74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Life (in years)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0.96%</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2.36%</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M – Income Taxes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Our provisions for income taxes included current federal, foreign, and state income tax expense, as well as deferred tax expense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FF0FC"/>
            </w:tcBorders>
            <w:vMerge w:val="continue"/>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State</w:t>
            </w:r>
          </w:p>
        </w:tc>
        <w:tc>
          <w:tcPr>
            <w:tcW w:w="31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1,249</w:t>
            </w:r>
          </w:p>
        </w:tc>
        <w:tc>
          <w:tcPr>
            <w:tcW w:w="8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w:t>
            </w:r>
          </w:p>
        </w:tc>
        <w:tc>
          <w:tcPr>
            <w:tcW w:w="2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Deferred</w:t>
            </w: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2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State</w:t>
            </w: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w:t>
            </w:r>
          </w:p>
        </w:tc>
        <w:tc>
          <w:tcPr>
            <w:tcW w:w="2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8,358</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reconciliation of the expected federal income tax at the statutory rate to the provision for income taxes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63</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4"/>
              </w:rPr>
              <w:t>Year Ended December 31,</w:t>
            </w: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20" w:type="dxa"/>
            <w:vAlign w:val="bottom"/>
            <w:tcBorders>
              <w:bottom w:val="single" w:sz="8" w:color="CFF0FC"/>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11"/>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1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Expected federal income tax at statutory rate</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11,063</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8,835</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2,382</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1,933</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Tax impact of foreign activity</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Nondeductible executive compensation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928</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Foreign derived intangible income</w:t>
            </w:r>
          </w:p>
        </w:tc>
        <w:tc>
          <w:tcPr>
            <w:tcW w:w="3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(710)</w:t>
            </w:r>
          </w:p>
        </w:tc>
        <w:tc>
          <w:tcPr>
            <w:tcW w:w="4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3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Change in state deferred rate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w:t>
            </w:r>
          </w:p>
        </w:tc>
        <w:tc>
          <w:tcPr>
            <w:tcW w:w="3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(294)</w:t>
            </w:r>
          </w:p>
        </w:tc>
        <w:tc>
          <w:tcPr>
            <w:tcW w:w="4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(1,252)</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Tax impact of stock activity</w:t>
            </w:r>
          </w:p>
        </w:tc>
        <w:tc>
          <w:tcPr>
            <w:tcW w:w="3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(6,807)</w:t>
            </w:r>
          </w:p>
        </w:tc>
        <w:tc>
          <w:tcPr>
            <w:tcW w:w="4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(2,518)</w:t>
            </w: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7,094</w:t>
            </w:r>
          </w:p>
        </w:tc>
        <w:tc>
          <w:tcPr>
            <w:tcW w:w="30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8,358</w:t>
            </w:r>
          </w:p>
        </w:tc>
        <w:tc>
          <w:tcPr>
            <w:tcW w:w="30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 w:firstLine="637"/>
        <w:spacing w:after="0" w:line="259" w:lineRule="auto"/>
        <w:rPr>
          <w:sz w:val="20"/>
          <w:szCs w:val="20"/>
          <w:color w:val="auto"/>
        </w:rPr>
      </w:pPr>
      <w:r>
        <w:rPr>
          <w:rFonts w:ascii="Arial" w:cs="Arial" w:eastAsia="Arial" w:hAnsi="Arial"/>
          <w:sz w:val="18"/>
          <w:szCs w:val="18"/>
          <w:color w:val="auto"/>
        </w:rPr>
        <w:t>Differences between our effective tax rate and statutory tax rates are primarily due to tax benefits generated upon settlement or exercise of stock awards as such activities are recognized as a reduction to income tax expense as a discrete tax item in the period that such events occur, creating potentially significant fluctuations in tax expense by period. Additionally, federal research and development credit benefits are partially offset by permanently non-deductible expenses contributing to the difference in effective and statutory tax rates.</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significant components of our deferred tax assets and liabilities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227"/>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230"/>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Net operating loss and credit carryforwards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4,539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9,122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Accounts receivable allowances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liabilities</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deferred tax assets</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19,362</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3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(1,582)</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(1,068)</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deferred tax assets</w:t>
            </w: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17,780</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22,082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costs</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(12,561)</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(11,436)</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(3,754)</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(4,047)</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operations</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(144)</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(3,980)</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(4,975)</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(20,523)</w:t>
            </w: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(20,645)</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 (liabilities)</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320" w:firstLine="538"/>
        <w:spacing w:after="0" w:line="304" w:lineRule="auto"/>
        <w:rPr>
          <w:sz w:val="20"/>
          <w:szCs w:val="20"/>
          <w:color w:val="auto"/>
        </w:rPr>
      </w:pPr>
      <w:r>
        <w:rPr>
          <w:rFonts w:ascii="Arial" w:cs="Arial" w:eastAsia="Arial" w:hAnsi="Arial"/>
          <w:sz w:val="16"/>
          <w:szCs w:val="16"/>
          <w:color w:val="auto"/>
        </w:rPr>
        <w:t>As of December 31, 2020, we had net operating loss carryforwards of $17.5 million for U.S. federal tax purposes and $1.5 million for state tax purposes. If not utilized, the loss carryforwards will expire between 2021 and 2024 for federal tax purposes and between 2028 and 2031 for state tax purposes. Section 382 of the U.S. Internal Revenue Code generally imposes an annual limitation on the amount of net operating loss carryforwards that might be used to offset taxable income when a corporation has undergone significant changes in stock ownership. As of December 31, 2020, all $17.5 million of our net operating loss carryforwards are subject to Section 382 limitations, of which we believe $14.6 million of federal losses will expire unused due to Section 382 limitations. Accordingly, our deferred tax assets are reported net of the Section 382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205740"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2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64</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64" w:name="page65"/>
    <w:bookmarkEnd w:id="64"/>
    <w:p>
      <w:pPr>
        <w:jc w:val="both"/>
        <w:ind w:right="120" w:firstLine="538"/>
        <w:spacing w:after="0" w:line="263" w:lineRule="auto"/>
        <w:rPr>
          <w:sz w:val="20"/>
          <w:szCs w:val="20"/>
          <w:color w:val="auto"/>
        </w:rPr>
      </w:pPr>
      <w:r>
        <w:rPr>
          <w:rFonts w:ascii="Arial" w:cs="Arial" w:eastAsia="Arial" w:hAnsi="Arial"/>
          <w:sz w:val="18"/>
          <w:szCs w:val="18"/>
          <w:color w:val="auto"/>
        </w:rPr>
        <w:t>As of December 31, 2020, we had federal research and development (“R&amp;D”) credit carryforwards, net of Section 383 limitations, of $2.2 million, which, if not utilized, will begin to expire in 2039. We had state research and development credit carryforwards of $1.6 million which, if not utilized, will begin to expire in 2025.</w:t>
      </w:r>
    </w:p>
    <w:p>
      <w:pPr>
        <w:spacing w:after="0" w:line="76" w:lineRule="exact"/>
        <w:rPr>
          <w:sz w:val="20"/>
          <w:szCs w:val="20"/>
          <w:color w:val="auto"/>
        </w:rPr>
      </w:pPr>
    </w:p>
    <w:p>
      <w:pPr>
        <w:jc w:val="both"/>
        <w:ind w:right="160" w:firstLine="538"/>
        <w:spacing w:after="0" w:line="277" w:lineRule="auto"/>
        <w:rPr>
          <w:sz w:val="20"/>
          <w:szCs w:val="20"/>
          <w:color w:val="auto"/>
        </w:rPr>
      </w:pPr>
      <w:r>
        <w:rPr>
          <w:rFonts w:ascii="Arial" w:cs="Arial" w:eastAsia="Arial" w:hAnsi="Arial"/>
          <w:sz w:val="18"/>
          <w:szCs w:val="18"/>
          <w:color w:val="auto"/>
        </w:rPr>
        <w:t>As of December 31, 2020, we had a valuation allowance against our deferred tax assets of $1.6 million. The valuation allowance is established for state credit carryforwards that we do not expect to utilize based on our current expectations of future state taxable income.</w:t>
      </w:r>
    </w:p>
    <w:p>
      <w:pPr>
        <w:spacing w:after="0" w:line="62" w:lineRule="exact"/>
        <w:rPr>
          <w:sz w:val="20"/>
          <w:szCs w:val="20"/>
          <w:color w:val="auto"/>
        </w:rPr>
      </w:pPr>
    </w:p>
    <w:p>
      <w:pPr>
        <w:jc w:val="both"/>
        <w:ind w:right="160" w:firstLine="538"/>
        <w:spacing w:after="0" w:line="263" w:lineRule="auto"/>
        <w:rPr>
          <w:sz w:val="20"/>
          <w:szCs w:val="20"/>
          <w:color w:val="auto"/>
        </w:rPr>
      </w:pPr>
      <w:r>
        <w:rPr>
          <w:rFonts w:ascii="Arial" w:cs="Arial" w:eastAsia="Arial" w:hAnsi="Arial"/>
          <w:sz w:val="18"/>
          <w:szCs w:val="18"/>
          <w:color w:val="auto"/>
        </w:rPr>
        <w:t>We are subject to income taxes for U.S. federal and various state and international jurisdictions. We are generally subject to U.S. federal and state tax examinations for most prior tax years due to our net operating loss and R&amp;D credit carryforwards and the utilization of the carryforwards in years still open under statute.</w:t>
      </w:r>
    </w:p>
    <w:p>
      <w:pPr>
        <w:spacing w:after="0" w:line="76" w:lineRule="exact"/>
        <w:rPr>
          <w:sz w:val="20"/>
          <w:szCs w:val="20"/>
          <w:color w:val="auto"/>
        </w:rPr>
      </w:pPr>
    </w:p>
    <w:p>
      <w:pPr>
        <w:ind w:right="220" w:firstLine="538"/>
        <w:spacing w:after="0" w:line="263" w:lineRule="auto"/>
        <w:rPr>
          <w:sz w:val="20"/>
          <w:szCs w:val="20"/>
          <w:color w:val="auto"/>
        </w:rPr>
      </w:pPr>
      <w:r>
        <w:rPr>
          <w:rFonts w:ascii="Arial" w:cs="Arial" w:eastAsia="Arial" w:hAnsi="Arial"/>
          <w:sz w:val="18"/>
          <w:szCs w:val="18"/>
          <w:color w:val="auto"/>
        </w:rPr>
        <w:t>As of December 31, 2020,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N – Net Income Per Share</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Borders>
              <w:bottom w:val="single" w:sz="8" w:color="CFF0FC"/>
            </w:tcBorders>
            <w:vMerge w:val="continue"/>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45,586</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33,712</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35,024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 to purchase common stock</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PSUs, RSUs, RSAs, and DSUs</w:t>
            </w:r>
          </w:p>
        </w:tc>
        <w:tc>
          <w:tcPr>
            <w:tcW w:w="1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1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36,285</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36,002</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0.94</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260" w:firstLine="538"/>
        <w:spacing w:after="0" w:line="277" w:lineRule="auto"/>
        <w:rPr>
          <w:sz w:val="20"/>
          <w:szCs w:val="20"/>
          <w:color w:val="auto"/>
        </w:rPr>
      </w:pPr>
      <w:r>
        <w:rPr>
          <w:rFonts w:ascii="Arial" w:cs="Arial" w:eastAsia="Arial" w:hAnsi="Arial"/>
          <w:sz w:val="18"/>
          <w:szCs w:val="18"/>
          <w:color w:val="auto"/>
        </w:rPr>
        <w:t>The following table presents the effect of the outstanding potential common shares that were excluded from the calculation of diluted net income per share as they were anti-dilutive: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1420" w:type="dxa"/>
            <w:vAlign w:val="bottom"/>
          </w:tcPr>
          <w:p>
            <w:pPr>
              <w:jc w:val="right"/>
              <w:ind w:right="499"/>
              <w:spacing w:after="0" w:line="155" w:lineRule="exact"/>
              <w:rPr>
                <w:sz w:val="20"/>
                <w:szCs w:val="20"/>
                <w:color w:val="auto"/>
              </w:rPr>
            </w:pPr>
            <w:r>
              <w:rPr>
                <w:rFonts w:ascii="Arial" w:cs="Arial" w:eastAsia="Arial" w:hAnsi="Arial"/>
                <w:sz w:val="14"/>
                <w:szCs w:val="14"/>
                <w:b w:val="1"/>
                <w:bCs w:val="1"/>
                <w:color w:val="auto"/>
              </w:rPr>
              <w:t>2020</w:t>
            </w:r>
          </w:p>
        </w:tc>
        <w:tc>
          <w:tcPr>
            <w:tcW w:w="1580" w:type="dxa"/>
            <w:vAlign w:val="bottom"/>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440" w:type="dxa"/>
            <w:vAlign w:val="bottom"/>
          </w:tcPr>
          <w:p>
            <w:pPr>
              <w:jc w:val="right"/>
              <w:ind w:right="499"/>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Antidilutive shares</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O – Retirement Savings Plan</w:t>
      </w:r>
    </w:p>
    <w:p>
      <w:pPr>
        <w:spacing w:after="0" w:line="121" w:lineRule="exact"/>
        <w:rPr>
          <w:sz w:val="20"/>
          <w:szCs w:val="20"/>
          <w:color w:val="auto"/>
        </w:rPr>
      </w:pPr>
    </w:p>
    <w:p>
      <w:pPr>
        <w:ind w:right="260" w:firstLine="538"/>
        <w:spacing w:after="0" w:line="271" w:lineRule="auto"/>
        <w:rPr>
          <w:sz w:val="20"/>
          <w:szCs w:val="20"/>
          <w:color w:val="auto"/>
        </w:rPr>
      </w:pPr>
      <w:r>
        <w:rPr>
          <w:rFonts w:ascii="Arial" w:cs="Arial" w:eastAsia="Arial" w:hAnsi="Arial"/>
          <w:sz w:val="17"/>
          <w:szCs w:val="17"/>
          <w:color w:val="auto"/>
        </w:rPr>
        <w:t>We sponsor a 401(k) retirement savings plan for our employees. Employees can contribute up to 80% of their compensation, subject to the limits established by law, and we match 50% of the employee’s contribution up to the first 6% of pre-tax annual compensation. A portion of our match is in company stock, which is purchased from the open market by our plan provider and immediately deposited into the employee’s 401(k)</w:t>
      </w:r>
    </w:p>
    <w:p>
      <w:pPr>
        <w:ind w:right="200"/>
        <w:spacing w:after="0" w:line="323" w:lineRule="auto"/>
        <w:rPr>
          <w:sz w:val="20"/>
          <w:szCs w:val="20"/>
          <w:color w:val="auto"/>
        </w:rPr>
      </w:pPr>
      <w:r>
        <w:rPr>
          <w:rFonts w:ascii="Arial" w:cs="Arial" w:eastAsia="Arial" w:hAnsi="Arial"/>
          <w:sz w:val="17"/>
          <w:szCs w:val="17"/>
          <w:color w:val="auto"/>
        </w:rPr>
        <w:t>account. Additionally, we make statutory contributions to retirement plans as required by local foreign government regulations. Our total contributions to the plan were $3.9 million, $3.3 million and $2.9 million for the years ended December 31, 2020, 2019, and 2018,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P – Related Party Transactions</w:t>
      </w:r>
    </w:p>
    <w:p>
      <w:pPr>
        <w:spacing w:after="0" w:line="121" w:lineRule="exact"/>
        <w:rPr>
          <w:sz w:val="20"/>
          <w:szCs w:val="20"/>
          <w:color w:val="auto"/>
        </w:rPr>
      </w:pPr>
    </w:p>
    <w:p>
      <w:pPr>
        <w:jc w:val="both"/>
        <w:ind w:right="120" w:firstLine="538"/>
        <w:spacing w:after="0" w:line="263" w:lineRule="auto"/>
        <w:rPr>
          <w:sz w:val="20"/>
          <w:szCs w:val="20"/>
          <w:color w:val="auto"/>
        </w:rPr>
      </w:pPr>
      <w:r>
        <w:rPr>
          <w:rFonts w:ascii="Arial" w:cs="Arial" w:eastAsia="Arial" w:hAnsi="Arial"/>
          <w:sz w:val="18"/>
          <w:szCs w:val="18"/>
          <w:color w:val="auto"/>
        </w:rPr>
        <w:t>SPS Commerce Foundation (the “Foundation”) is a Minnesota non-profit organization exempt from federal taxation under Section 501(c)(3) of the Internal Revenue Code. The Foundation was formed in 2015 to engage in, advance, support, promote and administer charitable activities. The directors of the Foundation are also our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05740"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5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65</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right="200"/>
        <w:spacing w:after="0" w:line="264" w:lineRule="auto"/>
        <w:rPr>
          <w:sz w:val="20"/>
          <w:szCs w:val="20"/>
          <w:color w:val="auto"/>
        </w:rPr>
      </w:pPr>
      <w:r>
        <w:rPr>
          <w:rFonts w:ascii="Arial" w:cs="Arial" w:eastAsia="Arial" w:hAnsi="Arial"/>
          <w:sz w:val="18"/>
          <w:szCs w:val="18"/>
          <w:color w:val="auto"/>
        </w:rPr>
        <w:t>These officers receive no compensation from the Foundation for the management services performed for the Foundation. The Foundation is not a subsidiary of ours and the financial results of the Foundation are not consolidated with our financial statements. For the years ended December 31, 2020, 2019, and 2018, we made contributions to the Foundation of $1.8 million, less than $0.1 million, and $0.7 million, respectively. We have no current legal obligations for future commitments to the Foundation.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Q – Geographic Information</w:t>
      </w:r>
    </w:p>
    <w:p>
      <w:pPr>
        <w:spacing w:after="0" w:line="121" w:lineRule="exact"/>
        <w:rPr>
          <w:sz w:val="20"/>
          <w:szCs w:val="20"/>
          <w:color w:val="auto"/>
        </w:rPr>
      </w:pPr>
    </w:p>
    <w:p>
      <w:pPr>
        <w:ind w:right="360" w:firstLine="538"/>
        <w:spacing w:after="0" w:line="277" w:lineRule="auto"/>
        <w:rPr>
          <w:sz w:val="20"/>
          <w:szCs w:val="20"/>
          <w:color w:val="auto"/>
        </w:rPr>
      </w:pPr>
      <w:r>
        <w:rPr>
          <w:rFonts w:ascii="Arial" w:cs="Arial" w:eastAsia="Arial" w:hAnsi="Arial"/>
          <w:sz w:val="18"/>
          <w:szCs w:val="18"/>
          <w:color w:val="auto"/>
        </w:rPr>
        <w:t>For the years ended December 31, 2020, 2019, and 2018, 85%, 85%, and 83%, respectively, of our revenue was attributable to customers based within the United States. No single jurisdiction outside of the U.S. had revenues in excess of 10%.</w:t>
      </w:r>
    </w:p>
    <w:p>
      <w:pPr>
        <w:spacing w:after="0" w:line="62" w:lineRule="exact"/>
        <w:rPr>
          <w:sz w:val="20"/>
          <w:szCs w:val="20"/>
          <w:color w:val="auto"/>
        </w:rPr>
      </w:pPr>
    </w:p>
    <w:p>
      <w:pPr>
        <w:ind w:firstLine="538"/>
        <w:spacing w:after="0" w:line="277" w:lineRule="auto"/>
        <w:rPr>
          <w:sz w:val="20"/>
          <w:szCs w:val="20"/>
          <w:color w:val="auto"/>
        </w:rPr>
      </w:pPr>
      <w:r>
        <w:rPr>
          <w:rFonts w:ascii="Arial" w:cs="Arial" w:eastAsia="Arial" w:hAnsi="Arial"/>
          <w:sz w:val="18"/>
          <w:szCs w:val="18"/>
          <w:color w:val="auto"/>
        </w:rPr>
        <w:t>At December 31, 2020 and 2019, 15% and 8%, respectively, of property and equipment, net was located at subsidiary and office locations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66</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spacing w:after="0"/>
        <w:tabs>
          <w:tab w:leader="none" w:pos="1060" w:val="left"/>
        </w:tabs>
        <w:rPr>
          <w:sz w:val="20"/>
          <w:szCs w:val="20"/>
          <w:color w:val="auto"/>
        </w:rPr>
      </w:pPr>
      <w:r>
        <w:rPr>
          <w:rFonts w:ascii="Arial" w:cs="Arial" w:eastAsia="Arial" w:hAnsi="Arial"/>
          <w:sz w:val="18"/>
          <w:szCs w:val="18"/>
          <w:b w:val="1"/>
          <w:bCs w:val="1"/>
          <w:color w:val="00AAE5"/>
        </w:rPr>
        <w:t>Item 9.</w:t>
      </w:r>
      <w:r>
        <w:rPr>
          <w:sz w:val="20"/>
          <w:szCs w:val="20"/>
          <w:color w:val="auto"/>
        </w:rPr>
        <w:tab/>
      </w:r>
      <w:r>
        <w:rPr>
          <w:rFonts w:ascii="Arial" w:cs="Arial" w:eastAsia="Arial" w:hAnsi="Arial"/>
          <w:sz w:val="15"/>
          <w:szCs w:val="15"/>
          <w:b w:val="1"/>
          <w:bCs w:val="1"/>
          <w:color w:val="00AAE5"/>
        </w:rPr>
        <w:t>Changes in and Disagreements with Accountants on Accounting and Financial Disclosure</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9A.</w:t>
      </w:r>
      <w:r>
        <w:rPr>
          <w:sz w:val="20"/>
          <w:szCs w:val="20"/>
          <w:color w:val="auto"/>
        </w:rPr>
        <w:tab/>
      </w:r>
      <w:r>
        <w:rPr>
          <w:rFonts w:ascii="Arial" w:cs="Arial" w:eastAsia="Arial" w:hAnsi="Arial"/>
          <w:sz w:val="15"/>
          <w:szCs w:val="15"/>
          <w:b w:val="1"/>
          <w:bCs w:val="1"/>
          <w:color w:val="00AAE5"/>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38"/>
        <w:spacing w:after="0" w:line="290" w:lineRule="auto"/>
        <w:rPr>
          <w:sz w:val="20"/>
          <w:szCs w:val="20"/>
          <w:color w:val="auto"/>
        </w:rPr>
      </w:pPr>
      <w:r>
        <w:rPr>
          <w:rFonts w:ascii="Arial" w:cs="Arial" w:eastAsia="Arial" w:hAnsi="Arial"/>
          <w:sz w:val="16"/>
          <w:szCs w:val="16"/>
          <w:color w:val="auto"/>
        </w:rPr>
        <w:t>We evaluated the effectiveness of the design and operation of our disclosure controls and procedures as of December 31, 2020, the end of the period covered by this Annual Report on Form 10-K. This evaluation was done under the supervision and with the participation of management, including our Chief Executive Officer (“CEO”) and Chief Financial Officer (“CFO”). Disclosure controls and procedures means controls and other procedures that are designed to provide reasonable assurance that information required to be disclosed in the reports that we file or submit under Exchange Act, such as this Annual Report on Form 10-K, is recorded, processed, summarized and reported within the time periods specified in the rules and forms of the SEC. Disclosure controls and procedures include, without limitation, controls and procedures designed such that information is accumulated and communicated to our management, including our CEO and CFO, as appropriate to allow timely decisions regarding required disclosure. Based on this evaluation, our CEO and CFO have concluded that as of December 31, 2020, our disclosure controls and procedures were effective.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60" w:firstLine="53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80" w:lineRule="exact"/>
        <w:rPr>
          <w:sz w:val="20"/>
          <w:szCs w:val="20"/>
          <w:color w:val="auto"/>
        </w:rPr>
      </w:pPr>
    </w:p>
    <w:p>
      <w:pPr>
        <w:ind w:left="1060" w:hanging="526"/>
        <w:spacing w:after="0"/>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53" w:lineRule="exact"/>
        <w:rPr>
          <w:rFonts w:ascii="Arial" w:cs="Arial" w:eastAsia="Arial" w:hAnsi="Arial"/>
          <w:sz w:val="16"/>
          <w:szCs w:val="16"/>
          <w:color w:val="auto"/>
        </w:rPr>
      </w:pPr>
    </w:p>
    <w:p>
      <w:pPr>
        <w:ind w:left="1060" w:right="140" w:hanging="526"/>
        <w:spacing w:after="0" w:line="342"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1060" w:right="40" w:hanging="52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62" w:lineRule="exact"/>
        <w:rPr>
          <w:sz w:val="20"/>
          <w:szCs w:val="20"/>
          <w:color w:val="auto"/>
        </w:rPr>
      </w:pPr>
    </w:p>
    <w:p>
      <w:pPr>
        <w:ind w:firstLine="53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jc w:val="both"/>
        <w:ind w:right="120" w:firstLine="538"/>
        <w:spacing w:after="0" w:line="286" w:lineRule="auto"/>
        <w:rPr>
          <w:sz w:val="20"/>
          <w:szCs w:val="20"/>
          <w:color w:val="auto"/>
        </w:rPr>
      </w:pPr>
      <w:r>
        <w:rPr>
          <w:rFonts w:ascii="Arial" w:cs="Arial" w:eastAsia="Arial" w:hAnsi="Arial"/>
          <w:sz w:val="17"/>
          <w:szCs w:val="17"/>
          <w:color w:val="auto"/>
        </w:rPr>
        <w:t xml:space="preserve">Under the supervision and with the participation of management, including our principal executive and financial officers, we assessed our internal control over financial reporting as of December 31, 2020, based on criteria for effective internal control over financial reporting established in the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w:t>
      </w:r>
    </w:p>
    <w:p>
      <w:pPr>
        <w:spacing w:after="0" w:line="57" w:lineRule="exact"/>
        <w:rPr>
          <w:sz w:val="20"/>
          <w:szCs w:val="20"/>
          <w:color w:val="auto"/>
        </w:rPr>
      </w:pPr>
    </w:p>
    <w:p>
      <w:pPr>
        <w:ind w:right="260" w:firstLine="538"/>
        <w:spacing w:after="0" w:line="277" w:lineRule="auto"/>
        <w:rPr>
          <w:sz w:val="20"/>
          <w:szCs w:val="20"/>
          <w:color w:val="auto"/>
        </w:rPr>
      </w:pPr>
      <w:r>
        <w:rPr>
          <w:rFonts w:ascii="Arial" w:cs="Arial" w:eastAsia="Arial" w:hAnsi="Arial"/>
          <w:sz w:val="18"/>
          <w:szCs w:val="18"/>
          <w:color w:val="auto"/>
        </w:rPr>
        <w:t>Based on this assessment, management concluded that we maintained effective internal control over financial reporting as of December 31, 2020 based on the specified criteria.</w:t>
      </w:r>
    </w:p>
    <w:p>
      <w:pPr>
        <w:spacing w:after="0" w:line="62" w:lineRule="exact"/>
        <w:rPr>
          <w:sz w:val="20"/>
          <w:szCs w:val="20"/>
          <w:color w:val="auto"/>
        </w:rPr>
      </w:pPr>
    </w:p>
    <w:p>
      <w:pPr>
        <w:ind w:right="80" w:firstLine="538"/>
        <w:spacing w:after="0" w:line="293" w:lineRule="auto"/>
        <w:rPr>
          <w:sz w:val="20"/>
          <w:szCs w:val="20"/>
          <w:color w:val="auto"/>
        </w:rPr>
      </w:pPr>
      <w:r>
        <w:rPr>
          <w:rFonts w:ascii="Arial" w:cs="Arial" w:eastAsia="Arial" w:hAnsi="Arial"/>
          <w:sz w:val="16"/>
          <w:szCs w:val="16"/>
          <w:color w:val="auto"/>
        </w:rPr>
        <w:t>For the year ended December 31, 2020, management’s assessment of our internal control over financial reporting excluded the internal control over financial reporting of the Data Masons business, which was acquired on December 16, 2020. Pursuant to the SEC’s general guidance that an assessment of a recently acquired business may be omitted from our scope for a period not to exceed one year from the date of acquisition, the scope of our most recent assessment did not include Data Masons. Our assessment of the effectiveness of internal control over financial reporting as of December 31, 2021 will include Data Masons. As of and for the three and twelve months ended December 31, 2020, excluding net intangible assets and goodwill, Data Masons represented approximately 3% of our total consolidated assets and less than 1% of our consolidated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205740"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38"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67</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right="580" w:firstLine="538"/>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2020 has been audited by KPMG LLP, our independent registered public accounting firm, as stated in their report, which is included under Item 8 of this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380" w:firstLine="53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most recent fiscal quarter ended December 31, 2020 that have materially affected, or are reasonably likely to materially affect, our internal control over financial reporting.</w:t>
      </w:r>
    </w:p>
    <w:p>
      <w:pPr>
        <w:spacing w:after="0" w:line="2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9B.</w:t>
      </w:r>
      <w:r>
        <w:rPr>
          <w:sz w:val="20"/>
          <w:szCs w:val="20"/>
          <w:color w:val="auto"/>
        </w:rPr>
        <w:tab/>
      </w:r>
      <w:r>
        <w:rPr>
          <w:rFonts w:ascii="Arial" w:cs="Arial" w:eastAsia="Arial" w:hAnsi="Arial"/>
          <w:sz w:val="17"/>
          <w:szCs w:val="17"/>
          <w:b w:val="1"/>
          <w:bCs w:val="1"/>
          <w:color w:val="00AAE5"/>
        </w:rPr>
        <w:t>Other Information</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68</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8" w:name="page69"/>
    <w:bookmarkEnd w:id="68"/>
    <w:p>
      <w:pPr>
        <w:ind w:left="5260"/>
        <w:spacing w:after="0"/>
        <w:rPr>
          <w:sz w:val="20"/>
          <w:szCs w:val="20"/>
          <w:color w:val="auto"/>
        </w:rPr>
      </w:pPr>
      <w:r>
        <w:rPr>
          <w:rFonts w:ascii="Arial" w:cs="Arial" w:eastAsia="Arial" w:hAnsi="Arial"/>
          <w:sz w:val="18"/>
          <w:szCs w:val="18"/>
          <w:b w:val="1"/>
          <w:bCs w:val="1"/>
          <w:color w:val="00AAE5"/>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10.</w:t>
      </w:r>
      <w:r>
        <w:rPr>
          <w:sz w:val="20"/>
          <w:szCs w:val="20"/>
          <w:color w:val="auto"/>
        </w:rPr>
        <w:tab/>
      </w:r>
      <w:r>
        <w:rPr>
          <w:rFonts w:ascii="Arial" w:cs="Arial" w:eastAsia="Arial" w:hAnsi="Arial"/>
          <w:sz w:val="16"/>
          <w:szCs w:val="16"/>
          <w:b w:val="1"/>
          <w:bCs w:val="1"/>
          <w:color w:val="00AAE5"/>
        </w:rPr>
        <w:t>Directors, Executive Officers and Corporate Governance</w:t>
      </w:r>
    </w:p>
    <w:p>
      <w:pPr>
        <w:spacing w:after="0" w:line="121" w:lineRule="exact"/>
        <w:rPr>
          <w:sz w:val="20"/>
          <w:szCs w:val="20"/>
          <w:color w:val="auto"/>
        </w:rPr>
      </w:pPr>
    </w:p>
    <w:p>
      <w:pPr>
        <w:ind w:right="160" w:firstLine="538"/>
        <w:spacing w:after="0" w:line="259" w:lineRule="auto"/>
        <w:rPr>
          <w:sz w:val="20"/>
          <w:szCs w:val="20"/>
          <w:color w:val="auto"/>
        </w:rPr>
      </w:pPr>
      <w:r>
        <w:rPr>
          <w:rFonts w:ascii="Arial" w:cs="Arial" w:eastAsia="Arial" w:hAnsi="Arial"/>
          <w:sz w:val="18"/>
          <w:szCs w:val="18"/>
          <w:color w:val="auto"/>
        </w:rPr>
        <w:t>The information required by this item with respect to executive officers is contained in Item 1 of this Annual Report on Form 10-K under the heading “Information About our Executive Officers” and with respect to other information relating to our directors and executive officers will be set forth in the 2021 Proxy Statement under the caption “Item 1 – Election of Directors,” which will be filed no later than 120 days after the end of the fiscal year covered by this Annual Report on Form 10-K, and is incorporated herein by reference.</w:t>
      </w:r>
    </w:p>
    <w:p>
      <w:pPr>
        <w:spacing w:after="0" w:line="79" w:lineRule="exact"/>
        <w:rPr>
          <w:sz w:val="20"/>
          <w:szCs w:val="20"/>
          <w:color w:val="auto"/>
        </w:rPr>
      </w:pPr>
    </w:p>
    <w:p>
      <w:pPr>
        <w:ind w:right="100" w:firstLine="538"/>
        <w:spacing w:after="0" w:line="263" w:lineRule="auto"/>
        <w:rPr>
          <w:sz w:val="20"/>
          <w:szCs w:val="20"/>
          <w:color w:val="auto"/>
        </w:rPr>
      </w:pPr>
      <w:r>
        <w:rPr>
          <w:rFonts w:ascii="Arial" w:cs="Arial" w:eastAsia="Arial" w:hAnsi="Arial"/>
          <w:sz w:val="18"/>
          <w:szCs w:val="18"/>
          <w:color w:val="auto"/>
        </w:rPr>
        <w:t>The information required by this item under Item 407(c)(3) of Regulation S-K is incorporated herein by reference to the section titled “Information Regarding the Board of Directors and Corporate Governance—Procedures for Selecting and Nominating Director Candidates” of the 2021 Proxy Statement.</w:t>
      </w:r>
    </w:p>
    <w:p>
      <w:pPr>
        <w:spacing w:after="0" w:line="76" w:lineRule="exact"/>
        <w:rPr>
          <w:sz w:val="20"/>
          <w:szCs w:val="20"/>
          <w:color w:val="auto"/>
        </w:rPr>
      </w:pPr>
    </w:p>
    <w:p>
      <w:pPr>
        <w:ind w:right="60" w:firstLine="538"/>
        <w:spacing w:after="0" w:line="277" w:lineRule="auto"/>
        <w:rPr>
          <w:sz w:val="20"/>
          <w:szCs w:val="20"/>
          <w:color w:val="auto"/>
        </w:rPr>
      </w:pPr>
      <w:r>
        <w:rPr>
          <w:rFonts w:ascii="Arial" w:cs="Arial" w:eastAsia="Arial" w:hAnsi="Arial"/>
          <w:sz w:val="18"/>
          <w:szCs w:val="18"/>
          <w:color w:val="auto"/>
        </w:rPr>
        <w:t>The information required by this item under Item 407(d)(4) and (d)(5) of Regulation S-K is incorporated herein by reference to the section titled “Information Regarding the Board of Directors and Corporate Governance—Board Committees” of the 2021 Proxy Statement.</w:t>
      </w:r>
    </w:p>
    <w:p>
      <w:pPr>
        <w:spacing w:after="0" w:line="62" w:lineRule="exact"/>
        <w:rPr>
          <w:sz w:val="20"/>
          <w:szCs w:val="20"/>
          <w:color w:val="auto"/>
        </w:rPr>
      </w:pPr>
    </w:p>
    <w:p>
      <w:pPr>
        <w:jc w:val="both"/>
        <w:ind w:right="200" w:firstLine="538"/>
        <w:spacing w:after="0" w:line="286" w:lineRule="auto"/>
        <w:rPr>
          <w:sz w:val="20"/>
          <w:szCs w:val="20"/>
          <w:color w:val="auto"/>
        </w:rPr>
      </w:pPr>
      <w:r>
        <w:rPr>
          <w:rFonts w:ascii="Arial" w:cs="Arial" w:eastAsia="Arial" w:hAnsi="Arial"/>
          <w:sz w:val="17"/>
          <w:szCs w:val="17"/>
          <w:color w:val="auto"/>
        </w:rPr>
        <w:t xml:space="preserve">We have adopted a code of business conduct applicable to our directors, officers (including our principal executive officer and principal financial officer) and employees. The Code of Conduct is available on our website at </w:t>
      </w:r>
      <w:r>
        <w:rPr>
          <w:rFonts w:ascii="Arial" w:cs="Arial" w:eastAsia="Arial" w:hAnsi="Arial"/>
          <w:sz w:val="17"/>
          <w:szCs w:val="17"/>
          <w:i w:val="1"/>
          <w:iCs w:val="1"/>
          <w:color w:val="auto"/>
        </w:rPr>
        <w:t>www.spscommerce.com</w:t>
      </w:r>
      <w:r>
        <w:rPr>
          <w:rFonts w:ascii="Arial" w:cs="Arial" w:eastAsia="Arial" w:hAnsi="Arial"/>
          <w:sz w:val="17"/>
          <w:szCs w:val="17"/>
          <w:color w:val="auto"/>
        </w:rPr>
        <w:t xml:space="preserve"> under the Investor Relations section. We plan to post on our website at the address described above any future amendments or waivers of our Code of Conduct.</w:t>
      </w:r>
    </w:p>
    <w:p>
      <w:pPr>
        <w:spacing w:after="0" w:line="26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11.</w:t>
      </w:r>
      <w:r>
        <w:rPr>
          <w:sz w:val="20"/>
          <w:szCs w:val="20"/>
          <w:color w:val="auto"/>
        </w:rPr>
        <w:tab/>
      </w:r>
      <w:r>
        <w:rPr>
          <w:rFonts w:ascii="Arial" w:cs="Arial" w:eastAsia="Arial" w:hAnsi="Arial"/>
          <w:sz w:val="15"/>
          <w:szCs w:val="15"/>
          <w:b w:val="1"/>
          <w:bCs w:val="1"/>
          <w:color w:val="00AAE5"/>
        </w:rPr>
        <w:t>Executive Compensation</w:t>
      </w:r>
    </w:p>
    <w:p>
      <w:pPr>
        <w:spacing w:after="0" w:line="121" w:lineRule="exact"/>
        <w:rPr>
          <w:sz w:val="20"/>
          <w:szCs w:val="20"/>
          <w:color w:val="auto"/>
        </w:rPr>
      </w:pPr>
    </w:p>
    <w:p>
      <w:pPr>
        <w:ind w:right="100" w:firstLine="538"/>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sections titled “Executive Compensation,” “Information Regarding the Board of Directors and Corporate Governance—Director Compensation” and “Certain Relationships and Related Transactions—Compensation Committee Interlocks and Insider Participation” of the 2021 Proxy Statement.</w:t>
      </w:r>
    </w:p>
    <w:p>
      <w:pPr>
        <w:spacing w:after="0" w:line="2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12.</w:t>
      </w:r>
      <w:r>
        <w:rPr>
          <w:sz w:val="20"/>
          <w:szCs w:val="20"/>
          <w:color w:val="auto"/>
        </w:rPr>
        <w:tab/>
      </w:r>
      <w:r>
        <w:rPr>
          <w:rFonts w:ascii="Arial" w:cs="Arial" w:eastAsia="Arial" w:hAnsi="Arial"/>
          <w:sz w:val="16"/>
          <w:szCs w:val="16"/>
          <w:b w:val="1"/>
          <w:bCs w:val="1"/>
          <w:color w:val="00AAE5"/>
        </w:rPr>
        <w:t>Security Ownership of Certain Beneficial Owners and Management and Related Stockholder Matters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information required by this item is incorporated herein by reference to the section titled “Security Ownership” of the 2021 Proxy Statement.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71" w:lineRule="exact"/>
        <w:rPr>
          <w:sz w:val="20"/>
          <w:szCs w:val="20"/>
          <w:color w:val="auto"/>
        </w:rPr>
      </w:pPr>
    </w:p>
    <w:p>
      <w:pPr>
        <w:ind w:right="140" w:firstLine="538"/>
        <w:spacing w:after="0" w:line="311" w:lineRule="auto"/>
        <w:rPr>
          <w:sz w:val="20"/>
          <w:szCs w:val="20"/>
          <w:color w:val="auto"/>
        </w:rPr>
      </w:pPr>
      <w:r>
        <w:rPr>
          <w:rFonts w:ascii="Arial" w:cs="Arial" w:eastAsia="Arial" w:hAnsi="Arial"/>
          <w:sz w:val="16"/>
          <w:szCs w:val="16"/>
          <w:color w:val="auto"/>
        </w:rPr>
        <w:t>The following table summarizes the number of shares of our common stock to be issued upon exercise of outstanding stock options and settlement of restricted stock unit awards granted under our equity plans as of December 31, 2020. The table also includes the weighted-average exercise price of outstanding stock options and the number of shares of our common stock remaining available for future issuance under the plans for all awards.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Number of shares</w:t>
            </w:r>
          </w:p>
        </w:tc>
        <w:tc>
          <w:tcPr>
            <w:tcW w:w="2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2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(excluding shares</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and rights</w:t>
            </w:r>
          </w:p>
        </w:tc>
        <w:tc>
          <w:tcPr>
            <w:tcW w:w="2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and rights</w:t>
            </w:r>
          </w:p>
        </w:tc>
        <w:tc>
          <w:tcPr>
            <w:tcW w:w="2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 first column)</w:t>
            </w:r>
          </w:p>
        </w:tc>
        <w:tc>
          <w:tcPr>
            <w:tcW w:w="0" w:type="dxa"/>
            <w:vAlign w:val="bottom"/>
          </w:tcPr>
          <w:p>
            <w:pPr>
              <w:spacing w:after="0"/>
              <w:rPr>
                <w:sz w:val="1"/>
                <w:szCs w:val="1"/>
                <w:color w:val="auto"/>
              </w:rPr>
            </w:pPr>
          </w:p>
        </w:tc>
      </w:tr>
      <w:tr>
        <w:trPr>
          <w:trHeight w:val="209"/>
        </w:trPr>
        <w:tc>
          <w:tcPr>
            <w:tcW w:w="4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w:t>
            </w:r>
          </w:p>
        </w:tc>
        <w:tc>
          <w:tcPr>
            <w:tcW w:w="180" w:type="dxa"/>
            <w:vAlign w:val="bottom"/>
            <w:tcBorders>
              <w:top w:val="single" w:sz="8" w:color="CFF0FC"/>
            </w:tcBorders>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approved by stockholders(1)(2)</w:t>
            </w:r>
          </w:p>
        </w:tc>
        <w:tc>
          <w:tcPr>
            <w:tcW w:w="2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1,819,750  (3)</w:t>
            </w:r>
          </w:p>
        </w:tc>
        <w:tc>
          <w:tcPr>
            <w:tcW w:w="2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36.71  (4)</w:t>
            </w:r>
          </w:p>
        </w:tc>
        <w:tc>
          <w:tcPr>
            <w:tcW w:w="2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15,757,726  (5)</w:t>
            </w:r>
          </w:p>
        </w:tc>
        <w:tc>
          <w:tcPr>
            <w:tcW w:w="0" w:type="dxa"/>
            <w:vAlign w:val="bottom"/>
          </w:tcPr>
          <w:p>
            <w:pPr>
              <w:spacing w:after="0"/>
              <w:rPr>
                <w:sz w:val="1"/>
                <w:szCs w:val="1"/>
                <w:color w:val="auto"/>
              </w:rPr>
            </w:pPr>
          </w:p>
        </w:tc>
      </w:tr>
      <w:tr>
        <w:trPr>
          <w:trHeight w:val="215"/>
        </w:trPr>
        <w:tc>
          <w:tcPr>
            <w:tcW w:w="450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40"/>
              <w:spacing w:after="0"/>
              <w:rPr>
                <w:sz w:val="20"/>
                <w:szCs w:val="20"/>
                <w:color w:val="auto"/>
              </w:rPr>
            </w:pPr>
            <w:r>
              <w:rPr>
                <w:rFonts w:ascii="Arial" w:cs="Arial" w:eastAsia="Arial" w:hAnsi="Arial"/>
                <w:sz w:val="18"/>
                <w:szCs w:val="18"/>
                <w:color w:val="auto"/>
              </w:rPr>
              <w:t>approved by stockholders</w:t>
            </w:r>
          </w:p>
        </w:tc>
        <w:tc>
          <w:tcPr>
            <w:tcW w:w="2240" w:type="dxa"/>
            <w:vAlign w:val="bottom"/>
            <w:gridSpan w:val="2"/>
          </w:tcPr>
          <w:p>
            <w:pPr>
              <w:jc w:val="center"/>
              <w:ind w:left="964"/>
              <w:spacing w:after="0"/>
              <w:rPr>
                <w:sz w:val="20"/>
                <w:szCs w:val="20"/>
                <w:color w:val="auto"/>
              </w:rPr>
            </w:pPr>
            <w:r>
              <w:rPr>
                <w:rFonts w:ascii="Arial" w:cs="Arial" w:eastAsia="Arial" w:hAnsi="Arial"/>
                <w:sz w:val="18"/>
                <w:szCs w:val="18"/>
                <w:color w:val="auto"/>
                <w:w w:val="92"/>
              </w:rPr>
              <w:t>None</w:t>
            </w:r>
          </w:p>
        </w:tc>
        <w:tc>
          <w:tcPr>
            <w:tcW w:w="224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2260" w:type="dxa"/>
            <w:vAlign w:val="bottom"/>
            <w:gridSpan w:val="2"/>
          </w:tcPr>
          <w:p>
            <w:pPr>
              <w:jc w:val="right"/>
              <w:ind w:right="4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2001 Stock Option Plan, the 2010 Equity Incentive Plan and the Employee Stock Purchase Plan.</w:t>
      </w:r>
    </w:p>
    <w:p>
      <w:pPr>
        <w:spacing w:after="0" w:line="117" w:lineRule="exact"/>
        <w:rPr>
          <w:rFonts w:ascii="Arial" w:cs="Arial" w:eastAsia="Arial" w:hAnsi="Arial"/>
          <w:sz w:val="18"/>
          <w:szCs w:val="18"/>
          <w:color w:val="auto"/>
        </w:rPr>
      </w:pPr>
    </w:p>
    <w:p>
      <w:pPr>
        <w:ind w:left="400" w:right="280" w:hanging="392"/>
        <w:spacing w:after="0" w:line="277" w:lineRule="auto"/>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2010 Equity Incentive Plan contains an “evergreen” provision, pursuant to which the number of shares of common stock reserved for issuance under the 2010 Equity Incentive Plan shall be increased on January 1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69</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ind w:left="400" w:right="80"/>
        <w:spacing w:after="0" w:line="286" w:lineRule="auto"/>
        <w:rPr>
          <w:sz w:val="20"/>
          <w:szCs w:val="20"/>
          <w:color w:val="auto"/>
        </w:rPr>
      </w:pPr>
      <w:r>
        <w:rPr>
          <w:rFonts w:ascii="Arial" w:cs="Arial" w:eastAsia="Arial" w:hAnsi="Arial"/>
          <w:sz w:val="17"/>
          <w:szCs w:val="17"/>
          <w:color w:val="auto"/>
        </w:rPr>
        <w:t>each year beginning in 2011 and ending on January 1, 2020 in an amount equal to the lesser of 6% of the total number of our shares outstanding as of December 31 of the immediately preceding calendar year or a number of shares determined by our board of directors; provided, however, no more than 2,403,000 shares of our common stock may be issued upon the exercise of incentive stock options.</w:t>
      </w:r>
    </w:p>
    <w:p>
      <w:pPr>
        <w:spacing w:after="0" w:line="57"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944,886 shares subject to outstanding and unexercised stock options and 874,864 shares issuable in settlement of RSU and PSU awards.</w:t>
      </w:r>
    </w:p>
    <w:p>
      <w:pPr>
        <w:spacing w:after="0" w:line="140" w:lineRule="exact"/>
        <w:rPr>
          <w:rFonts w:ascii="Arial" w:cs="Arial" w:eastAsia="Arial" w:hAnsi="Arial"/>
          <w:sz w:val="16"/>
          <w:szCs w:val="16"/>
          <w:color w:val="auto"/>
        </w:rPr>
      </w:pPr>
    </w:p>
    <w:p>
      <w:pPr>
        <w:ind w:left="400" w:right="60" w:hanging="392"/>
        <w:spacing w:after="0" w:line="277"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weighted average exercise price reflects only the outstanding stock options, as the other forms of awards disclosed in this note entail the issuance of shares for the payment of no consideration.</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1,852,748 shares remaining available for future issuance under the Employee Stock Purchase Plan.</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13.</w:t>
      </w:r>
      <w:r>
        <w:rPr>
          <w:sz w:val="20"/>
          <w:szCs w:val="20"/>
          <w:color w:val="auto"/>
        </w:rPr>
        <w:tab/>
      </w:r>
      <w:r>
        <w:rPr>
          <w:rFonts w:ascii="Arial" w:cs="Arial" w:eastAsia="Arial" w:hAnsi="Arial"/>
          <w:sz w:val="16"/>
          <w:szCs w:val="16"/>
          <w:b w:val="1"/>
          <w:bCs w:val="1"/>
          <w:color w:val="00AAE5"/>
        </w:rPr>
        <w:t>Certain Relationships and Related Transactions, and Director Independence</w:t>
      </w:r>
    </w:p>
    <w:p>
      <w:pPr>
        <w:spacing w:after="0" w:line="121" w:lineRule="exact"/>
        <w:rPr>
          <w:sz w:val="20"/>
          <w:szCs w:val="20"/>
          <w:color w:val="auto"/>
        </w:rPr>
      </w:pPr>
    </w:p>
    <w:p>
      <w:pPr>
        <w:ind w:right="280" w:firstLine="538"/>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sections titled “Certain Relationships and Related Transactions,” and “Information Regarding the Board of Directors and Corporate Governance—Director Independence” of the 2021 Proxy Statement.</w:t>
      </w:r>
    </w:p>
    <w:p>
      <w:pPr>
        <w:spacing w:after="0" w:line="2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14.</w:t>
      </w:r>
      <w:r>
        <w:rPr>
          <w:sz w:val="20"/>
          <w:szCs w:val="20"/>
          <w:color w:val="auto"/>
        </w:rPr>
        <w:tab/>
      </w:r>
      <w:r>
        <w:rPr>
          <w:rFonts w:ascii="Arial" w:cs="Arial" w:eastAsia="Arial" w:hAnsi="Arial"/>
          <w:sz w:val="15"/>
          <w:szCs w:val="15"/>
          <w:b w:val="1"/>
          <w:bCs w:val="1"/>
          <w:color w:val="00AAE5"/>
        </w:rPr>
        <w:t>Principal Accounting Fees and Services</w:t>
      </w:r>
    </w:p>
    <w:p>
      <w:pPr>
        <w:spacing w:after="0" w:line="121" w:lineRule="exact"/>
        <w:rPr>
          <w:sz w:val="20"/>
          <w:szCs w:val="20"/>
          <w:color w:val="auto"/>
        </w:rPr>
      </w:pPr>
    </w:p>
    <w:p>
      <w:pPr>
        <w:ind w:right="40" w:firstLine="53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titled “Audit Committee Report and Payment of Fees to Our Independent Auditor” of the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5740"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4"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70</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00AAE5"/>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15.</w:t>
      </w:r>
      <w:r>
        <w:rPr>
          <w:sz w:val="20"/>
          <w:szCs w:val="20"/>
          <w:color w:val="auto"/>
        </w:rPr>
        <w:tab/>
      </w:r>
      <w:r>
        <w:rPr>
          <w:rFonts w:ascii="Arial" w:cs="Arial" w:eastAsia="Arial" w:hAnsi="Arial"/>
          <w:sz w:val="16"/>
          <w:szCs w:val="16"/>
          <w:b w:val="1"/>
          <w:bCs w:val="1"/>
          <w:color w:val="00AAE5"/>
        </w:rPr>
        <w:t>Exhibits, Financial Statement Schedules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17" w:lineRule="exact"/>
        <w:rPr>
          <w:sz w:val="20"/>
          <w:szCs w:val="20"/>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Statements: The financial statements filed as a part of this report are listed in Part II, Item 8.</w:t>
      </w:r>
    </w:p>
    <w:p>
      <w:pPr>
        <w:spacing w:after="0" w:line="117" w:lineRule="exact"/>
        <w:rPr>
          <w:rFonts w:ascii="Arial" w:cs="Arial" w:eastAsia="Arial" w:hAnsi="Arial"/>
          <w:sz w:val="18"/>
          <w:szCs w:val="18"/>
          <w:color w:val="auto"/>
        </w:rPr>
      </w:pPr>
    </w:p>
    <w:p>
      <w:pPr>
        <w:ind w:left="1060" w:right="100" w:hanging="52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 Schedules: The schedules are either not applicable or the required information is presented in the consolidated financial statements or notes thereto.</w:t>
      </w:r>
    </w:p>
    <w:p>
      <w:pPr>
        <w:spacing w:after="0" w:line="62" w:lineRule="exact"/>
        <w:rPr>
          <w:rFonts w:ascii="Arial" w:cs="Arial" w:eastAsia="Arial" w:hAnsi="Arial"/>
          <w:sz w:val="18"/>
          <w:szCs w:val="18"/>
          <w:color w:val="auto"/>
        </w:rPr>
      </w:pPr>
    </w:p>
    <w:p>
      <w:pPr>
        <w:ind w:left="1060" w:right="40" w:hanging="52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 The exhibits incorporated by reference or filed as a part of this Annual Report on Form 10-K are listed in the Exhibit Index prior to the signatures to this report.</w:t>
      </w:r>
    </w:p>
    <w:p>
      <w:pPr>
        <w:spacing w:after="0" w:line="2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00AAE5"/>
        </w:rPr>
        <w:t>Item 16.</w:t>
      </w:r>
      <w:r>
        <w:rPr>
          <w:sz w:val="20"/>
          <w:szCs w:val="20"/>
          <w:color w:val="auto"/>
        </w:rPr>
        <w:tab/>
      </w:r>
      <w:r>
        <w:rPr>
          <w:rFonts w:ascii="Arial" w:cs="Arial" w:eastAsia="Arial" w:hAnsi="Arial"/>
          <w:sz w:val="16"/>
          <w:szCs w:val="16"/>
          <w:b w:val="1"/>
          <w:bCs w:val="1"/>
          <w:color w:val="00AAE5"/>
        </w:rPr>
        <w:t>Form 10-K Summary</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05740"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71</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00AAE5"/>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i w:val="1"/>
                <w:iCs w:val="1"/>
                <w:color w:val="auto"/>
              </w:rPr>
              <w:t>Incorporated By Reference</w:t>
            </w:r>
          </w:p>
        </w:tc>
        <w:tc>
          <w:tcPr>
            <w:tcW w:w="60" w:type="dxa"/>
            <w:vAlign w:val="bottom"/>
            <w:tcBorders>
              <w:bottom w:val="single" w:sz="8" w:color="auto"/>
            </w:tcBorders>
          </w:tcPr>
          <w:p>
            <w:pPr>
              <w:spacing w:after="0"/>
              <w:rPr>
                <w:sz w:val="14"/>
                <w:szCs w:val="14"/>
                <w:color w:val="auto"/>
              </w:rPr>
            </w:pPr>
          </w:p>
        </w:tc>
        <w:tc>
          <w:tcPr>
            <w:tcW w:w="1420" w:type="dxa"/>
            <w:vAlign w:val="bottom"/>
          </w:tcPr>
          <w:p>
            <w:pPr>
              <w:spacing w:after="0"/>
              <w:rPr>
                <w:sz w:val="14"/>
                <w:szCs w:val="14"/>
                <w:color w:val="auto"/>
              </w:rPr>
            </w:pPr>
          </w:p>
        </w:tc>
      </w:tr>
      <w:tr>
        <w:trPr>
          <w:trHeight w:val="123"/>
        </w:trPr>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left="188"/>
              <w:spacing w:after="0" w:line="123" w:lineRule="exact"/>
              <w:rPr>
                <w:sz w:val="20"/>
                <w:szCs w:val="20"/>
                <w:color w:val="auto"/>
              </w:rPr>
            </w:pPr>
            <w:r>
              <w:rPr>
                <w:rFonts w:ascii="Arial" w:cs="Arial" w:eastAsia="Arial" w:hAnsi="Arial"/>
                <w:sz w:val="14"/>
                <w:szCs w:val="14"/>
                <w:b w:val="1"/>
                <w:bCs w:val="1"/>
                <w:i w:val="1"/>
                <w:iCs w:val="1"/>
                <w:color w:val="auto"/>
                <w:w w:val="92"/>
              </w:rPr>
              <w:t>Date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48"/>
        </w:trPr>
        <w:tc>
          <w:tcPr>
            <w:tcW w:w="1280" w:type="dxa"/>
            <w:vAlign w:val="bottom"/>
          </w:tcPr>
          <w:p>
            <w:pPr>
              <w:ind w:left="420"/>
              <w:spacing w:after="0" w:line="149" w:lineRule="exact"/>
              <w:rPr>
                <w:sz w:val="20"/>
                <w:szCs w:val="20"/>
                <w:color w:val="auto"/>
              </w:rPr>
            </w:pPr>
            <w:r>
              <w:rPr>
                <w:rFonts w:ascii="Arial" w:cs="Arial" w:eastAsia="Arial" w:hAnsi="Arial"/>
                <w:sz w:val="14"/>
                <w:szCs w:val="14"/>
                <w:b w:val="1"/>
                <w:bCs w:val="1"/>
                <w:i w:val="1"/>
                <w:iCs w:val="1"/>
                <w:color w:val="auto"/>
              </w:rPr>
              <w:t>Exhibit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188"/>
              <w:spacing w:after="0" w:line="149" w:lineRule="exact"/>
              <w:rPr>
                <w:sz w:val="20"/>
                <w:szCs w:val="20"/>
                <w:color w:val="auto"/>
              </w:rPr>
            </w:pPr>
            <w:r>
              <w:rPr>
                <w:rFonts w:ascii="Arial" w:cs="Arial" w:eastAsia="Arial" w:hAnsi="Arial"/>
                <w:sz w:val="14"/>
                <w:szCs w:val="14"/>
                <w:b w:val="1"/>
                <w:bCs w:val="1"/>
                <w:i w:val="1"/>
                <w:iCs w:val="1"/>
                <w:color w:val="auto"/>
                <w:w w:val="92"/>
              </w:rPr>
              <w:t>First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4"/>
              </w:rPr>
              <w:t>Exhibit</w:t>
            </w:r>
          </w:p>
        </w:tc>
        <w:tc>
          <w:tcPr>
            <w:tcW w:w="60" w:type="dxa"/>
            <w:vAlign w:val="bottom"/>
          </w:tcPr>
          <w:p>
            <w:pPr>
              <w:spacing w:after="0"/>
              <w:rPr>
                <w:sz w:val="12"/>
                <w:szCs w:val="12"/>
                <w:color w:val="auto"/>
              </w:rPr>
            </w:pPr>
          </w:p>
        </w:tc>
        <w:tc>
          <w:tcPr>
            <w:tcW w:w="1420" w:type="dxa"/>
            <w:vAlign w:val="bottom"/>
          </w:tcPr>
          <w:p>
            <w:pPr>
              <w:jc w:val="center"/>
              <w:ind w:left="102"/>
              <w:spacing w:after="0" w:line="149" w:lineRule="exact"/>
              <w:rPr>
                <w:sz w:val="20"/>
                <w:szCs w:val="20"/>
                <w:color w:val="auto"/>
              </w:rPr>
            </w:pPr>
            <w:r>
              <w:rPr>
                <w:rFonts w:ascii="Arial" w:cs="Arial" w:eastAsia="Arial" w:hAnsi="Arial"/>
                <w:sz w:val="14"/>
                <w:szCs w:val="14"/>
                <w:b w:val="1"/>
                <w:bCs w:val="1"/>
                <w:i w:val="1"/>
                <w:iCs w:val="1"/>
                <w:color w:val="auto"/>
                <w:w w:val="97"/>
              </w:rPr>
              <w:t>Filed</w:t>
            </w:r>
          </w:p>
        </w:tc>
      </w:tr>
      <w:tr>
        <w:trPr>
          <w:trHeight w:val="167"/>
        </w:trPr>
        <w:tc>
          <w:tcPr>
            <w:tcW w:w="12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i w:val="1"/>
                <w:iCs w:val="1"/>
                <w:color w:val="auto"/>
              </w:rPr>
              <w:t>Number</w:t>
            </w: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13"/>
          </w:tcPr>
          <w:p>
            <w:pPr>
              <w:ind w:left="40"/>
              <w:spacing w:after="0"/>
              <w:rPr>
                <w:sz w:val="20"/>
                <w:szCs w:val="20"/>
                <w:color w:val="auto"/>
              </w:rPr>
            </w:pPr>
            <w:r>
              <w:rPr>
                <w:rFonts w:ascii="Arial" w:cs="Arial" w:eastAsia="Arial" w:hAnsi="Arial"/>
                <w:sz w:val="14"/>
                <w:szCs w:val="14"/>
                <w:b w:val="1"/>
                <w:bCs w:val="1"/>
                <w:i w:val="1"/>
                <w:iCs w:val="1"/>
                <w:color w:val="auto"/>
              </w:rPr>
              <w:t>Exhibit Description</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i w:val="1"/>
                <w:iCs w:val="1"/>
                <w:color w:val="auto"/>
              </w:rPr>
              <w:t>Form</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i w:val="1"/>
                <w:iCs w:val="1"/>
                <w:color w:val="auto"/>
                <w:w w:val="96"/>
              </w:rPr>
              <w:t>Filing</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4"/>
              </w:rPr>
              <w:t>Number</w:t>
            </w:r>
          </w:p>
        </w:tc>
        <w:tc>
          <w:tcPr>
            <w:tcW w:w="60" w:type="dxa"/>
            <w:vAlign w:val="bottom"/>
          </w:tcPr>
          <w:p>
            <w:pPr>
              <w:spacing w:after="0"/>
              <w:rPr>
                <w:sz w:val="14"/>
                <w:szCs w:val="14"/>
                <w:color w:val="auto"/>
              </w:rPr>
            </w:pPr>
          </w:p>
        </w:tc>
        <w:tc>
          <w:tcPr>
            <w:tcW w:w="1420" w:type="dxa"/>
            <w:vAlign w:val="bottom"/>
          </w:tcPr>
          <w:p>
            <w:pPr>
              <w:jc w:val="center"/>
              <w:ind w:left="102"/>
              <w:spacing w:after="0"/>
              <w:rPr>
                <w:sz w:val="20"/>
                <w:szCs w:val="20"/>
                <w:color w:val="auto"/>
              </w:rPr>
            </w:pPr>
            <w:r>
              <w:rPr>
                <w:rFonts w:ascii="Arial" w:cs="Arial" w:eastAsia="Arial" w:hAnsi="Arial"/>
                <w:sz w:val="14"/>
                <w:szCs w:val="14"/>
                <w:b w:val="1"/>
                <w:bCs w:val="1"/>
                <w:i w:val="1"/>
                <w:iCs w:val="1"/>
                <w:color w:val="auto"/>
                <w:w w:val="94"/>
              </w:rPr>
              <w:t>Herewith</w:t>
            </w:r>
          </w:p>
        </w:tc>
      </w:tr>
      <w:tr>
        <w:trPr>
          <w:trHeight w:val="290"/>
        </w:trPr>
        <w:tc>
          <w:tcPr>
            <w:tcW w:w="128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3520" w:type="dxa"/>
            <w:vAlign w:val="bottom"/>
            <w:tcBorders>
              <w:bottom w:val="single" w:sz="8" w:color="0000EE"/>
            </w:tcBorders>
            <w:gridSpan w:val="12"/>
          </w:tcPr>
          <w:p>
            <w:pPr>
              <w:spacing w:after="0"/>
              <w:rPr>
                <w:rFonts w:ascii="Arial" w:cs="Arial" w:eastAsia="Arial" w:hAnsi="Arial"/>
                <w:sz w:val="18"/>
                <w:szCs w:val="18"/>
                <w:color w:val="0000EE"/>
                <w:w w:val="89"/>
              </w:rPr>
            </w:pPr>
            <w:hyperlink r:id="rId162">
              <w:r>
                <w:rPr>
                  <w:rFonts w:ascii="Arial" w:cs="Arial" w:eastAsia="Arial" w:hAnsi="Arial"/>
                  <w:sz w:val="18"/>
                  <w:szCs w:val="18"/>
                  <w:color w:val="0000EE"/>
                  <w:w w:val="89"/>
                </w:rPr>
                <w:t>Membership Interest Purchase Agreement, dated</w:t>
              </w:r>
            </w:hyperlink>
          </w:p>
        </w:tc>
        <w:tc>
          <w:tcPr>
            <w:tcW w:w="48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12/17/2020</w:t>
            </w:r>
          </w:p>
        </w:tc>
        <w:tc>
          <w:tcPr>
            <w:tcW w:w="16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2.1</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62">
              <w:r>
                <w:rPr>
                  <w:rFonts w:ascii="Arial" w:cs="Arial" w:eastAsia="Arial" w:hAnsi="Arial"/>
                  <w:sz w:val="18"/>
                  <w:szCs w:val="18"/>
                  <w:color w:val="0000EE"/>
                  <w:w w:val="88"/>
                </w:rPr>
                <w:t>December 16, 2020</w:t>
              </w:r>
            </w:hyperlink>
          </w:p>
        </w:tc>
        <w:tc>
          <w:tcPr>
            <w:tcW w:w="2580" w:type="dxa"/>
            <w:vAlign w:val="bottom"/>
            <w:gridSpan w:val="14"/>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000" w:type="dxa"/>
            <w:vAlign w:val="bottom"/>
            <w:gridSpan w:val="17"/>
          </w:tcPr>
          <w:p>
            <w:pPr>
              <w:spacing w:after="0"/>
              <w:rPr>
                <w:rFonts w:ascii="Arial" w:cs="Arial" w:eastAsia="Arial" w:hAnsi="Arial"/>
                <w:sz w:val="18"/>
                <w:szCs w:val="18"/>
                <w:color w:val="0000EE"/>
              </w:rPr>
            </w:pPr>
            <w:hyperlink r:id="rId163">
              <w:r>
                <w:rPr>
                  <w:rFonts w:ascii="Arial" w:cs="Arial" w:eastAsia="Arial" w:hAnsi="Arial"/>
                  <w:sz w:val="18"/>
                  <w:szCs w:val="18"/>
                  <w:color w:val="0000EE"/>
                </w:rPr>
                <w:t>Ninth Amended and Restated Certificate of</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05/21/2020</w:t>
            </w:r>
          </w:p>
        </w:tc>
        <w:tc>
          <w:tcPr>
            <w:tcW w:w="16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Incorporation</w:t>
              </w:r>
            </w:hyperlink>
          </w:p>
        </w:tc>
        <w:tc>
          <w:tcPr>
            <w:tcW w:w="2140" w:type="dxa"/>
            <w:vAlign w:val="bottom"/>
            <w:tcBorders>
              <w:top w:val="single" w:sz="8" w:color="0000EE"/>
            </w:tcBorders>
            <w:gridSpan w:val="8"/>
          </w:tcPr>
          <w:p>
            <w:pPr>
              <w:spacing w:after="0"/>
              <w:rPr>
                <w:sz w:val="17"/>
                <w:szCs w:val="17"/>
                <w:color w:val="auto"/>
              </w:rPr>
            </w:pPr>
          </w:p>
        </w:tc>
        <w:tc>
          <w:tcPr>
            <w:tcW w:w="88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58"/>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000" w:type="dxa"/>
            <w:vAlign w:val="bottom"/>
            <w:gridSpan w:val="17"/>
          </w:tcPr>
          <w:p>
            <w:pPr>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Amended and Restated Bylaws</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10/17/2017</w:t>
            </w:r>
          </w:p>
        </w:tc>
        <w:tc>
          <w:tcPr>
            <w:tcW w:w="1680" w:type="dxa"/>
            <w:vAlign w:val="bottom"/>
            <w:gridSpan w:val="3"/>
          </w:tcPr>
          <w:p>
            <w:pPr>
              <w:jc w:val="center"/>
              <w:ind w:left="292"/>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8"/>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000" w:type="dxa"/>
            <w:vAlign w:val="bottom"/>
            <w:gridSpan w:val="17"/>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Description of Capital Stock</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X</w:t>
            </w:r>
          </w:p>
        </w:tc>
      </w:tr>
      <w:tr>
        <w:trPr>
          <w:trHeight w:val="338"/>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000" w:type="dxa"/>
            <w:vAlign w:val="bottom"/>
            <w:gridSpan w:val="17"/>
          </w:tcPr>
          <w:p>
            <w:pPr>
              <w:spacing w:after="0"/>
              <w:rPr>
                <w:rFonts w:ascii="Arial" w:cs="Arial" w:eastAsia="Arial" w:hAnsi="Arial"/>
                <w:sz w:val="18"/>
                <w:szCs w:val="18"/>
                <w:u w:val="single" w:color="auto"/>
                <w:color w:val="0000EE"/>
              </w:rPr>
            </w:pPr>
            <w:hyperlink r:id="rId165">
              <w:r>
                <w:rPr>
                  <w:rFonts w:ascii="Arial" w:cs="Arial" w:eastAsia="Arial" w:hAnsi="Arial"/>
                  <w:sz w:val="18"/>
                  <w:szCs w:val="18"/>
                  <w:u w:val="single" w:color="auto"/>
                  <w:color w:val="0000EE"/>
                </w:rPr>
                <w:t>2001 Stock Option Plan**</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01/11/2010</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10.3</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97"/>
        </w:trPr>
        <w:tc>
          <w:tcPr>
            <w:tcW w:w="128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4000" w:type="dxa"/>
            <w:vAlign w:val="bottom"/>
            <w:tcBorders>
              <w:bottom w:val="single" w:sz="8" w:color="0000EE"/>
            </w:tcBorders>
            <w:gridSpan w:val="17"/>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Form of Incentive Stock Option Agreement under 2001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01/11/2010</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10.4</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66">
              <w:r>
                <w:rPr>
                  <w:rFonts w:ascii="Arial" w:cs="Arial" w:eastAsia="Arial" w:hAnsi="Arial"/>
                  <w:sz w:val="18"/>
                  <w:szCs w:val="18"/>
                  <w:color w:val="0000EE"/>
                  <w:w w:val="93"/>
                </w:rPr>
                <w:t>Stock Option Plan**</w:t>
              </w:r>
            </w:hyperlink>
          </w:p>
        </w:tc>
        <w:tc>
          <w:tcPr>
            <w:tcW w:w="2500" w:type="dxa"/>
            <w:vAlign w:val="bottom"/>
            <w:gridSpan w:val="12"/>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4000" w:type="dxa"/>
            <w:vAlign w:val="bottom"/>
            <w:gridSpan w:val="17"/>
          </w:tcPr>
          <w:p>
            <w:pPr>
              <w:spacing w:after="0"/>
              <w:rPr>
                <w:rFonts w:ascii="Arial" w:cs="Arial" w:eastAsia="Arial" w:hAnsi="Arial"/>
                <w:sz w:val="18"/>
                <w:szCs w:val="18"/>
                <w:color w:val="0000EE"/>
              </w:rPr>
            </w:pPr>
            <w:hyperlink r:id="rId167">
              <w:r>
                <w:rPr>
                  <w:rFonts w:ascii="Arial" w:cs="Arial" w:eastAsia="Arial" w:hAnsi="Arial"/>
                  <w:sz w:val="18"/>
                  <w:szCs w:val="18"/>
                  <w:color w:val="0000EE"/>
                </w:rPr>
                <w:t>Form of Non-Statutory Stock Option Agreement</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01/11/2010</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10.5</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(Director) under 2001 Stock Option Plan**</w:t>
              </w:r>
            </w:hyperlink>
          </w:p>
        </w:tc>
        <w:tc>
          <w:tcPr>
            <w:tcW w:w="500" w:type="dxa"/>
            <w:vAlign w:val="bottom"/>
            <w:gridSpan w:val="6"/>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97"/>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4000" w:type="dxa"/>
            <w:vAlign w:val="bottom"/>
            <w:gridSpan w:val="17"/>
          </w:tcPr>
          <w:p>
            <w:pPr>
              <w:spacing w:after="0"/>
              <w:rPr>
                <w:rFonts w:ascii="Arial" w:cs="Arial" w:eastAsia="Arial" w:hAnsi="Arial"/>
                <w:sz w:val="18"/>
                <w:szCs w:val="18"/>
                <w:color w:val="0000EE"/>
              </w:rPr>
            </w:pPr>
            <w:hyperlink r:id="rId168">
              <w:r>
                <w:rPr>
                  <w:rFonts w:ascii="Arial" w:cs="Arial" w:eastAsia="Arial" w:hAnsi="Arial"/>
                  <w:sz w:val="18"/>
                  <w:szCs w:val="18"/>
                  <w:color w:val="0000EE"/>
                </w:rPr>
                <w:t>2010 Equity Incentive Plan, as amended effective</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10-K</w:t>
            </w: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02/20/2015</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10.6</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October 29, 2014**</w:t>
              </w:r>
            </w:hyperlink>
          </w:p>
        </w:tc>
        <w:tc>
          <w:tcPr>
            <w:tcW w:w="2120" w:type="dxa"/>
            <w:vAlign w:val="bottom"/>
            <w:tcBorders>
              <w:top w:val="single" w:sz="8" w:color="0000EE"/>
            </w:tcBorders>
            <w:gridSpan w:val="9"/>
          </w:tcPr>
          <w:p>
            <w:pPr>
              <w:spacing w:after="0"/>
              <w:rPr>
                <w:sz w:val="17"/>
                <w:szCs w:val="17"/>
                <w:color w:val="auto"/>
              </w:rPr>
            </w:pPr>
          </w:p>
        </w:tc>
        <w:tc>
          <w:tcPr>
            <w:tcW w:w="44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4000" w:type="dxa"/>
            <w:vAlign w:val="bottom"/>
            <w:tcBorders>
              <w:bottom w:val="single" w:sz="8" w:color="0000EE"/>
            </w:tcBorders>
            <w:gridSpan w:val="17"/>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Form of Incentive Stock Option Agreement under 2010</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02/17/2012</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r:id="rId169">
              <w:r>
                <w:rPr>
                  <w:rFonts w:ascii="Arial" w:cs="Arial" w:eastAsia="Arial" w:hAnsi="Arial"/>
                  <w:sz w:val="18"/>
                  <w:szCs w:val="18"/>
                  <w:color w:val="0000EE"/>
                  <w:w w:val="95"/>
                </w:rPr>
                <w:t>Equity Incentive Plan**</w:t>
              </w:r>
            </w:hyperlink>
          </w:p>
        </w:tc>
        <w:tc>
          <w:tcPr>
            <w:tcW w:w="2240" w:type="dxa"/>
            <w:vAlign w:val="bottom"/>
            <w:gridSpan w:val="9"/>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7"/>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4000" w:type="dxa"/>
            <w:vAlign w:val="bottom"/>
            <w:gridSpan w:val="17"/>
          </w:tcPr>
          <w:p>
            <w:pPr>
              <w:spacing w:after="0"/>
              <w:rPr>
                <w:rFonts w:ascii="Arial" w:cs="Arial" w:eastAsia="Arial" w:hAnsi="Arial"/>
                <w:sz w:val="18"/>
                <w:szCs w:val="18"/>
                <w:color w:val="0000EE"/>
              </w:rPr>
            </w:pPr>
            <w:hyperlink r:id="rId170">
              <w:r>
                <w:rPr>
                  <w:rFonts w:ascii="Arial" w:cs="Arial" w:eastAsia="Arial" w:hAnsi="Arial"/>
                  <w:sz w:val="18"/>
                  <w:szCs w:val="18"/>
                  <w:color w:val="0000EE"/>
                </w:rPr>
                <w:t>Form of Non-Statutory Stock Option Agreement</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02/17/2012</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10.3</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Borders>
              <w:top w:val="single" w:sz="8" w:color="0000EE"/>
            </w:tcBorders>
            <w:gridSpan w:val="11"/>
          </w:tcPr>
          <w:p>
            <w:pPr>
              <w:spacing w:after="0"/>
              <w:rPr>
                <w:rFonts w:ascii="Arial" w:cs="Arial" w:eastAsia="Arial" w:hAnsi="Arial"/>
                <w:sz w:val="18"/>
                <w:szCs w:val="18"/>
                <w:u w:val="single" w:color="auto"/>
                <w:color w:val="0000EE"/>
                <w:w w:val="92"/>
              </w:rPr>
            </w:pPr>
            <w:hyperlink r:id="rId170">
              <w:r>
                <w:rPr>
                  <w:rFonts w:ascii="Arial" w:cs="Arial" w:eastAsia="Arial" w:hAnsi="Arial"/>
                  <w:sz w:val="18"/>
                  <w:szCs w:val="18"/>
                  <w:u w:val="single" w:color="auto"/>
                  <w:color w:val="0000EE"/>
                  <w:w w:val="92"/>
                </w:rPr>
                <w:t>(Employee) under 2010 Equity Incentive Plan**</w:t>
              </w:r>
            </w:hyperlink>
          </w:p>
        </w:tc>
        <w:tc>
          <w:tcPr>
            <w:tcW w:w="500" w:type="dxa"/>
            <w:vAlign w:val="bottom"/>
            <w:gridSpan w:val="6"/>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97"/>
        </w:trPr>
        <w:tc>
          <w:tcPr>
            <w:tcW w:w="128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4000" w:type="dxa"/>
            <w:vAlign w:val="bottom"/>
            <w:gridSpan w:val="17"/>
          </w:tcPr>
          <w:p>
            <w:pPr>
              <w:spacing w:after="0"/>
              <w:rPr>
                <w:rFonts w:ascii="Arial" w:cs="Arial" w:eastAsia="Arial" w:hAnsi="Arial"/>
                <w:sz w:val="18"/>
                <w:szCs w:val="18"/>
                <w:color w:val="0000EE"/>
              </w:rPr>
            </w:pPr>
            <w:hyperlink r:id="rId171">
              <w:r>
                <w:rPr>
                  <w:rFonts w:ascii="Arial" w:cs="Arial" w:eastAsia="Arial" w:hAnsi="Arial"/>
                  <w:sz w:val="18"/>
                  <w:szCs w:val="18"/>
                  <w:color w:val="0000EE"/>
                </w:rPr>
                <w:t>Form of Non-Statutory Stock Option Agreement</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02/17/2012</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10.4</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Borders>
              <w:top w:val="single" w:sz="8" w:color="0000EE"/>
            </w:tcBorders>
            <w:gridSpan w:val="11"/>
          </w:tcPr>
          <w:p>
            <w:pPr>
              <w:spacing w:after="0"/>
              <w:rPr>
                <w:rFonts w:ascii="Arial" w:cs="Arial" w:eastAsia="Arial" w:hAnsi="Arial"/>
                <w:sz w:val="18"/>
                <w:szCs w:val="18"/>
                <w:u w:val="single" w:color="auto"/>
                <w:color w:val="0000EE"/>
                <w:w w:val="97"/>
              </w:rPr>
            </w:pPr>
            <w:hyperlink r:id="rId171">
              <w:r>
                <w:rPr>
                  <w:rFonts w:ascii="Arial" w:cs="Arial" w:eastAsia="Arial" w:hAnsi="Arial"/>
                  <w:sz w:val="18"/>
                  <w:szCs w:val="18"/>
                  <w:u w:val="single" w:color="auto"/>
                  <w:color w:val="0000EE"/>
                  <w:w w:val="97"/>
                </w:rPr>
                <w:t>(Director) under 2010 Equity Incentive Plan**</w:t>
              </w:r>
            </w:hyperlink>
          </w:p>
        </w:tc>
        <w:tc>
          <w:tcPr>
            <w:tcW w:w="500" w:type="dxa"/>
            <w:vAlign w:val="bottom"/>
            <w:gridSpan w:val="6"/>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97"/>
        </w:trPr>
        <w:tc>
          <w:tcPr>
            <w:tcW w:w="128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4000" w:type="dxa"/>
            <w:vAlign w:val="bottom"/>
            <w:tcBorders>
              <w:bottom w:val="single" w:sz="8" w:color="0000EE"/>
            </w:tcBorders>
            <w:gridSpan w:val="17"/>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Form of Restricted Stock Unit Award Agreement under</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02/15/2017</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99.2</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2010 Equity Incentive Plan**</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4260" w:type="dxa"/>
            <w:vAlign w:val="bottom"/>
            <w:gridSpan w:val="21"/>
          </w:tcPr>
          <w:p>
            <w:pPr>
              <w:spacing w:after="0"/>
              <w:rPr>
                <w:rFonts w:ascii="Arial" w:cs="Arial" w:eastAsia="Arial" w:hAnsi="Arial"/>
                <w:sz w:val="18"/>
                <w:szCs w:val="18"/>
                <w:color w:val="0000EE"/>
                <w:w w:val="95"/>
              </w:rPr>
            </w:pPr>
            <w:hyperlink r:id="rId173">
              <w:r>
                <w:rPr>
                  <w:rFonts w:ascii="Arial" w:cs="Arial" w:eastAsia="Arial" w:hAnsi="Arial"/>
                  <w:sz w:val="18"/>
                  <w:szCs w:val="18"/>
                  <w:color w:val="0000EE"/>
                  <w:w w:val="95"/>
                </w:rPr>
                <w:t>Form of Restricted Stock Award Agreement under 2010</w:t>
              </w:r>
            </w:hyperlink>
          </w:p>
        </w:tc>
        <w:tc>
          <w:tcPr>
            <w:tcW w:w="1280" w:type="dxa"/>
            <w:vAlign w:val="bottom"/>
          </w:tcPr>
          <w:p>
            <w:pPr>
              <w:spacing w:after="0"/>
              <w:rPr>
                <w:sz w:val="20"/>
                <w:szCs w:val="20"/>
                <w:color w:val="auto"/>
              </w:rPr>
            </w:pPr>
            <w:r>
              <w:rPr>
                <w:rFonts w:ascii="Arial" w:cs="Arial" w:eastAsia="Arial" w:hAnsi="Arial"/>
                <w:sz w:val="18"/>
                <w:szCs w:val="18"/>
                <w:color w:val="auto"/>
              </w:rPr>
              <w:t>10-Q</w:t>
            </w: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05/08/2012</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10.6</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r:id="rId173">
              <w:r>
                <w:rPr>
                  <w:rFonts w:ascii="Arial" w:cs="Arial" w:eastAsia="Arial" w:hAnsi="Arial"/>
                  <w:sz w:val="18"/>
                  <w:szCs w:val="18"/>
                  <w:color w:val="0000EE"/>
                  <w:w w:val="95"/>
                </w:rPr>
                <w:t>Equity Incentive Plan**</w:t>
              </w:r>
            </w:hyperlink>
          </w:p>
        </w:tc>
        <w:tc>
          <w:tcPr>
            <w:tcW w:w="2240" w:type="dxa"/>
            <w:vAlign w:val="bottom"/>
            <w:tcBorders>
              <w:top w:val="single" w:sz="8" w:color="0000EE"/>
            </w:tcBorders>
            <w:gridSpan w:val="9"/>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4260" w:type="dxa"/>
            <w:vAlign w:val="bottom"/>
            <w:gridSpan w:val="21"/>
          </w:tcPr>
          <w:p>
            <w:pPr>
              <w:spacing w:after="0"/>
              <w:rPr>
                <w:rFonts w:ascii="Arial" w:cs="Arial" w:eastAsia="Arial" w:hAnsi="Arial"/>
                <w:sz w:val="18"/>
                <w:szCs w:val="18"/>
                <w:color w:val="0000EE"/>
                <w:w w:val="95"/>
              </w:rPr>
            </w:pPr>
            <w:hyperlink r:id="rId174">
              <w:r>
                <w:rPr>
                  <w:rFonts w:ascii="Arial" w:cs="Arial" w:eastAsia="Arial" w:hAnsi="Arial"/>
                  <w:sz w:val="18"/>
                  <w:szCs w:val="18"/>
                  <w:color w:val="0000EE"/>
                  <w:w w:val="95"/>
                </w:rPr>
                <w:t>Form of Performance Stock Unit Agreement under 2010</w:t>
              </w:r>
            </w:hyperlink>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02/18/2018</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r:id="rId174">
              <w:r>
                <w:rPr>
                  <w:rFonts w:ascii="Arial" w:cs="Arial" w:eastAsia="Arial" w:hAnsi="Arial"/>
                  <w:sz w:val="18"/>
                  <w:szCs w:val="18"/>
                  <w:color w:val="0000EE"/>
                  <w:w w:val="94"/>
                </w:rPr>
                <w:t>Equity Incentive Plan**</w:t>
              </w:r>
            </w:hyperlink>
          </w:p>
        </w:tc>
        <w:tc>
          <w:tcPr>
            <w:tcW w:w="2260" w:type="dxa"/>
            <w:vAlign w:val="bottom"/>
            <w:tcBorders>
              <w:top w:val="single" w:sz="8" w:color="0000EE"/>
            </w:tcBorders>
            <w:gridSpan w:val="10"/>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3800" w:type="dxa"/>
            <w:vAlign w:val="bottom"/>
            <w:tcBorders>
              <w:bottom w:val="single" w:sz="8" w:color="0000EE"/>
            </w:tcBorders>
            <w:gridSpan w:val="15"/>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Form of Deferred Stock Unit Agreement under 2010</w:t>
              </w:r>
            </w:hyperlink>
          </w:p>
        </w:tc>
        <w:tc>
          <w:tcPr>
            <w:tcW w:w="2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10-Q</w:t>
            </w: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04/26/2019</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Equity Incentive Plan</w:t>
              </w:r>
            </w:hyperlink>
          </w:p>
        </w:tc>
        <w:tc>
          <w:tcPr>
            <w:tcW w:w="2440" w:type="dxa"/>
            <w:vAlign w:val="bottom"/>
            <w:gridSpan w:val="11"/>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3820" w:type="dxa"/>
            <w:vAlign w:val="bottom"/>
            <w:tcBorders>
              <w:bottom w:val="single" w:sz="8" w:color="0000EE"/>
            </w:tcBorders>
            <w:gridSpan w:val="16"/>
          </w:tcPr>
          <w:p>
            <w:pPr>
              <w:spacing w:after="0"/>
              <w:rPr>
                <w:rFonts w:ascii="Arial" w:cs="Arial" w:eastAsia="Arial" w:hAnsi="Arial"/>
                <w:sz w:val="18"/>
                <w:szCs w:val="18"/>
                <w:color w:val="0000EE"/>
                <w:w w:val="92"/>
              </w:rPr>
            </w:pPr>
            <w:hyperlink r:id="rId176">
              <w:r>
                <w:rPr>
                  <w:rFonts w:ascii="Arial" w:cs="Arial" w:eastAsia="Arial" w:hAnsi="Arial"/>
                  <w:sz w:val="18"/>
                  <w:szCs w:val="18"/>
                  <w:color w:val="0000EE"/>
                  <w:w w:val="92"/>
                </w:rPr>
                <w:t>Form of Indemnification Agreement for Independent</w:t>
              </w:r>
            </w:hyperlink>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01/11/2010</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10.18</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17"/>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Directors</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960" w:type="dxa"/>
            <w:vAlign w:val="bottom"/>
            <w:gridSpan w:val="1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4000" w:type="dxa"/>
            <w:vAlign w:val="bottom"/>
            <w:gridSpan w:val="17"/>
          </w:tcPr>
          <w:p>
            <w:pPr>
              <w:spacing w:after="0"/>
              <w:rPr>
                <w:rFonts w:ascii="Arial" w:cs="Arial" w:eastAsia="Arial" w:hAnsi="Arial"/>
                <w:sz w:val="18"/>
                <w:szCs w:val="18"/>
                <w:color w:val="0000EE"/>
              </w:rPr>
            </w:pPr>
            <w:hyperlink r:id="rId177">
              <w:r>
                <w:rPr>
                  <w:rFonts w:ascii="Arial" w:cs="Arial" w:eastAsia="Arial" w:hAnsi="Arial"/>
                  <w:sz w:val="18"/>
                  <w:szCs w:val="18"/>
                  <w:color w:val="0000EE"/>
                </w:rPr>
                <w:t>Form of Indemnification Agreement for Archie C.</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01/11/2010</w:t>
            </w:r>
          </w:p>
        </w:tc>
        <w:tc>
          <w:tcPr>
            <w:tcW w:w="16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10.19</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Black**</w:t>
              </w:r>
            </w:hyperlink>
          </w:p>
        </w:tc>
        <w:tc>
          <w:tcPr>
            <w:tcW w:w="2960" w:type="dxa"/>
            <w:vAlign w:val="bottom"/>
            <w:tcBorders>
              <w:top w:val="single" w:sz="8" w:color="0000EE"/>
            </w:tcBorders>
            <w:gridSpan w:val="13"/>
          </w:tcPr>
          <w:p>
            <w:pPr>
              <w:spacing w:after="0"/>
              <w:rPr>
                <w:sz w:val="17"/>
                <w:szCs w:val="17"/>
                <w:color w:val="auto"/>
              </w:rPr>
            </w:pPr>
          </w:p>
        </w:tc>
        <w:tc>
          <w:tcPr>
            <w:tcW w:w="38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724"/>
        </w:trPr>
        <w:tc>
          <w:tcPr>
            <w:tcW w:w="5400" w:type="dxa"/>
            <w:vAlign w:val="bottom"/>
            <w:gridSpan w:val="19"/>
          </w:tcPr>
          <w:p>
            <w:pPr>
              <w:ind w:left="480"/>
              <w:spacing w:after="0"/>
              <w:rPr>
                <w:sz w:val="20"/>
                <w:szCs w:val="20"/>
                <w:color w:val="auto"/>
              </w:rPr>
            </w:pPr>
            <w:r>
              <w:rPr>
                <w:rFonts w:ascii="Arial" w:cs="Arial" w:eastAsia="Arial" w:hAnsi="Arial"/>
                <w:sz w:val="14"/>
                <w:szCs w:val="14"/>
                <w:b w:val="1"/>
                <w:bCs w:val="1"/>
                <w:color w:val="auto"/>
              </w:rPr>
              <w:t>SPS COMMERCE, INC.</w:t>
            </w:r>
          </w:p>
        </w:tc>
        <w:tc>
          <w:tcPr>
            <w:tcW w:w="260" w:type="dxa"/>
            <w:vAlign w:val="bottom"/>
            <w:gridSpan w:val="4"/>
          </w:tcPr>
          <w:p>
            <w:pPr>
              <w:jc w:val="right"/>
              <w:ind w:right="80"/>
              <w:spacing w:after="0"/>
              <w:rPr>
                <w:sz w:val="20"/>
                <w:szCs w:val="20"/>
                <w:color w:val="auto"/>
              </w:rPr>
            </w:pPr>
            <w:r>
              <w:rPr>
                <w:rFonts w:ascii="Arial" w:cs="Arial" w:eastAsia="Arial" w:hAnsi="Arial"/>
                <w:sz w:val="14"/>
                <w:szCs w:val="14"/>
                <w:color w:val="auto"/>
              </w:rPr>
              <w:t>72</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60" w:type="dxa"/>
            <w:vAlign w:val="bottom"/>
            <w:gridSpan w:val="5"/>
          </w:tcPr>
          <w:p>
            <w:pPr>
              <w:ind w:left="180"/>
              <w:spacing w:after="0"/>
              <w:rPr>
                <w:sz w:val="20"/>
                <w:szCs w:val="20"/>
                <w:color w:val="auto"/>
              </w:rPr>
            </w:pPr>
            <w:r>
              <w:rPr>
                <w:rFonts w:ascii="Arial" w:cs="Arial" w:eastAsia="Arial" w:hAnsi="Arial"/>
                <w:sz w:val="12"/>
                <w:szCs w:val="12"/>
                <w:b w:val="1"/>
                <w:bCs w:val="1"/>
                <w:color w:val="auto"/>
                <w:w w:val="88"/>
              </w:rPr>
              <w:t>Form 10-K for the Annual Period ended December 31, 2020</w:t>
            </w:r>
          </w:p>
        </w:tc>
      </w:tr>
      <w:tr>
        <w:trPr>
          <w:trHeight w:val="330"/>
        </w:trPr>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205740"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7"/>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w w:val="97"/>
              </w:rPr>
              <w:t>Incorporated By Reference</w:t>
            </w: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Pr>
          <w:p>
            <w:pPr>
              <w:spacing w:after="0"/>
              <w:rPr>
                <w:sz w:val="14"/>
                <w:szCs w:val="14"/>
                <w:color w:val="auto"/>
              </w:rPr>
            </w:pPr>
          </w:p>
        </w:tc>
      </w:tr>
      <w:tr>
        <w:trPr>
          <w:trHeight w:val="123"/>
        </w:trPr>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3"/>
          </w:tcPr>
          <w:p>
            <w:pPr>
              <w:jc w:val="center"/>
              <w:ind w:right="360"/>
              <w:spacing w:after="0" w:line="123" w:lineRule="exact"/>
              <w:rPr>
                <w:sz w:val="20"/>
                <w:szCs w:val="20"/>
                <w:color w:val="auto"/>
              </w:rPr>
            </w:pPr>
            <w:r>
              <w:rPr>
                <w:rFonts w:ascii="Arial" w:cs="Arial" w:eastAsia="Arial" w:hAnsi="Arial"/>
                <w:sz w:val="14"/>
                <w:szCs w:val="14"/>
                <w:b w:val="1"/>
                <w:bCs w:val="1"/>
                <w:i w:val="1"/>
                <w:iCs w:val="1"/>
                <w:color w:val="auto"/>
                <w:w w:val="92"/>
              </w:rPr>
              <w:t>Date of</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8"/>
        </w:trPr>
        <w:tc>
          <w:tcPr>
            <w:tcW w:w="1280" w:type="dxa"/>
            <w:vAlign w:val="bottom"/>
          </w:tcPr>
          <w:p>
            <w:pPr>
              <w:ind w:left="420"/>
              <w:spacing w:after="0" w:line="149" w:lineRule="exact"/>
              <w:rPr>
                <w:sz w:val="20"/>
                <w:szCs w:val="20"/>
                <w:color w:val="auto"/>
              </w:rPr>
            </w:pPr>
            <w:r>
              <w:rPr>
                <w:rFonts w:ascii="Arial" w:cs="Arial" w:eastAsia="Arial" w:hAnsi="Arial"/>
                <w:sz w:val="14"/>
                <w:szCs w:val="14"/>
                <w:b w:val="1"/>
                <w:bCs w:val="1"/>
                <w:i w:val="1"/>
                <w:iCs w:val="1"/>
                <w:color w:val="auto"/>
              </w:rPr>
              <w:t>Exhibit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i w:val="1"/>
                <w:iCs w:val="1"/>
                <w:color w:val="auto"/>
                <w:w w:val="92"/>
              </w:rPr>
              <w:t>First</w:t>
            </w:r>
          </w:p>
        </w:tc>
        <w:tc>
          <w:tcPr>
            <w:tcW w:w="1060" w:type="dxa"/>
            <w:vAlign w:val="bottom"/>
          </w:tcPr>
          <w:p>
            <w:pPr>
              <w:jc w:val="center"/>
              <w:ind w:right="176"/>
              <w:spacing w:after="0" w:line="149" w:lineRule="exact"/>
              <w:rPr>
                <w:sz w:val="20"/>
                <w:szCs w:val="20"/>
                <w:color w:val="auto"/>
              </w:rPr>
            </w:pPr>
            <w:r>
              <w:rPr>
                <w:rFonts w:ascii="Arial" w:cs="Arial" w:eastAsia="Arial" w:hAnsi="Arial"/>
                <w:sz w:val="14"/>
                <w:szCs w:val="14"/>
                <w:b w:val="1"/>
                <w:bCs w:val="1"/>
                <w:i w:val="1"/>
                <w:iCs w:val="1"/>
                <w:color w:val="auto"/>
                <w:w w:val="94"/>
              </w:rPr>
              <w:t>Exhibit</w:t>
            </w:r>
          </w:p>
        </w:tc>
        <w:tc>
          <w:tcPr>
            <w:tcW w:w="60" w:type="dxa"/>
            <w:vAlign w:val="bottom"/>
          </w:tcPr>
          <w:p>
            <w:pPr>
              <w:spacing w:after="0"/>
              <w:rPr>
                <w:sz w:val="12"/>
                <w:szCs w:val="12"/>
                <w:color w:val="auto"/>
              </w:rPr>
            </w:pPr>
          </w:p>
        </w:tc>
        <w:tc>
          <w:tcPr>
            <w:tcW w:w="1080" w:type="dxa"/>
            <w:vAlign w:val="bottom"/>
          </w:tcPr>
          <w:p>
            <w:pPr>
              <w:ind w:left="640"/>
              <w:spacing w:after="0" w:line="149" w:lineRule="exact"/>
              <w:rPr>
                <w:sz w:val="20"/>
                <w:szCs w:val="20"/>
                <w:color w:val="auto"/>
              </w:rPr>
            </w:pPr>
            <w:r>
              <w:rPr>
                <w:rFonts w:ascii="Arial" w:cs="Arial" w:eastAsia="Arial" w:hAnsi="Arial"/>
                <w:sz w:val="14"/>
                <w:szCs w:val="14"/>
                <w:b w:val="1"/>
                <w:bCs w:val="1"/>
                <w:i w:val="1"/>
                <w:iCs w:val="1"/>
                <w:color w:val="auto"/>
              </w:rPr>
              <w:t>Filed</w:t>
            </w:r>
          </w:p>
        </w:tc>
      </w:tr>
      <w:tr>
        <w:trPr>
          <w:trHeight w:val="167"/>
        </w:trPr>
        <w:tc>
          <w:tcPr>
            <w:tcW w:w="1280" w:type="dxa"/>
            <w:vAlign w:val="bottom"/>
          </w:tcPr>
          <w:p>
            <w:pPr>
              <w:ind w:left="400"/>
              <w:spacing w:after="0"/>
              <w:rPr>
                <w:sz w:val="20"/>
                <w:szCs w:val="20"/>
                <w:color w:val="auto"/>
              </w:rPr>
            </w:pPr>
            <w:r>
              <w:rPr>
                <w:rFonts w:ascii="Arial" w:cs="Arial" w:eastAsia="Arial" w:hAnsi="Arial"/>
                <w:sz w:val="14"/>
                <w:szCs w:val="14"/>
                <w:b w:val="1"/>
                <w:bCs w:val="1"/>
                <w:i w:val="1"/>
                <w:i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60" w:type="dxa"/>
            <w:vAlign w:val="bottom"/>
            <w:gridSpan w:val="12"/>
          </w:tcPr>
          <w:p>
            <w:pPr>
              <w:ind w:left="180"/>
              <w:spacing w:after="0"/>
              <w:rPr>
                <w:sz w:val="20"/>
                <w:szCs w:val="20"/>
                <w:color w:val="auto"/>
              </w:rPr>
            </w:pPr>
            <w:r>
              <w:rPr>
                <w:rFonts w:ascii="Arial" w:cs="Arial" w:eastAsia="Arial" w:hAnsi="Arial"/>
                <w:sz w:val="14"/>
                <w:szCs w:val="14"/>
                <w:b w:val="1"/>
                <w:bCs w:val="1"/>
                <w:i w:val="1"/>
                <w:iCs w:val="1"/>
                <w:color w:val="auto"/>
              </w:rPr>
              <w:t>Exhibit Description</w:t>
            </w:r>
          </w:p>
        </w:tc>
        <w:tc>
          <w:tcPr>
            <w:tcW w:w="128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Form</w:t>
            </w:r>
          </w:p>
        </w:tc>
        <w:tc>
          <w:tcPr>
            <w:tcW w:w="120" w:type="dxa"/>
            <w:vAlign w:val="bottom"/>
          </w:tcPr>
          <w:p>
            <w:pPr>
              <w:spacing w:after="0"/>
              <w:rPr>
                <w:sz w:val="14"/>
                <w:szCs w:val="14"/>
                <w:color w:val="auto"/>
              </w:rPr>
            </w:pPr>
          </w:p>
        </w:tc>
        <w:tc>
          <w:tcPr>
            <w:tcW w:w="1640" w:type="dxa"/>
            <w:vAlign w:val="bottom"/>
            <w:gridSpan w:val="3"/>
          </w:tcPr>
          <w:p>
            <w:pPr>
              <w:jc w:val="right"/>
              <w:ind w:right="820"/>
              <w:spacing w:after="0"/>
              <w:rPr>
                <w:sz w:val="20"/>
                <w:szCs w:val="20"/>
                <w:color w:val="auto"/>
              </w:rPr>
            </w:pPr>
            <w:r>
              <w:rPr>
                <w:rFonts w:ascii="Arial" w:cs="Arial" w:eastAsia="Arial" w:hAnsi="Arial"/>
                <w:sz w:val="14"/>
                <w:szCs w:val="14"/>
                <w:b w:val="1"/>
                <w:bCs w:val="1"/>
                <w:i w:val="1"/>
                <w:iCs w:val="1"/>
                <w:color w:val="auto"/>
              </w:rPr>
              <w:t>Filing</w:t>
            </w:r>
          </w:p>
        </w:tc>
        <w:tc>
          <w:tcPr>
            <w:tcW w:w="1060" w:type="dxa"/>
            <w:vAlign w:val="bottom"/>
          </w:tcPr>
          <w:p>
            <w:pPr>
              <w:jc w:val="center"/>
              <w:ind w:right="156"/>
              <w:spacing w:after="0"/>
              <w:rPr>
                <w:sz w:val="20"/>
                <w:szCs w:val="20"/>
                <w:color w:val="auto"/>
              </w:rPr>
            </w:pPr>
            <w:r>
              <w:rPr>
                <w:rFonts w:ascii="Arial" w:cs="Arial" w:eastAsia="Arial" w:hAnsi="Arial"/>
                <w:sz w:val="14"/>
                <w:szCs w:val="14"/>
                <w:b w:val="1"/>
                <w:bCs w:val="1"/>
                <w:i w:val="1"/>
                <w:iCs w:val="1"/>
                <w:color w:val="auto"/>
                <w:w w:val="94"/>
              </w:rPr>
              <w:t>Number</w:t>
            </w:r>
          </w:p>
        </w:tc>
        <w:tc>
          <w:tcPr>
            <w:tcW w:w="60" w:type="dxa"/>
            <w:vAlign w:val="bottom"/>
          </w:tcPr>
          <w:p>
            <w:pPr>
              <w:spacing w:after="0"/>
              <w:rPr>
                <w:sz w:val="14"/>
                <w:szCs w:val="14"/>
                <w:color w:val="auto"/>
              </w:rPr>
            </w:pPr>
          </w:p>
        </w:tc>
        <w:tc>
          <w:tcPr>
            <w:tcW w:w="1080" w:type="dxa"/>
            <w:vAlign w:val="bottom"/>
          </w:tcPr>
          <w:p>
            <w:pPr>
              <w:ind w:left="520"/>
              <w:spacing w:after="0"/>
              <w:rPr>
                <w:sz w:val="20"/>
                <w:szCs w:val="20"/>
                <w:color w:val="auto"/>
              </w:rPr>
            </w:pPr>
            <w:r>
              <w:rPr>
                <w:rFonts w:ascii="Arial" w:cs="Arial" w:eastAsia="Arial" w:hAnsi="Arial"/>
                <w:sz w:val="14"/>
                <w:szCs w:val="14"/>
                <w:b w:val="1"/>
                <w:bCs w:val="1"/>
                <w:i w:val="1"/>
                <w:iCs w:val="1"/>
                <w:color w:val="auto"/>
                <w:w w:val="91"/>
              </w:rPr>
              <w:t>Herewith</w:t>
            </w:r>
          </w:p>
        </w:tc>
      </w:tr>
      <w:tr>
        <w:trPr>
          <w:trHeight w:val="224"/>
        </w:trPr>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tcBorders>
              <w:top w:val="single" w:sz="8" w:color="auto"/>
            </w:tcBorders>
            <w:gridSpan w:val="14"/>
          </w:tcPr>
          <w:p>
            <w:pPr>
              <w:spacing w:after="0"/>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Management Incentive Plan**</w:t>
              </w:r>
            </w:hyperlink>
          </w:p>
        </w:tc>
        <w:tc>
          <w:tcPr>
            <w:tcW w:w="120" w:type="dxa"/>
            <w:vAlign w:val="bottom"/>
          </w:tcPr>
          <w:p>
            <w:pPr>
              <w:spacing w:after="0"/>
              <w:rPr>
                <w:sz w:val="19"/>
                <w:szCs w:val="19"/>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8-K</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ind w:right="384"/>
              <w:spacing w:after="0"/>
              <w:rPr>
                <w:sz w:val="20"/>
                <w:szCs w:val="20"/>
                <w:color w:val="auto"/>
              </w:rPr>
            </w:pPr>
            <w:r>
              <w:rPr>
                <w:rFonts w:ascii="Arial" w:cs="Arial" w:eastAsia="Arial" w:hAnsi="Arial"/>
                <w:sz w:val="18"/>
                <w:szCs w:val="18"/>
                <w:color w:val="auto"/>
                <w:w w:val="88"/>
              </w:rPr>
              <w:t>02/03/2016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center"/>
              <w:ind w:right="176"/>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83"/>
        </w:trPr>
        <w:tc>
          <w:tcPr>
            <w:tcW w:w="1280" w:type="dxa"/>
            <w:vAlign w:val="bottom"/>
          </w:tcPr>
          <w:p>
            <w:pPr>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4120" w:type="dxa"/>
            <w:vAlign w:val="bottom"/>
            <w:tcBorders>
              <w:bottom w:val="single" w:sz="8" w:color="0000EE"/>
            </w:tcBorders>
            <w:gridSpan w:val="14"/>
          </w:tcPr>
          <w:p>
            <w:pPr>
              <w:spacing w:after="0"/>
              <w:rPr>
                <w:rFonts w:ascii="Arial" w:cs="Arial" w:eastAsia="Arial" w:hAnsi="Arial"/>
                <w:sz w:val="18"/>
                <w:szCs w:val="18"/>
                <w:color w:val="0000EE"/>
                <w:w w:val="87"/>
              </w:rPr>
            </w:pPr>
            <w:hyperlink r:id="rId182">
              <w:r>
                <w:rPr>
                  <w:rFonts w:ascii="Arial" w:cs="Arial" w:eastAsia="Arial" w:hAnsi="Arial"/>
                  <w:sz w:val="18"/>
                  <w:szCs w:val="18"/>
                  <w:color w:val="0000EE"/>
                  <w:w w:val="87"/>
                </w:rPr>
                <w:t>Amended and Restated Executive Severance and Change</w:t>
              </w:r>
            </w:hyperlink>
          </w:p>
        </w:tc>
        <w:tc>
          <w:tcPr>
            <w:tcW w:w="140" w:type="dxa"/>
            <w:vAlign w:val="bottom"/>
            <w:gridSpan w:val="2"/>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gridSpan w:val="2"/>
          </w:tcPr>
          <w:p>
            <w:pPr>
              <w:jc w:val="right"/>
              <w:ind w:right="384"/>
              <w:spacing w:after="0"/>
              <w:rPr>
                <w:sz w:val="20"/>
                <w:szCs w:val="20"/>
                <w:color w:val="auto"/>
              </w:rPr>
            </w:pPr>
            <w:r>
              <w:rPr>
                <w:rFonts w:ascii="Arial" w:cs="Arial" w:eastAsia="Arial" w:hAnsi="Arial"/>
                <w:sz w:val="18"/>
                <w:szCs w:val="18"/>
                <w:color w:val="auto"/>
              </w:rPr>
              <w:t>02/18/2020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center"/>
              <w:ind w:right="176"/>
              <w:spacing w:after="0"/>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82">
              <w:r>
                <w:rPr>
                  <w:rFonts w:ascii="Arial" w:cs="Arial" w:eastAsia="Arial" w:hAnsi="Arial"/>
                  <w:sz w:val="18"/>
                  <w:szCs w:val="18"/>
                  <w:color w:val="0000EE"/>
                  <w:w w:val="90"/>
                </w:rPr>
                <w:t>in Control Agreement between the Company and Archie</w:t>
              </w:r>
            </w:hyperlink>
          </w:p>
        </w:tc>
        <w:tc>
          <w:tcPr>
            <w:tcW w:w="18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gridSpan w:val="16"/>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C. Black**</w:t>
              </w:r>
            </w:hyperlink>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4260" w:type="dxa"/>
            <w:vAlign w:val="bottom"/>
            <w:gridSpan w:val="16"/>
          </w:tcPr>
          <w:p>
            <w:pPr>
              <w:spacing w:after="0"/>
              <w:rPr>
                <w:rFonts w:ascii="Arial" w:cs="Arial" w:eastAsia="Arial" w:hAnsi="Arial"/>
                <w:sz w:val="18"/>
                <w:szCs w:val="18"/>
                <w:color w:val="0000EE"/>
                <w:w w:val="98"/>
              </w:rPr>
            </w:pPr>
            <w:hyperlink r:id="rId183">
              <w:r>
                <w:rPr>
                  <w:rFonts w:ascii="Arial" w:cs="Arial" w:eastAsia="Arial" w:hAnsi="Arial"/>
                  <w:sz w:val="18"/>
                  <w:szCs w:val="18"/>
                  <w:color w:val="0000EE"/>
                  <w:w w:val="98"/>
                </w:rPr>
                <w:t>Form of Amended and Restated Executive Severance</w:t>
              </w:r>
            </w:hyperlink>
          </w:p>
        </w:tc>
        <w:tc>
          <w:tcPr>
            <w:tcW w:w="128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gridSpan w:val="2"/>
          </w:tcPr>
          <w:p>
            <w:pPr>
              <w:jc w:val="right"/>
              <w:ind w:right="384"/>
              <w:spacing w:after="0"/>
              <w:rPr>
                <w:sz w:val="20"/>
                <w:szCs w:val="20"/>
                <w:color w:val="auto"/>
              </w:rPr>
            </w:pPr>
            <w:r>
              <w:rPr>
                <w:rFonts w:ascii="Arial" w:cs="Arial" w:eastAsia="Arial" w:hAnsi="Arial"/>
                <w:sz w:val="18"/>
                <w:szCs w:val="18"/>
                <w:color w:val="auto"/>
              </w:rPr>
              <w:t>02/18/2020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center"/>
              <w:ind w:right="176"/>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and Change in Control Agreement**</w:t>
              </w:r>
            </w:hyperlink>
          </w:p>
        </w:tc>
        <w:tc>
          <w:tcPr>
            <w:tcW w:w="1180" w:type="dxa"/>
            <w:vAlign w:val="bottom"/>
            <w:tcBorders>
              <w:top w:val="single" w:sz="8" w:color="0000EE"/>
            </w:tcBorders>
            <w:gridSpan w:val="3"/>
          </w:tcPr>
          <w:p>
            <w:pPr>
              <w:spacing w:after="0"/>
              <w:rPr>
                <w:sz w:val="17"/>
                <w:szCs w:val="17"/>
                <w:color w:val="auto"/>
              </w:rPr>
            </w:pPr>
          </w:p>
        </w:tc>
        <w:tc>
          <w:tcPr>
            <w:tcW w:w="420" w:type="dxa"/>
            <w:vAlign w:val="bottom"/>
            <w:gridSpan w:val="8"/>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58"/>
        </w:trPr>
        <w:tc>
          <w:tcPr>
            <w:tcW w:w="1280" w:type="dxa"/>
            <w:vAlign w:val="bottom"/>
          </w:tcPr>
          <w:p>
            <w:pPr>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4260" w:type="dxa"/>
            <w:vAlign w:val="bottom"/>
            <w:gridSpan w:val="16"/>
          </w:tcPr>
          <w:p>
            <w:pPr>
              <w:spacing w:after="0"/>
              <w:rPr>
                <w:rFonts w:ascii="Arial" w:cs="Arial" w:eastAsia="Arial" w:hAnsi="Arial"/>
                <w:sz w:val="18"/>
                <w:szCs w:val="18"/>
                <w:color w:val="0000EE"/>
              </w:rPr>
            </w:pPr>
            <w:hyperlink r:id="rId184">
              <w:r>
                <w:rPr>
                  <w:rFonts w:ascii="Arial" w:cs="Arial" w:eastAsia="Arial" w:hAnsi="Arial"/>
                  <w:sz w:val="18"/>
                  <w:szCs w:val="18"/>
                  <w:u w:val="single" w:color="auto"/>
                  <w:color w:val="0000EE"/>
                </w:rPr>
                <w:t>Non-Employee Director Compensation Summary</w:t>
              </w:r>
            </w:hyperlink>
            <w:r>
              <w:rPr>
                <w:rFonts w:ascii="Arial" w:cs="Arial" w:eastAsia="Arial" w:hAnsi="Arial"/>
                <w:sz w:val="18"/>
                <w:szCs w:val="18"/>
                <w:color w:val="000000"/>
              </w:rPr>
              <w:t>**</w:t>
            </w:r>
          </w:p>
        </w:tc>
        <w:tc>
          <w:tcPr>
            <w:tcW w:w="1280" w:type="dxa"/>
            <w:vAlign w:val="bottom"/>
          </w:tcPr>
          <w:p>
            <w:pPr>
              <w:spacing w:after="0"/>
              <w:rPr>
                <w:sz w:val="20"/>
                <w:szCs w:val="20"/>
                <w:color w:val="auto"/>
              </w:rPr>
            </w:pPr>
            <w:r>
              <w:rPr>
                <w:rFonts w:ascii="Arial" w:cs="Arial" w:eastAsia="Arial" w:hAnsi="Arial"/>
                <w:sz w:val="18"/>
                <w:szCs w:val="18"/>
                <w:color w:val="auto"/>
              </w:rPr>
              <w:t>10-Q</w:t>
            </w:r>
          </w:p>
        </w:tc>
        <w:tc>
          <w:tcPr>
            <w:tcW w:w="1400" w:type="dxa"/>
            <w:vAlign w:val="bottom"/>
            <w:gridSpan w:val="2"/>
          </w:tcPr>
          <w:p>
            <w:pPr>
              <w:jc w:val="right"/>
              <w:ind w:right="384"/>
              <w:spacing w:after="0"/>
              <w:rPr>
                <w:sz w:val="20"/>
                <w:szCs w:val="20"/>
                <w:color w:val="auto"/>
              </w:rPr>
            </w:pPr>
            <w:r>
              <w:rPr>
                <w:rFonts w:ascii="Arial" w:cs="Arial" w:eastAsia="Arial" w:hAnsi="Arial"/>
                <w:sz w:val="18"/>
                <w:szCs w:val="18"/>
                <w:color w:val="auto"/>
              </w:rPr>
              <w:t>04/30/2020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center"/>
              <w:ind w:right="176"/>
              <w:spacing w:after="0"/>
              <w:rPr>
                <w:sz w:val="20"/>
                <w:szCs w:val="20"/>
                <w:color w:val="auto"/>
              </w:rPr>
            </w:pPr>
            <w:r>
              <w:rPr>
                <w:rFonts w:ascii="Arial" w:cs="Arial" w:eastAsia="Arial" w:hAnsi="Arial"/>
                <w:sz w:val="18"/>
                <w:szCs w:val="18"/>
                <w:color w:val="auto"/>
                <w:w w:val="91"/>
              </w:rPr>
              <w:t>10.3</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6"/>
        </w:trPr>
        <w:tc>
          <w:tcPr>
            <w:tcW w:w="1280" w:type="dxa"/>
            <w:vAlign w:val="bottom"/>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4260" w:type="dxa"/>
            <w:vAlign w:val="bottom"/>
            <w:gridSpan w:val="16"/>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Subsidiaries of the registrant</w:t>
              </w:r>
            </w:hyperlink>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X</w:t>
            </w:r>
          </w:p>
        </w:tc>
      </w:tr>
      <w:tr>
        <w:trPr>
          <w:trHeight w:val="338"/>
        </w:trPr>
        <w:tc>
          <w:tcPr>
            <w:tcW w:w="128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260" w:type="dxa"/>
            <w:vAlign w:val="bottom"/>
            <w:gridSpan w:val="16"/>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Consent of KPMG LLP</w:t>
              </w:r>
            </w:hyperlink>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X</w:t>
            </w:r>
          </w:p>
        </w:tc>
      </w:tr>
      <w:tr>
        <w:trPr>
          <w:trHeight w:val="338"/>
        </w:trPr>
        <w:tc>
          <w:tcPr>
            <w:tcW w:w="128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4260" w:type="dxa"/>
            <w:vAlign w:val="bottom"/>
            <w:gridSpan w:val="16"/>
          </w:tcPr>
          <w:p>
            <w:pPr>
              <w:spacing w:after="0"/>
              <w:rPr>
                <w:sz w:val="20"/>
                <w:szCs w:val="20"/>
                <w:color w:val="auto"/>
              </w:rPr>
            </w:pPr>
            <w:r>
              <w:rPr>
                <w:rFonts w:ascii="Arial" w:cs="Arial" w:eastAsia="Arial" w:hAnsi="Arial"/>
                <w:sz w:val="18"/>
                <w:szCs w:val="18"/>
                <w:color w:val="auto"/>
              </w:rPr>
              <w:t>Power of Attorney (included on signature page)</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X</w:t>
            </w:r>
          </w:p>
        </w:tc>
      </w:tr>
      <w:tr>
        <w:trPr>
          <w:trHeight w:val="297"/>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79">
              <w:r>
                <w:rPr>
                  <w:rFonts w:ascii="Arial" w:cs="Arial" w:eastAsia="Arial" w:hAnsi="Arial"/>
                  <w:sz w:val="18"/>
                  <w:szCs w:val="18"/>
                  <w:color w:val="0000EE"/>
                  <w:w w:val="93"/>
                </w:rPr>
                <w:t>Certification of Principal Executive Officer pursuant to</w:t>
              </w:r>
            </w:hyperlink>
          </w:p>
        </w:tc>
        <w:tc>
          <w:tcPr>
            <w:tcW w:w="260" w:type="dxa"/>
            <w:vAlign w:val="bottom"/>
            <w:gridSpan w:val="4"/>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X</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gridSpan w:val="16"/>
          </w:tcPr>
          <w:p>
            <w:pPr>
              <w:spacing w:after="0" w:line="196" w:lineRule="exact"/>
              <w:rPr>
                <w:rFonts w:ascii="Arial" w:cs="Arial" w:eastAsia="Arial" w:hAnsi="Arial"/>
                <w:sz w:val="18"/>
                <w:szCs w:val="18"/>
                <w:color w:val="0000EE"/>
                <w:w w:val="98"/>
              </w:rPr>
            </w:pPr>
            <w:hyperlink w:anchor="page79">
              <w:r>
                <w:rPr>
                  <w:rFonts w:ascii="Arial" w:cs="Arial" w:eastAsia="Arial" w:hAnsi="Arial"/>
                  <w:sz w:val="18"/>
                  <w:szCs w:val="18"/>
                  <w:color w:val="0000EE"/>
                  <w:w w:val="98"/>
                </w:rPr>
                <w:t>Rules 13a-14(a) under the Securities Exchange Act of</w:t>
              </w:r>
            </w:hyperlink>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79">
              <w:r>
                <w:rPr>
                  <w:rFonts w:ascii="Arial" w:cs="Arial" w:eastAsia="Arial" w:hAnsi="Arial"/>
                  <w:sz w:val="18"/>
                  <w:szCs w:val="18"/>
                  <w:color w:val="0000EE"/>
                  <w:w w:val="85"/>
                </w:rPr>
                <w:t>1934, as amended</w:t>
              </w:r>
            </w:hyperlink>
          </w:p>
        </w:tc>
        <w:tc>
          <w:tcPr>
            <w:tcW w:w="2580" w:type="dxa"/>
            <w:vAlign w:val="bottom"/>
            <w:tcBorders>
              <w:top w:val="single" w:sz="8" w:color="0000EE"/>
            </w:tcBorders>
            <w:gridSpan w:val="5"/>
          </w:tcPr>
          <w:p>
            <w:pPr>
              <w:spacing w:after="0"/>
              <w:rPr>
                <w:sz w:val="17"/>
                <w:szCs w:val="17"/>
                <w:color w:val="auto"/>
              </w:rPr>
            </w:pPr>
          </w:p>
        </w:tc>
        <w:tc>
          <w:tcPr>
            <w:tcW w:w="38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260" w:type="dxa"/>
            <w:vAlign w:val="bottom"/>
            <w:gridSpan w:val="1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Certification of Principal Financial Officer pursuant to</w:t>
              </w:r>
            </w:hyperlink>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X</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Borders>
              <w:top w:val="single" w:sz="8" w:color="0000EE"/>
            </w:tcBorders>
            <w:gridSpan w:val="10"/>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Rules 13a-14(a) under the Securities Exchange Act of</w:t>
              </w:r>
            </w:hyperlink>
          </w:p>
        </w:tc>
        <w:tc>
          <w:tcPr>
            <w:tcW w:w="340" w:type="dxa"/>
            <w:vAlign w:val="bottom"/>
            <w:gridSpan w:val="6"/>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80">
              <w:r>
                <w:rPr>
                  <w:rFonts w:ascii="Arial" w:cs="Arial" w:eastAsia="Arial" w:hAnsi="Arial"/>
                  <w:sz w:val="18"/>
                  <w:szCs w:val="18"/>
                  <w:color w:val="0000EE"/>
                  <w:w w:val="85"/>
                </w:rPr>
                <w:t>1934, as amended</w:t>
              </w:r>
            </w:hyperlink>
          </w:p>
        </w:tc>
        <w:tc>
          <w:tcPr>
            <w:tcW w:w="2580" w:type="dxa"/>
            <w:vAlign w:val="bottom"/>
            <w:tcBorders>
              <w:top w:val="single" w:sz="8" w:color="0000EE"/>
            </w:tcBorders>
            <w:gridSpan w:val="5"/>
          </w:tcPr>
          <w:p>
            <w:pPr>
              <w:spacing w:after="0"/>
              <w:rPr>
                <w:sz w:val="17"/>
                <w:szCs w:val="17"/>
                <w:color w:val="auto"/>
              </w:rPr>
            </w:pPr>
          </w:p>
        </w:tc>
        <w:tc>
          <w:tcPr>
            <w:tcW w:w="38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260" w:type="dxa"/>
            <w:vAlign w:val="bottom"/>
            <w:gridSpan w:val="1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Certification of Chief Executive Officer and Chief</w:t>
              </w:r>
            </w:hyperlink>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X</w:t>
            </w: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gridSpan w:val="1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Financial Officer pursuant to 18 U.S.C. Sec. 1350, as</w:t>
              </w:r>
            </w:hyperlink>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adopted pursuant to Section 906 of the Sarbanes-Oxley</w:t>
              </w:r>
            </w:hyperlink>
          </w:p>
        </w:tc>
        <w:tc>
          <w:tcPr>
            <w:tcW w:w="28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Act of 2002</w:t>
              </w:r>
            </w:hyperlink>
          </w:p>
        </w:tc>
        <w:tc>
          <w:tcPr>
            <w:tcW w:w="3400" w:type="dxa"/>
            <w:vAlign w:val="bottom"/>
            <w:gridSpan w:val="13"/>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44"/>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260" w:type="dxa"/>
            <w:vAlign w:val="bottom"/>
            <w:gridSpan w:val="16"/>
          </w:tcPr>
          <w:p>
            <w:pPr>
              <w:spacing w:after="0"/>
              <w:rPr>
                <w:sz w:val="20"/>
                <w:szCs w:val="20"/>
                <w:color w:val="auto"/>
              </w:rPr>
            </w:pPr>
            <w:r>
              <w:rPr>
                <w:rFonts w:ascii="Arial" w:cs="Arial" w:eastAsia="Arial" w:hAnsi="Arial"/>
                <w:sz w:val="18"/>
                <w:szCs w:val="18"/>
                <w:color w:val="auto"/>
              </w:rPr>
              <w:t>Interactive Data Files Pursuant to Rule 405 of</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X</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gridSpan w:val="16"/>
          </w:tcPr>
          <w:p>
            <w:pPr>
              <w:spacing w:after="0"/>
              <w:rPr>
                <w:sz w:val="20"/>
                <w:szCs w:val="20"/>
                <w:color w:val="auto"/>
              </w:rPr>
            </w:pPr>
            <w:r>
              <w:rPr>
                <w:rFonts w:ascii="Arial" w:cs="Arial" w:eastAsia="Arial" w:hAnsi="Arial"/>
                <w:sz w:val="18"/>
                <w:szCs w:val="18"/>
                <w:color w:val="auto"/>
              </w:rPr>
              <w:t>Regulation S-T</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3"/>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4260" w:type="dxa"/>
            <w:vAlign w:val="bottom"/>
            <w:gridSpan w:val="16"/>
          </w:tcPr>
          <w:p>
            <w:pPr>
              <w:spacing w:after="0"/>
              <w:rPr>
                <w:sz w:val="20"/>
                <w:szCs w:val="20"/>
                <w:color w:val="auto"/>
              </w:rPr>
            </w:pPr>
            <w:r>
              <w:rPr>
                <w:rFonts w:ascii="Arial" w:cs="Arial" w:eastAsia="Arial" w:hAnsi="Arial"/>
                <w:sz w:val="18"/>
                <w:szCs w:val="18"/>
                <w:color w:val="auto"/>
                <w:w w:val="98"/>
              </w:rPr>
              <w:t>The cover page from the Annual Report on Form 10-K</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X</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gridSpan w:val="16"/>
          </w:tcPr>
          <w:p>
            <w:pPr>
              <w:spacing w:after="0"/>
              <w:rPr>
                <w:sz w:val="20"/>
                <w:szCs w:val="20"/>
                <w:color w:val="auto"/>
              </w:rPr>
            </w:pPr>
            <w:r>
              <w:rPr>
                <w:rFonts w:ascii="Arial" w:cs="Arial" w:eastAsia="Arial" w:hAnsi="Arial"/>
                <w:sz w:val="18"/>
                <w:szCs w:val="18"/>
                <w:color w:val="auto"/>
              </w:rPr>
              <w:t>for the year ended December 31, 2020, formatted in</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gridSpan w:val="16"/>
          </w:tcPr>
          <w:p>
            <w:pPr>
              <w:spacing w:after="0"/>
              <w:rPr>
                <w:sz w:val="20"/>
                <w:szCs w:val="20"/>
                <w:color w:val="auto"/>
              </w:rPr>
            </w:pPr>
            <w:r>
              <w:rPr>
                <w:rFonts w:ascii="Arial" w:cs="Arial" w:eastAsia="Arial" w:hAnsi="Arial"/>
                <w:sz w:val="18"/>
                <w:szCs w:val="18"/>
                <w:color w:val="auto"/>
              </w:rPr>
              <w:t>Inline XBRL.</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07"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5740"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99" w:lineRule="exact"/>
        <w:rPr>
          <w:sz w:val="20"/>
          <w:szCs w:val="20"/>
          <w:color w:val="auto"/>
        </w:rPr>
      </w:pPr>
    </w:p>
    <w:p>
      <w:pPr>
        <w:ind w:left="480"/>
        <w:spacing w:after="0"/>
        <w:tabs>
          <w:tab w:leader="none" w:pos="5420" w:val="left"/>
          <w:tab w:leader="none" w:pos="824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73</w:t>
      </w:r>
      <w:r>
        <w:rPr>
          <w:sz w:val="20"/>
          <w:szCs w:val="20"/>
          <w:color w:val="auto"/>
        </w:rPr>
        <w:tab/>
      </w:r>
      <w:r>
        <w:rPr>
          <w:rFonts w:ascii="Arial" w:cs="Arial" w:eastAsia="Arial" w:hAnsi="Arial"/>
          <w:sz w:val="9"/>
          <w:szCs w:val="9"/>
          <w:b w:val="1"/>
          <w:bCs w:val="1"/>
          <w:color w:val="auto"/>
        </w:rPr>
        <w:t>Form 10-K for the Annual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00AAE5"/>
        </w:rPr>
        <w:t>SIGNATURES</w:t>
      </w:r>
    </w:p>
    <w:p>
      <w:pPr>
        <w:spacing w:after="0" w:line="121" w:lineRule="exact"/>
        <w:rPr>
          <w:sz w:val="20"/>
          <w:szCs w:val="20"/>
          <w:color w:val="auto"/>
        </w:rPr>
      </w:pPr>
    </w:p>
    <w:p>
      <w:pPr>
        <w:ind w:right="160" w:firstLine="53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80"/>
        <w:spacing w:after="0"/>
        <w:tabs>
          <w:tab w:leader="none" w:pos="6520" w:val="left"/>
        </w:tabs>
        <w:rPr>
          <w:sz w:val="20"/>
          <w:szCs w:val="20"/>
          <w:color w:val="auto"/>
        </w:rPr>
      </w:pPr>
      <w:r>
        <w:rPr>
          <w:rFonts w:ascii="Arial" w:cs="Arial" w:eastAsia="Arial" w:hAnsi="Arial"/>
          <w:sz w:val="18"/>
          <w:szCs w:val="18"/>
          <w:color w:val="auto"/>
        </w:rPr>
        <w:t>Dated: February 23, 2021</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  /s/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14605</wp:posOffset>
            </wp:positionV>
            <wp:extent cx="24428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Archie C. Black</w:t>
      </w:r>
    </w:p>
    <w:p>
      <w:pPr>
        <w:spacing w:after="0" w:line="49" w:lineRule="exact"/>
        <w:rPr>
          <w:sz w:val="20"/>
          <w:szCs w:val="20"/>
          <w:color w:val="auto"/>
        </w:rPr>
      </w:pPr>
    </w:p>
    <w:p>
      <w:pPr>
        <w:ind w:left="69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66" w:lineRule="exact"/>
        <w:rPr>
          <w:sz w:val="20"/>
          <w:szCs w:val="20"/>
          <w:color w:val="auto"/>
        </w:rPr>
      </w:pPr>
    </w:p>
    <w:p>
      <w:pPr>
        <w:ind w:right="20" w:firstLine="538"/>
        <w:spacing w:after="0" w:line="272" w:lineRule="auto"/>
        <w:rPr>
          <w:sz w:val="20"/>
          <w:szCs w:val="20"/>
          <w:color w:val="auto"/>
        </w:rPr>
      </w:pPr>
      <w:r>
        <w:rPr>
          <w:rFonts w:ascii="Arial" w:cs="Arial" w:eastAsia="Arial" w:hAnsi="Arial"/>
          <w:sz w:val="17"/>
          <w:szCs w:val="17"/>
          <w:color w:val="auto"/>
        </w:rPr>
        <w:t>Each of the undersigned hereby appoints Archie C. Black and Kimberly K. Nelson, and each of them (with full power to act alone), as attorneys and agents for the undersigned, with full power of substitution, for and in the name, place and stead of the undersigned, to sign and file with the Securities and Exchange Commission under the Securities Exchange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February 23,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Name and Signature</w:t>
            </w: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80" w:type="dxa"/>
            <w:vAlign w:val="bottom"/>
            <w:gridSpan w:val="3"/>
          </w:tcPr>
          <w:p>
            <w:pPr>
              <w:ind w:left="80"/>
              <w:spacing w:after="0"/>
              <w:rPr>
                <w:sz w:val="20"/>
                <w:szCs w:val="20"/>
                <w:color w:val="auto"/>
              </w:rPr>
            </w:pPr>
            <w:r>
              <w:rPr>
                <w:rFonts w:ascii="Arial" w:cs="Arial" w:eastAsia="Arial" w:hAnsi="Arial"/>
                <w:sz w:val="14"/>
                <w:szCs w:val="14"/>
                <w:b w:val="1"/>
                <w:bCs w:val="1"/>
                <w:color w:val="auto"/>
              </w:rPr>
              <w:t>Title</w:t>
            </w:r>
          </w:p>
        </w:tc>
      </w:tr>
      <w:tr>
        <w:trPr>
          <w:trHeight w:val="20"/>
        </w:trPr>
        <w:tc>
          <w:tcPr>
            <w:tcW w:w="12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331"/>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ARCHIE C. BLACK</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Chief Executive Officer, President and 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(principal executive officer)</w:t>
            </w: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KIMBERLY K. NELSON</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MARTIN J. LEESTMA</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Martin J. Leestma</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B. RAMSEY</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James B. Ramsey</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MARTY M. RÉAUME</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Marty M. Réaume</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TAMI L. RELLER</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Tami L. Reller</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PHILIP E. SORAN</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Philip E. Soran</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ANNE SEMPOWSKI WARD</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Anne Sempowski Ward</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323"/>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SVEN A. WEHRWEIN</w:t>
            </w: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3920" w:type="dxa"/>
            <w:vAlign w:val="bottom"/>
            <w:gridSpan w:val="2"/>
          </w:tcPr>
          <w:p>
            <w:pPr>
              <w:spacing w:after="0"/>
              <w:rPr>
                <w:sz w:val="20"/>
                <w:szCs w:val="20"/>
                <w:color w:val="auto"/>
              </w:rPr>
            </w:pPr>
            <w:r>
              <w:rPr>
                <w:rFonts w:ascii="Arial" w:cs="Arial" w:eastAsia="Arial" w:hAnsi="Arial"/>
                <w:sz w:val="18"/>
                <w:szCs w:val="18"/>
                <w:color w:val="auto"/>
              </w:rPr>
              <w:t>Sven A. Wehrwein</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784"/>
        </w:trPr>
        <w:tc>
          <w:tcPr>
            <w:tcW w:w="3920" w:type="dxa"/>
            <w:vAlign w:val="bottom"/>
            <w:gridSpan w:val="2"/>
          </w:tcPr>
          <w:p>
            <w:pPr>
              <w:ind w:left="480"/>
              <w:spacing w:after="0"/>
              <w:rPr>
                <w:sz w:val="20"/>
                <w:szCs w:val="20"/>
                <w:color w:val="auto"/>
              </w:rPr>
            </w:pPr>
            <w:r>
              <w:rPr>
                <w:rFonts w:ascii="Arial" w:cs="Arial" w:eastAsia="Arial" w:hAnsi="Arial"/>
                <w:sz w:val="14"/>
                <w:szCs w:val="14"/>
                <w:b w:val="1"/>
                <w:bCs w:val="1"/>
                <w:color w:val="auto"/>
              </w:rPr>
              <w:t>SPS COMMERCE, INC.</w:t>
            </w:r>
          </w:p>
        </w:tc>
        <w:tc>
          <w:tcPr>
            <w:tcW w:w="1740" w:type="dxa"/>
            <w:vAlign w:val="bottom"/>
            <w:gridSpan w:val="2"/>
          </w:tcPr>
          <w:p>
            <w:pPr>
              <w:jc w:val="right"/>
              <w:ind w:right="80"/>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0" w:type="dxa"/>
            <w:vAlign w:val="bottom"/>
          </w:tcPr>
          <w:p>
            <w:pPr>
              <w:ind w:left="2220"/>
              <w:spacing w:after="0"/>
              <w:rPr>
                <w:sz w:val="20"/>
                <w:szCs w:val="20"/>
                <w:color w:val="auto"/>
              </w:rPr>
            </w:pPr>
            <w:r>
              <w:rPr>
                <w:rFonts w:ascii="Arial" w:cs="Arial" w:eastAsia="Arial" w:hAnsi="Arial"/>
                <w:sz w:val="12"/>
                <w:szCs w:val="12"/>
                <w:b w:val="1"/>
                <w:bCs w:val="1"/>
                <w:color w:val="auto"/>
                <w:w w:val="88"/>
              </w:rPr>
              <w:t>Form 10-K for the Annual Period ended December 31,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05740" cy="205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The summary of the general terms and provisions of the capital stock of SPS Commerce, Inc. (the “</w:t>
      </w:r>
      <w:r>
        <w:rPr>
          <w:rFonts w:ascii="Arial" w:cs="Arial" w:eastAsia="Arial" w:hAnsi="Arial"/>
          <w:sz w:val="18"/>
          <w:szCs w:val="18"/>
          <w:u w:val="single" w:color="auto"/>
          <w:color w:val="auto"/>
        </w:rPr>
        <w:t>Company</w:t>
      </w:r>
      <w:r>
        <w:rPr>
          <w:rFonts w:ascii="Arial" w:cs="Arial" w:eastAsia="Arial" w:hAnsi="Arial"/>
          <w:sz w:val="18"/>
          <w:szCs w:val="18"/>
          <w:color w:val="auto"/>
        </w:rPr>
        <w:t>”) set forth below does not purport to be complete and is subject to and qualified by reference to the Company’s Ninth Amended and Restated Certificate of Incorporation (the “</w:t>
      </w:r>
      <w:r>
        <w:rPr>
          <w:rFonts w:ascii="Arial" w:cs="Arial" w:eastAsia="Arial" w:hAnsi="Arial"/>
          <w:sz w:val="18"/>
          <w:szCs w:val="18"/>
          <w:u w:val="single" w:color="auto"/>
          <w:color w:val="auto"/>
        </w:rPr>
        <w:t>Certificate</w:t>
      </w:r>
      <w:r>
        <w:rPr>
          <w:rFonts w:ascii="Arial" w:cs="Arial" w:eastAsia="Arial" w:hAnsi="Arial"/>
          <w:sz w:val="18"/>
          <w:szCs w:val="18"/>
          <w:color w:val="auto"/>
        </w:rPr>
        <w:t>”), and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and together with the Certificate, the “</w:t>
      </w:r>
      <w:r>
        <w:rPr>
          <w:rFonts w:ascii="Arial" w:cs="Arial" w:eastAsia="Arial" w:hAnsi="Arial"/>
          <w:sz w:val="18"/>
          <w:szCs w:val="18"/>
          <w:u w:val="single" w:color="auto"/>
          <w:color w:val="auto"/>
        </w:rPr>
        <w:t>Charter Documents</w:t>
      </w:r>
      <w:r>
        <w:rPr>
          <w:rFonts w:ascii="Arial" w:cs="Arial" w:eastAsia="Arial" w:hAnsi="Arial"/>
          <w:sz w:val="18"/>
          <w:szCs w:val="18"/>
          <w:color w:val="auto"/>
        </w:rPr>
        <w:t>”), each of which is incorporated herein by reference and attached as an exhibit to the Company’s most recent Annual Report on Form 10-K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For additional information, please read the Company’s Charter Documents and the applicable provisions of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6"/>
          <w:szCs w:val="16"/>
          <w:color w:val="auto"/>
        </w:rPr>
        <w:t>The Company is authorized to issue up to 110,000,000 shares of common stock, par value $0.001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5,000,000 shares of preferred stock, par value $0.001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is authorized at any time and from time to time, subject to any limitations prescribed by law, to provide for the issuance of Preferred Stock in one or more series, and by filing a certificate pursuant to the applicable law of the State of Delaware, to establish from time to time the number of shares to be included in each such series, and to fix by resolution the designation, powers, preferences and rights of the shares of such series and any qualifications, limitations or restrictions thereof. The number of authorized shares of Preferred Stock may be increased or decreased (but not below the number of shares thereof then outstanding) by the affirmative vote of the holders of a majority of the Common Stock, without a vote of the holders of the Preferred Stock, or of any series thereof, unless a vote of any such holders is required pursuant to the certificate or certificates establishing the series of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The holders of shares of the Common Stock are entitled to one vote per share for each share of Common Stock owned of record on all matters submitted to a vote of stockholders, including, but not limited to, the election of directors. All matters submitted to a vote of stockholders at a meeting of the stockholders shall be decided by a majority vote of the number of shares entitled to vote represented at the meeting, in person or by proxy, except as otherwise provided by law, the Certificate or the Bylaws. Subject to the rights of the holders of any series of Preferred Stock to elect directors under specified circumstances, each director shall be elected by the vote of a majority of the votes cast with respect to that director nominee at any meeting of stockholders for the election of directors at which a quorum is present, provided that if the number of nominees exceeds the number of directors to be elected, the directors shall be elected by the vote of a plurality of the shares represented in person or by proxy at any such meeting and entitled to vote on the election of directors. The Common Stock does not have cumulative voting rights.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Subject to the rights of the holders of Preferred Stock and any other class or series having a preference as to dividends over the Common Stock then outstanding, the holders of the Common Stock are entitled to receive, to the extent permitted by law, such dividends as may be declared from time to time by the Board upon the terms and conditions provided by law and the Certificate.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ind w:right="20" w:firstLine="864"/>
        <w:spacing w:after="0" w:line="308" w:lineRule="auto"/>
        <w:rPr>
          <w:sz w:val="20"/>
          <w:szCs w:val="20"/>
          <w:color w:val="auto"/>
        </w:rPr>
      </w:pPr>
      <w:r>
        <w:rPr>
          <w:rFonts w:ascii="Arial" w:cs="Arial" w:eastAsia="Arial" w:hAnsi="Arial"/>
          <w:sz w:val="17"/>
          <w:szCs w:val="17"/>
          <w:color w:val="auto"/>
        </w:rPr>
        <w:t>Upon the voluntary or involuntary liquidation, dissolution, distribution of assets or winding-up of the Company, the holders of the Common Stock are entitled to share ratably in all assets remaining after payment of liabilities and the liquidation preferences of any Preferred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 and Preferences</w:t>
      </w:r>
    </w:p>
    <w:p>
      <w:pPr>
        <w:spacing w:after="0" w:line="225"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Our Common Stock has no sinking fund or redemption provisions or preemptive, conversion or exchange rights. The absence of preemptive rights could result in a dilution of the interest of investors should additional capital stock be issued. Holders of Common Stock may not act by written consent in lieu of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476885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currently traded on the Nasdaq Stock Market under the symbol “SPSC.”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Anti-Takeover Effects</w:t>
      </w:r>
    </w:p>
    <w:p>
      <w:pPr>
        <w:spacing w:after="0" w:line="16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Some provisions of our Charter Documents may have the effect of making it more difficult for a third party to acquire, or of discouraging a third party from attempting to acquire control of the Company. This could limit the price that certain investors might be willing to pay in the future for our Common Stock.</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Among other things, our Charter Documents:</w:t>
      </w:r>
    </w:p>
    <w:p>
      <w:pPr>
        <w:spacing w:after="0" w:line="158"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allow the Company to issue Preferred Stock without any vote or further action by our stockholders;</w:t>
      </w:r>
    </w:p>
    <w:p>
      <w:pPr>
        <w:spacing w:after="0" w:line="252"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eliminate the ability of stockholders to act by written consent without a meeting; and</w:t>
      </w:r>
    </w:p>
    <w:p>
      <w:pPr>
        <w:spacing w:after="0" w:line="25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allow the Company to specify procedures for director nominations by stockholders and submission of other proposals for consideration at stockholder meetings.</w:t>
      </w:r>
    </w:p>
    <w:p>
      <w:pPr>
        <w:spacing w:after="0" w:line="10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subject to provisions of Delaware law that could also delay or make more difficult a merger, tender offer or proxy contest involving the Company. In particular, Section 203 of the DGCL prohibits a Delaware corporation from engaging in any business combination with any interested stockholder for a period of three years from such interested stockholder’s acquisition (together with affiliates or associates) of 15% of more of our voting stock unless the transaction meets certain conditions.</w:t>
      </w:r>
    </w:p>
    <w:p>
      <w:pPr>
        <w:spacing w:after="0" w:line="11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 possible issuance of Preferred Stock, the procedures required for director nominations and stockholder proposals and Delaware law could have the effect of delaying, deferring or preventing a change in control of the Company, including without limitation discouraging a proxy contest or making more difficult the acquisition of a substantial block of the Company’s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35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List of SPS Commerce, Inc. Subsidiaries</w:t>
      </w:r>
    </w:p>
    <w:p>
      <w:pPr>
        <w:sectPr>
          <w:pgSz w:w="11900" w:h="16838" w:orient="portrait"/>
          <w:cols w:equalWidth="0" w:num="1">
            <w:col w:w="10840"/>
          </w:cols>
          <w:pgMar w:left="320" w:top="364" w:right="7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Company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 or Other Jurisdiction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Incorporation/Organization</w:t>
      </w:r>
    </w:p>
    <w:p>
      <w:pPr>
        <w:spacing w:after="0" w:line="200" w:lineRule="exact"/>
        <w:rPr>
          <w:sz w:val="20"/>
          <w:szCs w:val="20"/>
          <w:color w:val="auto"/>
        </w:rPr>
      </w:pPr>
    </w:p>
    <w:p>
      <w:pPr>
        <w:sectPr>
          <w:pgSz w:w="11900" w:h="16838" w:orient="portrait"/>
          <w:cols w:equalWidth="0" w:num="2">
            <w:col w:w="6500" w:space="720"/>
            <w:col w:w="3620"/>
          </w:cols>
          <w:pgMar w:left="320" w:top="364" w:right="7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SPS Commerce Australia Pty Ltd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SPS Commerce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SPS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SPS Ukraine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SPS Commerce Canada,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SPS Commerce Netherlands B.V.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SPS Commerce Ireland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Masons Software, LLC</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ectPr>
          <w:pgSz w:w="11900" w:h="16838" w:orient="portrait"/>
          <w:cols w:equalWidth="0" w:num="2">
            <w:col w:w="6500" w:space="720"/>
            <w:col w:w="3620"/>
          </w:cols>
          <w:pgMar w:left="320" w:top="364" w:right="739"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21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statements on Form S-3 (Nos. 333-192392, 333-182097 and 333-174026) and on Form S-8 (Nos. 333-236671, 333-229838, 333-222438, 333-222435, 333-216288, 333-209721, 333-201673, 333-193544, 333-185972, 333-182007, 333-179236, 333-172073, 333-167315 and 333-167314) of SPS Commerce, Inc. of our report dated February 23, 2021, with respect to the consolidated balance sheets of SPS Commerce, Inc. and subsidiaries as of December 31, 2020 and 2019, and the related consolidated statements of comprehensive income, stockholders’ equity and cash flows for each of the years in the three-year period ended December 31, 2020, and the related notes (collectively, the consolidated financial statements), and the effectiveness of internal control over financial reporting as of December 31, 2020, which reports appear in the December 31, 2020 annual report on Form 10-K of SPS Commerce, Inc.</w:t>
      </w:r>
    </w:p>
    <w:p>
      <w:pPr>
        <w:spacing w:after="0" w:line="17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Our report dated February 23, 2021 on the consolidated financial statements refers to a change in the method of accounting for leases on January 1, 2019, due to the adoption of Financial Accounting Standards Board’s Accounting Standards codification (ASC) Topic 842,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report dated February 23, 2021 on the effectiveness of internal control over financial reporting as of December 31, 2020, contains an explanatory paragraph that states management acquired the Data Masons business during 2020, and has excluded from its assessment of the effectiveness of internal control over financial reporting as of December 31, 2020, Data Masons’ internal control over financial reporting associated with approximately three percent of total assets and less than one percent of total revenues in the consolidated financial statements of SPS Commerce, Inc. as of and for the year ended December 31, 2020. Our audit of internal control over financial reporting of SPS Commerce, Inc. also excluded an evaluation of the internal control over financial reporting of the Data Masons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238" w:lineRule="exact"/>
        <w:rPr>
          <w:rFonts w:ascii="Arial" w:cs="Arial" w:eastAsia="Arial" w:hAnsi="Arial"/>
          <w:sz w:val="18"/>
          <w:szCs w:val="18"/>
          <w:color w:val="auto"/>
        </w:rPr>
      </w:pPr>
    </w:p>
    <w:p>
      <w:pPr>
        <w:jc w:val="both"/>
        <w:ind w:left="880" w:right="160" w:hanging="440"/>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right="140" w:hanging="440"/>
        <w:spacing w:after="0" w:line="342"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880" w:right="40" w:hanging="440"/>
        <w:spacing w:after="0" w:line="29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740" w:right="60" w:hanging="436"/>
        <w:spacing w:after="0" w:line="286" w:lineRule="auto"/>
        <w:tabs>
          <w:tab w:leader="none" w:pos="17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40" w:right="440" w:hanging="436"/>
        <w:spacing w:after="0" w:line="286" w:lineRule="auto"/>
        <w:tabs>
          <w:tab w:leader="none" w:pos="17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740" w:hanging="436"/>
        <w:spacing w:after="0" w:line="263" w:lineRule="auto"/>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740" w:right="60" w:hanging="436"/>
        <w:spacing w:after="0" w:line="286" w:lineRule="auto"/>
        <w:tabs>
          <w:tab w:leader="none" w:pos="17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180" w:hanging="440"/>
        <w:spacing w:after="0" w:line="342"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40" w:hanging="436"/>
        <w:spacing w:after="0" w:line="277" w:lineRule="auto"/>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238" w:lineRule="exact"/>
        <w:rPr>
          <w:rFonts w:ascii="Arial" w:cs="Arial" w:eastAsia="Arial" w:hAnsi="Arial"/>
          <w:sz w:val="18"/>
          <w:szCs w:val="18"/>
          <w:color w:val="auto"/>
        </w:rPr>
      </w:pPr>
    </w:p>
    <w:p>
      <w:pPr>
        <w:jc w:val="both"/>
        <w:ind w:left="880" w:right="160" w:hanging="440"/>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right="140" w:hanging="440"/>
        <w:spacing w:after="0" w:line="342"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880" w:right="40" w:hanging="440"/>
        <w:spacing w:after="0" w:line="291"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740" w:right="60" w:hanging="436"/>
        <w:spacing w:after="0" w:line="286" w:lineRule="auto"/>
        <w:tabs>
          <w:tab w:leader="none" w:pos="17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40" w:right="440" w:hanging="436"/>
        <w:spacing w:after="0" w:line="286" w:lineRule="auto"/>
        <w:tabs>
          <w:tab w:leader="none" w:pos="17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740" w:hanging="436"/>
        <w:spacing w:after="0" w:line="263" w:lineRule="auto"/>
        <w:tabs>
          <w:tab w:leader="none" w:pos="1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740" w:right="60" w:hanging="436"/>
        <w:spacing w:after="0" w:line="286" w:lineRule="auto"/>
        <w:tabs>
          <w:tab w:leader="none" w:pos="17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180" w:hanging="440"/>
        <w:spacing w:after="0" w:line="342"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40" w:hanging="436"/>
        <w:spacing w:after="0" w:line="277" w:lineRule="auto"/>
        <w:tabs>
          <w:tab w:leader="none" w:pos="1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864"/>
        <w:spacing w:after="0" w:line="259" w:lineRule="auto"/>
        <w:rPr>
          <w:sz w:val="20"/>
          <w:szCs w:val="20"/>
          <w:color w:val="auto"/>
        </w:rPr>
      </w:pPr>
      <w:r>
        <w:rPr>
          <w:rFonts w:ascii="Arial" w:cs="Arial" w:eastAsia="Arial" w:hAnsi="Arial"/>
          <w:sz w:val="18"/>
          <w:szCs w:val="18"/>
          <w:color w:val="auto"/>
        </w:rPr>
        <w:t>In connection with the Annual Report on Form 10-K of SPS Commerce, Inc. (the “Company”) for the period ended December 31, 2020,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187" w:lineRule="exact"/>
        <w:rPr>
          <w:sz w:val="20"/>
          <w:szCs w:val="20"/>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right="280" w:hanging="44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emdash "/>
      <w:numFmt w:val="bullet"/>
      <w:start w:val="1"/>
    </w:lvl>
  </w:abstractNum>
  <w:abstractNum w:abstractNumId="21">
    <w:nsid w:val="2CA88611"/>
    <w:multiLevelType w:val="hybridMultilevel"/>
    <w:lvl w:ilvl="0">
      <w:lvlJc w:val="left"/>
      <w:lvlText w:val="\emdash "/>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3"/>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jpeg"/><Relationship Id="rId185" Type="http://schemas.openxmlformats.org/officeDocument/2006/relationships/image" Target="media/image158.jpe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jpeg"/><Relationship Id="rId189" Type="http://schemas.openxmlformats.org/officeDocument/2006/relationships/image" Target="media/image162.png"/><Relationship Id="rId162" Type="http://schemas.openxmlformats.org/officeDocument/2006/relationships/hyperlink" Target="http://www.sec.gov/Archives/edgar/data/1092699/000119312520319557/d45407dex21.htm" TargetMode="External"/><Relationship Id="rId163" Type="http://schemas.openxmlformats.org/officeDocument/2006/relationships/hyperlink" Target="http://www.sec.gov/Archives/edgar/data/1092699/000119312520148645/d833455dex32.htm" TargetMode="External"/><Relationship Id="rId164" Type="http://schemas.openxmlformats.org/officeDocument/2006/relationships/hyperlink" Target="http://www.sec.gov/Archives/edgar/data/1092699/000119312517311896/d430310dex31.htm" TargetMode="External"/><Relationship Id="rId165" Type="http://schemas.openxmlformats.org/officeDocument/2006/relationships/hyperlink" Target="http://www.sec.gov/Archives/edgar/data/1092699/000095012310001751/c54716a1exv10w3.htm" TargetMode="External"/><Relationship Id="rId166" Type="http://schemas.openxmlformats.org/officeDocument/2006/relationships/hyperlink" Target="http://www.sec.gov/Archives/edgar/data/1092699/000095012310001751/c54716a1exv10w4.htm" TargetMode="External"/><Relationship Id="rId167" Type="http://schemas.openxmlformats.org/officeDocument/2006/relationships/hyperlink" Target="http://www.sec.gov/Archives/edgar/data/1092699/000095012310001751/c54716a1exv10w5.htm" TargetMode="External"/><Relationship Id="rId168" Type="http://schemas.openxmlformats.org/officeDocument/2006/relationships/hyperlink" Target="http://www.sec.gov/Archives/edgar/data/1092699/000119312515056499/d845442dex106.htm" TargetMode="External"/><Relationship Id="rId169" Type="http://schemas.openxmlformats.org/officeDocument/2006/relationships/hyperlink" Target="http://www.sec.gov/Archives/edgar/data/1092699/000119312512067639/d303784dex102.htm" TargetMode="External"/><Relationship Id="rId170" Type="http://schemas.openxmlformats.org/officeDocument/2006/relationships/hyperlink" Target="http://www.sec.gov/Archives/edgar/data/1092699/000119312512067639/d303784dex103.htm" TargetMode="External"/><Relationship Id="rId171" Type="http://schemas.openxmlformats.org/officeDocument/2006/relationships/hyperlink" Target="http://www.sec.gov/Archives/edgar/data/1092699/000119312512067639/d303784dex104.htm" TargetMode="External"/><Relationship Id="rId172" Type="http://schemas.openxmlformats.org/officeDocument/2006/relationships/hyperlink" Target="http://www.sec.gov/Archives/edgar/data/1092699/000119312517045225/d348307dex992.htm" TargetMode="External"/><Relationship Id="rId173" Type="http://schemas.openxmlformats.org/officeDocument/2006/relationships/hyperlink" Target="http://www.sec.gov/Archives/edgar/data/1092699/000119312512218022/d343890dex106.htm" TargetMode="External"/><Relationship Id="rId174" Type="http://schemas.openxmlformats.org/officeDocument/2006/relationships/hyperlink" Target="http://www.sec.gov/Archives/edgar/data/1092699/000119312518034816/d525819dex101.htm" TargetMode="External"/><Relationship Id="rId175" Type="http://schemas.openxmlformats.org/officeDocument/2006/relationships/hyperlink" Target="http://www.sec.gov/Archives/edgar/data/1092699/000156459019013342/spsc-ex102_266.htm" TargetMode="External"/><Relationship Id="rId176" Type="http://schemas.openxmlformats.org/officeDocument/2006/relationships/hyperlink" Target="http://www.sec.gov/Archives/edgar/data/1092699/000095012310001751/c54716a1exv10w18.htm" TargetMode="External"/><Relationship Id="rId177" Type="http://schemas.openxmlformats.org/officeDocument/2006/relationships/hyperlink" Target="http://www.sec.gov/Archives/edgar/data/1092699/000095012310001751/c54716a1exv10w19.htm" TargetMode="External"/><Relationship Id="rId181" Type="http://schemas.openxmlformats.org/officeDocument/2006/relationships/hyperlink" Target="http://www.sec.gov/Archives/edgar/data/1092699/000119312516449360/d113029dex102.htm" TargetMode="External"/><Relationship Id="rId182" Type="http://schemas.openxmlformats.org/officeDocument/2006/relationships/hyperlink" Target="http://www.sec.gov/Archives/edgar/data/0001092699/000119312520040291/d890301dex101.htm" TargetMode="External"/><Relationship Id="rId183" Type="http://schemas.openxmlformats.org/officeDocument/2006/relationships/hyperlink" Target="http://www.sec.gov/Archives/edgar/data/0001092699/000119312520040291/d890301dex102.htm" TargetMode="External"/><Relationship Id="rId184" Type="http://schemas.openxmlformats.org/officeDocument/2006/relationships/hyperlink" Target="http://www.sec.gov/Archives/edgar/data/0001092699/000156459020020182/spsc-ex103_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2021-02-23T15:58:49Z</dcterms:created>
  <dcterms:modified xsi:type="dcterms:W3CDTF">2021-02-23T15:58:49Z</dcterms:modified>
</cp:coreProperties>
</file>