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Fiscal Year Ended: December 31, 2010</w:t>
      </w:r>
    </w:p>
    <w:p>
      <w:pPr>
        <w:spacing w:after="0" w:line="6"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6" w:lineRule="exact"/>
        <w:rPr>
          <w:sz w:val="20"/>
          <w:szCs w:val="20"/>
          <w:color w:val="auto"/>
        </w:rPr>
      </w:pPr>
    </w:p>
    <w:p>
      <w:pPr>
        <w:ind w:left="1420"/>
        <w:spacing w:after="0"/>
        <w:tabs>
          <w:tab w:leader="none" w:pos="348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Commission file number 001-34702</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SPS COMMERCE, INC.</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4" w:lineRule="exact"/>
        <w:rPr>
          <w:sz w:val="20"/>
          <w:szCs w:val="20"/>
          <w:color w:val="auto"/>
        </w:rPr>
      </w:pPr>
    </w:p>
    <w:p>
      <w:pPr>
        <w:ind w:left="278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41-2015127</w:t>
      </w:r>
    </w:p>
    <w:p>
      <w:pPr>
        <w:spacing w:after="0" w:line="31" w:lineRule="exact"/>
        <w:rPr>
          <w:sz w:val="20"/>
          <w:szCs w:val="20"/>
          <w:color w:val="auto"/>
        </w:rPr>
      </w:pPr>
    </w:p>
    <w:p>
      <w:pPr>
        <w:sectPr>
          <w:pgSz w:w="11900" w:h="16838" w:orient="portrait"/>
          <w:cols w:equalWidth="0" w:num="2">
            <w:col w:w="7440" w:space="720"/>
            <w:col w:w="2960"/>
          </w:cols>
          <w:pgMar w:left="220" w:top="127" w:right="559" w:bottom="1440" w:gutter="0" w:footer="0" w:header="0"/>
          <w:type w:val="continuous"/>
        </w:sectPr>
      </w:pPr>
    </w:p>
    <w:p>
      <w:pPr>
        <w:spacing w:after="0" w:line="11" w:lineRule="exact"/>
        <w:rPr>
          <w:sz w:val="20"/>
          <w:szCs w:val="20"/>
          <w:color w:val="auto"/>
        </w:rPr>
      </w:pPr>
    </w:p>
    <w:p>
      <w:pPr>
        <w:ind w:left="2420"/>
        <w:spacing w:after="0"/>
        <w:rPr>
          <w:sz w:val="20"/>
          <w:szCs w:val="20"/>
          <w:color w:val="auto"/>
        </w:rPr>
      </w:pPr>
      <w:r>
        <w:rPr>
          <w:rFonts w:ascii="Arial" w:cs="Arial" w:eastAsia="Arial" w:hAnsi="Arial"/>
          <w:sz w:val="9"/>
          <w:szCs w:val="9"/>
          <w:i w:val="1"/>
          <w:iCs w:val="1"/>
          <w:color w:val="auto"/>
        </w:rPr>
        <w:t>(State or Other Jurisdiction of</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0"/>
          <w:szCs w:val="10"/>
          <w:i w:val="1"/>
          <w:iCs w:val="1"/>
          <w:color w:val="auto"/>
        </w:rPr>
        <w:t>(I.R.S. Employer</w:t>
      </w:r>
    </w:p>
    <w:p>
      <w:pPr>
        <w:jc w:val="center"/>
        <w:ind w:right="2260"/>
        <w:spacing w:after="0"/>
        <w:rPr>
          <w:sz w:val="20"/>
          <w:szCs w:val="20"/>
          <w:color w:val="auto"/>
        </w:rPr>
      </w:pPr>
      <w:r>
        <w:rPr>
          <w:rFonts w:ascii="Arial" w:cs="Arial" w:eastAsia="Arial" w:hAnsi="Arial"/>
          <w:sz w:val="9"/>
          <w:szCs w:val="9"/>
          <w:i w:val="1"/>
          <w:iCs w:val="1"/>
          <w:color w:val="auto"/>
        </w:rPr>
        <w:t>Identification No.)</w:t>
      </w:r>
    </w:p>
    <w:p>
      <w:pPr>
        <w:spacing w:after="0" w:line="46" w:lineRule="exact"/>
        <w:rPr>
          <w:sz w:val="20"/>
          <w:szCs w:val="20"/>
          <w:color w:val="auto"/>
        </w:rPr>
      </w:pPr>
    </w:p>
    <w:p>
      <w:pPr>
        <w:sectPr>
          <w:pgSz w:w="11900" w:h="16838" w:orient="portrait"/>
          <w:cols w:equalWidth="0" w:num="2">
            <w:col w:w="7380" w:space="720"/>
            <w:col w:w="302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1"/>
          <w:szCs w:val="11"/>
          <w:b w:val="1"/>
          <w:bCs w:val="1"/>
          <w:color w:val="auto"/>
        </w:rPr>
        <w:t>333 South Seventh Street, Suite 1000, Minneapolis, MN 55402</w:t>
      </w:r>
    </w:p>
    <w:p>
      <w:pPr>
        <w:spacing w:after="0" w:line="38"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(Address of Principal Executive Offices, Including Zip Code)</w:t>
      </w:r>
    </w:p>
    <w:p>
      <w:pPr>
        <w:jc w:val="center"/>
        <w:ind w:right="-359"/>
        <w:spacing w:after="0"/>
        <w:rPr>
          <w:sz w:val="20"/>
          <w:szCs w:val="20"/>
          <w:color w:val="auto"/>
        </w:rPr>
      </w:pPr>
      <w:r>
        <w:rPr>
          <w:rFonts w:ascii="Arial" w:cs="Arial" w:eastAsia="Arial" w:hAnsi="Arial"/>
          <w:sz w:val="13"/>
          <w:szCs w:val="13"/>
          <w:b w:val="1"/>
          <w:bCs w:val="1"/>
          <w:color w:val="auto"/>
        </w:rPr>
        <w:t>(612) 435-9400</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(Registrant’s Telephone Number, Including Area Code)</w:t>
      </w:r>
    </w:p>
    <w:p>
      <w:pPr>
        <w:jc w:val="center"/>
        <w:ind w:right="-35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120"/>
          </w:cols>
          <w:pgMar w:left="220" w:top="127" w:right="559" w:bottom="1440" w:gutter="0" w:footer="0" w:header="0"/>
          <w:type w:val="continuous"/>
        </w:sectPr>
      </w:pPr>
    </w:p>
    <w:p>
      <w:pPr>
        <w:spacing w:after="0" w:line="60" w:lineRule="exact"/>
        <w:rPr>
          <w:sz w:val="20"/>
          <w:szCs w:val="20"/>
          <w:color w:val="auto"/>
        </w:rPr>
      </w:pPr>
    </w:p>
    <w:p>
      <w:pPr>
        <w:ind w:left="3020"/>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Name of Each Exchange on Which Registered)</w:t>
      </w:r>
    </w:p>
    <w:p>
      <w:pPr>
        <w:spacing w:after="0" w:line="72" w:lineRule="exact"/>
        <w:rPr>
          <w:sz w:val="20"/>
          <w:szCs w:val="20"/>
          <w:color w:val="auto"/>
        </w:rPr>
      </w:pPr>
    </w:p>
    <w:p>
      <w:pPr>
        <w:sectPr>
          <w:pgSz w:w="11900" w:h="16838" w:orient="portrait"/>
          <w:cols w:equalWidth="0" w:num="2">
            <w:col w:w="7740" w:space="720"/>
            <w:col w:w="2660"/>
          </w:cols>
          <w:pgMar w:left="220" w:top="127" w:right="559" w:bottom="1440" w:gutter="0" w:footer="0" w:header="0"/>
          <w:type w:val="continuous"/>
        </w:sectPr>
      </w:pPr>
    </w:p>
    <w:p>
      <w:pPr>
        <w:ind w:left="1920"/>
        <w:spacing w:after="0"/>
        <w:rPr>
          <w:sz w:val="20"/>
          <w:szCs w:val="20"/>
          <w:color w:val="auto"/>
        </w:rPr>
      </w:pPr>
      <w:r>
        <w:rPr>
          <w:rFonts w:ascii="Arial" w:cs="Arial" w:eastAsia="Arial" w:hAnsi="Arial"/>
          <w:sz w:val="11"/>
          <w:szCs w:val="11"/>
          <w:color w:val="auto"/>
        </w:rPr>
        <w:t>Common stock, par value $0.001 per share</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1"/>
          <w:szCs w:val="11"/>
          <w:color w:val="auto"/>
        </w:rPr>
        <w:t>The Nasdaq Stock Market LLC</w:t>
      </w:r>
    </w:p>
    <w:p>
      <w:pPr>
        <w:spacing w:after="0" w:line="38" w:lineRule="exact"/>
        <w:rPr>
          <w:sz w:val="20"/>
          <w:szCs w:val="20"/>
          <w:color w:val="auto"/>
        </w:rPr>
      </w:pPr>
    </w:p>
    <w:p>
      <w:pPr>
        <w:jc w:val="center"/>
        <w:ind w:right="1820"/>
        <w:spacing w:after="0"/>
        <w:rPr>
          <w:sz w:val="20"/>
          <w:szCs w:val="20"/>
          <w:color w:val="auto"/>
        </w:rPr>
      </w:pPr>
      <w:r>
        <w:rPr>
          <w:rFonts w:ascii="Arial" w:cs="Arial" w:eastAsia="Arial" w:hAnsi="Arial"/>
          <w:sz w:val="13"/>
          <w:szCs w:val="13"/>
          <w:color w:val="auto"/>
        </w:rPr>
        <w:t>(Nasdaq Global Market)</w:t>
      </w:r>
    </w:p>
    <w:p>
      <w:pPr>
        <w:spacing w:after="0" w:line="45" w:lineRule="exact"/>
        <w:rPr>
          <w:sz w:val="20"/>
          <w:szCs w:val="20"/>
          <w:color w:val="auto"/>
        </w:rPr>
      </w:pPr>
    </w:p>
    <w:p>
      <w:pPr>
        <w:sectPr>
          <w:pgSz w:w="11900" w:h="16838" w:orient="portrait"/>
          <w:cols w:equalWidth="0" w:num="2">
            <w:col w:w="6940" w:space="720"/>
            <w:col w:w="346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None</w:t>
      </w:r>
    </w:p>
    <w:p>
      <w:pPr>
        <w:spacing w:after="0" w:line="25" w:lineRule="exact"/>
        <w:rPr>
          <w:sz w:val="20"/>
          <w:szCs w:val="20"/>
          <w:color w:val="auto"/>
        </w:rPr>
      </w:pPr>
    </w:p>
    <w:p>
      <w:pPr>
        <w:ind w:left="660" w:right="3480"/>
        <w:spacing w:after="0" w:line="206"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o No </w:t>
      </w:r>
      <w:r>
        <w:rPr>
          <w:rFonts w:ascii="MS PGothic" w:cs="MS PGothic" w:eastAsia="MS PGothic" w:hAnsi="MS PGothic"/>
          <w:sz w:val="12"/>
          <w:szCs w:val="12"/>
          <w:color w:val="auto"/>
        </w:rPr>
        <w:t>☑</w:t>
      </w:r>
    </w:p>
    <w:p>
      <w:pPr>
        <w:spacing w:after="0" w:line="26" w:lineRule="exact"/>
        <w:rPr>
          <w:sz w:val="20"/>
          <w:szCs w:val="20"/>
          <w:color w:val="auto"/>
        </w:rPr>
      </w:pPr>
    </w:p>
    <w:p>
      <w:pPr>
        <w:ind w:left="340" w:right="1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6" w:lineRule="exact"/>
        <w:rPr>
          <w:sz w:val="20"/>
          <w:szCs w:val="20"/>
          <w:color w:val="auto"/>
        </w:rPr>
      </w:pPr>
    </w:p>
    <w:p>
      <w:pPr>
        <w:ind w:left="340" w:right="280" w:firstLine="324"/>
        <w:spacing w:after="0" w:line="345"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o No o</w:t>
      </w: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 w:lineRule="exact"/>
        <w:rPr>
          <w:sz w:val="20"/>
          <w:szCs w:val="20"/>
          <w:color w:val="auto"/>
        </w:rPr>
      </w:pPr>
    </w:p>
    <w:p>
      <w:pPr>
        <w:ind w:left="3900" w:hanging="5360"/>
        <w:spacing w:after="0" w:line="174" w:lineRule="exact"/>
        <w:tabs>
          <w:tab w:leader="none" w:pos="388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o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191"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93"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As of June 30, 2010, the last business day of the registrant’s most recently completed second fiscal quarter, the aggregate market value of shares of the registrant’s common stock held by non-affiliates of the registrant (based upon the closing sale price of $11.62 per share on the Nasdaq Global Market on such date) was approximately $68.9 million.</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the registrant’s common stock, par value $0.001 per share, outstanding as of February 23, 2011 was 11,871,781 shares.</w:t>
      </w:r>
    </w:p>
    <w:p>
      <w:pPr>
        <w:spacing w:after="0" w:line="5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340" w:right="500" w:firstLine="324"/>
        <w:spacing w:after="0" w:line="276" w:lineRule="auto"/>
        <w:rPr>
          <w:sz w:val="20"/>
          <w:szCs w:val="20"/>
          <w:color w:val="auto"/>
        </w:rPr>
      </w:pPr>
      <w:r>
        <w:rPr>
          <w:rFonts w:ascii="Arial" w:cs="Arial" w:eastAsia="Arial" w:hAnsi="Arial"/>
          <w:sz w:val="13"/>
          <w:szCs w:val="13"/>
          <w:color w:val="auto"/>
        </w:rPr>
        <w:t>Portions of the Company’s definitive Proxy Statement for the Annual Meeting of Stockholders to be held on May 17, 2011 (the “2011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40" w:type="dxa"/>
            <w:vAlign w:val="bottom"/>
            <w:gridSpan w:val="13"/>
          </w:tcPr>
          <w:p>
            <w:pPr>
              <w:jc w:val="center"/>
              <w:ind w:right="3960"/>
              <w:spacing w:after="0"/>
              <w:rPr>
                <w:sz w:val="20"/>
                <w:szCs w:val="20"/>
                <w:color w:val="auto"/>
              </w:rPr>
            </w:pPr>
            <w:r>
              <w:rPr>
                <w:rFonts w:ascii="Arial" w:cs="Arial" w:eastAsia="Arial" w:hAnsi="Arial"/>
                <w:sz w:val="13"/>
                <w:szCs w:val="13"/>
                <w:b w:val="1"/>
                <w:bCs w:val="1"/>
                <w:color w:val="auto"/>
                <w:w w:val="99"/>
              </w:rPr>
              <w:t>SPS COMMERCE, INC.</w:t>
            </w:r>
          </w:p>
        </w:tc>
        <w:tc>
          <w:tcPr>
            <w:tcW w:w="28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0" w:type="dxa"/>
            <w:vAlign w:val="bottom"/>
            <w:gridSpan w:val="14"/>
          </w:tcPr>
          <w:p>
            <w:pPr>
              <w:jc w:val="center"/>
              <w:ind w:right="3420"/>
              <w:spacing w:after="0"/>
              <w:rPr>
                <w:sz w:val="20"/>
                <w:szCs w:val="20"/>
                <w:color w:val="auto"/>
              </w:rPr>
            </w:pPr>
            <w:r>
              <w:rPr>
                <w:rFonts w:ascii="Arial" w:cs="Arial" w:eastAsia="Arial" w:hAnsi="Arial"/>
                <w:sz w:val="13"/>
                <w:szCs w:val="13"/>
                <w:b w:val="1"/>
                <w:bCs w:val="1"/>
                <w:color w:val="auto"/>
              </w:rPr>
              <w:t>ANNUAL REPORT ON FORM 10-K</w:t>
            </w:r>
          </w:p>
        </w:tc>
        <w:tc>
          <w:tcPr>
            <w:tcW w:w="28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60" w:type="dxa"/>
            <w:vAlign w:val="bottom"/>
            <w:gridSpan w:val="12"/>
          </w:tcPr>
          <w:p>
            <w:pPr>
              <w:jc w:val="center"/>
              <w:ind w:right="4160"/>
              <w:spacing w:after="0"/>
              <w:rPr>
                <w:sz w:val="20"/>
                <w:szCs w:val="20"/>
                <w:color w:val="auto"/>
              </w:rPr>
            </w:pPr>
            <w:r>
              <w:rPr>
                <w:rFonts w:ascii="Arial" w:cs="Arial" w:eastAsia="Arial" w:hAnsi="Arial"/>
                <w:sz w:val="13"/>
                <w:szCs w:val="13"/>
                <w:b w:val="1"/>
                <w:bCs w:val="1"/>
                <w:color w:val="auto"/>
                <w:w w:val="89"/>
              </w:rPr>
              <w:t>Table of Contents</w:t>
            </w:r>
          </w:p>
        </w:tc>
        <w:tc>
          <w:tcPr>
            <w:tcW w:w="28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9"/>
          </w:tcPr>
          <w:p>
            <w:pPr>
              <w:jc w:val="center"/>
              <w:ind w:right="45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280" w:type="dxa"/>
            <w:vAlign w:val="bottom"/>
          </w:tcPr>
          <w:p>
            <w:pPr>
              <w:spacing w:after="0"/>
              <w:rPr>
                <w:sz w:val="13"/>
                <w:szCs w:val="13"/>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900" w:type="dxa"/>
            <w:vAlign w:val="bottom"/>
            <w:gridSpan w:val="5"/>
          </w:tcPr>
          <w:p>
            <w:pPr>
              <w:spacing w:after="0"/>
              <w:rPr>
                <w:sz w:val="11"/>
                <w:szCs w:val="11"/>
                <w:color w:val="auto"/>
              </w:rPr>
            </w:pPr>
          </w:p>
        </w:tc>
        <w:tc>
          <w:tcPr>
            <w:tcW w:w="350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500" w:type="dxa"/>
            <w:vAlign w:val="bottom"/>
            <w:gridSpan w:val="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11">
              <w:r>
                <w:rPr>
                  <w:rFonts w:ascii="Arial" w:cs="Arial" w:eastAsia="Arial" w:hAnsi="Arial"/>
                  <w:sz w:val="13"/>
                  <w:szCs w:val="13"/>
                  <w:color w:val="0000EE"/>
                  <w:w w:val="94"/>
                </w:rPr>
                <w:t>Item 1A.</w:t>
              </w:r>
            </w:hyperlink>
          </w:p>
        </w:tc>
        <w:tc>
          <w:tcPr>
            <w:tcW w:w="800" w:type="dxa"/>
            <w:vAlign w:val="bottom"/>
            <w:gridSpan w:val="2"/>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1">
              <w:r>
                <w:rPr>
                  <w:rFonts w:ascii="Arial" w:cs="Arial" w:eastAsia="Arial" w:hAnsi="Arial"/>
                  <w:sz w:val="13"/>
                  <w:szCs w:val="13"/>
                  <w:color w:val="0000EE"/>
                  <w:w w:val="88"/>
                </w:rPr>
                <w:t>Risk Factors</w:t>
              </w:r>
            </w:hyperlink>
          </w:p>
        </w:tc>
        <w:tc>
          <w:tcPr>
            <w:tcW w:w="7760" w:type="dxa"/>
            <w:vAlign w:val="bottom"/>
            <w:gridSpan w:val="2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1B.</w:t>
              </w:r>
            </w:hyperlink>
          </w:p>
        </w:tc>
        <w:tc>
          <w:tcPr>
            <w:tcW w:w="842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137"/>
        </w:trPr>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2.</w:t>
              </w:r>
            </w:hyperlink>
          </w:p>
        </w:tc>
        <w:tc>
          <w:tcPr>
            <w:tcW w:w="80" w:type="dxa"/>
            <w:vAlign w:val="bottom"/>
            <w:tcBorders>
              <w:top w:val="single" w:sz="8" w:color="0000EE"/>
            </w:tcBorders>
            <w:gridSpan w:val="2"/>
          </w:tcPr>
          <w:p>
            <w:pPr>
              <w:spacing w:after="0"/>
              <w:rPr>
                <w:sz w:val="11"/>
                <w:szCs w:val="11"/>
                <w:color w:val="auto"/>
              </w:rPr>
            </w:pPr>
          </w:p>
        </w:tc>
        <w:tc>
          <w:tcPr>
            <w:tcW w:w="820" w:type="dxa"/>
            <w:vAlign w:val="bottom"/>
            <w:gridSpan w:val="3"/>
          </w:tcPr>
          <w:p>
            <w:pPr>
              <w:spacing w:after="0"/>
              <w:rPr>
                <w:sz w:val="11"/>
                <w:szCs w:val="11"/>
                <w:color w:val="auto"/>
              </w:rPr>
            </w:pPr>
          </w:p>
        </w:tc>
        <w:tc>
          <w:tcPr>
            <w:tcW w:w="148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Properties</w:t>
              </w:r>
            </w:hyperlink>
          </w:p>
        </w:tc>
        <w:tc>
          <w:tcPr>
            <w:tcW w:w="6940" w:type="dxa"/>
            <w:vAlign w:val="bottom"/>
            <w:gridSpan w:val="1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3.</w:t>
              </w:r>
            </w:hyperlink>
          </w:p>
        </w:tc>
        <w:tc>
          <w:tcPr>
            <w:tcW w:w="900" w:type="dxa"/>
            <w:vAlign w:val="bottom"/>
            <w:gridSpan w:val="5"/>
          </w:tcPr>
          <w:p>
            <w:pPr>
              <w:spacing w:after="0"/>
              <w:rPr>
                <w:sz w:val="11"/>
                <w:szCs w:val="11"/>
                <w:color w:val="auto"/>
              </w:rPr>
            </w:pPr>
          </w:p>
        </w:tc>
        <w:tc>
          <w:tcPr>
            <w:tcW w:w="842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4.</w:t>
              </w:r>
            </w:hyperlink>
          </w:p>
        </w:tc>
        <w:tc>
          <w:tcPr>
            <w:tcW w:w="900" w:type="dxa"/>
            <w:vAlign w:val="bottom"/>
            <w:gridSpan w:val="5"/>
          </w:tcPr>
          <w:p>
            <w:pPr>
              <w:spacing w:after="0"/>
              <w:rPr>
                <w:sz w:val="11"/>
                <w:szCs w:val="11"/>
                <w:color w:val="auto"/>
              </w:rPr>
            </w:pPr>
          </w:p>
        </w:tc>
        <w:tc>
          <w:tcPr>
            <w:tcW w:w="842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(Removed and Reserved)</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2">
              <w:r>
                <w:rPr>
                  <w:rFonts w:ascii="Arial" w:cs="Arial" w:eastAsia="Arial" w:hAnsi="Arial"/>
                  <w:sz w:val="13"/>
                  <w:szCs w:val="13"/>
                  <w:b w:val="1"/>
                  <w:bCs w:val="1"/>
                  <w:color w:val="0000EE"/>
                </w:rPr>
                <w:t>PART II</w:t>
              </w:r>
            </w:hyperlink>
          </w:p>
        </w:tc>
        <w:tc>
          <w:tcPr>
            <w:tcW w:w="4460" w:type="dxa"/>
            <w:vAlign w:val="bottom"/>
            <w:gridSpan w:val="7"/>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2">
              <w:r>
                <w:rPr>
                  <w:rFonts w:ascii="Arial" w:cs="Arial" w:eastAsia="Arial" w:hAnsi="Arial"/>
                  <w:sz w:val="13"/>
                  <w:szCs w:val="13"/>
                  <w:color w:val="0000EE"/>
                  <w:w w:val="90"/>
                </w:rPr>
                <w:t>Item 5.</w:t>
              </w:r>
            </w:hyperlink>
          </w:p>
        </w:tc>
        <w:tc>
          <w:tcPr>
            <w:tcW w:w="900" w:type="dxa"/>
            <w:vAlign w:val="bottom"/>
            <w:gridSpan w:val="5"/>
          </w:tcPr>
          <w:p>
            <w:pPr>
              <w:spacing w:after="0"/>
              <w:rPr>
                <w:sz w:val="11"/>
                <w:szCs w:val="11"/>
                <w:color w:val="auto"/>
              </w:rPr>
            </w:pPr>
          </w:p>
        </w:tc>
        <w:tc>
          <w:tcPr>
            <w:tcW w:w="588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22">
              <w:r>
                <w:rPr>
                  <w:rFonts w:ascii="Arial" w:cs="Arial" w:eastAsia="Arial" w:hAnsi="Arial"/>
                  <w:sz w:val="13"/>
                  <w:szCs w:val="13"/>
                  <w:color w:val="0000EE"/>
                  <w:w w:val="91"/>
                </w:rPr>
                <w:t>Market for Registrant’s Common Equity, Related Stockholder Matters and Issuer Purchases of Equity Securities</w:t>
              </w:r>
            </w:hyperlink>
          </w:p>
        </w:tc>
        <w:tc>
          <w:tcPr>
            <w:tcW w:w="25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24">
              <w:r>
                <w:rPr>
                  <w:rFonts w:ascii="Arial" w:cs="Arial" w:eastAsia="Arial" w:hAnsi="Arial"/>
                  <w:sz w:val="13"/>
                  <w:szCs w:val="13"/>
                  <w:color w:val="0000EE"/>
                  <w:w w:val="90"/>
                </w:rPr>
                <w:t>Item 6.</w:t>
              </w:r>
            </w:hyperlink>
          </w:p>
        </w:tc>
        <w:tc>
          <w:tcPr>
            <w:tcW w:w="900" w:type="dxa"/>
            <w:vAlign w:val="bottom"/>
            <w:gridSpan w:val="5"/>
          </w:tcPr>
          <w:p>
            <w:pPr>
              <w:spacing w:after="0"/>
              <w:rPr>
                <w:sz w:val="11"/>
                <w:szCs w:val="11"/>
                <w:color w:val="auto"/>
              </w:rPr>
            </w:pPr>
          </w:p>
        </w:tc>
        <w:tc>
          <w:tcPr>
            <w:tcW w:w="8420" w:type="dxa"/>
            <w:vAlign w:val="bottom"/>
            <w:gridSpan w:val="25"/>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Selected Financial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23</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7">
              <w:r>
                <w:rPr>
                  <w:rFonts w:ascii="Arial" w:cs="Arial" w:eastAsia="Arial" w:hAnsi="Arial"/>
                  <w:sz w:val="13"/>
                  <w:szCs w:val="13"/>
                  <w:color w:val="0000EE"/>
                  <w:w w:val="90"/>
                </w:rPr>
                <w:t>Item 7.</w:t>
              </w:r>
            </w:hyperlink>
          </w:p>
        </w:tc>
        <w:tc>
          <w:tcPr>
            <w:tcW w:w="900" w:type="dxa"/>
            <w:vAlign w:val="bottom"/>
            <w:gridSpan w:val="5"/>
          </w:tcPr>
          <w:p>
            <w:pPr>
              <w:spacing w:after="0"/>
              <w:rPr>
                <w:sz w:val="11"/>
                <w:szCs w:val="11"/>
                <w:color w:val="auto"/>
              </w:rPr>
            </w:pPr>
          </w:p>
        </w:tc>
        <w:tc>
          <w:tcPr>
            <w:tcW w:w="470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27">
              <w:r>
                <w:rPr>
                  <w:rFonts w:ascii="Arial" w:cs="Arial" w:eastAsia="Arial" w:hAnsi="Arial"/>
                  <w:sz w:val="13"/>
                  <w:szCs w:val="13"/>
                  <w:color w:val="0000EE"/>
                  <w:w w:val="91"/>
                </w:rPr>
                <w:t>Management’s Discussion and Analysis of Financial Condition and Results of Operations</w:t>
              </w:r>
            </w:hyperlink>
          </w:p>
        </w:tc>
        <w:tc>
          <w:tcPr>
            <w:tcW w:w="3720" w:type="dxa"/>
            <w:vAlign w:val="bottom"/>
            <w:gridSpan w:val="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r>
        <w:trPr>
          <w:trHeight w:val="137"/>
        </w:trPr>
        <w:tc>
          <w:tcPr>
            <w:tcW w:w="480" w:type="dxa"/>
            <w:vAlign w:val="bottom"/>
            <w:gridSpan w:val="5"/>
          </w:tcPr>
          <w:p>
            <w:pPr>
              <w:spacing w:after="0" w:line="138" w:lineRule="exact"/>
              <w:rPr>
                <w:rFonts w:ascii="Arial" w:cs="Arial" w:eastAsia="Arial" w:hAnsi="Arial"/>
                <w:sz w:val="13"/>
                <w:szCs w:val="13"/>
                <w:color w:val="0000EE"/>
                <w:w w:val="94"/>
              </w:rPr>
            </w:pPr>
            <w:hyperlink w:anchor="page40">
              <w:r>
                <w:rPr>
                  <w:rFonts w:ascii="Arial" w:cs="Arial" w:eastAsia="Arial" w:hAnsi="Arial"/>
                  <w:sz w:val="13"/>
                  <w:szCs w:val="13"/>
                  <w:color w:val="0000EE"/>
                  <w:w w:val="94"/>
                </w:rPr>
                <w:t>Item 7A.</w:t>
              </w:r>
            </w:hyperlink>
          </w:p>
        </w:tc>
        <w:tc>
          <w:tcPr>
            <w:tcW w:w="800" w:type="dxa"/>
            <w:vAlign w:val="bottom"/>
            <w:gridSpan w:val="2"/>
          </w:tcPr>
          <w:p>
            <w:pPr>
              <w:spacing w:after="0"/>
              <w:rPr>
                <w:sz w:val="11"/>
                <w:szCs w:val="11"/>
                <w:color w:val="auto"/>
              </w:rPr>
            </w:pPr>
          </w:p>
        </w:tc>
        <w:tc>
          <w:tcPr>
            <w:tcW w:w="8420" w:type="dxa"/>
            <w:vAlign w:val="bottom"/>
            <w:gridSpan w:val="25"/>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39</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1">
              <w:r>
                <w:rPr>
                  <w:rFonts w:ascii="Arial" w:cs="Arial" w:eastAsia="Arial" w:hAnsi="Arial"/>
                  <w:sz w:val="13"/>
                  <w:szCs w:val="13"/>
                  <w:color w:val="0000EE"/>
                  <w:w w:val="90"/>
                </w:rPr>
                <w:t>Item 8.</w:t>
              </w:r>
            </w:hyperlink>
          </w:p>
        </w:tc>
        <w:tc>
          <w:tcPr>
            <w:tcW w:w="100" w:type="dxa"/>
            <w:vAlign w:val="bottom"/>
            <w:tcBorders>
              <w:top w:val="single" w:sz="8" w:color="0000EE"/>
            </w:tcBorders>
            <w:gridSpan w:val="3"/>
          </w:tcPr>
          <w:p>
            <w:pPr>
              <w:spacing w:after="0"/>
              <w:rPr>
                <w:sz w:val="11"/>
                <w:szCs w:val="11"/>
                <w:color w:val="auto"/>
              </w:rPr>
            </w:pPr>
          </w:p>
        </w:tc>
        <w:tc>
          <w:tcPr>
            <w:tcW w:w="800" w:type="dxa"/>
            <w:vAlign w:val="bottom"/>
            <w:gridSpan w:val="2"/>
          </w:tcPr>
          <w:p>
            <w:pPr>
              <w:spacing w:after="0"/>
              <w:rPr>
                <w:sz w:val="11"/>
                <w:szCs w:val="11"/>
                <w:color w:val="auto"/>
              </w:rPr>
            </w:pPr>
          </w:p>
        </w:tc>
        <w:tc>
          <w:tcPr>
            <w:tcW w:w="242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89"/>
              </w:rPr>
            </w:pPr>
            <w:hyperlink w:anchor="page41">
              <w:r>
                <w:rPr>
                  <w:rFonts w:ascii="Arial" w:cs="Arial" w:eastAsia="Arial" w:hAnsi="Arial"/>
                  <w:sz w:val="13"/>
                  <w:szCs w:val="13"/>
                  <w:color w:val="0000EE"/>
                  <w:w w:val="89"/>
                </w:rPr>
                <w:t>Financial Statements and Supplementary Data</w:t>
              </w:r>
            </w:hyperlink>
          </w:p>
        </w:tc>
        <w:tc>
          <w:tcPr>
            <w:tcW w:w="740" w:type="dxa"/>
            <w:vAlign w:val="bottom"/>
            <w:tcBorders>
              <w:top w:val="single" w:sz="8" w:color="0000EE"/>
            </w:tcBorders>
            <w:gridSpan w:val="2"/>
          </w:tcPr>
          <w:p>
            <w:pPr>
              <w:spacing w:after="0"/>
              <w:rPr>
                <w:sz w:val="11"/>
                <w:szCs w:val="11"/>
                <w:color w:val="auto"/>
              </w:rPr>
            </w:pPr>
          </w:p>
        </w:tc>
        <w:tc>
          <w:tcPr>
            <w:tcW w:w="526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62">
              <w:r>
                <w:rPr>
                  <w:rFonts w:ascii="Arial" w:cs="Arial" w:eastAsia="Arial" w:hAnsi="Arial"/>
                  <w:sz w:val="13"/>
                  <w:szCs w:val="13"/>
                  <w:color w:val="0000EE"/>
                  <w:w w:val="90"/>
                </w:rPr>
                <w:t>Item 9.</w:t>
              </w:r>
            </w:hyperlink>
          </w:p>
        </w:tc>
        <w:tc>
          <w:tcPr>
            <w:tcW w:w="900" w:type="dxa"/>
            <w:vAlign w:val="bottom"/>
            <w:gridSpan w:val="5"/>
          </w:tcPr>
          <w:p>
            <w:pPr>
              <w:spacing w:after="0"/>
              <w:rPr>
                <w:sz w:val="11"/>
                <w:szCs w:val="11"/>
                <w:color w:val="auto"/>
              </w:rPr>
            </w:pPr>
          </w:p>
        </w:tc>
        <w:tc>
          <w:tcPr>
            <w:tcW w:w="4740" w:type="dxa"/>
            <w:vAlign w:val="bottom"/>
            <w:tcBorders>
              <w:bottom w:val="single" w:sz="8" w:color="0000EE"/>
            </w:tcBorders>
            <w:gridSpan w:val="22"/>
          </w:tcPr>
          <w:p>
            <w:pPr>
              <w:spacing w:after="0" w:line="138" w:lineRule="exact"/>
              <w:rPr>
                <w:rFonts w:ascii="Arial" w:cs="Arial" w:eastAsia="Arial" w:hAnsi="Arial"/>
                <w:sz w:val="13"/>
                <w:szCs w:val="13"/>
                <w:color w:val="0000EE"/>
                <w:w w:val="91"/>
              </w:rPr>
            </w:pPr>
            <w:hyperlink w:anchor="page62">
              <w:r>
                <w:rPr>
                  <w:rFonts w:ascii="Arial" w:cs="Arial" w:eastAsia="Arial" w:hAnsi="Arial"/>
                  <w:sz w:val="13"/>
                  <w:szCs w:val="13"/>
                  <w:color w:val="0000EE"/>
                  <w:w w:val="91"/>
                </w:rPr>
                <w:t>Changes in and Disagreements With Accountants on Accounting and Financial Disclosure</w:t>
              </w:r>
            </w:hyperlink>
          </w:p>
        </w:tc>
        <w:tc>
          <w:tcPr>
            <w:tcW w:w="368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480" w:type="dxa"/>
            <w:vAlign w:val="bottom"/>
            <w:gridSpan w:val="5"/>
          </w:tcPr>
          <w:p>
            <w:pPr>
              <w:spacing w:after="0" w:line="138" w:lineRule="exact"/>
              <w:rPr>
                <w:rFonts w:ascii="Arial" w:cs="Arial" w:eastAsia="Arial" w:hAnsi="Arial"/>
                <w:sz w:val="13"/>
                <w:szCs w:val="13"/>
                <w:color w:val="0000EE"/>
                <w:w w:val="94"/>
              </w:rPr>
            </w:pPr>
            <w:hyperlink w:anchor="page62">
              <w:r>
                <w:rPr>
                  <w:rFonts w:ascii="Arial" w:cs="Arial" w:eastAsia="Arial" w:hAnsi="Arial"/>
                  <w:sz w:val="13"/>
                  <w:szCs w:val="13"/>
                  <w:color w:val="0000EE"/>
                  <w:w w:val="94"/>
                </w:rPr>
                <w:t>Item 9A.</w:t>
              </w:r>
            </w:hyperlink>
          </w:p>
        </w:tc>
        <w:tc>
          <w:tcPr>
            <w:tcW w:w="800" w:type="dxa"/>
            <w:vAlign w:val="bottom"/>
            <w:gridSpan w:val="2"/>
          </w:tcPr>
          <w:p>
            <w:pPr>
              <w:spacing w:after="0"/>
              <w:rPr>
                <w:sz w:val="11"/>
                <w:szCs w:val="11"/>
                <w:color w:val="auto"/>
              </w:rPr>
            </w:pPr>
          </w:p>
        </w:tc>
        <w:tc>
          <w:tcPr>
            <w:tcW w:w="8420" w:type="dxa"/>
            <w:vAlign w:val="bottom"/>
            <w:gridSpan w:val="25"/>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w w:val="94"/>
              </w:rPr>
            </w:pPr>
            <w:hyperlink w:anchor="page62">
              <w:r>
                <w:rPr>
                  <w:rFonts w:ascii="Arial" w:cs="Arial" w:eastAsia="Arial" w:hAnsi="Arial"/>
                  <w:sz w:val="13"/>
                  <w:szCs w:val="13"/>
                  <w:color w:val="0000EE"/>
                  <w:w w:val="94"/>
                </w:rPr>
                <w:t>Item 9B.</w:t>
              </w:r>
            </w:hyperlink>
          </w:p>
        </w:tc>
        <w:tc>
          <w:tcPr>
            <w:tcW w:w="800" w:type="dxa"/>
            <w:vAlign w:val="bottom"/>
            <w:gridSpan w:val="2"/>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Other Information</w:t>
              </w:r>
            </w:hyperlink>
          </w:p>
        </w:tc>
        <w:tc>
          <w:tcPr>
            <w:tcW w:w="7140" w:type="dxa"/>
            <w:vAlign w:val="bottom"/>
            <w:gridSpan w:val="1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2">
              <w:r>
                <w:rPr>
                  <w:rFonts w:ascii="Arial" w:cs="Arial" w:eastAsia="Arial" w:hAnsi="Arial"/>
                  <w:sz w:val="13"/>
                  <w:szCs w:val="13"/>
                  <w:b w:val="1"/>
                  <w:bCs w:val="1"/>
                  <w:color w:val="0000EE"/>
                </w:rPr>
                <w:t>PART III</w:t>
              </w:r>
            </w:hyperlink>
          </w:p>
        </w:tc>
        <w:tc>
          <w:tcPr>
            <w:tcW w:w="442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Item 10.</w:t>
              </w:r>
            </w:hyperlink>
          </w:p>
        </w:tc>
        <w:tc>
          <w:tcPr>
            <w:tcW w:w="8420" w:type="dxa"/>
            <w:vAlign w:val="bottom"/>
            <w:gridSpan w:val="25"/>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Directors, Executive Officers and Corporate Governance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r>
      <w:tr>
        <w:trPr>
          <w:trHeight w:val="137"/>
        </w:trPr>
        <w:tc>
          <w:tcPr>
            <w:tcW w:w="440" w:type="dxa"/>
            <w:vAlign w:val="bottom"/>
            <w:tcBorders>
              <w:top w:val="single" w:sz="8" w:color="0000EE"/>
            </w:tcBorders>
            <w:gridSpan w:val="3"/>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Item 11.</w:t>
              </w:r>
            </w:hyperlink>
          </w:p>
        </w:tc>
        <w:tc>
          <w:tcPr>
            <w:tcW w:w="840" w:type="dxa"/>
            <w:vAlign w:val="bottom"/>
            <w:gridSpan w:val="4"/>
          </w:tcPr>
          <w:p>
            <w:pPr>
              <w:spacing w:after="0"/>
              <w:rPr>
                <w:sz w:val="11"/>
                <w:szCs w:val="11"/>
                <w:color w:val="auto"/>
              </w:rPr>
            </w:pPr>
          </w:p>
        </w:tc>
        <w:tc>
          <w:tcPr>
            <w:tcW w:w="2980" w:type="dxa"/>
            <w:vAlign w:val="bottom"/>
            <w:tcBorders>
              <w:top w:val="single" w:sz="8" w:color="0000EE"/>
            </w:tcBorders>
            <w:gridSpan w:val="12"/>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Executive Compensation</w:t>
              </w:r>
            </w:hyperlink>
          </w:p>
        </w:tc>
        <w:tc>
          <w:tcPr>
            <w:tcW w:w="5440" w:type="dxa"/>
            <w:vAlign w:val="bottom"/>
            <w:gridSpan w:val="1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12.</w:t>
              </w:r>
            </w:hyperlink>
          </w:p>
        </w:tc>
        <w:tc>
          <w:tcPr>
            <w:tcW w:w="8420" w:type="dxa"/>
            <w:vAlign w:val="bottom"/>
            <w:gridSpan w:val="25"/>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Borders>
              <w:right w:val="single" w:sz="8" w:color="0000EE"/>
            </w:tcBorders>
            <w:gridSpan w:val="10"/>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13.</w:t>
              </w:r>
            </w:hyperlink>
          </w:p>
        </w:tc>
        <w:tc>
          <w:tcPr>
            <w:tcW w:w="8420" w:type="dxa"/>
            <w:vAlign w:val="bottom"/>
            <w:gridSpan w:val="25"/>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Certain Relationships and Related Transactions, and Director Independence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Borders>
              <w:right w:val="single" w:sz="8" w:color="0000EE"/>
            </w:tcBorders>
            <w:gridSpan w:val="10"/>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14.</w:t>
              </w:r>
            </w:hyperlink>
          </w:p>
        </w:tc>
        <w:tc>
          <w:tcPr>
            <w:tcW w:w="8420" w:type="dxa"/>
            <w:vAlign w:val="bottom"/>
            <w:gridSpan w:val="25"/>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Principal Accounting Fees and Services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60" w:type="dxa"/>
            <w:vAlign w:val="bottom"/>
            <w:gridSpan w:val="11"/>
          </w:tcPr>
          <w:p>
            <w:pPr>
              <w:jc w:val="center"/>
              <w:ind w:right="4440"/>
              <w:spacing w:after="0"/>
              <w:rPr>
                <w:rFonts w:ascii="Arial" w:cs="Arial" w:eastAsia="Arial" w:hAnsi="Arial"/>
                <w:sz w:val="13"/>
                <w:szCs w:val="13"/>
                <w:b w:val="1"/>
                <w:bCs w:val="1"/>
                <w:color w:val="0000EE"/>
              </w:rPr>
            </w:pPr>
            <w:hyperlink w:anchor="page63">
              <w:r>
                <w:rPr>
                  <w:rFonts w:ascii="Arial" w:cs="Arial" w:eastAsia="Arial" w:hAnsi="Arial"/>
                  <w:sz w:val="13"/>
                  <w:szCs w:val="13"/>
                  <w:b w:val="1"/>
                  <w:bCs w:val="1"/>
                  <w:color w:val="0000EE"/>
                </w:rPr>
                <w:t>PART IV</w:t>
              </w:r>
            </w:hyperlink>
          </w:p>
        </w:tc>
        <w:tc>
          <w:tcPr>
            <w:tcW w:w="280" w:type="dxa"/>
            <w:vAlign w:val="bottom"/>
          </w:tcPr>
          <w:p>
            <w:pPr>
              <w:spacing w:after="0"/>
              <w:rPr>
                <w:sz w:val="22"/>
                <w:szCs w:val="22"/>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15.</w:t>
              </w:r>
            </w:hyperlink>
          </w:p>
        </w:tc>
        <w:tc>
          <w:tcPr>
            <w:tcW w:w="3480" w:type="dxa"/>
            <w:vAlign w:val="bottom"/>
            <w:gridSpan w:val="15"/>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7"/>
          </w:tcPr>
          <w:p>
            <w:pPr>
              <w:spacing w:after="0" w:line="138" w:lineRule="exact"/>
              <w:rPr>
                <w:rFonts w:ascii="Arial" w:cs="Arial" w:eastAsia="Arial" w:hAnsi="Arial"/>
                <w:sz w:val="13"/>
                <w:szCs w:val="13"/>
                <w:color w:val="0000EE"/>
              </w:rPr>
            </w:pPr>
            <w:hyperlink w:anchor="page64">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63</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EX-10.9</w:t>
            </w:r>
          </w:p>
        </w:tc>
        <w:tc>
          <w:tcPr>
            <w:tcW w:w="320" w:type="dxa"/>
            <w:vAlign w:val="bottom"/>
            <w:tcBorders>
              <w:top w:val="single" w:sz="8" w:color="0000EE"/>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EX-23.1</w:t>
            </w:r>
          </w:p>
        </w:tc>
        <w:tc>
          <w:tcPr>
            <w:tcW w:w="80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3"/>
                <w:szCs w:val="13"/>
                <w:color w:val="0000EE"/>
                <w:w w:val="89"/>
              </w:rPr>
              <w:t>EX-31.1</w:t>
            </w:r>
          </w:p>
        </w:tc>
        <w:tc>
          <w:tcPr>
            <w:tcW w:w="80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SPECIAL NOTE REGARDING FORWARD-LOOKING INFORMATION</w:t>
      </w:r>
    </w:p>
    <w:p>
      <w:pPr>
        <w:spacing w:after="0" w:line="100" w:lineRule="exact"/>
        <w:rPr>
          <w:sz w:val="20"/>
          <w:szCs w:val="20"/>
          <w:color w:val="auto"/>
        </w:rPr>
      </w:pPr>
    </w:p>
    <w:p>
      <w:pPr>
        <w:ind w:right="120" w:firstLine="399"/>
        <w:spacing w:after="0" w:line="255" w:lineRule="auto"/>
        <w:rPr>
          <w:sz w:val="20"/>
          <w:szCs w:val="20"/>
          <w:color w:val="auto"/>
        </w:rPr>
      </w:pPr>
      <w:r>
        <w:rPr>
          <w:rFonts w:ascii="Arial" w:cs="Arial" w:eastAsia="Arial" w:hAnsi="Arial"/>
          <w:sz w:val="13"/>
          <w:szCs w:val="13"/>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Implementing and maintaining supply chain management software is resource intensive and not a core competency for most businesses. SPSCommerce.net uses pre-built integrations to eliminate the need for on-premise software and support staff, which enables our supplier customers to shorten supply cycle times, optimize inventory levels, reduce costs and satisfy retailer requirements. As of December 31, 2010, we had approximately 12,400 customers with contracts to pay us monthly fees, which we refer to as recurring revenue customers. We have also generated revenues by providing supply chain management solutions to an additional 26,000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4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deliver our solutions to our customers over the Internet using a Software-as-a-Service model. This model enables our customers to easily interact with their trading partners around the world without the local implementation and servicing of software that traditional on-premise solutions require. Our delivery model also enables us to offer greater functionality, integration and reliability with less cost and risk than traditional solutions.</w:t>
      </w:r>
    </w:p>
    <w:p>
      <w:pPr>
        <w:spacing w:after="0" w:line="67"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For 2008, 2009 and 2010, we generated revenues of $30.7 million, $37.7 million and $44.6 million. Our fiscal quarter ended December 31, 2010 represented our 40th consecutive quarter of increased revenues. Recurring revenues from recurring revenue customers accounted for 84%, 80% and 83% of our total revenues for 2008, 2009 and 2010. No customer represented over 2% of our revenues for 2008, 2009 or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Industry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Supply Chain Management Industry Background</w:t>
      </w:r>
    </w:p>
    <w:p>
      <w:pPr>
        <w:spacing w:after="0" w:line="96"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The supply chain management industry serves thousands of retailers around the world supplied with goods from tens of thousands of suppliers. Additional participants in this market include distributors, third-party logistics providers, manufacturers, fulfillment and warehousing providers and sourcing companies. Supply chain management involves communicating data related to the exchange of goods among these trading partners. At every stage of the supply chain there are inefficient, labor-intensive processes between trading partners with significant documentation requirements, such as the counting, sorting and verifying of goods before shipment, while in transit and upon delivery. Supply chain management solutions must address trading partners’ needs for integration, collaboration, connectivity, visibility and data analytics to improve the speed, accuracy and efficiency with which goods are ordered and supplied.</w:t>
      </w:r>
    </w:p>
    <w:p>
      <w:pPr>
        <w:spacing w:after="0" w:line="42" w:lineRule="exact"/>
        <w:rPr>
          <w:sz w:val="20"/>
          <w:szCs w:val="20"/>
          <w:color w:val="auto"/>
        </w:rPr>
      </w:pPr>
    </w:p>
    <w:p>
      <w:pPr>
        <w:jc w:val="both"/>
        <w:ind w:left="680" w:right="300" w:firstLine="399"/>
        <w:spacing w:after="0" w:line="289" w:lineRule="auto"/>
        <w:rPr>
          <w:sz w:val="20"/>
          <w:szCs w:val="20"/>
          <w:color w:val="auto"/>
        </w:rPr>
      </w:pPr>
      <w:r>
        <w:rPr>
          <w:rFonts w:ascii="Arial" w:cs="Arial" w:eastAsia="Arial" w:hAnsi="Arial"/>
          <w:sz w:val="12"/>
          <w:szCs w:val="12"/>
          <w:color w:val="auto"/>
        </w:rPr>
        <w:t>The pervasiveness of the Internet, along with the dramatic declines in the pricing of computing technology and network bandwidth, have enabled companies to adopt on-demand applications at an increasing rate. As familiarity and acceptance of on-demand solutions continues to accelerate, we believe companies, both large and small, will continue to turn to on-demand delivery methods similar to ours for their supply chain integration needs, as opposed to traditional on-premise software deployment. Our target market, supply chain integration solutions delivered on a Software-as-a-Service platform, is one of many which comprise the global Software-as-a-Service market.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Rule Books — Integration Between Retailers and Suppliers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Retailers impose specific work-flow rules and standards on their trading partners for electronically communicating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solutions.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Traditional Supply Chain Management Solutions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Traditional supply chain management solutions range from non-automated paper or fax solutions to electronic solutions implemented using on-premise licensed software. On-premise licensed software provides connectivity between only one organization and its trading partners and typically requires significant time and technical expertise to configure, deploy and maintain. These software providers primarily link retailers and suppliers through the Electronic Data Interchange protocol that enables the structured electronic transmission of data between organizations. Because of set-up and maintenance costs, technical complexity and a growing volume of requirements from retailers, the traditional software model is not well suited for many suppliers, especially those small and medium in size.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Need for Effective Analysis of Data for Intelligent Decision Making</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Integrating retailers and suppliers is a first step in addressing the complexities in the supply chain ecosystem. As the number and geographic dispersion of trading partners has grown, so too has the volume of data produced by the supply chain. As a result, trading partners want a solution to effectively consolidate, distill and channel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Software-as-a-Service Solutions Provide Flexibility and Effective Management Across the Supply Chain</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A Software-as-a-Service model is well suited for providing supply chain management solutions. On-demand solutions are able to continue utilizing standard connectivity protocols, such as Electronic Data Interchange, but also are able to support other protocols, such as XML, as retailers require. These on-demand solutions connect suppliers and retailers more efficiently than traditional on-premise software solutions by leveraging the integrations created for a single supplier across all participating suppliers.</w:t>
      </w:r>
    </w:p>
    <w:p>
      <w:pPr>
        <w:spacing w:after="0" w:line="5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Software-as-a-Service solutions also allow an organization to connect across the supply chain ecosystem, addressing increased retailer demands, globalization and increased complexity affecting the supply chain. In addition, Software-as-a-Service solutions can integrate supply chain management applications with organizations’ existing enterprise resource planning systems.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SPSCommerce.net: Our Platform</w:t>
      </w:r>
    </w:p>
    <w:p>
      <w:pPr>
        <w:spacing w:after="0" w:line="100"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We operate one of the largest trading partner integration centers through SPSCommerce.net, a hosted software suite that improves the way suppliers, retailers, distributors and other trading partners manage and fulfill orders. More than 38,000 customers across more than 40 countries have used our platform to enhance their trading relationships. SPSCommerce.net fundamentally changes how organizations use electronic communication to manage their supply chains by replacing the collection of traditional, custom-built, point-to-point integrations with a “hub-and-spoke” model whereby a single integration to SPSCommerce.net allows an organization to connect seamlessly to the entire SPSCommerce.net network of trading partners.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SPSCommerce.net combines integrations that comply with numerous rule books for retailers, grocers and distributors with whom we and our customers have done business.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SPSCommerce.net does this through a multi-tenant architecture and provides ancillary support services that deliver a comprehensive set of supply chain management solutions to customers.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By maintaining current integrations with retailers, SPSCommerce.net obviates</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the need for suppliers to continually stay up-to-date with the rule book changes required by retailers. Moreover, by leveraging an on-demand delivery model, we eliminate or greatly reduce the burden on suppliers to support and maintain an on-premise software application, thereby reducing ongoing operating costs. As the communication hub for trading partners, we also are able to provide increased visibility and data analytics capabilities for retailers and suppliers across their supply chains, each of which is difficult to gain from traditional, point-to-point integration solutions.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platform delivers suppliers and retailers the following solutions:</w:t>
      </w:r>
    </w:p>
    <w:p>
      <w:pPr>
        <w:spacing w:after="0" w:line="96" w:lineRule="exact"/>
        <w:rPr>
          <w:sz w:val="20"/>
          <w:szCs w:val="20"/>
          <w:color w:val="auto"/>
        </w:rPr>
      </w:pPr>
    </w:p>
    <w:p>
      <w:pPr>
        <w:ind w:left="1280" w:right="160" w:hanging="190"/>
        <w:spacing w:after="0" w:line="320"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Trading Partner Integration. </w:t>
      </w:r>
      <w:r>
        <w:rPr>
          <w:rFonts w:ascii="Arial" w:cs="Arial" w:eastAsia="Arial" w:hAnsi="Arial"/>
          <w:sz w:val="12"/>
          <w:szCs w:val="12"/>
          <w:color w:val="auto"/>
        </w:rPr>
        <w:t>Our Trading Partner Integration solution replaces or augments an organization’s existing trading partner electronic communication infrastructure,</w:t>
      </w:r>
      <w:r>
        <w:rPr>
          <w:rFonts w:ascii="Arial" w:cs="Arial" w:eastAsia="Arial" w:hAnsi="Arial"/>
          <w:sz w:val="12"/>
          <w:szCs w:val="12"/>
          <w:i w:val="1"/>
          <w:iCs w:val="1"/>
          <w:color w:val="auto"/>
        </w:rPr>
        <w:t xml:space="preserve"> </w:t>
      </w:r>
      <w:r>
        <w:rPr>
          <w:rFonts w:ascii="Arial" w:cs="Arial" w:eastAsia="Arial" w:hAnsi="Arial"/>
          <w:sz w:val="12"/>
          <w:szCs w:val="12"/>
          <w:color w:val="auto"/>
        </w:rPr>
        <w:t>enabling suppliers to comply with retailers’ rule books and allowing for the electronic exchange of information among numerous trading partners through various protocols.</w:t>
      </w:r>
    </w:p>
    <w:p>
      <w:pPr>
        <w:spacing w:after="0" w:line="25" w:lineRule="exact"/>
        <w:rPr>
          <w:rFonts w:ascii="Arial" w:cs="Arial" w:eastAsia="Arial" w:hAnsi="Arial"/>
          <w:sz w:val="12"/>
          <w:szCs w:val="12"/>
          <w:color w:val="auto"/>
        </w:rPr>
      </w:pPr>
    </w:p>
    <w:p>
      <w:pPr>
        <w:ind w:left="1280" w:right="1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Trading Partner Enablement. </w:t>
      </w:r>
      <w:r>
        <w:rPr>
          <w:rFonts w:ascii="Arial" w:cs="Arial" w:eastAsia="Arial" w:hAnsi="Arial"/>
          <w:sz w:val="13"/>
          <w:szCs w:val="13"/>
          <w:color w:val="auto"/>
        </w:rPr>
        <w:t>Our Trading Partner Enablement solution helps organizations, typically large retailers, implement new integrations with trading partners to drive</w:t>
      </w:r>
      <w:r>
        <w:rPr>
          <w:rFonts w:ascii="Arial" w:cs="Arial" w:eastAsia="Arial" w:hAnsi="Arial"/>
          <w:sz w:val="13"/>
          <w:szCs w:val="13"/>
          <w:i w:val="1"/>
          <w:iCs w:val="1"/>
          <w:color w:val="auto"/>
        </w:rPr>
        <w:t xml:space="preserve"> </w:t>
      </w:r>
      <w:r>
        <w:rPr>
          <w:rFonts w:ascii="Arial" w:cs="Arial" w:eastAsia="Arial" w:hAnsi="Arial"/>
          <w:sz w:val="13"/>
          <w:szCs w:val="13"/>
          <w:color w:val="auto"/>
        </w:rPr>
        <w:t>automation and electronic communication across their supply chains.</w:t>
      </w:r>
    </w:p>
    <w:p>
      <w:pPr>
        <w:spacing w:after="0" w:line="49"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Trading Partner Intelligence. </w:t>
      </w:r>
      <w:r>
        <w:rPr>
          <w:rFonts w:ascii="Arial" w:cs="Arial" w:eastAsia="Arial" w:hAnsi="Arial"/>
          <w:sz w:val="12"/>
          <w:szCs w:val="12"/>
          <w:color w:val="auto"/>
        </w:rPr>
        <w:t>In 2009, we introduced our Trading Partner Intelligence solution, which consists of data analytics applications and allows our customers to improve</w:t>
      </w:r>
      <w:r>
        <w:rPr>
          <w:rFonts w:ascii="Arial" w:cs="Arial" w:eastAsia="Arial" w:hAnsi="Arial"/>
          <w:sz w:val="12"/>
          <w:szCs w:val="12"/>
          <w:i w:val="1"/>
          <w:iCs w:val="1"/>
          <w:color w:val="auto"/>
        </w:rPr>
        <w:t xml:space="preserve"> </w:t>
      </w:r>
      <w:r>
        <w:rPr>
          <w:rFonts w:ascii="Arial" w:cs="Arial" w:eastAsia="Arial" w:hAnsi="Arial"/>
          <w:sz w:val="12"/>
          <w:szCs w:val="12"/>
          <w:color w:val="auto"/>
        </w:rPr>
        <w:t>their visibility across, and analysis of, their supply chains. Retailers improve their visibility into supplier performance and their understanding of product sell-through.</w:t>
      </w:r>
    </w:p>
    <w:p>
      <w:pPr>
        <w:spacing w:after="0" w:line="25"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Other Trading Partner Solutions. </w:t>
      </w:r>
      <w:r>
        <w:rPr>
          <w:rFonts w:ascii="Arial" w:cs="Arial" w:eastAsia="Arial" w:hAnsi="Arial"/>
          <w:sz w:val="13"/>
          <w:szCs w:val="13"/>
          <w:color w:val="auto"/>
        </w:rPr>
        <w:t>We provide a number of peripheral solutions such as barcode labeling and our scan and pack application, which helps trading partners process</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to streamline the picking and packaging process.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Customer and Sales Sources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As one of the largest on-demand supply chain management solutions providers, the trading partner relationships that we enable among our retailer, supplier and fulfillment customers naturally lead to new customer acquisition opportunities.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 Effect” of SPSCommerce.net</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Once connected to our network, trading partners can exchange electronic supply chain information with each other. Through our platform, we helped over 38,000 customers to communicate electronically with their trading partners. The value of our platform increases with the number of trading partners connected to the platform. The addition of each new customer to our platform allows that new customer to communicate with our existing customers and allows our existing customers to route orders to the new customer.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 Acquisition Sources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Trading Partner Enablement. </w:t>
      </w:r>
      <w:r>
        <w:rPr>
          <w:rFonts w:ascii="Arial" w:cs="Arial" w:eastAsia="Arial" w:hAnsi="Arial"/>
          <w:sz w:val="13"/>
          <w:szCs w:val="13"/>
          <w:color w:val="auto"/>
        </w:rPr>
        <w:t>When a retailer decides to change the workflow or protocol by which it interacts with its suppliers, the retailer may engage us to work with its supplier</w:t>
      </w:r>
      <w:r>
        <w:rPr>
          <w:rFonts w:ascii="Arial" w:cs="Arial" w:eastAsia="Arial" w:hAnsi="Arial"/>
          <w:sz w:val="13"/>
          <w:szCs w:val="13"/>
          <w:i w:val="1"/>
          <w:iCs w:val="1"/>
          <w:color w:val="auto"/>
        </w:rPr>
        <w:t xml:space="preserve"> </w:t>
      </w:r>
      <w:r>
        <w:rPr>
          <w:rFonts w:ascii="Arial" w:cs="Arial" w:eastAsia="Arial" w:hAnsi="Arial"/>
          <w:sz w:val="13"/>
          <w:szCs w:val="13"/>
          <w:color w:val="auto"/>
        </w:rPr>
        <w:t>base to communicate and test the change in procedure. Performing these programs on behalf of retailers often generates supplier sales leads for us.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Referrals from Trading Partners. </w:t>
      </w:r>
      <w:r>
        <w:rPr>
          <w:rFonts w:ascii="Arial" w:cs="Arial" w:eastAsia="Arial" w:hAnsi="Arial"/>
          <w:sz w:val="13"/>
          <w:szCs w:val="13"/>
          <w:color w:val="auto"/>
        </w:rPr>
        <w:t>We also receive sales leads from customers of SPSCommerce.net seeking to communicate electronically with their trading partners. For example, a</w:t>
      </w:r>
      <w:r>
        <w:rPr>
          <w:rFonts w:ascii="Arial" w:cs="Arial" w:eastAsia="Arial" w:hAnsi="Arial"/>
          <w:sz w:val="13"/>
          <w:szCs w:val="13"/>
          <w:i w:val="1"/>
          <w:iCs w:val="1"/>
          <w:color w:val="auto"/>
        </w:rPr>
        <w:t xml:space="preserve"> </w:t>
      </w:r>
      <w:r>
        <w:rPr>
          <w:rFonts w:ascii="Arial" w:cs="Arial" w:eastAsia="Arial" w:hAnsi="Arial"/>
          <w:sz w:val="13"/>
          <w:szCs w:val="13"/>
          <w:color w:val="auto"/>
        </w:rPr>
        <w:t>supplier may refer to us its third-party logistics provider or manufacturer which is not in our network.</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Channel Partners. </w:t>
      </w:r>
      <w:r>
        <w:rPr>
          <w:rFonts w:ascii="Arial" w:cs="Arial" w:eastAsia="Arial" w:hAnsi="Arial"/>
          <w:sz w:val="12"/>
          <w:szCs w:val="12"/>
          <w:color w:val="auto"/>
        </w:rPr>
        <w:t>In addition to the customer acquisition sources identified above, we market our solutions through channel partners. For example, we have contractual relationships</w:t>
      </w:r>
      <w:r>
        <w:rPr>
          <w:rFonts w:ascii="Arial" w:cs="Arial" w:eastAsia="Arial" w:hAnsi="Arial"/>
          <w:sz w:val="12"/>
          <w:szCs w:val="12"/>
          <w:i w:val="1"/>
          <w:iCs w:val="1"/>
          <w:color w:val="auto"/>
        </w:rPr>
        <w:t xml:space="preserve"> </w:t>
      </w:r>
      <w:r>
        <w:rPr>
          <w:rFonts w:ascii="Arial" w:cs="Arial" w:eastAsia="Arial" w:hAnsi="Arial"/>
          <w:sz w:val="12"/>
          <w:szCs w:val="12"/>
          <w:color w:val="auto"/>
        </w:rPr>
        <w:t>with a leading global logistics provider and NetSuite, through whom we gain additional sales. In the case of the leading global logistics provider, we private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label our applications, which are in turn sold as this company’s branded services. This company sells our applications through their sales force at no cost to us.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Sales Force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sell our solutions through a direct sales force which is organized as follows:</w:t>
      </w:r>
    </w:p>
    <w:p>
      <w:pPr>
        <w:spacing w:after="0" w:line="96"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Retailer Sales. </w:t>
      </w:r>
      <w:r>
        <w:rPr>
          <w:rFonts w:ascii="Arial" w:cs="Arial" w:eastAsia="Arial" w:hAnsi="Arial"/>
          <w:sz w:val="13"/>
          <w:szCs w:val="13"/>
          <w:color w:val="auto"/>
        </w:rPr>
        <w:t>We employ a team of sales professionals who focus on selling our Trading Partner Enablement solution to retailers, grocers and distributors.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Supplier Sales. </w:t>
      </w:r>
      <w:r>
        <w:rPr>
          <w:rFonts w:ascii="Arial" w:cs="Arial" w:eastAsia="Arial" w:hAnsi="Arial"/>
          <w:sz w:val="13"/>
          <w:szCs w:val="13"/>
          <w:color w:val="auto"/>
        </w:rPr>
        <w:t>We employ a team of supplier sales representatives based in North America. We also maintain offices in China, the United Kingdom and France.</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Business Development Efforts. </w:t>
      </w:r>
      <w:r>
        <w:rPr>
          <w:rFonts w:ascii="Arial" w:cs="Arial" w:eastAsia="Arial" w:hAnsi="Arial"/>
          <w:sz w:val="13"/>
          <w:szCs w:val="13"/>
          <w:color w:val="auto"/>
        </w:rPr>
        <w:t>Our business development organization focuses on indirect sales channels. This group establishes relationships with resellers, system integrators,</w:t>
      </w:r>
      <w:r>
        <w:rPr>
          <w:rFonts w:ascii="Arial" w:cs="Arial" w:eastAsia="Arial" w:hAnsi="Arial"/>
          <w:sz w:val="13"/>
          <w:szCs w:val="13"/>
          <w:i w:val="1"/>
          <w:iCs w:val="1"/>
          <w:color w:val="auto"/>
        </w:rPr>
        <w:t xml:space="preserve"> </w:t>
      </w:r>
      <w:r>
        <w:rPr>
          <w:rFonts w:ascii="Arial" w:cs="Arial" w:eastAsia="Arial" w:hAnsi="Arial"/>
          <w:sz w:val="13"/>
          <w:szCs w:val="13"/>
          <w:color w:val="auto"/>
        </w:rPr>
        <w:t>software providers and other partners.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Growth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objective is to be the leading global provider of supply chain management solutions. Key elements of our strategy include:</w:t>
      </w:r>
    </w:p>
    <w:p>
      <w:pPr>
        <w:spacing w:after="0" w:line="96" w:lineRule="exact"/>
        <w:rPr>
          <w:sz w:val="20"/>
          <w:szCs w:val="20"/>
          <w:color w:val="auto"/>
        </w:rPr>
      </w:pPr>
    </w:p>
    <w:p>
      <w:pPr>
        <w:ind w:left="1280" w:right="1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Further Penetrate Our Current Market. </w:t>
      </w:r>
      <w:r>
        <w:rPr>
          <w:rFonts w:ascii="Arial" w:cs="Arial" w:eastAsia="Arial" w:hAnsi="Arial"/>
          <w:sz w:val="13"/>
          <w:szCs w:val="13"/>
          <w:color w:val="auto"/>
        </w:rPr>
        <w:t>We believe the global supply chain management market is underpenetrated and, as the supply chain ecosystem becomes more complex</w:t>
      </w:r>
      <w:r>
        <w:rPr>
          <w:rFonts w:ascii="Arial" w:cs="Arial" w:eastAsia="Arial" w:hAnsi="Arial"/>
          <w:sz w:val="13"/>
          <w:szCs w:val="13"/>
          <w:i w:val="1"/>
          <w:iCs w:val="1"/>
          <w:color w:val="auto"/>
        </w:rPr>
        <w:t xml:space="preserve"> </w:t>
      </w:r>
      <w:r>
        <w:rPr>
          <w:rFonts w:ascii="Arial" w:cs="Arial" w:eastAsia="Arial" w:hAnsi="Arial"/>
          <w:sz w:val="13"/>
          <w:szCs w:val="13"/>
          <w:color w:val="auto"/>
        </w:rPr>
        <w:t>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57"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Increase Revenues from Our Customer Base. </w:t>
      </w:r>
      <w:r>
        <w:rPr>
          <w:rFonts w:ascii="Arial" w:cs="Arial" w:eastAsia="Arial" w:hAnsi="Arial"/>
          <w:sz w:val="13"/>
          <w:szCs w:val="13"/>
          <w:color w:val="auto"/>
        </w:rPr>
        <w:t>We believe our overall customer satisfaction is strong and will lead our customers to further utilize our current solutions as their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grow,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5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Expand Our Distribution Channels. </w:t>
      </w:r>
      <w:r>
        <w:rPr>
          <w:rFonts w:ascii="Arial" w:cs="Arial" w:eastAsia="Arial" w:hAnsi="Arial"/>
          <w:sz w:val="13"/>
          <w:szCs w:val="13"/>
          <w:color w:val="auto"/>
        </w:rPr>
        <w:t>We intend to grow our business by expanding our network of direct sales representatives to gain new customers. We also believe there are</w:t>
      </w:r>
      <w:r>
        <w:rPr>
          <w:rFonts w:ascii="Arial" w:cs="Arial" w:eastAsia="Arial" w:hAnsi="Arial"/>
          <w:sz w:val="13"/>
          <w:szCs w:val="13"/>
          <w:i w:val="1"/>
          <w:iCs w:val="1"/>
          <w:color w:val="auto"/>
        </w:rPr>
        <w:t xml:space="preserve"> </w:t>
      </w:r>
      <w:r>
        <w:rPr>
          <w:rFonts w:ascii="Arial" w:cs="Arial" w:eastAsia="Arial" w:hAnsi="Arial"/>
          <w:sz w:val="13"/>
          <w:szCs w:val="13"/>
          <w:color w:val="auto"/>
        </w:rPr>
        <w:t>valuable opportunities to promote and sell our solutions through collaboration with other providers.</w:t>
      </w:r>
    </w:p>
    <w:p>
      <w:pPr>
        <w:spacing w:after="0" w:line="4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Expand Our International Presence. </w:t>
      </w:r>
      <w:r>
        <w:rPr>
          <w:rFonts w:ascii="Arial" w:cs="Arial" w:eastAsia="Arial" w:hAnsi="Arial"/>
          <w:sz w:val="13"/>
          <w:szCs w:val="13"/>
          <w:color w:val="auto"/>
        </w:rPr>
        <w:t>We believe our presence in China represents a significant competitive advantage. We plan to increase our international sales efforts to obtain</w:t>
      </w:r>
      <w:r>
        <w:rPr>
          <w:rFonts w:ascii="Arial" w:cs="Arial" w:eastAsia="Arial" w:hAnsi="Arial"/>
          <w:sz w:val="13"/>
          <w:szCs w:val="13"/>
          <w:i w:val="1"/>
          <w:iCs w:val="1"/>
          <w:color w:val="auto"/>
        </w:rPr>
        <w:t xml:space="preserve"> </w:t>
      </w:r>
      <w:r>
        <w:rPr>
          <w:rFonts w:ascii="Arial" w:cs="Arial" w:eastAsia="Arial" w:hAnsi="Arial"/>
          <w:sz w:val="13"/>
          <w:szCs w:val="13"/>
          <w:color w:val="auto"/>
        </w:rPr>
        <w:t>new supplier customers around the world. As part of this plan, we opened direct sales and support offices in the United Kingdom and France in February 2010. We intend to leverage our current international presence to increase the number of integrations we have with retailers in foreign markets to make our platform more valuable to suppliers based overseas.</w:t>
      </w:r>
    </w:p>
    <w:p>
      <w:pPr>
        <w:spacing w:after="0" w:line="59" w:lineRule="exact"/>
        <w:rPr>
          <w:rFonts w:ascii="Arial" w:cs="Arial" w:eastAsia="Arial" w:hAnsi="Arial"/>
          <w:sz w:val="13"/>
          <w:szCs w:val="13"/>
          <w:color w:val="auto"/>
        </w:rPr>
      </w:pPr>
    </w:p>
    <w:p>
      <w:pPr>
        <w:ind w:left="1280" w:right="460" w:hanging="190"/>
        <w:spacing w:after="0" w:line="334" w:lineRule="auto"/>
        <w:tabs>
          <w:tab w:leader="none" w:pos="128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 xml:space="preserve">Enhance and Expand Our Platform. </w:t>
      </w:r>
      <w:r>
        <w:rPr>
          <w:rFonts w:ascii="Arial" w:cs="Arial" w:eastAsia="Arial" w:hAnsi="Arial"/>
          <w:sz w:val="11"/>
          <w:szCs w:val="11"/>
          <w:color w:val="auto"/>
        </w:rPr>
        <w:t>We intend to further improve and develop the functionality and features of our platform, including developing new solutions and</w:t>
      </w:r>
      <w:r>
        <w:rPr>
          <w:rFonts w:ascii="Arial" w:cs="Arial" w:eastAsia="Arial" w:hAnsi="Arial"/>
          <w:sz w:val="11"/>
          <w:szCs w:val="11"/>
          <w:i w:val="1"/>
          <w:iCs w:val="1"/>
          <w:color w:val="auto"/>
        </w:rPr>
        <w:t xml:space="preserve"> </w:t>
      </w:r>
      <w:r>
        <w:rPr>
          <w:rFonts w:ascii="Arial" w:cs="Arial" w:eastAsia="Arial" w:hAnsi="Arial"/>
          <w:sz w:val="11"/>
          <w:szCs w:val="11"/>
          <w:color w:val="auto"/>
        </w:rPr>
        <w:t>applications. For example, in 2009, we launched our Trading Partner Intelligence solution, which delivers data analytics applications to suppliers and retailers to improve performance. We also introduced a scan and pack application in 2009 that helps trading partners process information to streamline the picking and packaging process.</w:t>
      </w:r>
    </w:p>
    <w:p>
      <w:pPr>
        <w:spacing w:after="0" w:line="22" w:lineRule="exact"/>
        <w:rPr>
          <w:rFonts w:ascii="Arial" w:cs="Arial" w:eastAsia="Arial" w:hAnsi="Arial"/>
          <w:sz w:val="11"/>
          <w:szCs w:val="11"/>
          <w:color w:val="auto"/>
        </w:rPr>
      </w:pPr>
    </w:p>
    <w:p>
      <w:pPr>
        <w:ind w:left="1280" w:hanging="190"/>
        <w:spacing w:after="0" w:line="258"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Selectively Pursue Strategic Acquisitions. </w:t>
      </w:r>
      <w:r>
        <w:rPr>
          <w:rFonts w:ascii="Arial" w:cs="Arial" w:eastAsia="Arial" w:hAnsi="Arial"/>
          <w:sz w:val="13"/>
          <w:szCs w:val="13"/>
          <w:color w:val="auto"/>
        </w:rPr>
        <w:t>The fragmented nature of our market provides opportunity for selective acquisitions. To complement and accelerate our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may pursue acquisitions of other supply chain management companies to add customers. We also may pursue acquisitions that allow us to expand into regions or industries where we do not have a significant presence or to offer new functionalities we do not currently provide. We plan to evaluate potential acquisitions of other supply chain management companies primarily based on the number of customers the acquisition would provide relative to the purchase price. We plan to evaluate potential acquisitions to expand into new regions or</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76" w:lineRule="auto"/>
        <w:rPr>
          <w:sz w:val="20"/>
          <w:szCs w:val="20"/>
          <w:color w:val="auto"/>
        </w:rPr>
      </w:pPr>
      <w:r>
        <w:rPr>
          <w:rFonts w:ascii="Arial" w:cs="Arial" w:eastAsia="Arial" w:hAnsi="Arial"/>
          <w:sz w:val="13"/>
          <w:szCs w:val="13"/>
          <w:color w:val="auto"/>
        </w:rPr>
        <w:t>industries or offer additional functionalities primarily based on the anticipated growth the acquisition would provide, the purchase price and our ability to integrate and operate the acquired business.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Development and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Technology</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were an early provider of Software-as-a-Service solutions to the supply chain management industry, launching the first version of our platform in 1997. We use commercially available hardware and a combination of proprietary and commercially available software.</w:t>
      </w:r>
    </w:p>
    <w:p>
      <w:pPr>
        <w:spacing w:after="0" w:line="59"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software we license from third parties is typically licensed to us pursuant to a multi-year or perpetual license that includes a multi-year support services agreement with the third party. Our ability to access upgrades to certain software is conditioned upon our continual maintenance of a support services agreement with the third party between the date of the initial license and the date on which we seek or are required to upgrade the software. Although we believe we could replace the software we currently license from third parties with alternative software, doing so could take time, could result in the temporary unavailability of our platform and increase our costs of operations.</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scalable, on-demand platform treats all customers as logically separate tenants in central applications and databases.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Our research and development efforts focus on improving and enhancing our existing solutions, as well as developing new solutions and applications. Because of our multi-tenant architecture, we provide our customers with a single version of our platform, which we believe allows us to maintain relatively low research and development expenses compared to traditional on-premise licensed software solutions that support multiple versions.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Operations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host production and back-up servers in two third-party data centers located in Minneapolis and Saint Paul, Minnesota. We operate all of the hardware on which our applications run in the data centers.</w:t>
      </w:r>
    </w:p>
    <w:p>
      <w:pPr>
        <w:spacing w:after="0" w:line="59"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We have monitoring software that continually checks our platform and key underlying components at regular intervals for availability and performance, ensuring our platform is available and providing adequate response. We also have a technology operations team that provides system provisioning, management, maintenance, monitoring and back-up.</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facilitate high availability, we operate a multi-tiered system configuration with load-balanced web server pools, replicated database servers and fault-tolerant storage devices.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Databases leverage third-party features for near real-time replication across sites.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Customers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As of December 31, 2010, we had approximately 12,400 recurring revenue customers and over 38,000 total customers. Our primary source of revenue is from small- to mid-sized suppliers in the consumer packaged goods industry. We also generate revenues from other members of the supply chain ecosystem, including retailers, grocers, distributors, third-party logistics providers and other trading partners. No customer represented over 2% of our revenues in 2008, 2009 or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Vendors in the supply chain management industry offer solutions through three delivery methods: on demand, traditional on-premise software and managed services.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market for on-demand supply chain management solutions is fragmented and rapidly evolving. Software-as-a-Service vendors compete directly with each other based on the following:</w:t>
      </w:r>
    </w:p>
    <w:p>
      <w:pPr>
        <w:spacing w:after="0" w:line="59"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breadth of pre-built connections to retailers, third-party logistics providers and other trading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history of establishing and maintaining reliable integration connections with trading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reputation of the Software-as-a-Service vendor in the supply chain management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price;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specialization in a customer market segment;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speed and quality with which the Software-as-a-Service vendor can integrate its customers to their trading partners;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functionality of the Software-as-a-Service solution, such as the ability to integrate the solution with a customer’s business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breadth of complementary supply chain management solutions the Software-as-a-Service vendor offers;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training and customer support services provided during and after a customer’s initial integration.</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We expect to encounter new and increased competition as this market segment consolidates and matures. Consolidation among Software-as-a-Service vendors could create a direct competitor that is able to compete with us more effectively than the numerous, smaller vendors currently offering Software-as-a-Service supply chain management solutions. Increased competition from Software-as-a-Service vendors could reduce our market share, revenues and operating margins or otherwise adversely affect our business.</w:t>
      </w:r>
    </w:p>
    <w:p>
      <w:pPr>
        <w:spacing w:after="0" w:line="5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Software-as-a-Service vendors also compete with traditional on-premise software companies and managed service providers. Traditional on-premise software companies focused on supply chain integration management include Sterling Commerce, a subsidiary of IBM, GXS Corporation, Extol International and Seeburger.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Software-as-a-Service solutions that allow multiple customers to share information maps with a retailer.</w:t>
      </w:r>
    </w:p>
    <w:p>
      <w:pPr>
        <w:spacing w:after="0" w:line="55"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Managed service providers focused on the supply chain management market include Sterling Commerce and 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Software-as-a-Service solution. Software-as-a-Service supply chain management solutions also are at a relatively early stage of development compared to traditional on-premise software and managed service providers. Software-as-a-Service vendors compete with these better established solutions based on total cost of ownership and flexibility. If suppliers do not perceive the benefits of Software-as-a-Service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and Proprietary Content</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rely on a combination of copyright, trademark and trade secret laws in the United States as well as confidentiality procedures and contractual provisions to protect our proprietary technology and our brand. We enter into confidentiality and proprietary rights agreements with our employees, consultants and other third parties and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control access to software, documentation and other proprietary information. We registered the marks SPSCommerce.net and SPS Commerce in the United States. We do not have any patents or applications for patents. Our trade secrets consist primarily of the software we have developed for our SPSCommerce.net integration center. Our software is also protected under copyright law, but we do not have any registered copyrights.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December 31, 2010, we had 353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Information</w:t>
      </w:r>
    </w:p>
    <w:p>
      <w:pPr>
        <w:spacing w:after="0" w:line="10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www.spscommerce.com.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3"/>
          <w:szCs w:val="13"/>
          <w:i w:val="1"/>
          <w:iCs w:val="1"/>
          <w:color w:val="auto"/>
        </w:rPr>
        <w:t>www.sec.gov</w:t>
      </w:r>
      <w:r>
        <w:rPr>
          <w:rFonts w:ascii="Arial" w:cs="Arial" w:eastAsia="Arial" w:hAnsi="Arial"/>
          <w:sz w:val="13"/>
          <w:szCs w:val="13"/>
          <w:color w:val="auto"/>
        </w:rPr>
        <w:t>. Stockholders may also request copies of these documents from:</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SPS Commerce,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Investor Relations</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333 South Seventh Street</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Suite 1000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Minneapolis, MN 55402</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are the names, ages and titles of the persons serving as our executive officers.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92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Age</w:t>
            </w:r>
          </w:p>
        </w:tc>
        <w:tc>
          <w:tcPr>
            <w:tcW w:w="3100" w:type="dxa"/>
            <w:vAlign w:val="bottom"/>
          </w:tcPr>
          <w:p>
            <w:pPr>
              <w:ind w:left="25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178"/>
        </w:trPr>
        <w:tc>
          <w:tcPr>
            <w:tcW w:w="4920" w:type="dxa"/>
            <w:vAlign w:val="bottom"/>
          </w:tcPr>
          <w:p>
            <w:pPr>
              <w:spacing w:after="0"/>
              <w:rPr>
                <w:sz w:val="20"/>
                <w:szCs w:val="20"/>
                <w:color w:val="auto"/>
              </w:rPr>
            </w:pPr>
            <w:r>
              <w:rPr>
                <w:rFonts w:ascii="Arial" w:cs="Arial" w:eastAsia="Arial" w:hAnsi="Arial"/>
                <w:sz w:val="13"/>
                <w:szCs w:val="13"/>
                <w:color w:val="auto"/>
              </w:rPr>
              <w:t>Archie C. Black</w:t>
            </w:r>
          </w:p>
        </w:tc>
        <w:tc>
          <w:tcPr>
            <w:tcW w:w="280" w:type="dxa"/>
            <w:vAlign w:val="bottom"/>
          </w:tcPr>
          <w:p>
            <w:pPr>
              <w:jc w:val="right"/>
              <w:ind w:right="101"/>
              <w:spacing w:after="0"/>
              <w:rPr>
                <w:sz w:val="20"/>
                <w:szCs w:val="20"/>
                <w:color w:val="auto"/>
              </w:rPr>
            </w:pPr>
            <w:r>
              <w:rPr>
                <w:rFonts w:ascii="Arial" w:cs="Arial" w:eastAsia="Arial" w:hAnsi="Arial"/>
                <w:sz w:val="12"/>
                <w:szCs w:val="12"/>
                <w:color w:val="auto"/>
                <w:w w:val="74"/>
              </w:rPr>
              <w:t>48</w:t>
            </w:r>
          </w:p>
        </w:tc>
        <w:tc>
          <w:tcPr>
            <w:tcW w:w="3100" w:type="dxa"/>
            <w:vAlign w:val="bottom"/>
          </w:tcPr>
          <w:p>
            <w:pPr>
              <w:ind w:left="300"/>
              <w:spacing w:after="0"/>
              <w:rPr>
                <w:sz w:val="20"/>
                <w:szCs w:val="20"/>
                <w:color w:val="auto"/>
              </w:rPr>
            </w:pPr>
            <w:r>
              <w:rPr>
                <w:rFonts w:ascii="Arial" w:cs="Arial" w:eastAsia="Arial" w:hAnsi="Arial"/>
                <w:sz w:val="13"/>
                <w:szCs w:val="13"/>
                <w:color w:val="auto"/>
              </w:rPr>
              <w:t>Chief Executive Officer and President</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Kimberly K. Nelson</w:t>
            </w:r>
          </w:p>
        </w:tc>
        <w:tc>
          <w:tcPr>
            <w:tcW w:w="280" w:type="dxa"/>
            <w:vAlign w:val="bottom"/>
          </w:tcPr>
          <w:p>
            <w:pPr>
              <w:jc w:val="right"/>
              <w:ind w:right="101"/>
              <w:spacing w:after="0"/>
              <w:rPr>
                <w:sz w:val="20"/>
                <w:szCs w:val="20"/>
                <w:color w:val="auto"/>
              </w:rPr>
            </w:pPr>
            <w:r>
              <w:rPr>
                <w:rFonts w:ascii="Arial" w:cs="Arial" w:eastAsia="Arial" w:hAnsi="Arial"/>
                <w:sz w:val="12"/>
                <w:szCs w:val="12"/>
                <w:color w:val="auto"/>
                <w:w w:val="74"/>
              </w:rPr>
              <w:t>43</w:t>
            </w:r>
          </w:p>
        </w:tc>
        <w:tc>
          <w:tcPr>
            <w:tcW w:w="3100" w:type="dxa"/>
            <w:vAlign w:val="bottom"/>
          </w:tcPr>
          <w:p>
            <w:pPr>
              <w:ind w:left="300"/>
              <w:spacing w:after="0"/>
              <w:rPr>
                <w:sz w:val="20"/>
                <w:szCs w:val="20"/>
                <w:color w:val="auto"/>
              </w:rPr>
            </w:pPr>
            <w:r>
              <w:rPr>
                <w:rFonts w:ascii="Arial" w:cs="Arial" w:eastAsia="Arial" w:hAnsi="Arial"/>
                <w:sz w:val="13"/>
                <w:szCs w:val="13"/>
                <w:color w:val="auto"/>
                <w:w w:val="92"/>
              </w:rPr>
              <w:t>Executive Vice President and Chief Financial Officer</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James J. Frome</w:t>
            </w:r>
          </w:p>
        </w:tc>
        <w:tc>
          <w:tcPr>
            <w:tcW w:w="280" w:type="dxa"/>
            <w:vAlign w:val="bottom"/>
          </w:tcPr>
          <w:p>
            <w:pPr>
              <w:jc w:val="right"/>
              <w:ind w:right="101"/>
              <w:spacing w:after="0"/>
              <w:rPr>
                <w:sz w:val="20"/>
                <w:szCs w:val="20"/>
                <w:color w:val="auto"/>
              </w:rPr>
            </w:pPr>
            <w:r>
              <w:rPr>
                <w:rFonts w:ascii="Arial" w:cs="Arial" w:eastAsia="Arial" w:hAnsi="Arial"/>
                <w:sz w:val="12"/>
                <w:szCs w:val="12"/>
                <w:color w:val="auto"/>
                <w:w w:val="74"/>
              </w:rPr>
              <w:t>46</w:t>
            </w:r>
          </w:p>
        </w:tc>
        <w:tc>
          <w:tcPr>
            <w:tcW w:w="3100" w:type="dxa"/>
            <w:vAlign w:val="bottom"/>
          </w:tcPr>
          <w:p>
            <w:pPr>
              <w:ind w:left="300"/>
              <w:spacing w:after="0"/>
              <w:rPr>
                <w:sz w:val="20"/>
                <w:szCs w:val="20"/>
                <w:color w:val="auto"/>
              </w:rPr>
            </w:pPr>
            <w:r>
              <w:rPr>
                <w:rFonts w:ascii="Arial" w:cs="Arial" w:eastAsia="Arial" w:hAnsi="Arial"/>
                <w:sz w:val="13"/>
                <w:szCs w:val="13"/>
                <w:color w:val="auto"/>
                <w:w w:val="93"/>
              </w:rPr>
              <w:t>Executive Vice President and Chief Strategy Officer</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Michael J. Gray</w:t>
            </w:r>
          </w:p>
        </w:tc>
        <w:tc>
          <w:tcPr>
            <w:tcW w:w="280" w:type="dxa"/>
            <w:vAlign w:val="bottom"/>
          </w:tcPr>
          <w:p>
            <w:pPr>
              <w:jc w:val="right"/>
              <w:ind w:right="101"/>
              <w:spacing w:after="0"/>
              <w:rPr>
                <w:sz w:val="20"/>
                <w:szCs w:val="20"/>
                <w:color w:val="auto"/>
              </w:rPr>
            </w:pPr>
            <w:r>
              <w:rPr>
                <w:rFonts w:ascii="Arial" w:cs="Arial" w:eastAsia="Arial" w:hAnsi="Arial"/>
                <w:sz w:val="12"/>
                <w:szCs w:val="12"/>
                <w:color w:val="auto"/>
                <w:w w:val="74"/>
              </w:rPr>
              <w:t>51</w:t>
            </w:r>
          </w:p>
        </w:tc>
        <w:tc>
          <w:tcPr>
            <w:tcW w:w="3100" w:type="dxa"/>
            <w:vAlign w:val="bottom"/>
          </w:tcPr>
          <w:p>
            <w:pPr>
              <w:ind w:left="300"/>
              <w:spacing w:after="0"/>
              <w:rPr>
                <w:sz w:val="20"/>
                <w:szCs w:val="20"/>
                <w:color w:val="auto"/>
              </w:rPr>
            </w:pPr>
            <w:r>
              <w:rPr>
                <w:rFonts w:ascii="Arial" w:cs="Arial" w:eastAsia="Arial" w:hAnsi="Arial"/>
                <w:sz w:val="13"/>
                <w:szCs w:val="13"/>
                <w:color w:val="auto"/>
              </w:rPr>
              <w:t>Executive Vice President of Operations</w:t>
            </w:r>
          </w:p>
        </w:tc>
      </w:tr>
      <w:tr>
        <w:trPr>
          <w:trHeight w:val="165"/>
        </w:trPr>
        <w:tc>
          <w:tcPr>
            <w:tcW w:w="4920" w:type="dxa"/>
            <w:vAlign w:val="bottom"/>
          </w:tcPr>
          <w:p>
            <w:pPr>
              <w:spacing w:after="0"/>
              <w:rPr>
                <w:sz w:val="20"/>
                <w:szCs w:val="20"/>
                <w:color w:val="auto"/>
              </w:rPr>
            </w:pPr>
            <w:r>
              <w:rPr>
                <w:rFonts w:ascii="Arial" w:cs="Arial" w:eastAsia="Arial" w:hAnsi="Arial"/>
                <w:sz w:val="13"/>
                <w:szCs w:val="13"/>
                <w:color w:val="auto"/>
              </w:rPr>
              <w:t>David J. Novak, Jr.</w:t>
            </w:r>
          </w:p>
        </w:tc>
        <w:tc>
          <w:tcPr>
            <w:tcW w:w="280" w:type="dxa"/>
            <w:vAlign w:val="bottom"/>
          </w:tcPr>
          <w:p>
            <w:pPr>
              <w:jc w:val="right"/>
              <w:ind w:right="101"/>
              <w:spacing w:after="0"/>
              <w:rPr>
                <w:sz w:val="20"/>
                <w:szCs w:val="20"/>
                <w:color w:val="auto"/>
              </w:rPr>
            </w:pPr>
            <w:r>
              <w:rPr>
                <w:rFonts w:ascii="Arial" w:cs="Arial" w:eastAsia="Arial" w:hAnsi="Arial"/>
                <w:sz w:val="12"/>
                <w:szCs w:val="12"/>
                <w:color w:val="auto"/>
                <w:w w:val="74"/>
              </w:rPr>
              <w:t>42</w:t>
            </w:r>
          </w:p>
        </w:tc>
        <w:tc>
          <w:tcPr>
            <w:tcW w:w="3100" w:type="dxa"/>
            <w:vAlign w:val="bottom"/>
          </w:tcPr>
          <w:p>
            <w:pPr>
              <w:ind w:left="300"/>
              <w:spacing w:after="0"/>
              <w:rPr>
                <w:sz w:val="20"/>
                <w:szCs w:val="20"/>
                <w:color w:val="auto"/>
              </w:rPr>
            </w:pPr>
            <w:r>
              <w:rPr>
                <w:rFonts w:ascii="Arial" w:cs="Arial" w:eastAsia="Arial" w:hAnsi="Arial"/>
                <w:sz w:val="13"/>
                <w:szCs w:val="13"/>
                <w:color w:val="auto"/>
                <w:w w:val="94"/>
              </w:rPr>
              <w:t>Executive Vice President of Business Development</w:t>
            </w:r>
          </w:p>
        </w:tc>
      </w:tr>
    </w:tbl>
    <w:p>
      <w:pPr>
        <w:spacing w:after="0" w:line="81"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Archie C. Black </w:t>
      </w:r>
      <w:r>
        <w:rPr>
          <w:rFonts w:ascii="Arial" w:cs="Arial" w:eastAsia="Arial" w:hAnsi="Arial"/>
          <w:sz w:val="13"/>
          <w:szCs w:val="13"/>
          <w:color w:val="auto"/>
        </w:rPr>
        <w:t>joined us in 1998 as our Senior Vice President and Chief Financial Officer and served in those capacities until becoming our President and Chief Executive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and a director in 2001. Prior to joining us, Mr. Black was a Senior Vice President and Chief Financial Officer at Investment Advisors, Inc. in Minneapolis, Minnesota. Prior to Investment Advisors, he spent three years at Price Waterhouse.</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i w:val="1"/>
          <w:iCs w:val="1"/>
          <w:color w:val="auto"/>
        </w:rPr>
        <w:t xml:space="preserve">Kimberly K. Nelson </w:t>
      </w:r>
      <w:r>
        <w:rPr>
          <w:rFonts w:ascii="Arial" w:cs="Arial" w:eastAsia="Arial" w:hAnsi="Arial"/>
          <w:sz w:val="12"/>
          <w:szCs w:val="12"/>
          <w:color w:val="auto"/>
        </w:rPr>
        <w:t>has served as our Executive Vice President and Chief Financial Officer since November 2007. Prior to joining us, Ms. Nelson served as the Finance Director,</w:t>
      </w:r>
      <w:r>
        <w:rPr>
          <w:rFonts w:ascii="Arial" w:cs="Arial" w:eastAsia="Arial" w:hAnsi="Arial"/>
          <w:sz w:val="12"/>
          <w:szCs w:val="12"/>
          <w:i w:val="1"/>
          <w:iCs w:val="1"/>
          <w:color w:val="auto"/>
        </w:rPr>
        <w:t xml:space="preserve"> </w:t>
      </w:r>
      <w:r>
        <w:rPr>
          <w:rFonts w:ascii="Arial" w:cs="Arial" w:eastAsia="Arial" w:hAnsi="Arial"/>
          <w:sz w:val="12"/>
          <w:szCs w:val="12"/>
          <w:color w:val="auto"/>
        </w:rPr>
        <w:t>Investor Relations for Amazon.com from June 2005 through November 2007. From April 2003 until June 2005, she served as the Finance Director, Worldwide</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Application for Amazon.com’s Technology group. Ms. Nelson also served as Amazon.com’s Finance Director, Financial Planning and Analysis from December 2000 until April 2003.</w:t>
      </w:r>
    </w:p>
    <w:p>
      <w:pPr>
        <w:spacing w:after="0" w:line="108"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James J. Frome </w:t>
      </w:r>
      <w:r>
        <w:rPr>
          <w:rFonts w:ascii="Arial" w:cs="Arial" w:eastAsia="Arial" w:hAnsi="Arial"/>
          <w:sz w:val="13"/>
          <w:szCs w:val="13"/>
          <w:color w:val="auto"/>
        </w:rPr>
        <w:t>has served as our Executive Vice President and Chief Strategy Officer since March 2001. Mr. Frome served as our Vice President of Marketing from July 2000 to</w:t>
      </w:r>
      <w:r>
        <w:rPr>
          <w:rFonts w:ascii="Arial" w:cs="Arial" w:eastAsia="Arial" w:hAnsi="Arial"/>
          <w:sz w:val="13"/>
          <w:szCs w:val="13"/>
          <w:i w:val="1"/>
          <w:iCs w:val="1"/>
          <w:color w:val="auto"/>
        </w:rPr>
        <w:t xml:space="preserve"> </w:t>
      </w:r>
      <w:r>
        <w:rPr>
          <w:rFonts w:ascii="Arial" w:cs="Arial" w:eastAsia="Arial" w:hAnsi="Arial"/>
          <w:sz w:val="13"/>
          <w:szCs w:val="13"/>
          <w:color w:val="auto"/>
        </w:rPr>
        <w:t>March 2001. Prior to joining us, he served as a Divisional Vice President of marketing at Sterling Software, Inc. from 1999 to 2000. Prior to joining Sterling Software, he served as a Senior Product Manager and Director of Product Management at Information Advantage, Inc. from 1993 to 1999.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Michael J. Gray </w:t>
      </w:r>
      <w:r>
        <w:rPr>
          <w:rFonts w:ascii="Arial" w:cs="Arial" w:eastAsia="Arial" w:hAnsi="Arial"/>
          <w:sz w:val="12"/>
          <w:szCs w:val="12"/>
          <w:color w:val="auto"/>
        </w:rPr>
        <w:t>has served as our Executive Vice President of Operations since November 2008. Prior to joining us, Mr. Gray served as Chief Technology Officer at IDeaS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Optimization from October 2007 to November 2008. From 2001 to October 2007, Mr. Gray served as Senior Director of Technology at Thomson Corporation (formerly West Publishing). Mr. Gray also served in various leadership and technical position at Thomson Corporation prior to his promotion to Senior Director of Technology.</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David J. Novak, Jr. </w:t>
      </w:r>
      <w:r>
        <w:rPr>
          <w:rFonts w:ascii="Arial" w:cs="Arial" w:eastAsia="Arial" w:hAnsi="Arial"/>
          <w:sz w:val="12"/>
          <w:szCs w:val="12"/>
          <w:color w:val="auto"/>
        </w:rPr>
        <w:t>has served as our Executive Vice President of Business Development since 2007. Prior to joining us, he served as Vice President of Sales, North America-</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Business Intelligence for Oracle Corporation from January 2006 to June 2007. Prior to Oracle’s acquisition of Siebel Systems, Inc. in 2006, he served as Regional Vice President of Sales —</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Western U.S. and Asia Pacific for Siebel Systems’ business intelligence division starting in 2001.</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132"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The market for on-demand supply chain management solutions is at an early stage of development. If this market does not develop or develops more slowly than we expect, our revenues may decline or fail to grow and we may incur operating losses.</w:t>
      </w:r>
    </w:p>
    <w:p>
      <w:pPr>
        <w:spacing w:after="0" w:line="59"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derive, and expect to continue to derive, substantially all of our revenues from providing on-demand supply chain management solutions to suppliers. The market for on-demand supply chain management solutions is in an early stage of development, and it is uncertain whether these solutions will achieve and sustain high levels of demand and market acceptance. Our success will depend on the willingness of suppliers to accept our on-demand supply chain management solutions as an alternative to traditional licensed hardware and software solutions.</w:t>
      </w:r>
    </w:p>
    <w:p>
      <w:pPr>
        <w:spacing w:after="0" w:line="3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Some suppliers may be reluctant or unwilling to use our on-demand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on-demand supply chain management solutions.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factors that may limit market acceptance of our on-demand supply chain management solutions include:</w:t>
      </w:r>
    </w:p>
    <w:p>
      <w:pPr>
        <w:spacing w:after="0" w:line="96"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high levels of customer satisfaction;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maintain continuity of service for all users of our platform;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price, performance and availability of competing solutions;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assuage suppliers’ confidentiality concerns about information stored outside of their controlled computing environments.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If suppliers do not perceive the benefits of our on-demand supply chain management solutions, or if suppliers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146"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We do not have long-term contracts with our recurring revenue customers, and our success therefore depends on our ability to maintain a high level of customer satisfaction and a strong reputation in the supply chain management industry.</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contracts with our recurring revenue customers typically allow the customer to cancel the contract for any reason with 30 days prior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If a significant number of recurring revenue customers seek to terminate their relationship with us, our business, results of operations and financial condition can be adversely affected in a short period of time.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Continued economic weakness and uncertainty could adversely affect our revenue, lengthen our sales cycles and make it difficult for us to forecast operating results accurately.</w:t>
      </w:r>
    </w:p>
    <w:p>
      <w:pPr>
        <w:spacing w:after="0" w:line="11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155"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inside sales personnel, developing strategic relationships with resellers, including resellers that incorporate our applications in their offerings, and increasing our marketing activities. In addition, we derived more than 90% of our revenues from sales of our Trading Partner Integration solution in 2008, 2009 and 2010 and have not yet received significant revenues from solutions and applications that we introduced in 2009.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In addition,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quarterly results of operations may fluctuate in the future, which could result in volatility in our stock price.</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quarterly revenues and results of operations have varied in the past and may fluctuate as a result of a variety of factors, including the success of our new offerings such as our Trading Partner Intelligence solution. If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59"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ability to retain and increase sales to customers and attract new customers, including our ability to maintain and increase our number of recurring revenue customers;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timing and success of introductions of new solutions or upgrades by us or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strength of the economy, in particular as it affects the retail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our pricing policies or those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competition, including entry into the industry by new competitors and new offerings by existing competitors;</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 and timing of our expenses, including stock-based compensation and expenditures related to expanding our operations, supporting new customers, performing research and development, or introducing new solutions;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the payment terms for our solutions.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Due to the foregoing factors, and the other risks discussed in this Annual Report on Form 10-K, you should not rely on comparisons of our results of operations as an indication of our future performance.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incurred operating losses in the past and may incur operating losses in the future.</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began operating our supply chain management solution business in 1997. Throughout most of our history, we have experienced net losses and negative cash flows from operations. As of December 31, 2010, we had an accumulated deficit of $62.8 million. We expect our operating expenses to increase in the future as we expand our operations. Furthermore, since our initial public offering in April 2010, we have experienced a significant increase in legal, accounting and other expenses that we did not incur as a private company.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inability to adapt to rapid technological change could impair our ability to remain competitive.</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industry in which we compete is characterized by rapid technological change, frequent introductions of new products and evolving industry standards.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For example, we introduced our Trading Partner Intelligence solution during 2009, but we have not yet received significant revenues from this solution.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55"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during the period required to correct the cause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Because customers use our on-demand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Interruptions or delays from third-party data centers could impair the delivery of our solutions and our business could suffer.</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use two third-party data centers, located in Minneapolis and Saint Paul, Minnesota, to conduct our operations. All of our solutions reside on hardware that we own or lease and operate in these locations.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on-demand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150"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failure to protect the integrity and security of our customers’ information could expose us to litigation, materially damage our reputation and harm our business, and the costs of preventing such a failure could adversely affect our results of operations.</w:t>
      </w:r>
    </w:p>
    <w:p>
      <w:pPr>
        <w:spacing w:after="0" w:line="59"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Our business involves the collection and use of confidential information of our customers and their trading partners. We cannot assure you that our efforts to protect this confidential information will be successful. If any compromise of this information security were to occur, we could be subject to legal claims and government action, experience an adverse effect on our reputation and need to incur significant additional costs to protect against similar information security breaches in the future, each of which could adversely affect our financial condition,</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results of operations and growth prospects. In addition, because of the critical nature of data security, any perceived breach of our security measures could cause existing or potential customers not to use our solutions and could harm our reputation.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Evolving regulation of the Internet may increase our expenditures related to compliance efforts, which may adversely affect our financial condition.</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Internet commerce continues to evolve, increasing regulation by federal, state or foreign agencies becomes more likely. We are particularly sensitive to these risks because the Internet is a critical component of our on-demand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protect our intellectual property and proprietary rights adequately, our business could be adversely affected.</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patent applications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137"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59"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7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 addition, we incorporate open source software into our platform. Given the nature of open source software, third parties might assert copyright and other intellectual property infringement claims against us based on our use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party hardware and software that could take a significant time to replace or upgrade.</w:t>
      </w:r>
    </w:p>
    <w:p>
      <w:pPr>
        <w:spacing w:after="0" w:line="96"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We rely on hardware and software licensed from third parties to offer our on-demand supply chain management solutions. This hardware and software, as well as maintenance rights for this hardware and software,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hardware and software that we currently license. Any such alternatives could be more difficult or costly to replace than the third-party hardware and software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i w:val="1"/>
          <w:iCs w:val="1"/>
          <w:color w:val="auto"/>
        </w:rPr>
        <w:t>We may pursue acquisitions and our potential inability to successfully integrate newly acquired companies or businesses could adversely affect our financial results.</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may pursue acquisitions of other companies or their businesses in the future. If we complete acquisitions, we face many risks commonly encountered with growth through acquisitions. These risks include:</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incurring significantly higher than anticipated capital expenditures and operating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failing to assimilate the operations and personnel of the acquired company or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disrupting our ongoing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dissipating our management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failing to maintain uniform standards, controls and policies;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impairing relationships with employees and customers as a result of changes in management.</w:t>
      </w:r>
    </w:p>
    <w:p>
      <w:pPr>
        <w:spacing w:after="0" w:line="96"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ability to use U.S. net operating loss carryforwards might be limited.</w:t>
      </w:r>
    </w:p>
    <w:p>
      <w:pPr>
        <w:spacing w:after="0" w:line="96" w:lineRule="exact"/>
        <w:rPr>
          <w:sz w:val="20"/>
          <w:szCs w:val="20"/>
          <w:color w:val="auto"/>
        </w:rPr>
      </w:pPr>
    </w:p>
    <w:p>
      <w:pPr>
        <w:ind w:left="680" w:right="140" w:firstLine="399"/>
        <w:spacing w:after="0" w:line="301" w:lineRule="auto"/>
        <w:rPr>
          <w:sz w:val="20"/>
          <w:szCs w:val="20"/>
          <w:color w:val="auto"/>
        </w:rPr>
      </w:pPr>
      <w:r>
        <w:rPr>
          <w:rFonts w:ascii="Arial" w:cs="Arial" w:eastAsia="Arial" w:hAnsi="Arial"/>
          <w:sz w:val="11"/>
          <w:szCs w:val="11"/>
          <w:color w:val="auto"/>
        </w:rPr>
        <w:t>As of December 31, 2010, we had net operating loss carryforwards of $49.9 million for U.S. federal tax purposes and $31.4 million for state tax purposes. These loss carryforwards expire between 2011 and 2029.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believe that approximately $17.6 million of federal losses and</w:t>
      </w:r>
    </w:p>
    <w:p>
      <w:pPr>
        <w:spacing w:after="0" w:line="1"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$7.0 million of state losses will expire unused due to Section 382 limitations. The maximum annual limitation under Section 382 is approximately $990,000. The limitation could be further restricted if ownership</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changes occur in future years. To the extent our use of net operating loss carryforwards is significantly limited, our income could be subject to corporate income tax earlier than it would if we were able to use net operating loss carryforwards, which could result in lower profits.</w:t>
      </w:r>
    </w:p>
    <w:p>
      <w:pPr>
        <w:spacing w:after="0" w:line="13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67"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Software-as-a-Service providers that deliver business-to-business information systems using a multi-tenant approach;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traditional on-premise software providers;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managed service providers that combine traditional on-premise software with professional information technology services.</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Mergers or other strategic transactions involving our competitors could weaken our competitive position, which could harm our operating results.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industry is highly fragmented, and we believe it is likely that our existing competitors will continue to consolidate or will be acquired. For example, in June 2010,</w:t>
      </w:r>
    </w:p>
    <w:p>
      <w:pPr>
        <w:spacing w:after="0" w:line="15" w:lineRule="exact"/>
        <w:rPr>
          <w:sz w:val="20"/>
          <w:szCs w:val="20"/>
          <w:color w:val="auto"/>
        </w:rPr>
      </w:pPr>
    </w:p>
    <w:p>
      <w:pPr>
        <w:ind w:left="680" w:right="140"/>
        <w:spacing w:after="0" w:line="284" w:lineRule="auto"/>
        <w:rPr>
          <w:sz w:val="20"/>
          <w:szCs w:val="20"/>
          <w:color w:val="auto"/>
        </w:rPr>
      </w:pPr>
      <w:r>
        <w:rPr>
          <w:rFonts w:ascii="Arial" w:cs="Arial" w:eastAsia="Arial" w:hAnsi="Arial"/>
          <w:sz w:val="12"/>
          <w:szCs w:val="12"/>
          <w:color w:val="auto"/>
        </w:rPr>
        <w:t>GXS Corporation and Inovis, two large, on-premise software companies, merged to create an e-commerce business that is much larger than ours.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retain our Chief Executive Officer and other key personnel, our business would be harmed and we might not be able to implement our business plan successfully.</w:t>
      </w:r>
    </w:p>
    <w:p>
      <w:pPr>
        <w:spacing w:after="0" w:line="11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In particular, Archie C. Black, our Chief Executive Officer and President, Kimberly K. Nelson, our Executive Vice President and Chief Financial Officer, James J. Frome, our Executive Vice President and Chief Strategy Officer, Michael J. Gray, our Executive Vice President of Operations, and David J. Novak, Jr., our Executive Vice President of Business Development, are critical to the management of our business and operations.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152" w:lineRule="exact"/>
        <w:rPr>
          <w:sz w:val="20"/>
          <w:szCs w:val="20"/>
          <w:color w:val="auto"/>
        </w:rPr>
      </w:pPr>
    </w:p>
    <w:p>
      <w:pPr>
        <w:ind w:left="880" w:right="480"/>
        <w:spacing w:after="0" w:line="371" w:lineRule="auto"/>
        <w:rPr>
          <w:sz w:val="20"/>
          <w:szCs w:val="20"/>
          <w:color w:val="auto"/>
        </w:rPr>
      </w:pPr>
      <w:r>
        <w:rPr>
          <w:rFonts w:ascii="Arial" w:cs="Arial" w:eastAsia="Arial" w:hAnsi="Arial"/>
          <w:sz w:val="11"/>
          <w:szCs w:val="11"/>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12"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are required to comply with the internal control evaluation and certification requirements of Section 404 of the Sarbanes-Oxley Act of 2002 by no later than the end of our 2011 fiscal year. We are in the process of determining whether our existing internal controls over financial reporting systems are compliant with Section 404. This process may divert internal resources and will take a significant amount of time and effort to complete. To the extent that we are not currently in compliance with Section 404, we may be required to implement new internal control procedures and re-evaluate our financial reporting. We may experience higher than anticipated operating expenses as well as increased independent auditor fees during the implementation of these changes and thereafter. Further, we may need to hire additional qualified personnel in order for us to comply with Section 404. If we are unable to implement these changes effectively or efficiently, it could harm our operations, financial reporting or financial results and could result in our being unable to obtain an unqualified report on internal controls from our independent auditors, which could have a negative impact on our stock price.</w:t>
      </w:r>
    </w:p>
    <w:p>
      <w:pPr>
        <w:spacing w:after="0" w:line="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connection with preparing the registration statement for our initial public offering, we identified an error in our prior years’ financial statements. This error related to accounting for the preferred stock warrants at fair value in 2006, 2007 and 2008. This error resulted in the restatement of our previously issued 2006, 2007 and 2008 financial statements. This error was determined to be a deficiency. Although we have taken measures to remediate the deficiency, we cannot assure you that we have identified all, or that we will not in the future have additional, material weaknesses, significant deficiencies or control deficiencies. Any failure to maintain or implement required new or improved controls, or any difficulties we encounter in implementation, could cause us to fail to meet our periodic reporting obligations or result in material misstatements in our financial statements.</w:t>
      </w:r>
    </w:p>
    <w:p>
      <w:pPr>
        <w:spacing w:after="0" w:line="134"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70"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develop and enhance our solutions;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continue to expand our technology development, sales and marketing organizations;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hire, train and retain employees;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respond to competitive pressures or unanticipated working capital requirements.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inability to do any of the foregoing could reduce our ability to compete successfully and adversely affect our results of operations.</w:t>
      </w:r>
    </w:p>
    <w:p>
      <w:pPr>
        <w:spacing w:after="0" w:line="175"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Because our long-term success depends, in part, on our ability to expand the sales of our solutions to customers located outside of the United States, our business will be susceptible to risks associated with international operations.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limited experience operating in foreign jurisdictions. Customers in countries outside of North America accounted for 2% of our revenues for 2008, 2009 and 2010. In February 2010, we opened offices in the United Kingdom and France.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including:</w:t>
      </w:r>
    </w:p>
    <w:p>
      <w:pPr>
        <w:spacing w:after="0" w:line="50"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unexpected changes in foreign regulatory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longer accounts receivable payment cycles and difficulties in collecting accounts receivable;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in managing and staffing international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potentially adverse tax consequences, including the complexities of foreign value added tax systems and restrictions on the repatriation of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localization of our solutions, including translation into foreign languages and associated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burdens of complying with a wide variety of foreign laws and different legal standards, including laws and regulations related to privacy;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increased financial accounting and reporting burdens and complexities;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political, social and economic instability abroad, terrorist attacks and security concerns in general;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reduced or varied protection for intellectual property rights in some countries.</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be volatile.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Shares of our common stock were sold in our April 2010 initial public offering at a price of $12.00 per share, and, as of December 31, 2010, our common stock has subsequently traded as high as $15.98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6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our quarterly financial results or the quarterly financial results of companies perceived to be similar to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our recorded revenue, even during periods of significant sales order activity;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estimates of our financial results or recommendations by securities analysts;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failure of any of our solutions to achieve or maintain market acceptance;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market valuations of similar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success of competitive products or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our capital structure, such as future issuances of securities or the incurrence of debt;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solutions, contracts, acquisitions or strategic alliances;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developments in the United States, foreign countries or both;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litigation involving our company, our general industry or both;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additions or departures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investors’ general perception of us;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economic, industry and market conditions.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Future sales of our common stock by our existing stockholders could cause our stock price to decline.</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2010, we had 462,531 shares of our common stock issuable under our 2010 Equity Incentive Plan and 1,086,813 shares of our common stock issuable under our 2001 Stock Option Plan, both of which are covered by effective registration statements. Furthermore, certain holders of our common stock will have the right to demand that we file registration statements, or request that their shares be covered by a registration statement that we are otherwise filing, with respect to the shares of our common stock held by them, and will have the right to include those shares in any registration statement that we file with the SEC, subject to exceptions, which would enable those shares to be sold in the public market.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charter documents and Delaware law may inhibit a takeover that stockholders consider favorable.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These provisions:</w:t>
      </w:r>
    </w:p>
    <w:p>
      <w:pPr>
        <w:spacing w:after="0" w:line="67" w:lineRule="exact"/>
        <w:rPr>
          <w:sz w:val="20"/>
          <w:szCs w:val="20"/>
          <w:color w:val="auto"/>
        </w:rPr>
      </w:pPr>
    </w:p>
    <w:p>
      <w:pPr>
        <w:ind w:left="1280" w:right="3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that the authorized number of directors may be changed by resolution of the board of directors;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divide our board of directors into three classes;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that all vacancies, including newly created directorships, may, except as otherwise required by law, be filled by the affirmative vote of a majority of directors then in office, even if less than a quorum;</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 not provide for cumulative voting rights.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do not intend to declare dividends on our stock in the foreseeable future.</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currently intend to retain all future earnings for the operation and expansion of our business and, therefore, do not anticipate declaring or paying cash dividends on our common stock in the foreseeable future. Any payment of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directors, executive officers and their affiliates have substantial control over us and could delay or prevent a change in corporate control.</w:t>
      </w:r>
    </w:p>
    <w:p>
      <w:pPr>
        <w:spacing w:after="0" w:line="96"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As of February 23, 2011, our directors and executive officers, together with their affiliates, beneficially owned, in the aggregate, approximately 23% of our outstanding common stock. As a result, these stockholders, acting together, would have the ability to significantly influence the outcome of matters submitted to our stockholders for approval, including the election of directors and any merger, consolidation or sale of all or substantially all of our assets. In addition, these stockholders, acting together, would have the ability to significantly influence the management and affairs of our company. Accordingly, this concentration of ownership might harm the market price of our common stock by:</w:t>
      </w:r>
    </w:p>
    <w:p>
      <w:pPr>
        <w:spacing w:after="0" w:line="53"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delaying, deferring or preventing a change in corporate control;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impeding a merger, consolidation, takeover or other business combination involving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discouraging a potential acquirer from making a tender offer or otherwise attempting to obtain control of us.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corporate headquarters, including our principal administrative, marketing, sales, technical support and research and development facilities, are located in Minneapolis, MN where we lease approximately 55,400 square feet under an agreement that expires on October 31, 2012.</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our current facilities are suitable and adequate to meet our current needs, and that suitable additional or substitute space will be available as needed to accommodate expansion of our operations.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We are not currently subject to any material legal proceedings. From time to time, we have been named as a defendant in legal actions arising from our normal business activities, none of which has had a material effect on our business, results of operations or financial condition. We believe that we have obtained adequate insurance coverage or rights to indemnification in connection with potential legal proceedings that may arise.</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Market Information. </w:t>
      </w:r>
      <w:r>
        <w:rPr>
          <w:rFonts w:ascii="Arial" w:cs="Arial" w:eastAsia="Arial" w:hAnsi="Arial"/>
          <w:sz w:val="13"/>
          <w:szCs w:val="13"/>
          <w:color w:val="auto"/>
        </w:rPr>
        <w:t>Our common stock has traded on the Nasdaq Global Market under the symbol “SPSC” since April 22, 2010, the date of our initial public offering. Prior to that</w:t>
      </w:r>
      <w:r>
        <w:rPr>
          <w:rFonts w:ascii="Arial" w:cs="Arial" w:eastAsia="Arial" w:hAnsi="Arial"/>
          <w:sz w:val="13"/>
          <w:szCs w:val="13"/>
          <w:i w:val="1"/>
          <w:iCs w:val="1"/>
          <w:color w:val="auto"/>
        </w:rPr>
        <w:t xml:space="preserve"> </w:t>
      </w:r>
      <w:r>
        <w:rPr>
          <w:rFonts w:ascii="Arial" w:cs="Arial" w:eastAsia="Arial" w:hAnsi="Arial"/>
          <w:sz w:val="13"/>
          <w:szCs w:val="13"/>
          <w:color w:val="auto"/>
        </w:rPr>
        <w:t>time, there was no public market for our common stock. The following table sets forth, for the periods indicated, the high and low sales prices for our common stock as reported on the Nasdaq Global Market.</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57"/>
        </w:trPr>
        <w:tc>
          <w:tcPr>
            <w:tcW w:w="8320" w:type="dxa"/>
            <w:vAlign w:val="bottom"/>
          </w:tcPr>
          <w:p>
            <w:pPr>
              <w:ind w:left="140"/>
              <w:spacing w:after="0"/>
              <w:rPr>
                <w:sz w:val="20"/>
                <w:szCs w:val="20"/>
                <w:color w:val="auto"/>
              </w:rPr>
            </w:pPr>
            <w:r>
              <w:rPr>
                <w:rFonts w:ascii="Arial" w:cs="Arial" w:eastAsia="Arial" w:hAnsi="Arial"/>
                <w:sz w:val="13"/>
                <w:szCs w:val="13"/>
                <w:color w:val="auto"/>
              </w:rPr>
              <w:t>Second Quarter (from April 22, 2010)</w:t>
            </w:r>
          </w:p>
        </w:tc>
        <w:tc>
          <w:tcPr>
            <w:tcW w:w="700" w:type="dxa"/>
            <w:vAlign w:val="bottom"/>
          </w:tcPr>
          <w:p>
            <w:pPr>
              <w:jc w:val="right"/>
              <w:ind w:right="138"/>
              <w:spacing w:after="0"/>
              <w:rPr>
                <w:sz w:val="20"/>
                <w:szCs w:val="20"/>
                <w:color w:val="auto"/>
              </w:rPr>
            </w:pPr>
            <w:r>
              <w:rPr>
                <w:rFonts w:ascii="Arial" w:cs="Arial" w:eastAsia="Arial" w:hAnsi="Arial"/>
                <w:sz w:val="13"/>
                <w:szCs w:val="13"/>
                <w:color w:val="auto"/>
              </w:rPr>
              <w:t>$14.50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8"/>
              <w:spacing w:after="0"/>
              <w:rPr>
                <w:sz w:val="20"/>
                <w:szCs w:val="20"/>
                <w:color w:val="auto"/>
              </w:rPr>
            </w:pPr>
            <w:r>
              <w:rPr>
                <w:rFonts w:ascii="Arial" w:cs="Arial" w:eastAsia="Arial" w:hAnsi="Arial"/>
                <w:sz w:val="13"/>
                <w:szCs w:val="13"/>
                <w:color w:val="auto"/>
                <w:w w:val="79"/>
              </w:rPr>
              <w:t>10.90</w:t>
            </w:r>
          </w:p>
        </w:tc>
      </w:tr>
      <w:tr>
        <w:trPr>
          <w:trHeight w:val="157"/>
        </w:trPr>
        <w:tc>
          <w:tcPr>
            <w:tcW w:w="8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70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$12.83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8.45</w:t>
            </w:r>
          </w:p>
        </w:tc>
      </w:tr>
      <w:tr>
        <w:trPr>
          <w:trHeight w:val="165"/>
        </w:trPr>
        <w:tc>
          <w:tcPr>
            <w:tcW w:w="832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8"/>
              <w:spacing w:after="0"/>
              <w:rPr>
                <w:sz w:val="20"/>
                <w:szCs w:val="20"/>
                <w:color w:val="auto"/>
              </w:rPr>
            </w:pPr>
            <w:r>
              <w:rPr>
                <w:rFonts w:ascii="Arial" w:cs="Arial" w:eastAsia="Arial" w:hAnsi="Arial"/>
                <w:sz w:val="13"/>
                <w:szCs w:val="13"/>
                <w:color w:val="auto"/>
              </w:rPr>
              <w:t>$15.98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8"/>
              <w:spacing w:after="0"/>
              <w:rPr>
                <w:sz w:val="20"/>
                <w:szCs w:val="20"/>
                <w:color w:val="auto"/>
              </w:rPr>
            </w:pPr>
            <w:r>
              <w:rPr>
                <w:rFonts w:ascii="Arial" w:cs="Arial" w:eastAsia="Arial" w:hAnsi="Arial"/>
                <w:sz w:val="13"/>
                <w:szCs w:val="13"/>
                <w:color w:val="auto"/>
                <w:w w:val="79"/>
              </w:rPr>
              <w:t>11.59</w:t>
            </w:r>
          </w:p>
        </w:tc>
      </w:tr>
    </w:tbl>
    <w:p>
      <w:pPr>
        <w:spacing w:after="0" w:line="7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Stockholders of Record. </w:t>
      </w:r>
      <w:r>
        <w:rPr>
          <w:rFonts w:ascii="Arial" w:cs="Arial" w:eastAsia="Arial" w:hAnsi="Arial"/>
          <w:sz w:val="13"/>
          <w:szCs w:val="13"/>
          <w:color w:val="auto"/>
        </w:rPr>
        <w:t>As of February 23, 2011, we had 91 stockholders of record of our common stock, excluding holders whose stock is held either in nominee name and/or street</w:t>
      </w:r>
      <w:r>
        <w:rPr>
          <w:rFonts w:ascii="Arial" w:cs="Arial" w:eastAsia="Arial" w:hAnsi="Arial"/>
          <w:sz w:val="13"/>
          <w:szCs w:val="13"/>
          <w:i w:val="1"/>
          <w:iCs w:val="1"/>
          <w:color w:val="auto"/>
        </w:rPr>
        <w:t xml:space="preserve"> </w:t>
      </w:r>
      <w:r>
        <w:rPr>
          <w:rFonts w:ascii="Arial" w:cs="Arial" w:eastAsia="Arial" w:hAnsi="Arial"/>
          <w:sz w:val="13"/>
          <w:szCs w:val="13"/>
          <w:color w:val="auto"/>
        </w:rPr>
        <w:t>name brokerage accounts.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We have not historically paid dividends on our common stock. We intend to retain our future earnings, if any, to finance the expansion and growth of our business, and we</w:t>
      </w:r>
      <w:r>
        <w:rPr>
          <w:rFonts w:ascii="Arial" w:cs="Arial" w:eastAsia="Arial" w:hAnsi="Arial"/>
          <w:sz w:val="13"/>
          <w:szCs w:val="13"/>
          <w:i w:val="1"/>
          <w:iCs w:val="1"/>
          <w:color w:val="auto"/>
        </w:rPr>
        <w:t xml:space="preserve"> </w:t>
      </w:r>
      <w:r>
        <w:rPr>
          <w:rFonts w:ascii="Arial" w:cs="Arial" w:eastAsia="Arial" w:hAnsi="Arial"/>
          <w:sz w:val="13"/>
          <w:szCs w:val="13"/>
          <w:color w:val="auto"/>
        </w:rPr>
        <w:t>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 and Cumulative Total Return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graph below compares the cumulative total stockholder return of our common stock with that of the Nasdaq Composite Index and the Nasdaq Computer &amp; Data Processing Index from April 22, 2010 (the date on which our common stock commenced trading on the Nasdaq Global Market) through December 31, 2010. The graph assumes that $100 was invested in shares of our common stock, the Nasdaq Composite Index and the Nasdaq Computer &amp; Data Processing Index at the close of market on April 22, 2010, and that dividends, if any, were reinvested. The comparisons in this graph are based on historical data and are not intended to forecast or be indicative of future performance of our common stock.</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Cumulative Total Returns of SPS Commerce, Inc., Nasdaq Composite Index and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Nasdaq Computer &amp; Data Processing Index</w:t>
      </w:r>
    </w:p>
    <w:p>
      <w:pPr>
        <w:spacing w:after="0" w:line="87" w:lineRule="exact"/>
        <w:rPr>
          <w:sz w:val="20"/>
          <w:szCs w:val="20"/>
          <w:color w:val="auto"/>
        </w:rPr>
      </w:pPr>
    </w:p>
    <w:tbl>
      <w:tblPr>
        <w:tblLayout w:type="fixed"/>
        <w:tblInd w:w="690" w:type="dxa"/>
        <w:tblCellMar>
          <w:top w:w="0" w:type="dxa"/>
          <w:left w:w="0" w:type="dxa"/>
          <w:bottom w:w="0" w:type="dxa"/>
          <w:right w:w="0" w:type="dxa"/>
        </w:tblCellMar>
      </w:tblPr>
      <w:tr>
        <w:trPr>
          <w:trHeight w:val="118"/>
        </w:trPr>
        <w:tc>
          <w:tcPr>
            <w:tcW w:w="6220" w:type="dxa"/>
            <w:vAlign w:val="bottom"/>
            <w:tcBorders>
              <w:top w:val="single" w:sz="8" w:color="auto"/>
              <w:left w:val="single" w:sz="8" w:color="auto"/>
              <w:bottom w:val="single" w:sz="8" w:color="auto"/>
              <w:right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right w:val="single" w:sz="8" w:color="auto"/>
            </w:tcBorders>
          </w:tcPr>
          <w:p>
            <w:pPr>
              <w:jc w:val="right"/>
              <w:ind w:right="238"/>
              <w:spacing w:after="0"/>
              <w:rPr>
                <w:sz w:val="20"/>
                <w:szCs w:val="20"/>
                <w:color w:val="auto"/>
              </w:rPr>
            </w:pPr>
            <w:r>
              <w:rPr>
                <w:rFonts w:ascii="Arial" w:cs="Arial" w:eastAsia="Arial" w:hAnsi="Arial"/>
                <w:sz w:val="10"/>
                <w:szCs w:val="10"/>
                <w:b w:val="1"/>
                <w:bCs w:val="1"/>
                <w:color w:val="auto"/>
                <w:w w:val="94"/>
              </w:rPr>
              <w:t>4/22/2010</w:t>
            </w:r>
          </w:p>
        </w:tc>
        <w:tc>
          <w:tcPr>
            <w:tcW w:w="2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w w:val="94"/>
              </w:rPr>
              <w:t>6/30/2010</w:t>
            </w:r>
          </w:p>
        </w:tc>
        <w:tc>
          <w:tcPr>
            <w:tcW w:w="2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0"/>
                <w:szCs w:val="10"/>
                <w:b w:val="1"/>
                <w:bCs w:val="1"/>
                <w:color w:val="auto"/>
                <w:w w:val="98"/>
              </w:rPr>
              <w:t>9/30/2010</w:t>
            </w: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right w:val="single" w:sz="8" w:color="auto"/>
            </w:tcBorders>
          </w:tcPr>
          <w:p>
            <w:pPr>
              <w:jc w:val="right"/>
              <w:ind w:right="158"/>
              <w:spacing w:after="0"/>
              <w:rPr>
                <w:sz w:val="20"/>
                <w:szCs w:val="20"/>
                <w:color w:val="auto"/>
              </w:rPr>
            </w:pPr>
            <w:r>
              <w:rPr>
                <w:rFonts w:ascii="Arial" w:cs="Arial" w:eastAsia="Arial" w:hAnsi="Arial"/>
                <w:sz w:val="10"/>
                <w:szCs w:val="10"/>
                <w:b w:val="1"/>
                <w:bCs w:val="1"/>
                <w:color w:val="auto"/>
                <w:w w:val="95"/>
              </w:rPr>
              <w:t>12/31/2010</w:t>
            </w:r>
          </w:p>
        </w:tc>
      </w:tr>
      <w:tr>
        <w:trPr>
          <w:trHeight w:val="147"/>
        </w:trPr>
        <w:tc>
          <w:tcPr>
            <w:tcW w:w="62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SPS Commerce, Inc.</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right w:val="single" w:sz="8" w:color="auto"/>
            </w:tcBorders>
          </w:tcPr>
          <w:p>
            <w:pPr>
              <w:jc w:val="right"/>
              <w:ind w:right="158"/>
              <w:spacing w:after="0" w:line="148" w:lineRule="exact"/>
              <w:rPr>
                <w:sz w:val="20"/>
                <w:szCs w:val="20"/>
                <w:color w:val="auto"/>
              </w:rPr>
            </w:pPr>
            <w:r>
              <w:rPr>
                <w:rFonts w:ascii="Arial" w:cs="Arial" w:eastAsia="Arial" w:hAnsi="Arial"/>
                <w:sz w:val="13"/>
                <w:szCs w:val="13"/>
                <w:color w:val="auto"/>
              </w:rPr>
              <w:t>100.0</w:t>
            </w:r>
          </w:p>
        </w:tc>
        <w:tc>
          <w:tcPr>
            <w:tcW w:w="2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85.4</w:t>
            </w:r>
          </w:p>
        </w:tc>
        <w:tc>
          <w:tcPr>
            <w:tcW w:w="2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94.3</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right w:val="single" w:sz="8" w:color="auto"/>
            </w:tcBorders>
          </w:tcPr>
          <w:p>
            <w:pPr>
              <w:jc w:val="right"/>
              <w:ind w:right="58"/>
              <w:spacing w:after="0" w:line="148" w:lineRule="exact"/>
              <w:rPr>
                <w:sz w:val="20"/>
                <w:szCs w:val="20"/>
                <w:color w:val="auto"/>
              </w:rPr>
            </w:pPr>
            <w:r>
              <w:rPr>
                <w:rFonts w:ascii="Arial" w:cs="Arial" w:eastAsia="Arial" w:hAnsi="Arial"/>
                <w:sz w:val="13"/>
                <w:szCs w:val="13"/>
                <w:color w:val="auto"/>
              </w:rPr>
              <w:t>116.2</w:t>
            </w:r>
          </w:p>
        </w:tc>
      </w:tr>
      <w:tr>
        <w:trPr>
          <w:trHeight w:val="147"/>
        </w:trPr>
        <w:tc>
          <w:tcPr>
            <w:tcW w:w="62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Nasdaq Composite Index</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58"/>
              <w:spacing w:after="0" w:line="148" w:lineRule="exact"/>
              <w:rPr>
                <w:sz w:val="20"/>
                <w:szCs w:val="20"/>
                <w:color w:val="auto"/>
              </w:rPr>
            </w:pPr>
            <w:r>
              <w:rPr>
                <w:rFonts w:ascii="Arial" w:cs="Arial" w:eastAsia="Arial" w:hAnsi="Arial"/>
                <w:sz w:val="13"/>
                <w:szCs w:val="13"/>
                <w:color w:val="auto"/>
              </w:rPr>
              <w:t>100.0</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84.1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94.6</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58"/>
              <w:spacing w:after="0" w:line="148" w:lineRule="exact"/>
              <w:rPr>
                <w:sz w:val="20"/>
                <w:szCs w:val="20"/>
                <w:color w:val="auto"/>
              </w:rPr>
            </w:pPr>
            <w:r>
              <w:rPr>
                <w:rFonts w:ascii="Arial" w:cs="Arial" w:eastAsia="Arial" w:hAnsi="Arial"/>
                <w:sz w:val="13"/>
                <w:szCs w:val="13"/>
                <w:color w:val="auto"/>
              </w:rPr>
              <w:t>106.2</w:t>
            </w:r>
          </w:p>
        </w:tc>
      </w:tr>
      <w:tr>
        <w:trPr>
          <w:trHeight w:val="147"/>
        </w:trPr>
        <w:tc>
          <w:tcPr>
            <w:tcW w:w="62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color w:val="auto"/>
              </w:rPr>
              <w:t>Nasdaq Computer &amp; Data Processing Index</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58"/>
              <w:spacing w:after="0" w:line="148" w:lineRule="exact"/>
              <w:rPr>
                <w:sz w:val="20"/>
                <w:szCs w:val="20"/>
                <w:color w:val="auto"/>
              </w:rPr>
            </w:pPr>
            <w:r>
              <w:rPr>
                <w:rFonts w:ascii="Arial" w:cs="Arial" w:eastAsia="Arial" w:hAnsi="Arial"/>
                <w:sz w:val="13"/>
                <w:szCs w:val="13"/>
                <w:color w:val="auto"/>
              </w:rPr>
              <w:t>100.0</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80.8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38"/>
              <w:spacing w:after="0" w:line="148" w:lineRule="exact"/>
              <w:rPr>
                <w:sz w:val="20"/>
                <w:szCs w:val="20"/>
                <w:color w:val="auto"/>
              </w:rPr>
            </w:pPr>
            <w:r>
              <w:rPr>
                <w:rFonts w:ascii="Arial" w:cs="Arial" w:eastAsia="Arial" w:hAnsi="Arial"/>
                <w:sz w:val="13"/>
                <w:szCs w:val="13"/>
                <w:color w:val="auto"/>
              </w:rPr>
              <w:t>95.4</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58"/>
              <w:spacing w:after="0" w:line="148" w:lineRule="exact"/>
              <w:rPr>
                <w:sz w:val="20"/>
                <w:szCs w:val="20"/>
                <w:color w:val="auto"/>
              </w:rPr>
            </w:pPr>
            <w:r>
              <w:rPr>
                <w:rFonts w:ascii="Arial" w:cs="Arial" w:eastAsia="Arial" w:hAnsi="Arial"/>
                <w:sz w:val="13"/>
                <w:szCs w:val="13"/>
                <w:color w:val="auto"/>
              </w:rPr>
              <w:t>108.3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62230</wp:posOffset>
            </wp:positionV>
            <wp:extent cx="3726180" cy="1591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26180" cy="159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Unregistered Sales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Sales of Registered Securities</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April 27, 2010, we completed the initial public offering of our common stock pursuant to our Registration Statement on Form S-1 (File No. 333-163476), which was declared effective by the Securities and Exchange Commission on April 21, 2010. Our initial public offering involved the sale of 4,711,198 shares of common stock at an offering price of $12.00 per share. We issued and sold 3,114,504 shares, including 614,504 shares sold pursuant to the exercise in full of the underwriters’ over-allotment option, and the selling stockholders sold 1,596,694 shares.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320" w:lineRule="auto"/>
        <w:rPr>
          <w:sz w:val="20"/>
          <w:szCs w:val="20"/>
          <w:color w:val="auto"/>
        </w:rPr>
      </w:pPr>
      <w:r>
        <w:rPr>
          <w:rFonts w:ascii="Arial" w:cs="Arial" w:eastAsia="Arial" w:hAnsi="Arial"/>
          <w:sz w:val="12"/>
          <w:szCs w:val="12"/>
          <w:color w:val="auto"/>
        </w:rPr>
        <w:t>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December 8, 2010, we completed a stock offering of 115,000 shares of common stock at an offering price of $12.25 per share and received proceeds of approximately</w:t>
      </w:r>
    </w:p>
    <w:p>
      <w:pPr>
        <w:spacing w:after="0" w:line="27" w:lineRule="exact"/>
        <w:rPr>
          <w:sz w:val="20"/>
          <w:szCs w:val="20"/>
          <w:color w:val="auto"/>
        </w:rPr>
      </w:pPr>
    </w:p>
    <w:p>
      <w:pPr>
        <w:ind w:left="680" w:right="80"/>
        <w:spacing w:after="0" w:line="307" w:lineRule="auto"/>
        <w:rPr>
          <w:sz w:val="20"/>
          <w:szCs w:val="20"/>
          <w:color w:val="auto"/>
        </w:rPr>
      </w:pPr>
      <w:r>
        <w:rPr>
          <w:rFonts w:ascii="Arial" w:cs="Arial" w:eastAsia="Arial" w:hAnsi="Arial"/>
          <w:sz w:val="12"/>
          <w:szCs w:val="12"/>
          <w:color w:val="auto"/>
        </w:rPr>
        <w:t>$1.0 million, after payment of underwriting discounts and commissions and legal, accounting and other fees incurred in connection with the offering. The offering was made pursuant to our Registration Statement on Form S-1 (File No. 333-170544), which was declared effective by the Securities and Exchange Commission on December 2, 2010.</w:t>
      </w:r>
    </w:p>
    <w:p>
      <w:pPr>
        <w:spacing w:after="0" w:line="42"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used and intend to continue to use the remaining net proceeds from these offerings for working capital and other general corporate purposes, including to finance our growth, develop new software and fund capital expenditures. Additionally, we may choose to expand our current business through acquisitions of other complementary businesses, products, services, or technologies. Pending such uses, we plan to invest the net proceeds in interest-bearing bank accounts and short-term investment grade securities.</w:t>
      </w:r>
    </w:p>
    <w:p>
      <w:pPr>
        <w:spacing w:after="0" w:line="5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There have been no material differences in the actual use of proceeds from our IPO as compared to the planned use of proceeds as described in the final prospectus filed with the Securities and Exchange Commission pursuant to Rule 424(b).</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Repurchases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 xml:space="preserve">The following selected financial data should be read together with our audited financial statements and the related notes and with </w:t>
      </w:r>
      <w:r>
        <w:rPr>
          <w:rFonts w:ascii="Arial" w:cs="Arial" w:eastAsia="Arial" w:hAnsi="Arial"/>
          <w:sz w:val="13"/>
          <w:szCs w:val="13"/>
          <w:i w:val="1"/>
          <w:iCs w:val="1"/>
          <w:color w:val="auto"/>
        </w:rPr>
        <w:t>“Management’s Discussion and Analysis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Financial Condition and Results of Operations” </w:t>
      </w:r>
      <w:r>
        <w:rPr>
          <w:rFonts w:ascii="Arial" w:cs="Arial" w:eastAsia="Arial" w:hAnsi="Arial"/>
          <w:sz w:val="13"/>
          <w:szCs w:val="13"/>
          <w:color w:val="auto"/>
        </w:rPr>
        <w:t>which are included elsewhere in this Annual Report on Form 10-K. Our historical results are not necessarily indicative of results to be</w:t>
      </w:r>
      <w:r>
        <w:rPr>
          <w:rFonts w:ascii="Arial" w:cs="Arial" w:eastAsia="Arial" w:hAnsi="Arial"/>
          <w:sz w:val="13"/>
          <w:szCs w:val="13"/>
          <w:i w:val="1"/>
          <w:iCs w:val="1"/>
          <w:color w:val="auto"/>
        </w:rPr>
        <w:t xml:space="preserve"> </w:t>
      </w:r>
      <w:r>
        <w:rPr>
          <w:rFonts w:ascii="Arial" w:cs="Arial" w:eastAsia="Arial" w:hAnsi="Arial"/>
          <w:sz w:val="13"/>
          <w:szCs w:val="13"/>
          <w:color w:val="auto"/>
        </w:rPr>
        <w:t>expected for any future period.</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statements of operations data for each of the years ended December 31, 2010, 2009 and 2008, the balance sheet data as of December 31, 2010 and 2009 and the operating data relating to Adjusted EBITDA and non-GAAP net income (loss) per diluted share for each of the years ended December 31, 2010, 2009 and 2008 have been derived from our audited annual financial statements which are included in this Annual Report on Form 10-K.</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statements of operations data for the years ended December 31, 2007 and 2006, the balance sheet data as of December 31, 2008, 2007 and 2006 and the operating data relating to Adjusted EBITDA and non-GAAP net income (loss) per diluted share for each of the years ended December 31, 2007 and 2006 have been derived from our audited annual financial statements which are not included in this Annual Report on Form 10-K.</w:t>
      </w:r>
    </w:p>
    <w:p>
      <w:pPr>
        <w:spacing w:after="0" w:line="67"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Adjusted EBITDA and non-GAAP net income (loss)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7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operating data relating to recurring revenue customers for all periods presented is unaudited and has been derived from our internal records of our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44"/>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jc w:val="right"/>
              <w:ind w:right="114"/>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8"/>
              </w:rPr>
              <w:t>2009</w:t>
            </w:r>
          </w:p>
        </w:tc>
        <w:tc>
          <w:tcPr>
            <w:tcW w:w="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600" w:type="dxa"/>
            <w:vAlign w:val="bottom"/>
            <w:gridSpan w:val="3"/>
          </w:tcPr>
          <w:p>
            <w:pPr>
              <w:jc w:val="right"/>
              <w:spacing w:after="0"/>
              <w:rPr>
                <w:sz w:val="20"/>
                <w:szCs w:val="20"/>
                <w:color w:val="auto"/>
              </w:rPr>
            </w:pPr>
            <w:r>
              <w:rPr>
                <w:rFonts w:ascii="Arial" w:cs="Arial" w:eastAsia="Arial" w:hAnsi="Arial"/>
                <w:sz w:val="10"/>
                <w:szCs w:val="10"/>
                <w:b w:val="1"/>
                <w:bCs w:val="1"/>
                <w:color w:val="auto"/>
              </w:rPr>
              <w:t>except per</w:t>
            </w:r>
          </w:p>
        </w:tc>
        <w:tc>
          <w:tcPr>
            <w:tcW w:w="560" w:type="dxa"/>
            <w:vAlign w:val="bottom"/>
            <w:gridSpan w:val="3"/>
          </w:tcPr>
          <w:p>
            <w:pPr>
              <w:spacing w:after="0"/>
              <w:rPr>
                <w:sz w:val="20"/>
                <w:szCs w:val="20"/>
                <w:color w:val="auto"/>
              </w:rPr>
            </w:pPr>
            <w:r>
              <w:rPr>
                <w:rFonts w:ascii="Arial" w:cs="Arial" w:eastAsia="Arial" w:hAnsi="Arial"/>
                <w:sz w:val="10"/>
                <w:szCs w:val="10"/>
                <w:b w:val="1"/>
                <w:bCs w:val="1"/>
                <w:color w:val="auto"/>
              </w:rPr>
              <w:t>share data)</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Statement of Operations Data</w:t>
            </w:r>
          </w:p>
        </w:tc>
        <w:tc>
          <w:tcPr>
            <w:tcW w:w="8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Revenues</w:t>
            </w:r>
          </w:p>
        </w:tc>
        <w:tc>
          <w:tcPr>
            <w:tcW w:w="8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19,859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ind w:right="13"/>
              <w:spacing w:after="0"/>
              <w:rPr>
                <w:sz w:val="20"/>
                <w:szCs w:val="20"/>
                <w:color w:val="auto"/>
              </w:rPr>
            </w:pPr>
            <w:r>
              <w:rPr>
                <w:rFonts w:ascii="Arial" w:cs="Arial" w:eastAsia="Arial" w:hAnsi="Arial"/>
                <w:sz w:val="13"/>
                <w:szCs w:val="13"/>
                <w:color w:val="auto"/>
              </w:rPr>
              <w:t>25,198</w:t>
            </w:r>
          </w:p>
        </w:tc>
        <w:tc>
          <w:tcPr>
            <w:tcW w:w="4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30,697</w:t>
            </w:r>
          </w:p>
        </w:tc>
        <w:tc>
          <w:tcPr>
            <w:tcW w:w="460" w:type="dxa"/>
            <w:vAlign w:val="bottom"/>
            <w:gridSpan w:val="2"/>
          </w:tcPr>
          <w:p>
            <w:pPr>
              <w:jc w:val="center"/>
              <w:ind w:left="136"/>
              <w:spacing w:after="0"/>
              <w:rPr>
                <w:sz w:val="20"/>
                <w:szCs w:val="20"/>
                <w:color w:val="auto"/>
              </w:rPr>
            </w:pPr>
            <w:r>
              <w:rPr>
                <w:rFonts w:ascii="Arial" w:cs="Arial" w:eastAsia="Arial" w:hAnsi="Arial"/>
                <w:sz w:val="13"/>
                <w:szCs w:val="13"/>
                <w:color w:val="auto"/>
                <w:w w:val="82"/>
              </w:rPr>
              <w:t>$</w:t>
            </w: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37,746</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44,597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revenues(1)</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5,219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6,379</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9,258</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11,715</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ind w:left="140"/>
              <w:spacing w:after="0"/>
              <w:rPr>
                <w:sz w:val="20"/>
                <w:szCs w:val="20"/>
                <w:color w:val="auto"/>
              </w:rPr>
            </w:pPr>
            <w:r>
              <w:rPr>
                <w:rFonts w:ascii="Arial" w:cs="Arial" w:eastAsia="Arial" w:hAnsi="Arial"/>
                <w:sz w:val="13"/>
                <w:szCs w:val="13"/>
                <w:color w:val="auto"/>
              </w:rPr>
              <w:t>Gross profit</w:t>
            </w: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14,640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18,819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21,439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26,031</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880" w:type="dxa"/>
            <w:vAlign w:val="bottom"/>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Sales and marketing(1)</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8,098</w:t>
            </w:r>
          </w:p>
        </w:tc>
        <w:tc>
          <w:tcPr>
            <w:tcW w:w="160" w:type="dxa"/>
            <w:vAlign w:val="bottom"/>
          </w:tcPr>
          <w:p>
            <w:pPr>
              <w:spacing w:after="0"/>
              <w:rPr>
                <w:sz w:val="13"/>
                <w:szCs w:val="13"/>
                <w:color w:val="auto"/>
              </w:rPr>
            </w:pPr>
          </w:p>
        </w:tc>
        <w:tc>
          <w:tcPr>
            <w:tcW w:w="520" w:type="dxa"/>
            <w:vAlign w:val="bottom"/>
            <w:gridSpan w:val="3"/>
          </w:tcPr>
          <w:p>
            <w:pPr>
              <w:jc w:val="right"/>
              <w:ind w:right="13"/>
              <w:spacing w:after="0"/>
              <w:rPr>
                <w:sz w:val="20"/>
                <w:szCs w:val="20"/>
                <w:color w:val="auto"/>
              </w:rPr>
            </w:pPr>
            <w:r>
              <w:rPr>
                <w:rFonts w:ascii="Arial" w:cs="Arial" w:eastAsia="Arial" w:hAnsi="Arial"/>
                <w:sz w:val="13"/>
                <w:szCs w:val="13"/>
                <w:color w:val="auto"/>
              </w:rPr>
              <w:t>11,636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12,493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13,506</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16,601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development(1)</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3,190</w:t>
            </w:r>
          </w:p>
        </w:tc>
        <w:tc>
          <w:tcPr>
            <w:tcW w:w="1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3,546</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3,640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4,305</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General and administrative(1)</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4,199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5,458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6,716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6,339</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7,985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15,487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20,640</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22,849</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24,150</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Income (loss) from operations</w:t>
            </w: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3"/>
                <w:szCs w:val="13"/>
                <w:color w:val="auto"/>
              </w:rPr>
              <w:t>(847)</w:t>
            </w:r>
          </w:p>
        </w:tc>
        <w:tc>
          <w:tcPr>
            <w:tcW w:w="16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(1,821)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(1,410)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1,881</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3"/>
                <w:szCs w:val="13"/>
                <w:color w:val="auto"/>
              </w:rPr>
              <w:t>(558)</w:t>
            </w:r>
          </w:p>
        </w:tc>
        <w:tc>
          <w:tcPr>
            <w:tcW w:w="16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(439)</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(419)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(270)</w:t>
            </w:r>
          </w:p>
        </w:tc>
        <w:tc>
          <w:tcPr>
            <w:tcW w:w="3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Other income (expense)</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120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28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(358)</w:t>
            </w:r>
          </w:p>
        </w:tc>
        <w:tc>
          <w:tcPr>
            <w:tcW w:w="3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other expense</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(450)</w:t>
            </w:r>
          </w:p>
        </w:tc>
        <w:tc>
          <w:tcPr>
            <w:tcW w:w="1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(391)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(628)</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Income tax expense</w:t>
            </w: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(94)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(91)</w:t>
            </w:r>
          </w:p>
        </w:tc>
        <w:tc>
          <w:tcPr>
            <w:tcW w:w="3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(1,301)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(2,156)</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(1,895)</w:t>
            </w:r>
          </w:p>
        </w:tc>
        <w:tc>
          <w:tcPr>
            <w:tcW w:w="460" w:type="dxa"/>
            <w:vAlign w:val="bottom"/>
            <w:gridSpan w:val="2"/>
            <w:shd w:val="clear" w:color="auto" w:fill="CCEEFF"/>
          </w:tcPr>
          <w:p>
            <w:pPr>
              <w:jc w:val="center"/>
              <w:ind w:left="136"/>
              <w:spacing w:after="0"/>
              <w:rPr>
                <w:sz w:val="20"/>
                <w:szCs w:val="20"/>
                <w:color w:val="auto"/>
              </w:rPr>
            </w:pPr>
            <w:r>
              <w:rPr>
                <w:rFonts w:ascii="Arial" w:cs="Arial" w:eastAsia="Arial" w:hAnsi="Arial"/>
                <w:sz w:val="13"/>
                <w:szCs w:val="13"/>
                <w:color w:val="auto"/>
                <w:w w:val="82"/>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1,162</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Net income (loss) per share</w:t>
            </w:r>
          </w:p>
        </w:tc>
        <w:tc>
          <w:tcPr>
            <w:tcW w:w="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(10.93)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(6.45)</w:t>
            </w:r>
          </w:p>
        </w:tc>
        <w:tc>
          <w:tcPr>
            <w:tcW w:w="460" w:type="dxa"/>
            <w:vAlign w:val="bottom"/>
            <w:gridSpan w:val="2"/>
            <w:shd w:val="clear" w:color="auto" w:fill="CCEEFF"/>
          </w:tcPr>
          <w:p>
            <w:pPr>
              <w:jc w:val="center"/>
              <w:ind w:left="136"/>
              <w:spacing w:after="0"/>
              <w:rPr>
                <w:sz w:val="20"/>
                <w:szCs w:val="20"/>
                <w:color w:val="auto"/>
              </w:rPr>
            </w:pPr>
            <w:r>
              <w:rPr>
                <w:rFonts w:ascii="Arial" w:cs="Arial" w:eastAsia="Arial" w:hAnsi="Arial"/>
                <w:sz w:val="13"/>
                <w:szCs w:val="13"/>
                <w:color w:val="auto"/>
                <w:w w:val="82"/>
              </w:rPr>
              <w:t>$</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3.53</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Diluted</w:t>
            </w:r>
          </w:p>
        </w:tc>
        <w:tc>
          <w:tcPr>
            <w:tcW w:w="8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3"/>
          </w:tcPr>
          <w:p>
            <w:pPr>
              <w:jc w:val="right"/>
              <w:ind w:right="360"/>
              <w:spacing w:after="0"/>
              <w:rPr>
                <w:sz w:val="20"/>
                <w:szCs w:val="20"/>
                <w:color w:val="auto"/>
              </w:rPr>
            </w:pPr>
            <w:r>
              <w:rPr>
                <w:rFonts w:ascii="Arial" w:cs="Arial" w:eastAsia="Arial" w:hAnsi="Arial"/>
                <w:sz w:val="13"/>
                <w:szCs w:val="13"/>
                <w:color w:val="auto"/>
              </w:rPr>
              <w:t>(10.93)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(11.65)</w:t>
            </w:r>
          </w:p>
        </w:tc>
        <w:tc>
          <w:tcPr>
            <w:tcW w:w="4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8"/>
              <w:spacing w:after="0"/>
              <w:rPr>
                <w:sz w:val="20"/>
                <w:szCs w:val="20"/>
                <w:color w:val="auto"/>
              </w:rPr>
            </w:pPr>
            <w:r>
              <w:rPr>
                <w:rFonts w:ascii="Arial" w:cs="Arial" w:eastAsia="Arial" w:hAnsi="Arial"/>
                <w:sz w:val="13"/>
                <w:szCs w:val="13"/>
                <w:color w:val="auto"/>
              </w:rPr>
              <w:t>(6.45)</w:t>
            </w:r>
          </w:p>
        </w:tc>
        <w:tc>
          <w:tcPr>
            <w:tcW w:w="460" w:type="dxa"/>
            <w:vAlign w:val="bottom"/>
            <w:gridSpan w:val="2"/>
          </w:tcPr>
          <w:p>
            <w:pPr>
              <w:jc w:val="center"/>
              <w:ind w:left="136"/>
              <w:spacing w:after="0"/>
              <w:rPr>
                <w:sz w:val="20"/>
                <w:szCs w:val="20"/>
                <w:color w:val="auto"/>
              </w:rPr>
            </w:pPr>
            <w:r>
              <w:rPr>
                <w:rFonts w:ascii="Arial" w:cs="Arial" w:eastAsia="Arial" w:hAnsi="Arial"/>
                <w:sz w:val="13"/>
                <w:szCs w:val="13"/>
                <w:color w:val="auto"/>
                <w:w w:val="82"/>
              </w:rPr>
              <w:t>$</w:t>
            </w: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0.13</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ind w:left="140"/>
              <w:spacing w:after="0"/>
              <w:rPr>
                <w:sz w:val="20"/>
                <w:szCs w:val="20"/>
                <w:color w:val="auto"/>
              </w:rPr>
            </w:pPr>
            <w:r>
              <w:rPr>
                <w:rFonts w:ascii="Arial" w:cs="Arial" w:eastAsia="Arial" w:hAnsi="Arial"/>
                <w:sz w:val="13"/>
                <w:szCs w:val="13"/>
                <w:color w:val="auto"/>
              </w:rPr>
              <w:t>Basic</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119</w:t>
            </w:r>
          </w:p>
        </w:tc>
        <w:tc>
          <w:tcPr>
            <w:tcW w:w="160" w:type="dxa"/>
            <w:vAlign w:val="bottom"/>
          </w:tcPr>
          <w:p>
            <w:pPr>
              <w:spacing w:after="0"/>
              <w:rPr>
                <w:sz w:val="13"/>
                <w:szCs w:val="13"/>
                <w:color w:val="auto"/>
              </w:rPr>
            </w:pPr>
          </w:p>
        </w:tc>
        <w:tc>
          <w:tcPr>
            <w:tcW w:w="520" w:type="dxa"/>
            <w:vAlign w:val="bottom"/>
            <w:gridSpan w:val="3"/>
          </w:tcPr>
          <w:p>
            <w:pPr>
              <w:jc w:val="right"/>
              <w:ind w:right="13"/>
              <w:spacing w:after="0"/>
              <w:rPr>
                <w:sz w:val="20"/>
                <w:szCs w:val="20"/>
                <w:color w:val="auto"/>
              </w:rPr>
            </w:pPr>
            <w:r>
              <w:rPr>
                <w:rFonts w:ascii="Arial" w:cs="Arial" w:eastAsia="Arial" w:hAnsi="Arial"/>
                <w:sz w:val="13"/>
                <w:szCs w:val="13"/>
                <w:color w:val="auto"/>
              </w:rPr>
              <w:t>185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3"/>
                <w:szCs w:val="13"/>
                <w:color w:val="auto"/>
              </w:rPr>
              <w:t>294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329</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8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185</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294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9,268</w:t>
            </w: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center"/>
              <w:ind w:right="268"/>
              <w:spacing w:after="0"/>
              <w:rPr>
                <w:sz w:val="20"/>
                <w:szCs w:val="20"/>
                <w:color w:val="auto"/>
              </w:rPr>
            </w:pPr>
            <w:r>
              <w:rPr>
                <w:rFonts w:ascii="Arial" w:cs="Arial" w:eastAsia="Arial" w:hAnsi="Arial"/>
                <w:sz w:val="10"/>
                <w:szCs w:val="10"/>
                <w:b w:val="1"/>
                <w:bCs w:val="1"/>
                <w:color w:val="auto"/>
                <w:w w:val="92"/>
              </w:rPr>
              <w:t>As of December 31,</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80" w:type="dxa"/>
            <w:vAlign w:val="bottom"/>
          </w:tcPr>
          <w:p>
            <w:pPr>
              <w:jc w:val="right"/>
              <w:ind w:right="256"/>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8"/>
                <w:szCs w:val="8"/>
                <w:color w:val="auto"/>
              </w:rPr>
            </w:pPr>
          </w:p>
        </w:tc>
        <w:tc>
          <w:tcPr>
            <w:tcW w:w="880" w:type="dxa"/>
            <w:vAlign w:val="bottom"/>
            <w:gridSpan w:val="3"/>
          </w:tcPr>
          <w:p>
            <w:pPr>
              <w:jc w:val="right"/>
              <w:ind w:right="180"/>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2008</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center"/>
              <w:ind w:left="136"/>
              <w:spacing w:after="0" w:line="98" w:lineRule="exact"/>
              <w:rPr>
                <w:sz w:val="20"/>
                <w:szCs w:val="20"/>
                <w:color w:val="auto"/>
              </w:rPr>
            </w:pPr>
            <w:r>
              <w:rPr>
                <w:rFonts w:ascii="Arial" w:cs="Arial" w:eastAsia="Arial" w:hAnsi="Arial"/>
                <w:sz w:val="10"/>
                <w:szCs w:val="10"/>
                <w:b w:val="1"/>
                <w:bCs w:val="1"/>
                <w:color w:val="auto"/>
                <w:w w:val="98"/>
              </w:rPr>
              <w:t>2009</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jc w:val="right"/>
              <w:ind w:right="195"/>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Balance Sheet Data</w:t>
            </w:r>
          </w:p>
        </w:tc>
        <w:tc>
          <w:tcPr>
            <w:tcW w:w="88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Cash, cash equivalents and short-term investments</w:t>
            </w: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  1,942</w:t>
            </w:r>
          </w:p>
        </w:tc>
        <w:tc>
          <w:tcPr>
            <w:tcW w:w="1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  6,117</w:t>
            </w:r>
          </w:p>
        </w:tc>
        <w:tc>
          <w:tcPr>
            <w:tcW w:w="16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8"/>
              <w:spacing w:after="0"/>
              <w:rPr>
                <w:sz w:val="20"/>
                <w:szCs w:val="20"/>
                <w:color w:val="auto"/>
              </w:rPr>
            </w:pPr>
            <w:r>
              <w:rPr>
                <w:rFonts w:ascii="Arial" w:cs="Arial" w:eastAsia="Arial" w:hAnsi="Arial"/>
                <w:sz w:val="13"/>
                <w:szCs w:val="13"/>
                <w:color w:val="auto"/>
              </w:rPr>
              <w:t>3,715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95"/>
              <w:spacing w:after="0"/>
              <w:rPr>
                <w:sz w:val="20"/>
                <w:szCs w:val="20"/>
                <w:color w:val="auto"/>
              </w:rPr>
            </w:pPr>
            <w:r>
              <w:rPr>
                <w:rFonts w:ascii="Arial" w:cs="Arial" w:eastAsia="Arial" w:hAnsi="Arial"/>
                <w:sz w:val="13"/>
                <w:szCs w:val="13"/>
                <w:color w:val="auto"/>
              </w:rPr>
              <w:t>$  5,931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5"/>
              <w:spacing w:after="0"/>
              <w:rPr>
                <w:sz w:val="20"/>
                <w:szCs w:val="20"/>
                <w:color w:val="auto"/>
              </w:rPr>
            </w:pPr>
            <w:r>
              <w:rPr>
                <w:rFonts w:ascii="Arial" w:cs="Arial" w:eastAsia="Arial" w:hAnsi="Arial"/>
                <w:sz w:val="13"/>
                <w:szCs w:val="13"/>
                <w:color w:val="auto"/>
                <w:w w:val="85"/>
              </w:rPr>
              <w:t>40,473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(647)</w:t>
            </w: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4,535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3,995</w:t>
            </w:r>
          </w:p>
        </w:tc>
        <w:tc>
          <w:tcPr>
            <w:tcW w:w="1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95"/>
              <w:spacing w:after="0"/>
              <w:rPr>
                <w:sz w:val="20"/>
                <w:szCs w:val="20"/>
                <w:color w:val="auto"/>
              </w:rPr>
            </w:pPr>
            <w:r>
              <w:rPr>
                <w:rFonts w:ascii="Arial" w:cs="Arial" w:eastAsia="Arial" w:hAnsi="Arial"/>
                <w:sz w:val="13"/>
                <w:szCs w:val="13"/>
                <w:color w:val="auto"/>
              </w:rPr>
              <w:t>4,973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5"/>
              </w:rPr>
              <w:t>42,552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Total assets</w:t>
            </w: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12,228</w:t>
            </w:r>
          </w:p>
        </w:tc>
        <w:tc>
          <w:tcPr>
            <w:tcW w:w="1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20,687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3"/>
                <w:szCs w:val="13"/>
                <w:color w:val="auto"/>
                <w:w w:val="95"/>
              </w:rPr>
              <w:t>19,197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95"/>
              <w:spacing w:after="0"/>
              <w:rPr>
                <w:sz w:val="20"/>
                <w:szCs w:val="20"/>
                <w:color w:val="auto"/>
              </w:rPr>
            </w:pPr>
            <w:r>
              <w:rPr>
                <w:rFonts w:ascii="Arial" w:cs="Arial" w:eastAsia="Arial" w:hAnsi="Arial"/>
                <w:sz w:val="13"/>
                <w:szCs w:val="13"/>
                <w:color w:val="auto"/>
              </w:rPr>
              <w:t>21,919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w w:val="85"/>
              </w:rPr>
              <w:t>57,880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Long-term liabilities</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5,167</w:t>
            </w: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5,550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5,950</w:t>
            </w:r>
          </w:p>
        </w:tc>
        <w:tc>
          <w:tcPr>
            <w:tcW w:w="1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95"/>
              <w:spacing w:after="0"/>
              <w:rPr>
                <w:sz w:val="20"/>
                <w:szCs w:val="20"/>
                <w:color w:val="auto"/>
              </w:rPr>
            </w:pPr>
            <w:r>
              <w:rPr>
                <w:rFonts w:ascii="Arial" w:cs="Arial" w:eastAsia="Arial" w:hAnsi="Arial"/>
                <w:sz w:val="13"/>
                <w:szCs w:val="13"/>
                <w:color w:val="auto"/>
              </w:rPr>
              <w:t>5,317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5,283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Total debt(2)</w:t>
            </w: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5,018</w:t>
            </w:r>
          </w:p>
        </w:tc>
        <w:tc>
          <w:tcPr>
            <w:tcW w:w="1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4,992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8"/>
              <w:spacing w:after="0"/>
              <w:rPr>
                <w:sz w:val="20"/>
                <w:szCs w:val="20"/>
                <w:color w:val="auto"/>
              </w:rPr>
            </w:pPr>
            <w:r>
              <w:rPr>
                <w:rFonts w:ascii="Arial" w:cs="Arial" w:eastAsia="Arial" w:hAnsi="Arial"/>
                <w:sz w:val="13"/>
                <w:szCs w:val="13"/>
                <w:color w:val="auto"/>
              </w:rPr>
              <w:t>4,471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95"/>
              <w:spacing w:after="0"/>
              <w:rPr>
                <w:sz w:val="20"/>
                <w:szCs w:val="20"/>
                <w:color w:val="auto"/>
              </w:rPr>
            </w:pPr>
            <w:r>
              <w:rPr>
                <w:rFonts w:ascii="Arial" w:cs="Arial" w:eastAsia="Arial" w:hAnsi="Arial"/>
                <w:sz w:val="13"/>
                <w:szCs w:val="13"/>
                <w:color w:val="auto"/>
              </w:rPr>
              <w:t>2,694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ind w:right="95"/>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 redeemable convertible preferred stock</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58,520</w:t>
            </w:r>
          </w:p>
        </w:tc>
        <w:tc>
          <w:tcPr>
            <w:tcW w:w="140" w:type="dxa"/>
            <w:vAlign w:val="bottom"/>
            <w:tcBorders>
              <w:left w:val="single" w:sz="8" w:color="CCEEFF"/>
            </w:tcBorders>
            <w:shd w:val="clear" w:color="auto" w:fill="CCEEFF"/>
          </w:tcPr>
          <w:p>
            <w:pPr>
              <w:spacing w:after="0"/>
              <w:rPr>
                <w:sz w:val="13"/>
                <w:szCs w:val="13"/>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65,964</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w w:val="95"/>
              </w:rPr>
              <w:t>65,964</w:t>
            </w:r>
          </w:p>
        </w:tc>
        <w:tc>
          <w:tcPr>
            <w:tcW w:w="1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95"/>
              <w:spacing w:after="0"/>
              <w:rPr>
                <w:sz w:val="20"/>
                <w:szCs w:val="20"/>
                <w:color w:val="auto"/>
              </w:rPr>
            </w:pPr>
            <w:r>
              <w:rPr>
                <w:rFonts w:ascii="Arial" w:cs="Arial" w:eastAsia="Arial" w:hAnsi="Arial"/>
                <w:sz w:val="13"/>
                <w:szCs w:val="13"/>
                <w:color w:val="auto"/>
              </w:rPr>
              <w:t>65,778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(58,046)</w:t>
            </w:r>
          </w:p>
        </w:tc>
        <w:tc>
          <w:tcPr>
            <w:tcW w:w="14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(60,111)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86"/>
              </w:rPr>
              <w:t>(61,844)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55"/>
              <w:spacing w:after="0"/>
              <w:rPr>
                <w:sz w:val="20"/>
                <w:szCs w:val="20"/>
                <w:color w:val="auto"/>
              </w:rPr>
            </w:pPr>
            <w:r>
              <w:rPr>
                <w:rFonts w:ascii="Arial" w:cs="Arial" w:eastAsia="Arial" w:hAnsi="Arial"/>
                <w:sz w:val="13"/>
                <w:szCs w:val="13"/>
                <w:color w:val="auto"/>
              </w:rPr>
              <w:t>(60,466)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5"/>
              <w:spacing w:after="0"/>
              <w:rPr>
                <w:sz w:val="20"/>
                <w:szCs w:val="20"/>
                <w:color w:val="auto"/>
              </w:rPr>
            </w:pPr>
            <w:r>
              <w:rPr>
                <w:rFonts w:ascii="Arial" w:cs="Arial" w:eastAsia="Arial" w:hAnsi="Arial"/>
                <w:sz w:val="13"/>
                <w:szCs w:val="13"/>
                <w:color w:val="auto"/>
              </w:rPr>
              <w:t>(62,768)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0"/>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80" w:type="dxa"/>
            <w:vAlign w:val="bottom"/>
          </w:tcPr>
          <w:p>
            <w:pPr>
              <w:jc w:val="right"/>
              <w:ind w:right="176"/>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9"/>
          </w:tcPr>
          <w:p>
            <w:pPr>
              <w:jc w:val="right"/>
              <w:ind w:right="188"/>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8"/>
              <w:spacing w:after="0" w:line="98" w:lineRule="exact"/>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174"/>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jc w:val="right"/>
              <w:ind w:right="188"/>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gridSpan w:val="12"/>
          </w:tcPr>
          <w:p>
            <w:pPr>
              <w:jc w:val="right"/>
              <w:ind w:right="340"/>
              <w:spacing w:after="0"/>
              <w:rPr>
                <w:sz w:val="20"/>
                <w:szCs w:val="20"/>
                <w:color w:val="auto"/>
              </w:rPr>
            </w:pPr>
            <w:r>
              <w:rPr>
                <w:rFonts w:ascii="Arial" w:cs="Arial" w:eastAsia="Arial" w:hAnsi="Arial"/>
                <w:sz w:val="10"/>
                <w:szCs w:val="10"/>
                <w:b w:val="1"/>
                <w:bCs w:val="1"/>
                <w:color w:val="auto"/>
                <w:w w:val="93"/>
              </w:rPr>
              <w:t>(Unaudited, adjusted EBITDA in thousands)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Data</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Adjusted EBITDA(3)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18"/>
              <w:spacing w:after="0"/>
              <w:rPr>
                <w:sz w:val="20"/>
                <w:szCs w:val="20"/>
                <w:color w:val="auto"/>
              </w:rPr>
            </w:pPr>
            <w:r>
              <w:rPr>
                <w:rFonts w:ascii="Arial" w:cs="Arial" w:eastAsia="Arial" w:hAnsi="Arial"/>
                <w:sz w:val="13"/>
                <w:szCs w:val="13"/>
                <w:color w:val="auto"/>
              </w:rPr>
              <w:t>748</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38"/>
              <w:spacing w:after="0"/>
              <w:rPr>
                <w:sz w:val="20"/>
                <w:szCs w:val="20"/>
                <w:color w:val="auto"/>
              </w:rPr>
            </w:pPr>
            <w:r>
              <w:rPr>
                <w:rFonts w:ascii="Arial" w:cs="Arial" w:eastAsia="Arial" w:hAnsi="Arial"/>
                <w:sz w:val="13"/>
                <w:szCs w:val="13"/>
                <w:color w:val="auto"/>
              </w:rPr>
              <w:t>103</w:t>
            </w:r>
          </w:p>
        </w:tc>
        <w:tc>
          <w:tcPr>
            <w:tcW w:w="6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00" w:type="dxa"/>
            <w:vAlign w:val="bottom"/>
          </w:tcPr>
          <w:p>
            <w:pPr>
              <w:jc w:val="right"/>
              <w:ind w:right="114"/>
              <w:spacing w:after="0"/>
              <w:rPr>
                <w:sz w:val="20"/>
                <w:szCs w:val="20"/>
                <w:color w:val="auto"/>
              </w:rPr>
            </w:pPr>
            <w:r>
              <w:rPr>
                <w:rFonts w:ascii="Arial" w:cs="Arial" w:eastAsia="Arial" w:hAnsi="Arial"/>
                <w:sz w:val="13"/>
                <w:szCs w:val="13"/>
                <w:color w:val="auto"/>
                <w:w w:val="92"/>
              </w:rPr>
              <w:t>763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3"/>
                <w:szCs w:val="13"/>
                <w:color w:val="auto"/>
              </w:rPr>
              <w:t>$ 3,206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color w:val="auto"/>
              </w:rPr>
              <w:t>$ 5,175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Non-GAAP net income (loss) per diluted share(4)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4"/>
              </w:rPr>
              <w:t>(6.38)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(7.41)</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4"/>
              </w:rPr>
              <w:t>0.17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  0.31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80" w:type="dxa"/>
            <w:vAlign w:val="bottom"/>
            <w:gridSpan w:val="2"/>
          </w:tcPr>
          <w:p>
            <w:pPr>
              <w:spacing w:after="0"/>
              <w:rPr>
                <w:sz w:val="20"/>
                <w:szCs w:val="20"/>
                <w:color w:val="auto"/>
              </w:rPr>
            </w:pPr>
            <w:r>
              <w:rPr>
                <w:rFonts w:ascii="Arial" w:cs="Arial" w:eastAsia="Arial" w:hAnsi="Arial"/>
                <w:sz w:val="13"/>
                <w:szCs w:val="13"/>
                <w:color w:val="auto"/>
              </w:rPr>
              <w:t>Recurring revenue customers(5)</w:t>
            </w:r>
          </w:p>
        </w:tc>
        <w:tc>
          <w:tcPr>
            <w:tcW w:w="16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3"/>
                <w:szCs w:val="13"/>
                <w:color w:val="auto"/>
                <w:w w:val="85"/>
              </w:rPr>
              <w:t>7,940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ind w:right="38"/>
              <w:spacing w:after="0"/>
              <w:rPr>
                <w:sz w:val="20"/>
                <w:szCs w:val="20"/>
                <w:color w:val="auto"/>
              </w:rPr>
            </w:pPr>
            <w:r>
              <w:rPr>
                <w:rFonts w:ascii="Arial" w:cs="Arial" w:eastAsia="Arial" w:hAnsi="Arial"/>
                <w:sz w:val="13"/>
                <w:szCs w:val="13"/>
                <w:color w:val="auto"/>
                <w:w w:val="79"/>
              </w:rPr>
              <w:t>9,496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14"/>
              <w:spacing w:after="0"/>
              <w:rPr>
                <w:sz w:val="20"/>
                <w:szCs w:val="20"/>
                <w:color w:val="auto"/>
              </w:rPr>
            </w:pPr>
            <w:r>
              <w:rPr>
                <w:rFonts w:ascii="Arial" w:cs="Arial" w:eastAsia="Arial" w:hAnsi="Arial"/>
                <w:sz w:val="13"/>
                <w:szCs w:val="13"/>
                <w:color w:val="auto"/>
                <w:w w:val="85"/>
              </w:rPr>
              <w:t>10,076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3"/>
                <w:szCs w:val="13"/>
                <w:color w:val="auto"/>
              </w:rPr>
              <w:t>11,003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color w:val="auto"/>
              </w:rPr>
              <w:t>12,399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980" w:type="dxa"/>
            <w:vAlign w:val="bottom"/>
            <w:gridSpan w:val="2"/>
          </w:tcPr>
          <w:p>
            <w:pPr>
              <w:ind w:left="60"/>
              <w:spacing w:after="0"/>
              <w:rPr>
                <w:sz w:val="20"/>
                <w:szCs w:val="20"/>
                <w:color w:val="auto"/>
              </w:rPr>
            </w:pPr>
            <w:r>
              <w:rPr>
                <w:rFonts w:ascii="Arial" w:cs="Arial" w:eastAsia="Arial" w:hAnsi="Arial"/>
                <w:sz w:val="13"/>
                <w:szCs w:val="13"/>
                <w:color w:val="auto"/>
              </w:rPr>
              <w:t>(1)  Includes stock-based compensation expense as follows (in thousands):</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7"/>
          </w:tcPr>
          <w:p>
            <w:pPr>
              <w:jc w:val="right"/>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gridSpan w:val="3"/>
          </w:tcPr>
          <w:p>
            <w:pPr>
              <w:spacing w:after="0"/>
              <w:rPr>
                <w:sz w:val="8"/>
                <w:szCs w:val="8"/>
                <w:color w:val="auto"/>
              </w:rPr>
            </w:pPr>
          </w:p>
        </w:tc>
        <w:tc>
          <w:tcPr>
            <w:tcW w:w="2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24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gridSpan w:val="2"/>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98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92"/>
              </w:rPr>
              <w:t>$ —</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2</w:t>
            </w: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53</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$ 103</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Sales and marketing</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91</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4</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5"/>
        </w:trPr>
        <w:tc>
          <w:tcPr>
            <w:tcW w:w="498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rPr>
              <w:t>80</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46</w:t>
            </w:r>
          </w:p>
        </w:tc>
        <w:tc>
          <w:tcPr>
            <w:tcW w:w="1000" w:type="dxa"/>
            <w:vAlign w:val="bottom"/>
            <w:gridSpan w:val="5"/>
          </w:tcPr>
          <w:p>
            <w:pPr>
              <w:jc w:val="right"/>
              <w:ind w:right="300"/>
              <w:spacing w:after="0"/>
              <w:rPr>
                <w:sz w:val="20"/>
                <w:szCs w:val="20"/>
                <w:color w:val="auto"/>
              </w:rPr>
            </w:pPr>
            <w:r>
              <w:rPr>
                <w:rFonts w:ascii="Arial" w:cs="Arial" w:eastAsia="Arial" w:hAnsi="Arial"/>
                <w:sz w:val="13"/>
                <w:szCs w:val="13"/>
                <w:color w:val="auto"/>
              </w:rPr>
              <w:t>$ 157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228</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$ 750</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000" w:right="20" w:hanging="259"/>
        <w:spacing w:after="0" w:line="276"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Total debt consists of our current and long-term capital lease obligations, current and long-term equipment and term loans, line of credit, interest payable and, as of December 31, 2006, mezzanine debt.</w:t>
      </w:r>
    </w:p>
    <w:p>
      <w:pPr>
        <w:spacing w:after="0" w:line="10" w:lineRule="exact"/>
        <w:rPr>
          <w:rFonts w:ascii="Arial" w:cs="Arial" w:eastAsia="Arial" w:hAnsi="Arial"/>
          <w:sz w:val="13"/>
          <w:szCs w:val="13"/>
          <w:color w:val="auto"/>
        </w:rPr>
      </w:pPr>
    </w:p>
    <w:p>
      <w:pPr>
        <w:ind w:left="1000" w:right="20" w:hanging="259"/>
        <w:spacing w:after="0" w:line="282" w:lineRule="auto"/>
        <w:tabs>
          <w:tab w:leader="none" w:pos="10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EBITDA consists of net income (loss) plus depreciation and amortization, interest expense, interest income and income tax expense. Adjusted EBITDA consists of EBITDA plus our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(loss) to Adjusted EBITDA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(1,301)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(2,156)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(1,895)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2,884</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1,481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1,758</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1,455</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5"/>
        </w:trPr>
        <w:tc>
          <w:tcPr>
            <w:tcW w:w="5800" w:type="dxa"/>
            <w:vAlign w:val="bottom"/>
          </w:tcPr>
          <w:p>
            <w:pPr>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40"/>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606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2,978</w:t>
            </w:r>
          </w:p>
        </w:tc>
        <w:tc>
          <w:tcPr>
            <w:tcW w:w="10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4,425</w:t>
            </w:r>
          </w:p>
        </w:tc>
        <w:tc>
          <w:tcPr>
            <w:tcW w:w="0" w:type="dxa"/>
            <w:vAlign w:val="bottom"/>
          </w:tcPr>
          <w:p>
            <w:pPr>
              <w:spacing w:after="0"/>
              <w:rPr>
                <w:sz w:val="1"/>
                <w:szCs w:val="1"/>
                <w:color w:val="auto"/>
              </w:rPr>
            </w:pPr>
          </w:p>
        </w:tc>
      </w:tr>
      <w:tr>
        <w:trPr>
          <w:trHeight w:val="165"/>
        </w:trPr>
        <w:tc>
          <w:tcPr>
            <w:tcW w:w="58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40"/>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748</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103</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5,175</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000" w:right="20" w:hanging="259"/>
        <w:spacing w:after="0" w:line="260"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Non-GAAP net income (loss) per share consists of net income (loss) plus non-cash, stock-based compensation expense and amortization expense related to intangible assets divided by the weighted average number of shares of common stock outstanding during each period. We believe non-GAAP net income (loss) per share is useful to an investor because it is widely used to measure a company’s operating performance. The following table provides a reconciliation of net income (loss) to non-GAAP net income (loss) per share (in thousands, except per share amounts):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2006</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0" w:type="dxa"/>
            <w:vAlign w:val="bottom"/>
          </w:tcPr>
          <w:p>
            <w:pPr>
              <w:spacing w:after="0"/>
              <w:rPr>
                <w:sz w:val="1"/>
                <w:szCs w:val="1"/>
                <w:color w:val="auto"/>
              </w:rPr>
            </w:pPr>
          </w:p>
        </w:tc>
      </w:tr>
      <w:tr>
        <w:trPr>
          <w:trHeight w:val="178"/>
        </w:trPr>
        <w:tc>
          <w:tcPr>
            <w:tcW w:w="570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(1,301)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(2,156)</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(1,895)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2,884</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740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140"/>
              <w:spacing w:after="0"/>
              <w:rPr>
                <w:sz w:val="20"/>
                <w:szCs w:val="20"/>
                <w:color w:val="auto"/>
              </w:rPr>
            </w:pPr>
            <w:r>
              <w:rPr>
                <w:rFonts w:ascii="Arial" w:cs="Arial" w:eastAsia="Arial" w:hAnsi="Arial"/>
                <w:sz w:val="13"/>
                <w:szCs w:val="13"/>
                <w:color w:val="auto"/>
              </w:rPr>
              <w:t>Non-GAAP net income (loss)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(759)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(1,370)</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(950)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1,545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3,634</w:t>
            </w:r>
          </w:p>
        </w:tc>
        <w:tc>
          <w:tcPr>
            <w:tcW w:w="0" w:type="dxa"/>
            <w:vAlign w:val="bottom"/>
          </w:tcPr>
          <w:p>
            <w:pPr>
              <w:spacing w:after="0"/>
              <w:rPr>
                <w:sz w:val="1"/>
                <w:szCs w:val="1"/>
                <w:color w:val="auto"/>
              </w:rPr>
            </w:pPr>
          </w:p>
        </w:tc>
      </w:tr>
      <w:tr>
        <w:trPr>
          <w:trHeight w:val="158"/>
        </w:trPr>
        <w:tc>
          <w:tcPr>
            <w:tcW w:w="5700" w:type="dxa"/>
            <w:vAlign w:val="bottom"/>
          </w:tcPr>
          <w:p>
            <w:pPr>
              <w:spacing w:after="0"/>
              <w:rPr>
                <w:sz w:val="20"/>
                <w:szCs w:val="20"/>
                <w:color w:val="auto"/>
              </w:rPr>
            </w:pPr>
            <w:r>
              <w:rPr>
                <w:rFonts w:ascii="Arial" w:cs="Arial" w:eastAsia="Arial" w:hAnsi="Arial"/>
                <w:sz w:val="13"/>
                <w:szCs w:val="13"/>
                <w:color w:val="auto"/>
              </w:rPr>
              <w:t>Non-GAAP net income (loss) per share</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(6.38)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(7.41)</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4.70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(6.38)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(7.41)</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0.17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Shares used to compute non-GAAP net income (loss) per share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8,036</w:t>
            </w:r>
          </w:p>
        </w:tc>
        <w:tc>
          <w:tcPr>
            <w:tcW w:w="0" w:type="dxa"/>
            <w:vAlign w:val="bottom"/>
          </w:tcPr>
          <w:p>
            <w:pPr>
              <w:spacing w:after="0"/>
              <w:rPr>
                <w:sz w:val="1"/>
                <w:szCs w:val="1"/>
                <w:color w:val="auto"/>
              </w:rPr>
            </w:pPr>
          </w:p>
        </w:tc>
      </w:tr>
      <w:tr>
        <w:trPr>
          <w:trHeight w:val="165"/>
        </w:trPr>
        <w:tc>
          <w:tcPr>
            <w:tcW w:w="57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9,268</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11,596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000" w:hanging="259"/>
        <w:spacing w:after="0" w:line="334" w:lineRule="auto"/>
        <w:tabs>
          <w:tab w:leader="none" w:pos="10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days prior notice.</w:t>
      </w:r>
    </w:p>
    <w:p>
      <w:pPr>
        <w:spacing w:after="0" w:line="10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SPSCommerce.net fundamentally changes how organizations use electronic communication to manage a supply chain by replacing the collection of traditional, custom-built, point-to-point integrations with a “hub-and-spoke” model whereby a single integration to SPSCommerce.net allows an organization to connect seamlessly to the entire SPSCommerce.net network of trading partners.</w:t>
      </w:r>
    </w:p>
    <w:p>
      <w:pPr>
        <w:spacing w:after="0" w:line="67"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For 2008, 2009 and 2010, we generated revenues of $30.7 million, $37.7 million and $44.6 million. Our fiscal quarter ended December 31, 2010 represented our 40th consecutive quarter of increased revenues. Recurring revenues from recurring revenue customers accounted for 84%, 80% and 83% of our total revenues for 2008, 2009 and 2010. No customer represented over 2% of our revenues for 2008, 2009 or 2010.</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Terms and Metrics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Sources of Revenues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i w:val="1"/>
          <w:iCs w:val="1"/>
          <w:color w:val="auto"/>
        </w:rPr>
        <w:t xml:space="preserve">Trading Partner Integration. </w:t>
      </w:r>
      <w:r>
        <w:rPr>
          <w:rFonts w:ascii="Arial" w:cs="Arial" w:eastAsia="Arial" w:hAnsi="Arial"/>
          <w:sz w:val="11"/>
          <w:szCs w:val="11"/>
          <w:color w:val="auto"/>
        </w:rPr>
        <w:t>Our revenues primarily consist of monthly revenues from our customers for our Trading Partner Integration solution. Our revenues for this solution</w:t>
      </w:r>
      <w:r>
        <w:rPr>
          <w:rFonts w:ascii="Arial" w:cs="Arial" w:eastAsia="Arial" w:hAnsi="Arial"/>
          <w:sz w:val="11"/>
          <w:szCs w:val="11"/>
          <w:i w:val="1"/>
          <w:iCs w:val="1"/>
          <w:color w:val="auto"/>
        </w:rPr>
        <w:t xml:space="preserve"> </w:t>
      </w:r>
      <w:r>
        <w:rPr>
          <w:rFonts w:ascii="Arial" w:cs="Arial" w:eastAsia="Arial" w:hAnsi="Arial"/>
          <w:sz w:val="11"/>
          <w:szCs w:val="11"/>
          <w:color w:val="auto"/>
        </w:rPr>
        <w:t>consist of a monthly subscription fee and a transaction-based fee. We also receive set-up fees for initial integration solutions we provide our customers. Most of our customers have contracts with us that may be terminated by the customer by providing 30 days prior notice. Over 90% of our revenues for 2008, 2009 and 2010 were derived from Trading Partner Integration.</w:t>
      </w:r>
    </w:p>
    <w:p>
      <w:pPr>
        <w:spacing w:after="0" w:line="3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i w:val="1"/>
          <w:iCs w:val="1"/>
          <w:color w:val="auto"/>
        </w:rPr>
        <w:t xml:space="preserve">Trading Partner Enablement. </w:t>
      </w:r>
      <w:r>
        <w:rPr>
          <w:rFonts w:ascii="Arial" w:cs="Arial" w:eastAsia="Arial" w:hAnsi="Arial"/>
          <w:sz w:val="12"/>
          <w:szCs w:val="12"/>
          <w:color w:val="auto"/>
        </w:rPr>
        <w:t>Our Trading Partner Enablement solution helps organizations, typically large retailers, to implement new integrations with trading partners. This</w:t>
      </w:r>
      <w:r>
        <w:rPr>
          <w:rFonts w:ascii="Arial" w:cs="Arial" w:eastAsia="Arial" w:hAnsi="Arial"/>
          <w:sz w:val="12"/>
          <w:szCs w:val="12"/>
          <w:i w:val="1"/>
          <w:iCs w:val="1"/>
          <w:color w:val="auto"/>
        </w:rPr>
        <w:t xml:space="preserve"> </w:t>
      </w:r>
      <w:r>
        <w:rPr>
          <w:rFonts w:ascii="Arial" w:cs="Arial" w:eastAsia="Arial" w:hAnsi="Arial"/>
          <w:sz w:val="12"/>
          <w:szCs w:val="12"/>
          <w:color w:val="auto"/>
        </w:rPr>
        <w:t>solution ranges from Electronic Data Interchange testing and certification to more complex business workflow automation and results in a one-time payment to us.</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Trading Partner Intelligence. </w:t>
      </w:r>
      <w:r>
        <w:rPr>
          <w:rFonts w:ascii="Arial" w:cs="Arial" w:eastAsia="Arial" w:hAnsi="Arial"/>
          <w:sz w:val="13"/>
          <w:szCs w:val="13"/>
          <w:color w:val="auto"/>
        </w:rPr>
        <w:t>In 2009, we introduced our Trading Partner Intelligence solution, which consists of data analytics applications. These applications allow our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to improve their 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67" w:lineRule="exact"/>
        <w:rPr>
          <w:sz w:val="20"/>
          <w:szCs w:val="20"/>
          <w:color w:val="auto"/>
        </w:rPr>
      </w:pPr>
    </w:p>
    <w:p>
      <w:pPr>
        <w:ind w:left="680" w:right="1100" w:firstLine="399"/>
        <w:spacing w:after="0" w:line="320" w:lineRule="auto"/>
        <w:rPr>
          <w:sz w:val="20"/>
          <w:szCs w:val="20"/>
          <w:color w:val="auto"/>
        </w:rPr>
      </w:pPr>
      <w:r>
        <w:rPr>
          <w:rFonts w:ascii="Arial" w:cs="Arial" w:eastAsia="Arial" w:hAnsi="Arial"/>
          <w:sz w:val="12"/>
          <w:szCs w:val="12"/>
          <w:i w:val="1"/>
          <w:iCs w:val="1"/>
          <w:color w:val="auto"/>
        </w:rPr>
        <w:t xml:space="preserve">Other Trading Partner Solutions. </w:t>
      </w:r>
      <w:r>
        <w:rPr>
          <w:rFonts w:ascii="Arial" w:cs="Arial" w:eastAsia="Arial" w:hAnsi="Arial"/>
          <w:sz w:val="12"/>
          <w:szCs w:val="12"/>
          <w:color w:val="auto"/>
        </w:rPr>
        <w:t>The remainder of our revenues is derived from solutions that allow our customers to perform tasks such as barcode labeling or</w:t>
      </w:r>
      <w:r>
        <w:rPr>
          <w:rFonts w:ascii="Arial" w:cs="Arial" w:eastAsia="Arial" w:hAnsi="Arial"/>
          <w:sz w:val="12"/>
          <w:szCs w:val="12"/>
          <w:i w:val="1"/>
          <w:iCs w:val="1"/>
          <w:color w:val="auto"/>
        </w:rPr>
        <w:t xml:space="preserve"> </w:t>
      </w:r>
      <w:r>
        <w:rPr>
          <w:rFonts w:ascii="Arial" w:cs="Arial" w:eastAsia="Arial" w:hAnsi="Arial"/>
          <w:sz w:val="12"/>
          <w:szCs w:val="12"/>
          <w:color w:val="auto"/>
        </w:rPr>
        <w:t>picking-and-packaging information tracking as well as purchases of miscellaneous supplies. These revenues are primarily transaction-based.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Revenues and Operating Expenses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i w:val="1"/>
          <w:iCs w:val="1"/>
          <w:color w:val="auto"/>
        </w:rPr>
        <w:t xml:space="preserve">Overhead Allocation. </w:t>
      </w:r>
      <w:r>
        <w:rPr>
          <w:rFonts w:ascii="Arial" w:cs="Arial" w:eastAsia="Arial" w:hAnsi="Arial"/>
          <w:sz w:val="13"/>
          <w:szCs w:val="13"/>
          <w:color w:val="auto"/>
        </w:rPr>
        <w:t>We allocate overhead expenses such as rent, certain employee benefit costs, office supplies and depreciation of general office assets to cost of revenues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expenses categories based on headcount.</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i w:val="1"/>
          <w:iCs w:val="1"/>
          <w:color w:val="auto"/>
        </w:rPr>
        <w:t xml:space="preserve">Cost of Revenues. </w:t>
      </w:r>
      <w:r>
        <w:rPr>
          <w:rFonts w:ascii="Arial" w:cs="Arial" w:eastAsia="Arial" w:hAnsi="Arial"/>
          <w:sz w:val="11"/>
          <w:szCs w:val="11"/>
          <w:color w:val="auto"/>
        </w:rPr>
        <w:t>Cost of revenues primarily consists of personnel costs such as wages and benefits related to implementation teams, customer support personnel and application</w:t>
      </w:r>
      <w:r>
        <w:rPr>
          <w:rFonts w:ascii="Arial" w:cs="Arial" w:eastAsia="Arial" w:hAnsi="Arial"/>
          <w:sz w:val="11"/>
          <w:szCs w:val="11"/>
          <w:i w:val="1"/>
          <w:iCs w:val="1"/>
          <w:color w:val="auto"/>
        </w:rPr>
        <w:t xml:space="preserve"> </w:t>
      </w:r>
      <w:r>
        <w:rPr>
          <w:rFonts w:ascii="Arial" w:cs="Arial" w:eastAsia="Arial" w:hAnsi="Arial"/>
          <w:sz w:val="11"/>
          <w:szCs w:val="11"/>
          <w:color w:val="auto"/>
        </w:rPr>
        <w:t>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 We expect our cost of revenues to increase in absolute dollars.</w:t>
      </w:r>
    </w:p>
    <w:p>
      <w:pPr>
        <w:spacing w:after="0" w:line="3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Sales and marketing expenses consist primarily of personnel costs for our sales, marketing and product management teams, commissions earned by</w:t>
      </w:r>
      <w:r>
        <w:rPr>
          <w:rFonts w:ascii="Arial" w:cs="Arial" w:eastAsia="Arial" w:hAnsi="Arial"/>
          <w:sz w:val="13"/>
          <w:szCs w:val="13"/>
          <w:i w:val="1"/>
          <w:iCs w:val="1"/>
          <w:color w:val="auto"/>
        </w:rPr>
        <w:t xml:space="preserve"> </w:t>
      </w:r>
      <w:r>
        <w:rPr>
          <w:rFonts w:ascii="Arial" w:cs="Arial" w:eastAsia="Arial" w:hAnsi="Arial"/>
          <w:sz w:val="13"/>
          <w:szCs w:val="13"/>
          <w:color w:val="auto"/>
        </w:rPr>
        <w:t>our sales personnel and marketing costs. In order to grow our business, we will continue to add resources to our sales and marketing efforts over time. We expect that sales and marketing expenses will increase in absolute dollars.</w:t>
      </w:r>
    </w:p>
    <w:p>
      <w:pPr>
        <w:spacing w:after="0" w:line="67"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Research and development expenses consist primarily of personnel costs for development and maintenance of existing solutions. This group</w:t>
      </w:r>
      <w:r>
        <w:rPr>
          <w:rFonts w:ascii="Arial" w:cs="Arial" w:eastAsia="Arial" w:hAnsi="Arial"/>
          <w:sz w:val="13"/>
          <w:szCs w:val="13"/>
          <w:i w:val="1"/>
          <w:iCs w:val="1"/>
          <w:color w:val="auto"/>
        </w:rPr>
        <w:t xml:space="preserve"> </w:t>
      </w:r>
      <w:r>
        <w:rPr>
          <w:rFonts w:ascii="Arial" w:cs="Arial" w:eastAsia="Arial" w:hAnsi="Arial"/>
          <w:sz w:val="13"/>
          <w:szCs w:val="13"/>
          <w:color w:val="auto"/>
        </w:rPr>
        <w:t>also is responsible for enhancing existing solutions and applications as well as internal tools and developing new information maps that integrate our customers to their trading partners in compliance with those trading partners’ requirements. We expect research and development expenses will increase in absolute dollars as we continue to enhance and expand our solutions and applications.</w:t>
      </w:r>
    </w:p>
    <w:p>
      <w:pPr>
        <w:spacing w:after="0" w:line="7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General and administrative expenses consist primarily of personnel costs for finance, human resources and internal information technology</w:t>
      </w:r>
      <w:r>
        <w:rPr>
          <w:rFonts w:ascii="Arial" w:cs="Arial" w:eastAsia="Arial" w:hAnsi="Arial"/>
          <w:sz w:val="13"/>
          <w:szCs w:val="13"/>
          <w:i w:val="1"/>
          <w:iCs w:val="1"/>
          <w:color w:val="auto"/>
        </w:rPr>
        <w:t xml:space="preserve"> </w:t>
      </w:r>
      <w:r>
        <w:rPr>
          <w:rFonts w:ascii="Arial" w:cs="Arial" w:eastAsia="Arial" w:hAnsi="Arial"/>
          <w:sz w:val="13"/>
          <w:szCs w:val="13"/>
          <w:color w:val="auto"/>
        </w:rPr>
        <w:t>support, as well as legal, accounting and other fees, such as credit card processing fees. General and administrative expenses also include amortization of intangible assets relating to our acquisition of substantially all of the assets of Owens Direct LLC in February 2006. We amortized these intangible assets over a period of three years ending in February 2009. Since becoming a public company in April 2010, we have incurred additional general and administrative expenses associated with being a public company, including higher legal, audit and insurance fees.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Other Income (Expense). </w:t>
      </w:r>
      <w:r>
        <w:rPr>
          <w:rFonts w:ascii="Arial" w:cs="Arial" w:eastAsia="Arial" w:hAnsi="Arial"/>
          <w:sz w:val="13"/>
          <w:szCs w:val="13"/>
          <w:color w:val="auto"/>
        </w:rPr>
        <w:t>Other income (expense) primarily consists of interest income, interest expense and the fair market value adjustment of preferred stock warrants using the</w:t>
      </w:r>
      <w:r>
        <w:rPr>
          <w:rFonts w:ascii="Arial" w:cs="Arial" w:eastAsia="Arial" w:hAnsi="Arial"/>
          <w:sz w:val="13"/>
          <w:szCs w:val="13"/>
          <w:i w:val="1"/>
          <w:iCs w:val="1"/>
          <w:color w:val="auto"/>
        </w:rPr>
        <w:t xml:space="preserve"> </w:t>
      </w:r>
      <w:r>
        <w:rPr>
          <w:rFonts w:ascii="Arial" w:cs="Arial" w:eastAsia="Arial" w:hAnsi="Arial"/>
          <w:sz w:val="13"/>
          <w:szCs w:val="13"/>
          <w:color w:val="auto"/>
        </w:rPr>
        <w:t>Black-Scholes pricing model. Interest income represents interest received on our cash and cash equivalents. Interest expense is associated with our debt, which includes equipment loan payments and payments on our term loans.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Metrics</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Recurring Revenue Customers. </w:t>
      </w:r>
      <w:r>
        <w:rPr>
          <w:rFonts w:ascii="Arial" w:cs="Arial" w:eastAsia="Arial" w:hAnsi="Arial"/>
          <w:sz w:val="13"/>
          <w:szCs w:val="13"/>
          <w:color w:val="auto"/>
        </w:rPr>
        <w:t>As of December 31, 2010, we had approximately 12,400 customers with contracts to pay us monthly fees, which we refer to as recurring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We report recurring revenue customers at the end of a period. A minority portion of our recurring revenue customers consists of separate units within a larger organization. We treat each of these units, which may include divisions, departments, affiliates and franchises, as distinct customers.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Average Recurring Revenues Per Recurring Revenue Customer. </w:t>
      </w:r>
      <w:r>
        <w:rPr>
          <w:rFonts w:ascii="Arial" w:cs="Arial" w:eastAsia="Arial" w:hAnsi="Arial"/>
          <w:sz w:val="13"/>
          <w:szCs w:val="13"/>
          <w:color w:val="auto"/>
        </w:rPr>
        <w:t>We calculate average recurring revenues per recurring revenue customer for a period by dividing the recurring</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from recurring revenue customers for the period by the average of the beginning and ending number of recurring revenue customers for the period. For interim periods, we annualize this number by multiplying the quotient by the quotient of 12 divided by the number of months in the period. We anticipate that average recurring revenues per recurring revenue customer will continue to increase as we increase the number of solutions we offer, such as the Trading Partner Intelligence solution we introduced in 2009, and increase the penetration of those solutions across our customer base.</w:t>
      </w:r>
    </w:p>
    <w:p>
      <w:pPr>
        <w:spacing w:after="0" w:line="71"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Monthly Subscription and Transaction-Based Fees. </w:t>
      </w:r>
      <w:r>
        <w:rPr>
          <w:rFonts w:ascii="Arial" w:cs="Arial" w:eastAsia="Arial" w:hAnsi="Arial"/>
          <w:sz w:val="12"/>
          <w:szCs w:val="12"/>
          <w:color w:val="auto"/>
        </w:rPr>
        <w:t>For 2008, 2009 and 2010, revenues from fixed monthly subscription and transaction-based fees accounted for 84%, 80% and</w:t>
      </w:r>
      <w:r>
        <w:rPr>
          <w:rFonts w:ascii="Arial" w:cs="Arial" w:eastAsia="Arial" w:hAnsi="Arial"/>
          <w:sz w:val="12"/>
          <w:szCs w:val="12"/>
          <w:i w:val="1"/>
          <w:iCs w:val="1"/>
          <w:color w:val="auto"/>
        </w:rPr>
        <w:t xml:space="preserve"> </w:t>
      </w:r>
      <w:r>
        <w:rPr>
          <w:rFonts w:ascii="Arial" w:cs="Arial" w:eastAsia="Arial" w:hAnsi="Arial"/>
          <w:sz w:val="12"/>
          <w:szCs w:val="12"/>
          <w:color w:val="auto"/>
        </w:rPr>
        <w:t>83% of our revenues, which we refer to as recurring revenues. All of these recurring revenues in 2008 and more than 95% of the recurring revenues for 2009 and 2010 related to our Trading Partner Integration solution. Our revenues are not concentrated with any customer, as no customer represented over 2% of our revenues for 2008, 2009 or 2010.</w:t>
      </w:r>
    </w:p>
    <w:p>
      <w:pPr>
        <w:spacing w:after="0" w:line="5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Non-GAAP Financial Measures. </w:t>
      </w:r>
      <w:r>
        <w:rPr>
          <w:rFonts w:ascii="Arial" w:cs="Arial" w:eastAsia="Arial" w:hAnsi="Arial"/>
          <w:sz w:val="13"/>
          <w:szCs w:val="13"/>
          <w:color w:val="auto"/>
        </w:rPr>
        <w:t>To supplement our financial statements, we also provide investors with Adjusted EBITDA and non-GAAP net income (loss) per share, both of</w:t>
      </w:r>
      <w:r>
        <w:rPr>
          <w:rFonts w:ascii="Arial" w:cs="Arial" w:eastAsia="Arial" w:hAnsi="Arial"/>
          <w:sz w:val="13"/>
          <w:szCs w:val="13"/>
          <w:i w:val="1"/>
          <w:iCs w:val="1"/>
          <w:color w:val="auto"/>
        </w:rPr>
        <w:t xml:space="preserve"> </w:t>
      </w:r>
      <w:r>
        <w:rPr>
          <w:rFonts w:ascii="Arial" w:cs="Arial" w:eastAsia="Arial" w:hAnsi="Arial"/>
          <w:sz w:val="13"/>
          <w:szCs w:val="13"/>
          <w:color w:val="auto"/>
        </w:rPr>
        <w:t>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are prepared in accordance with accounting principles generally accepted in the United States,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71"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effect on our financial condition and results of operations. Accordingly, these are the policies we believe are the most critical to aid in fully understanding and evaluating our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Revenues from our Trading Partner Integration and Trading Partner Intelligence solutions are generated through set-up fees and a recurring monthly hosting fee. Revenues from our Trading Partner Enablement solutions are generally one-time service fees.</w:t>
      </w:r>
    </w:p>
    <w:p>
      <w:pPr>
        <w:spacing w:after="0" w:line="7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 xml:space="preserve">Fees related to recurring monthly hosting services and one-time services are recognized when the services are provided. The recurring monthly fee is comprised of both a fixed and transaction based fee. Revenues are recorded in accordance with Staff Accounting Bulletin (SAB) 104, </w:t>
      </w:r>
      <w:r>
        <w:rPr>
          <w:rFonts w:ascii="Arial" w:cs="Arial" w:eastAsia="Arial" w:hAnsi="Arial"/>
          <w:sz w:val="13"/>
          <w:szCs w:val="13"/>
          <w:i w:val="1"/>
          <w:iCs w:val="1"/>
          <w:color w:val="auto"/>
        </w:rPr>
        <w:t>Revenue Recognition in Financial Statements</w:t>
      </w:r>
      <w:r>
        <w:rPr>
          <w:rFonts w:ascii="Arial" w:cs="Arial" w:eastAsia="Arial" w:hAnsi="Arial"/>
          <w:sz w:val="13"/>
          <w:szCs w:val="13"/>
          <w:color w:val="auto"/>
        </w:rPr>
        <w:t>, when all of the following criteria are met: (1) persuasive evidence of an arrangement exists; (2) delivery has occurred; (3) the fee is fixed and determinable; and (4) collectability is probable. If collection is not considered probable, revenues are recognized when the fees are collected.</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Set-up fees paid by customers in connection with our solutions, as well as associated direct and incremental costs, such as labor and commissions, are deferred and recognized ratably over the expected life of the customer relationship, which is generally two years. We continue to evaluate and adjust the length of these amortization periods as more experience is gained with customer renewals, contract cancellations and technology changes requested by our customers. It is possible that, in the future, the estimates of expected customer lives may change and, if so, the periods over which such subscription set-up fees and costs are amortized will be adjusted. Any such change in estimated expected customer lives will affect our future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maintain an allowance for doubtful accounts for estimated losses resulting from our customers’ inability to pay us. The provision is based on our historical experience and for specific customers that, in our opinion, are likely to default on our receivables from them.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revenues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We account for income taxes in accordance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which requires that deferred tax assets and liabilities be recognized using enacted tax rates for the effect of temporary differences between the book and tax basis of recorded assets and liabilities. ASC 740 also requires that deferred tax assets be reduced by a valuation allowance if it is more likely than not that some portion of all of the deferred tax asset will not be realized. The realization of the deferred tax assets is evaluated quarterly by assessing the valuation allowance and by adjusting the amount of the allowance, if necessary.</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 xml:space="preserve">We follow ASC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in accounting for our stock-based awards to employees. ASC 718 establishes accounting for stock-based awards exchanged for employee services. Accordingly, stock-based compensation cost is measured at the grant date, based on the fair value of the award, and is recognized as an expense over the vesting period of the grant. Determining the appropriate fair value model and calculating the fair value of stock-based payment awards require the use of highly subjective assumptions, including the expected life of the stock-based payment awards and stock price volatility. We use the Black-Scholes option pricing model to value our option grants and determine the related compensation expense. The assumptions used in calculating the fair value of stock-based payment awards represent management’s best 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 options in the future, and to the extent that we do, our actual stock-based compensation expense recognized in future periods will likely increase.</w:t>
      </w:r>
    </w:p>
    <w:p>
      <w:pPr>
        <w:spacing w:after="0" w:line="76"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Prior to becoming a public entity,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Factors Used in Determining Fair Value of Our Common Stock</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fair value of the shares of common stock that underlie the stock options we have granted has historically been determined by our audit committee or board of directors based upon information available to it at the time of grant. Because, prior to our initial public offering, there was no public market for our common stock, our audit committee or board of directors determined the fair value of our common stock by utilizing, among other things, recent or contemporaneous valuation information available as of December 31, 2007 and for each quarter end thereafter until we completed our initial public offering on April 22, 2010. The valuation information included reviews of our business and general economic, market and other conditions that could be reasonably evaluated at that time, including our financial results, business agreements, intellectual property and capital structure. The valuation information also included a thorough review of the conditions of the industry in which we operate and the markets that we serve. Our audit committee or board of directors conducted an analysis of the fair market value of our company considering two widely accepted valuation approaches: (1) market approach and (2) income approach. These valuation approaches are based on a number of assumptions, including our future revenues and industry, general economic, market and other conditions that could reasonably be evaluated at the time of the valuation.</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Under the market approach, the guideline market multiple methodology was applied, which involved the multiplication of revenues by risk-adjusted multiples. Multiples were determined through an analysis of certain publicly traded companies, which were selected on the basis of operational and economic similarity with our principal business operations. Revenue multiples were calculated for the comparable companies based upon daily trading prices. A comparative risk analysis between our and the public companies formed the basis for the selection of appropriate risk-adjusted multiples for our company. The risk analysis incorporated factors that relate to, among other things, the nature of the industry in which we and other comparable companies are engaged. Under the income approach, we applied the discounted cash flow methodology, which involved estimating the present value of the projected cash flows to be generated from the business and theoretically available to the capital providers of our company. A discount rate was applied to the projected future cash flows to reflect all risks of ownership and the associated risks of realizing the stream of projected cash flows. Since the cash flows were projected over a limited number of years, a terminal value was computed as of the end of the last period of projected cash flows. The terminal value was an estimate of the value of the enterprise on a going concern basis as of that future point in time. Discounting each of the projected future cash flows and the terminal value back to the present and summing the results yielded an indication of value for the enterprise. Our board of directors and audit committee took these two approaches into consideration when establishing the fair value of our common stock.</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Following December 31, 2009, all stock option grants were valued at either the price to the public of our common stock for our initial public offering or at the closing sale price of our common stock on the Nasdaq Global Market on the date of grant.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the costs incurred to develop our software solution in accordance with ASC 350-40, </w:t>
      </w:r>
      <w:r>
        <w:rPr>
          <w:rFonts w:ascii="Arial" w:cs="Arial" w:eastAsia="Arial" w:hAnsi="Arial"/>
          <w:sz w:val="12"/>
          <w:szCs w:val="12"/>
          <w:i w:val="1"/>
          <w:iCs w:val="1"/>
          <w:color w:val="auto"/>
        </w:rPr>
        <w:t>Intangibles — Goodwill and Other</w:t>
      </w:r>
      <w:r>
        <w:rPr>
          <w:rFonts w:ascii="Arial" w:cs="Arial" w:eastAsia="Arial" w:hAnsi="Arial"/>
          <w:sz w:val="12"/>
          <w:szCs w:val="12"/>
          <w:color w:val="auto"/>
        </w:rPr>
        <w:t>. Capitalizable costs consists of (a) certain external direct costs of materials and services incurred in developing or obtaining internal-use computer software and (b) payroll and payroll-related costs for employees who are directly associated with, and who devote time to, the project. These costs generally consist of internal labor during configuration, coding and testing activities. Research and development costs incurred during the preliminary project stage or costs incurred for data conversion activities, training, maintenance and general and administrative or overhead costs are expensed as incurred. Costs that cannot be separated between maintenance of, and relatively minor upgrades and enhancements to, internal-use software are also expensed as incurred. Capitalization begins when the preliminary project stage is complete, management with the relevant authority authorizes and commits to the funding of the software project, it is probable the project will be completed, the software will be used to perform the functions intended and certain functional and quality standards have been met.</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research and development expenses primarily consist of personnel costs for development and maintenance of our existing solutions. Historically, we therefore have expensed all research and development expenditures as incurred.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Goodwill</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For the years ended December 31, 2009 and prior, the impairment test compared the carrying value of the company to the fair value of the company, which was based on a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2010 Compared to Year Ended December 31,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results of operations for the periods indicated (dollars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Change</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757"/>
              <w:spacing w:after="0" w:line="98" w:lineRule="exact"/>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7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77"/>
              <w:spacing w:after="0"/>
              <w:rPr>
                <w:sz w:val="20"/>
                <w:szCs w:val="20"/>
                <w:color w:val="auto"/>
              </w:rPr>
            </w:pPr>
            <w:r>
              <w:rPr>
                <w:rFonts w:ascii="Arial" w:cs="Arial" w:eastAsia="Arial" w:hAnsi="Arial"/>
                <w:sz w:val="10"/>
                <w:szCs w:val="10"/>
                <w:b w:val="1"/>
                <w:bCs w:val="1"/>
                <w:color w:val="auto"/>
              </w:rPr>
              <w:t>% of revenue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96"/>
              <w:spacing w:after="0"/>
              <w:rPr>
                <w:sz w:val="20"/>
                <w:szCs w:val="20"/>
                <w:color w:val="auto"/>
              </w:rPr>
            </w:pPr>
            <w:r>
              <w:rPr>
                <w:rFonts w:ascii="Arial" w:cs="Arial" w:eastAsia="Arial" w:hAnsi="Arial"/>
                <w:sz w:val="10"/>
                <w:szCs w:val="10"/>
                <w:b w:val="1"/>
                <w:bCs w:val="1"/>
                <w:color w:val="auto"/>
              </w:rPr>
              <w:t>% of revenue</w:t>
            </w:r>
          </w:p>
        </w:tc>
        <w:tc>
          <w:tcPr>
            <w:tcW w:w="400" w:type="dxa"/>
            <w:vAlign w:val="bottom"/>
          </w:tcPr>
          <w:p>
            <w:pPr>
              <w:spacing w:after="0"/>
              <w:rPr>
                <w:sz w:val="11"/>
                <w:szCs w:val="11"/>
                <w:color w:val="auto"/>
              </w:rPr>
            </w:pPr>
          </w:p>
        </w:tc>
        <w:tc>
          <w:tcPr>
            <w:tcW w:w="840" w:type="dxa"/>
            <w:vAlign w:val="bottom"/>
          </w:tcPr>
          <w:p>
            <w:pPr>
              <w:jc w:val="right"/>
              <w:ind w:right="536"/>
              <w:spacing w:after="0"/>
              <w:rPr>
                <w:sz w:val="20"/>
                <w:szCs w:val="20"/>
                <w:color w:val="auto"/>
              </w:rPr>
            </w:pPr>
            <w:r>
              <w:rPr>
                <w:rFonts w:ascii="Arial" w:cs="Arial" w:eastAsia="Arial" w:hAnsi="Arial"/>
                <w:sz w:val="10"/>
                <w:szCs w:val="10"/>
                <w:b w:val="1"/>
                <w:bCs w:val="1"/>
                <w:color w:val="auto"/>
              </w:rPr>
              <w:t>$</w:t>
            </w:r>
          </w:p>
        </w:tc>
        <w:tc>
          <w:tcPr>
            <w:tcW w:w="340" w:type="dxa"/>
            <w:vAlign w:val="bottom"/>
          </w:tcPr>
          <w:p>
            <w:pPr>
              <w:jc w:val="right"/>
              <w:ind w:right="75"/>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44,597</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37,746</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7"/>
              </w:rPr>
              <w:t>$ 6,851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12,626</w:t>
            </w:r>
          </w:p>
        </w:tc>
        <w:tc>
          <w:tcPr>
            <w:tcW w:w="14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28.3</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11,715</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911</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31,971</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71.7</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26,031</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5,940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6"/>
        </w:trPr>
        <w:tc>
          <w:tcPr>
            <w:tcW w:w="41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16,601</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37.2</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13,506</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35.8</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3,095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57"/>
        </w:trPr>
        <w:tc>
          <w:tcPr>
            <w:tcW w:w="410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4,349</w:t>
            </w:r>
          </w:p>
        </w:tc>
        <w:tc>
          <w:tcPr>
            <w:tcW w:w="14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4,305</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44</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7,985</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6,339</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1,646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64.9</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64.0</w:t>
            </w:r>
          </w:p>
        </w:tc>
        <w:tc>
          <w:tcPr>
            <w:tcW w:w="840" w:type="dxa"/>
            <w:vAlign w:val="bottom"/>
            <w:vMerge w:val="restart"/>
          </w:tcPr>
          <w:p>
            <w:pPr>
              <w:jc w:val="right"/>
              <w:ind w:right="376"/>
              <w:spacing w:after="0"/>
              <w:rPr>
                <w:sz w:val="20"/>
                <w:szCs w:val="20"/>
                <w:color w:val="auto"/>
              </w:rPr>
            </w:pPr>
            <w:r>
              <w:rPr>
                <w:rFonts w:ascii="Arial" w:cs="Arial" w:eastAsia="Arial" w:hAnsi="Arial"/>
                <w:sz w:val="13"/>
                <w:szCs w:val="13"/>
                <w:color w:val="auto"/>
              </w:rPr>
              <w:t>4,785</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28,935</w:t>
            </w:r>
          </w:p>
        </w:tc>
        <w:tc>
          <w:tcPr>
            <w:tcW w:w="1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24,150</w:t>
            </w:r>
          </w:p>
        </w:tc>
        <w:tc>
          <w:tcPr>
            <w:tcW w:w="154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Income from operations</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3,036</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1,881</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1,155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(0.7)</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196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57"/>
        </w:trPr>
        <w:tc>
          <w:tcPr>
            <w:tcW w:w="4100" w:type="dxa"/>
            <w:vAlign w:val="bottom"/>
            <w:gridSpan w:val="2"/>
          </w:tcPr>
          <w:p>
            <w:pPr>
              <w:ind w:left="140"/>
              <w:spacing w:after="0"/>
              <w:rPr>
                <w:sz w:val="20"/>
                <w:szCs w:val="20"/>
                <w:color w:val="auto"/>
              </w:rPr>
            </w:pPr>
            <w:r>
              <w:rPr>
                <w:rFonts w:ascii="Arial" w:cs="Arial" w:eastAsia="Arial" w:hAnsi="Arial"/>
                <w:sz w:val="13"/>
                <w:szCs w:val="13"/>
                <w:color w:val="auto"/>
              </w:rPr>
              <w:t>Interest income</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158</w:t>
            </w:r>
          </w:p>
        </w:tc>
        <w:tc>
          <w:tcPr>
            <w:tcW w:w="14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0.4</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6"/>
              <w:spacing w:after="0"/>
              <w:rPr>
                <w:sz w:val="20"/>
                <w:szCs w:val="20"/>
                <w:color w:val="auto"/>
              </w:rPr>
            </w:pPr>
            <w:r>
              <w:rPr>
                <w:rFonts w:ascii="Arial" w:cs="Arial" w:eastAsia="Arial" w:hAnsi="Arial"/>
                <w:sz w:val="13"/>
                <w:szCs w:val="13"/>
                <w:color w:val="auto"/>
              </w:rPr>
              <w:t>158</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(0.9)</w:t>
            </w:r>
          </w:p>
        </w:tc>
        <w:tc>
          <w:tcPr>
            <w:tcW w:w="8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214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other income (expense), net</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(0.1)</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vMerge w:val="restart"/>
          </w:tcPr>
          <w:p>
            <w:pPr>
              <w:jc w:val="right"/>
              <w:ind w:right="360"/>
              <w:spacing w:after="0"/>
              <w:rPr>
                <w:sz w:val="20"/>
                <w:szCs w:val="20"/>
                <w:color w:val="auto"/>
              </w:rPr>
            </w:pPr>
            <w:r>
              <w:rPr>
                <w:rFonts w:ascii="Arial" w:cs="Arial" w:eastAsia="Arial" w:hAnsi="Arial"/>
                <w:sz w:val="13"/>
                <w:szCs w:val="13"/>
                <w:color w:val="auto"/>
              </w:rPr>
              <w:t>(1.7)</w:t>
            </w:r>
          </w:p>
        </w:tc>
        <w:tc>
          <w:tcPr>
            <w:tcW w:w="840" w:type="dxa"/>
            <w:vAlign w:val="bottom"/>
            <w:vMerge w:val="restart"/>
          </w:tcPr>
          <w:p>
            <w:pPr>
              <w:jc w:val="right"/>
              <w:ind w:right="376"/>
              <w:spacing w:after="0"/>
              <w:rPr>
                <w:sz w:val="20"/>
                <w:szCs w:val="20"/>
                <w:color w:val="auto"/>
              </w:rPr>
            </w:pPr>
            <w:r>
              <w:rPr>
                <w:rFonts w:ascii="Arial" w:cs="Arial" w:eastAsia="Arial" w:hAnsi="Arial"/>
                <w:sz w:val="13"/>
                <w:szCs w:val="13"/>
                <w:color w:val="auto"/>
              </w:rPr>
              <w:t>568</w:t>
            </w: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(90.4)</w:t>
            </w: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(628)</w:t>
            </w:r>
          </w:p>
        </w:tc>
        <w:tc>
          <w:tcPr>
            <w:tcW w:w="154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w:t>
            </w:r>
          </w:p>
        </w:tc>
        <w:tc>
          <w:tcPr>
            <w:tcW w:w="84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6.5</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3.1</w:t>
            </w:r>
          </w:p>
        </w:tc>
        <w:tc>
          <w:tcPr>
            <w:tcW w:w="840" w:type="dxa"/>
            <w:vAlign w:val="bottom"/>
            <w:vMerge w:val="restart"/>
          </w:tcPr>
          <w:p>
            <w:pPr>
              <w:jc w:val="right"/>
              <w:ind w:right="376"/>
              <w:spacing w:after="0"/>
              <w:rPr>
                <w:sz w:val="20"/>
                <w:szCs w:val="20"/>
                <w:color w:val="auto"/>
              </w:rPr>
            </w:pPr>
            <w:r>
              <w:rPr>
                <w:rFonts w:ascii="Arial" w:cs="Arial" w:eastAsia="Arial" w:hAnsi="Arial"/>
                <w:sz w:val="13"/>
                <w:szCs w:val="13"/>
                <w:color w:val="auto"/>
              </w:rPr>
              <w:t>1,722</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98"/>
              </w:rPr>
              <w:t>148.2</w:t>
            </w:r>
          </w:p>
        </w:tc>
        <w:tc>
          <w:tcPr>
            <w:tcW w:w="0" w:type="dxa"/>
            <w:vAlign w:val="bottom"/>
          </w:tcPr>
          <w:p>
            <w:pPr>
              <w:spacing w:after="0" w:line="20" w:lineRule="exact"/>
              <w:rPr>
                <w:sz w:val="1"/>
                <w:szCs w:val="1"/>
                <w:color w:val="auto"/>
              </w:rPr>
            </w:pPr>
          </w:p>
        </w:tc>
      </w:tr>
      <w:tr>
        <w:trPr>
          <w:trHeight w:val="166"/>
        </w:trPr>
        <w:tc>
          <w:tcPr>
            <w:tcW w:w="4100" w:type="dxa"/>
            <w:vAlign w:val="bottom"/>
            <w:gridSpan w:val="2"/>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2,884</w:t>
            </w:r>
          </w:p>
        </w:tc>
        <w:tc>
          <w:tcPr>
            <w:tcW w:w="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1,162</w:t>
            </w:r>
          </w:p>
        </w:tc>
        <w:tc>
          <w:tcPr>
            <w:tcW w:w="15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Due to rounding, totals may not equal the sum of the line items in the table above.</w:t>
      </w:r>
    </w:p>
    <w:p>
      <w:pPr>
        <w:spacing w:after="0" w:line="47" w:lineRule="exact"/>
        <w:rPr>
          <w:sz w:val="20"/>
          <w:szCs w:val="20"/>
          <w:color w:val="auto"/>
        </w:rPr>
      </w:pPr>
    </w:p>
    <w:p>
      <w:pPr>
        <w:ind w:left="900" w:hanging="213"/>
        <w:spacing w:after="0"/>
        <w:tabs>
          <w:tab w:leader="none" w:pos="9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Revenues. </w:t>
      </w:r>
      <w:r>
        <w:rPr>
          <w:rFonts w:ascii="Arial" w:cs="Arial" w:eastAsia="Arial" w:hAnsi="Arial"/>
          <w:sz w:val="12"/>
          <w:szCs w:val="12"/>
          <w:color w:val="auto"/>
        </w:rPr>
        <w:t>Revenues for 2010 increased $6.9 million, or 18%, to $44.6 million from $37.7 million for 2009. Our fiscal quarter ended December 31, 2010 represented our</w:t>
      </w:r>
    </w:p>
    <w:p>
      <w:pPr>
        <w:spacing w:after="0" w:line="27" w:lineRule="exact"/>
        <w:rPr>
          <w:sz w:val="20"/>
          <w:szCs w:val="20"/>
          <w:color w:val="auto"/>
        </w:rPr>
      </w:pPr>
    </w:p>
    <w:p>
      <w:pPr>
        <w:ind w:left="680" w:right="20"/>
        <w:spacing w:after="0" w:line="254" w:lineRule="auto"/>
        <w:rPr>
          <w:sz w:val="20"/>
          <w:szCs w:val="20"/>
          <w:color w:val="auto"/>
        </w:rPr>
      </w:pPr>
      <w:r>
        <w:rPr>
          <w:rFonts w:ascii="Arial" w:cs="Arial" w:eastAsia="Arial" w:hAnsi="Arial"/>
          <w:sz w:val="13"/>
          <w:szCs w:val="13"/>
          <w:color w:val="auto"/>
        </w:rPr>
        <w:t>40th consecutive quarter of increased revenues. The increase in revenues resulted primarily from a 13% increase in recurring revenue customers to 12,399 at December 31, 2010 from 11,003 at December 31, 2009, as well as a 10% increase in average recurring revenues per recurring revenue customer to $3,176 from $2,879. The increase in average recurring revenues per recurring revenue customer was primarily attributable to increased fees resulting from increased usage of our solutions by our recurring revenue customers. Recurring revenues from recurring revenue customers accounted for 83% of our total revenues for 2010, compared to 80% for 2009. We anticipate that the number of recurring revenue customers and the recurring revenues per recurring revenue customer will continue to increase as we increase the number of solutions we offer, such as the Trading Partner Intelligence solution we introduced in 2009, and increase the penetration of those solutions across our customer base.</w:t>
      </w:r>
    </w:p>
    <w:p>
      <w:pPr>
        <w:spacing w:after="0" w:line="7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Cost of Revenues. </w:t>
      </w:r>
      <w:r>
        <w:rPr>
          <w:rFonts w:ascii="Arial" w:cs="Arial" w:eastAsia="Arial" w:hAnsi="Arial"/>
          <w:sz w:val="13"/>
          <w:szCs w:val="13"/>
          <w:color w:val="auto"/>
        </w:rPr>
        <w:t>Cost of revenues for 2010 increased $900,000, or 8%, to $12.6 million from $11.7 million for 2009. The increase in costs was primarily attributable to higher costs</w:t>
      </w:r>
      <w:r>
        <w:rPr>
          <w:rFonts w:ascii="Arial" w:cs="Arial" w:eastAsia="Arial" w:hAnsi="Arial"/>
          <w:sz w:val="13"/>
          <w:szCs w:val="13"/>
          <w:i w:val="1"/>
          <w:iCs w:val="1"/>
          <w:color w:val="auto"/>
        </w:rPr>
        <w:t xml:space="preserve"> </w:t>
      </w:r>
      <w:r>
        <w:rPr>
          <w:rFonts w:ascii="Arial" w:cs="Arial" w:eastAsia="Arial" w:hAnsi="Arial"/>
          <w:sz w:val="13"/>
          <w:szCs w:val="13"/>
          <w:color w:val="auto"/>
        </w:rPr>
        <w:t>of personnel, network services and depreciation. As a percentage of revenues, cost of revenues was 28% for 2010, compared to 31% for 2009.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70"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i w:val="1"/>
          <w:iCs w:val="1"/>
          <w:color w:val="auto"/>
        </w:rPr>
        <w:t xml:space="preserve">Sales and Marketing Expenses. </w:t>
      </w:r>
      <w:r>
        <w:rPr>
          <w:rFonts w:ascii="Arial" w:cs="Arial" w:eastAsia="Arial" w:hAnsi="Arial"/>
          <w:sz w:val="12"/>
          <w:szCs w:val="12"/>
          <w:color w:val="auto"/>
        </w:rPr>
        <w:t>Sales and marketing expenses for 2010 increased $3.1 million, or 23%, to $16.6 million from $13.5 million for 2009. The increase in sales and</w:t>
      </w:r>
      <w:r>
        <w:rPr>
          <w:rFonts w:ascii="Arial" w:cs="Arial" w:eastAsia="Arial" w:hAnsi="Arial"/>
          <w:sz w:val="12"/>
          <w:szCs w:val="12"/>
          <w:i w:val="1"/>
          <w:iCs w:val="1"/>
          <w:color w:val="auto"/>
        </w:rPr>
        <w:t xml:space="preserve"> </w:t>
      </w:r>
      <w:r>
        <w:rPr>
          <w:rFonts w:ascii="Arial" w:cs="Arial" w:eastAsia="Arial" w:hAnsi="Arial"/>
          <w:sz w:val="12"/>
          <w:szCs w:val="12"/>
          <w:color w:val="auto"/>
        </w:rPr>
        <w:t>marketing expenses was due to higher commissions earned by sales personnel from new business, as well as increased personnel and promotional costs in</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color w:val="auto"/>
        </w:rPr>
        <w:t>2010. As a percentage of revenues, sales and marketing expenses were 37% for 2010 and 36% for 2009. As we work to grow our business, we will continue to add resources to our sales and marketing efforts over time, and we expect that these expenses will increase in absolute dollars.</w:t>
      </w:r>
    </w:p>
    <w:p>
      <w:pPr>
        <w:spacing w:after="0" w:line="59" w:lineRule="exact"/>
        <w:rPr>
          <w:sz w:val="20"/>
          <w:szCs w:val="20"/>
          <w:color w:val="auto"/>
        </w:rPr>
      </w:pPr>
    </w:p>
    <w:p>
      <w:pPr>
        <w:ind w:left="680" w:right="820" w:firstLine="399"/>
        <w:spacing w:after="0" w:line="296" w:lineRule="auto"/>
        <w:rPr>
          <w:sz w:val="20"/>
          <w:szCs w:val="20"/>
          <w:color w:val="auto"/>
        </w:rPr>
      </w:pPr>
      <w:r>
        <w:rPr>
          <w:rFonts w:ascii="Arial" w:cs="Arial" w:eastAsia="Arial" w:hAnsi="Arial"/>
          <w:sz w:val="12"/>
          <w:szCs w:val="12"/>
          <w:i w:val="1"/>
          <w:iCs w:val="1"/>
          <w:color w:val="auto"/>
        </w:rPr>
        <w:t xml:space="preserve">Research and Development Expenses. </w:t>
      </w:r>
      <w:r>
        <w:rPr>
          <w:rFonts w:ascii="Arial" w:cs="Arial" w:eastAsia="Arial" w:hAnsi="Arial"/>
          <w:sz w:val="12"/>
          <w:szCs w:val="12"/>
          <w:color w:val="auto"/>
        </w:rPr>
        <w:t>Research and development expenses for 2010 were $4.3 million, which was comparable to 2009. As a percentage of revenues,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expenses were 10% for 2010, compared to 11% for 2009. Increased revenues contributed to the decrease in research and development expenses as a percentage of revenues. We expect research and development expenses will increase in absolute dollars as we continue to enhance and expand our solutions and applications.</w:t>
      </w:r>
    </w:p>
    <w:p>
      <w:pPr>
        <w:spacing w:after="0" w:line="50" w:lineRule="exact"/>
        <w:rPr>
          <w:sz w:val="20"/>
          <w:szCs w:val="20"/>
          <w:color w:val="auto"/>
        </w:rPr>
      </w:pPr>
    </w:p>
    <w:p>
      <w:pPr>
        <w:ind w:left="680" w:right="1060" w:firstLine="399"/>
        <w:spacing w:after="0" w:line="296"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For 2010, general and administrative expenses increased $1.7 million, or 26%, to $8.0 million from $6.3 million for 2009. The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and administrative expenses was due to increased expenses related to being a public company, including legal and accounting fees. As a percentage of revenues, general and administrative expenses were 18% for 2010, compared to 17% for 2009. Going forward, we expect that general and administrative expenses will increase in absolute dollars.</w:t>
      </w:r>
    </w:p>
    <w:p>
      <w:pPr>
        <w:spacing w:after="0" w:line="5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i w:val="1"/>
          <w:iCs w:val="1"/>
          <w:color w:val="auto"/>
        </w:rPr>
        <w:t xml:space="preserve">Other Income (Expense). </w:t>
      </w:r>
      <w:r>
        <w:rPr>
          <w:rFonts w:ascii="Arial" w:cs="Arial" w:eastAsia="Arial" w:hAnsi="Arial"/>
          <w:sz w:val="12"/>
          <w:szCs w:val="12"/>
          <w:color w:val="auto"/>
        </w:rPr>
        <w:t>Interest expense for 2010 decreased $196,000, or 73%, to $74,000 from $270,000 for 2009. The decrease in interest expense was principally due to reduced</w:t>
      </w:r>
      <w:r>
        <w:rPr>
          <w:rFonts w:ascii="Arial" w:cs="Arial" w:eastAsia="Arial" w:hAnsi="Arial"/>
          <w:sz w:val="12"/>
          <w:szCs w:val="12"/>
          <w:i w:val="1"/>
          <w:iCs w:val="1"/>
          <w:color w:val="auto"/>
        </w:rPr>
        <w:t xml:space="preserve"> </w:t>
      </w:r>
      <w:r>
        <w:rPr>
          <w:rFonts w:ascii="Arial" w:cs="Arial" w:eastAsia="Arial" w:hAnsi="Arial"/>
          <w:sz w:val="12"/>
          <w:szCs w:val="12"/>
          <w:color w:val="auto"/>
        </w:rPr>
        <w:t>equipment borrowings and the repayment of all outstanding indebtedness under our credit facility in 2010. Interest income for 2010 was $158,000 as the result of interest earned on the net cash proceeds from our initial public offering in April 2010. Other expense for 2010 was $144,000 compared to $358,000 for 2009. The other income (expense) change was driven primarily by updating the value of outstanding preferred stock warrants to fair market value as required by generally accepted accounting principles. We expect that there will be no further income or expense related to these warrants as they were converted to common stock warrants with the completion of our initial public offering on April 22, 2010.</w:t>
      </w:r>
    </w:p>
    <w:p>
      <w:pPr>
        <w:spacing w:after="0" w:line="55"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i w:val="1"/>
          <w:iCs w:val="1"/>
          <w:color w:val="auto"/>
        </w:rPr>
        <w:t xml:space="preserve">Income Tax Expense. </w:t>
      </w:r>
      <w:r>
        <w:rPr>
          <w:rFonts w:ascii="Arial" w:cs="Arial" w:eastAsia="Arial" w:hAnsi="Arial"/>
          <w:sz w:val="13"/>
          <w:szCs w:val="13"/>
          <w:color w:val="auto"/>
        </w:rPr>
        <w:t>Income tax expense was $92,000 for 2010 compared to $91,000 for 2009. Our provision for income taxes includes estimated federal alternative minimum taxes,</w:t>
      </w:r>
      <w:r>
        <w:rPr>
          <w:rFonts w:ascii="Arial" w:cs="Arial" w:eastAsia="Arial" w:hAnsi="Arial"/>
          <w:sz w:val="13"/>
          <w:szCs w:val="13"/>
          <w:i w:val="1"/>
          <w:iCs w:val="1"/>
          <w:color w:val="auto"/>
        </w:rPr>
        <w:t xml:space="preserve"> </w:t>
      </w:r>
      <w:r>
        <w:rPr>
          <w:rFonts w:ascii="Arial" w:cs="Arial" w:eastAsia="Arial" w:hAnsi="Arial"/>
          <w:sz w:val="13"/>
          <w:szCs w:val="13"/>
          <w:color w:val="auto"/>
        </w:rPr>
        <w:t>state income and franchise taxes, as well as deferred tax expense resulting from the book and tax basis difference in goodwill from a prior asset acquisition.</w:t>
      </w:r>
    </w:p>
    <w:p>
      <w:pPr>
        <w:spacing w:after="0" w:line="59"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i w:val="1"/>
          <w:iCs w:val="1"/>
          <w:color w:val="auto"/>
        </w:rPr>
        <w:t xml:space="preserve">Adjusted EBITDA. </w:t>
      </w:r>
      <w:r>
        <w:rPr>
          <w:rFonts w:ascii="Arial" w:cs="Arial" w:eastAsia="Arial" w:hAnsi="Arial"/>
          <w:sz w:val="13"/>
          <w:szCs w:val="13"/>
          <w:color w:val="auto"/>
        </w:rPr>
        <w:t>Adjusted EBITDA, which is a non-GAAP measure of financial performance, consists of net income plus depreciation and amortization, interest expense,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reconciliation of net income to Adjusted EBITDA (in thousands):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Year Ended</w:t>
      </w:r>
    </w:p>
    <w:p>
      <w:pPr>
        <w:spacing w:after="0" w:line="3"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1,533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5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Interest income</w:t>
            </w: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5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EBITDA</w:t>
            </w: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4,425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5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Adjusted EBITDA</w:t>
            </w: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5,175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00" w:type="dxa"/>
            <w:vAlign w:val="bottom"/>
          </w:tcPr>
          <w:p>
            <w:pPr>
              <w:jc w:val="right"/>
              <w:ind w:right="3374"/>
              <w:spacing w:after="0"/>
              <w:rPr>
                <w:sz w:val="20"/>
                <w:szCs w:val="20"/>
                <w:color w:val="auto"/>
              </w:rPr>
            </w:pPr>
            <w:r>
              <w:rPr>
                <w:rFonts w:ascii="Arial" w:cs="Arial" w:eastAsia="Arial" w:hAnsi="Arial"/>
                <w:sz w:val="13"/>
                <w:szCs w:val="13"/>
                <w:color w:val="auto"/>
              </w:rPr>
              <w:t>33</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5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Non-GAAP Net Income per Share. </w:t>
      </w:r>
      <w:r>
        <w:rPr>
          <w:rFonts w:ascii="Arial" w:cs="Arial" w:eastAsia="Arial" w:hAnsi="Arial"/>
          <w:sz w:val="12"/>
          <w:szCs w:val="12"/>
          <w:color w:val="auto"/>
        </w:rPr>
        <w:t>Non-GAAP net income per share, which is also a non-GAAP measure of financial performance, consists of net income plus non-cash, stock-based</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expense and amortization expense related to intangible assets divided by the weighted average number of shares of common stock outstanding during each period. We believe non-GAAP net income per share is useful to an investor because it is widely used to measure a company’s operating performance.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reconciliation of net income to non-GAAP net income per share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ind w:left="180"/>
              <w:spacing w:after="0"/>
              <w:rPr>
                <w:sz w:val="20"/>
                <w:szCs w:val="20"/>
                <w:color w:val="auto"/>
              </w:rPr>
            </w:pPr>
            <w:r>
              <w:rPr>
                <w:rFonts w:ascii="Arial" w:cs="Arial" w:eastAsia="Arial" w:hAnsi="Arial"/>
                <w:sz w:val="10"/>
                <w:szCs w:val="10"/>
                <w:b w:val="1"/>
                <w:bCs w:val="1"/>
                <w:color w:val="auto"/>
              </w:rPr>
              <w:t>Year Ended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42"/>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2,884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1,162</w:t>
            </w:r>
          </w:p>
        </w:tc>
        <w:tc>
          <w:tcPr>
            <w:tcW w:w="0" w:type="dxa"/>
            <w:vAlign w:val="bottom"/>
          </w:tcPr>
          <w:p>
            <w:pPr>
              <w:spacing w:after="0"/>
              <w:rPr>
                <w:sz w:val="1"/>
                <w:szCs w:val="1"/>
                <w:color w:val="auto"/>
              </w:rPr>
            </w:pPr>
          </w:p>
        </w:tc>
      </w:tr>
      <w:tr>
        <w:trPr>
          <w:trHeight w:val="157"/>
        </w:trPr>
        <w:tc>
          <w:tcPr>
            <w:tcW w:w="4120" w:type="dxa"/>
            <w:vAlign w:val="bottom"/>
            <w:gridSpan w:val="2"/>
          </w:tcPr>
          <w:p>
            <w:pPr>
              <w:spacing w:after="0"/>
              <w:rPr>
                <w:sz w:val="20"/>
                <w:szCs w:val="20"/>
                <w:color w:val="auto"/>
              </w:rPr>
            </w:pPr>
            <w:r>
              <w:rPr>
                <w:rFonts w:ascii="Arial" w:cs="Arial" w:eastAsia="Arial" w:hAnsi="Arial"/>
                <w:sz w:val="13"/>
                <w:szCs w:val="13"/>
                <w:color w:val="auto"/>
              </w:rPr>
              <w:t>Stock-based compensation expense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348"/>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140"/>
              <w:spacing w:after="0"/>
              <w:rPr>
                <w:sz w:val="20"/>
                <w:szCs w:val="20"/>
                <w:color w:val="auto"/>
              </w:rPr>
            </w:pPr>
            <w:r>
              <w:rPr>
                <w:rFonts w:ascii="Arial" w:cs="Arial" w:eastAsia="Arial" w:hAnsi="Arial"/>
                <w:sz w:val="13"/>
                <w:szCs w:val="13"/>
                <w:color w:val="auto"/>
              </w:rPr>
              <w:t>Non-GAAP net income</w:t>
            </w: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348"/>
              <w:spacing w:after="0"/>
              <w:rPr>
                <w:sz w:val="20"/>
                <w:szCs w:val="20"/>
                <w:color w:val="auto"/>
              </w:rPr>
            </w:pPr>
            <w:r>
              <w:rPr>
                <w:rFonts w:ascii="Arial" w:cs="Arial" w:eastAsia="Arial" w:hAnsi="Arial"/>
                <w:sz w:val="13"/>
                <w:szCs w:val="13"/>
                <w:color w:val="auto"/>
              </w:rPr>
              <w:t>3,634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1,545</w:t>
            </w:r>
          </w:p>
        </w:tc>
        <w:tc>
          <w:tcPr>
            <w:tcW w:w="0" w:type="dxa"/>
            <w:vAlign w:val="bottom"/>
          </w:tcPr>
          <w:p>
            <w:pPr>
              <w:spacing w:after="0"/>
              <w:rPr>
                <w:sz w:val="1"/>
                <w:szCs w:val="1"/>
                <w:color w:val="auto"/>
              </w:rPr>
            </w:pPr>
          </w:p>
        </w:tc>
      </w:tr>
      <w:tr>
        <w:trPr>
          <w:trHeight w:val="165"/>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Non-GAAP net income per share</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348"/>
              <w:spacing w:after="0"/>
              <w:rPr>
                <w:sz w:val="20"/>
                <w:szCs w:val="20"/>
                <w:color w:val="auto"/>
              </w:rPr>
            </w:pPr>
            <w:r>
              <w:rPr>
                <w:rFonts w:ascii="Arial" w:cs="Arial" w:eastAsia="Arial" w:hAnsi="Arial"/>
                <w:sz w:val="13"/>
                <w:szCs w:val="13"/>
                <w:color w:val="auto"/>
              </w:rPr>
              <w:t>0.45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57"/>
        </w:trPr>
        <w:tc>
          <w:tcPr>
            <w:tcW w:w="4120" w:type="dxa"/>
            <w:vAlign w:val="bottom"/>
            <w:gridSpan w:val="2"/>
          </w:tcPr>
          <w:p>
            <w:pPr>
              <w:spacing w:after="0"/>
              <w:rPr>
                <w:sz w:val="20"/>
                <w:szCs w:val="20"/>
                <w:color w:val="auto"/>
              </w:rPr>
            </w:pPr>
            <w:r>
              <w:rPr>
                <w:rFonts w:ascii="Arial" w:cs="Arial" w:eastAsia="Arial" w:hAnsi="Arial"/>
                <w:sz w:val="13"/>
                <w:szCs w:val="13"/>
                <w:color w:val="auto"/>
              </w:rPr>
              <w:t>Shares used to compute non-GAAP net income per share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8,036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65"/>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348"/>
              <w:spacing w:after="0"/>
              <w:rPr>
                <w:sz w:val="20"/>
                <w:szCs w:val="20"/>
                <w:color w:val="auto"/>
              </w:rPr>
            </w:pPr>
            <w:r>
              <w:rPr>
                <w:rFonts w:ascii="Arial" w:cs="Arial" w:eastAsia="Arial" w:hAnsi="Arial"/>
                <w:sz w:val="13"/>
                <w:szCs w:val="13"/>
                <w:color w:val="auto"/>
              </w:rPr>
              <w:t>11,596</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9,268</w:t>
            </w:r>
          </w:p>
        </w:tc>
        <w:tc>
          <w:tcPr>
            <w:tcW w:w="0" w:type="dxa"/>
            <w:vAlign w:val="bottom"/>
          </w:tcPr>
          <w:p>
            <w:pPr>
              <w:spacing w:after="0"/>
              <w:rPr>
                <w:sz w:val="1"/>
                <w:szCs w:val="1"/>
                <w:color w:val="auto"/>
              </w:rPr>
            </w:pPr>
          </w:p>
        </w:tc>
      </w:tr>
      <w:tr>
        <w:trPr>
          <w:trHeight w:val="316"/>
        </w:trPr>
        <w:tc>
          <w:tcPr>
            <w:tcW w:w="43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w w:val="87"/>
              </w:rPr>
              <w:t>Year Ended December 31, 2009 Compared to Year Ended December 31, 2008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20" w:type="dxa"/>
            <w:vAlign w:val="bottom"/>
            <w:gridSpan w:val="7"/>
          </w:tcPr>
          <w:p>
            <w:pPr>
              <w:ind w:left="400"/>
              <w:spacing w:after="0"/>
              <w:rPr>
                <w:sz w:val="20"/>
                <w:szCs w:val="20"/>
                <w:color w:val="auto"/>
              </w:rPr>
            </w:pPr>
            <w:r>
              <w:rPr>
                <w:rFonts w:ascii="Arial" w:cs="Arial" w:eastAsia="Arial" w:hAnsi="Arial"/>
                <w:sz w:val="13"/>
                <w:szCs w:val="13"/>
                <w:color w:val="auto"/>
              </w:rPr>
              <w:t>The following table presents our results of operations for the periods indicated (dollars in thousands):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Change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757"/>
              <w:spacing w:after="0" w:line="98" w:lineRule="exact"/>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right"/>
              <w:ind w:right="7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77"/>
              <w:spacing w:after="0"/>
              <w:rPr>
                <w:sz w:val="20"/>
                <w:szCs w:val="20"/>
                <w:color w:val="auto"/>
              </w:rPr>
            </w:pPr>
            <w:r>
              <w:rPr>
                <w:rFonts w:ascii="Arial" w:cs="Arial" w:eastAsia="Arial" w:hAnsi="Arial"/>
                <w:sz w:val="10"/>
                <w:szCs w:val="10"/>
                <w:b w:val="1"/>
                <w:bCs w:val="1"/>
                <w:color w:val="auto"/>
              </w:rPr>
              <w:t>% of revenue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96"/>
              <w:spacing w:after="0"/>
              <w:rPr>
                <w:sz w:val="20"/>
                <w:szCs w:val="20"/>
                <w:color w:val="auto"/>
              </w:rPr>
            </w:pPr>
            <w:r>
              <w:rPr>
                <w:rFonts w:ascii="Arial" w:cs="Arial" w:eastAsia="Arial" w:hAnsi="Arial"/>
                <w:sz w:val="10"/>
                <w:szCs w:val="10"/>
                <w:b w:val="1"/>
                <w:bCs w:val="1"/>
                <w:color w:val="auto"/>
              </w:rPr>
              <w:t>% of revenue</w:t>
            </w:r>
          </w:p>
        </w:tc>
        <w:tc>
          <w:tcPr>
            <w:tcW w:w="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6"/>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5"/>
              </w:rPr>
              <w:t>37,746</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30,697</w:t>
            </w:r>
          </w:p>
        </w:tc>
        <w:tc>
          <w:tcPr>
            <w:tcW w:w="1380" w:type="dxa"/>
            <w:vAlign w:val="bottom"/>
            <w:gridSpan w:val="3"/>
            <w:shd w:val="clear" w:color="auto" w:fill="CCEEFF"/>
          </w:tcPr>
          <w:p>
            <w:pPr>
              <w:jc w:val="right"/>
              <w:ind w:right="91"/>
              <w:spacing w:after="0"/>
              <w:rPr>
                <w:sz w:val="20"/>
                <w:szCs w:val="20"/>
                <w:color w:val="auto"/>
              </w:rPr>
            </w:pPr>
            <w:r>
              <w:rPr>
                <w:rFonts w:ascii="Arial" w:cs="Arial" w:eastAsia="Arial" w:hAnsi="Arial"/>
                <w:sz w:val="13"/>
                <w:szCs w:val="13"/>
                <w:color w:val="auto"/>
              </w:rPr>
              <w:t>100.0%</w:t>
            </w: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$ 7,049</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412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2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11,715</w:t>
            </w:r>
          </w:p>
        </w:tc>
        <w:tc>
          <w:tcPr>
            <w:tcW w:w="14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31.0</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9,258</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c>
          <w:tcPr>
            <w:tcW w:w="140" w:type="dxa"/>
            <w:vAlign w:val="bottom"/>
          </w:tcPr>
          <w:p>
            <w:pPr>
              <w:spacing w:after="0"/>
              <w:rPr>
                <w:sz w:val="13"/>
                <w:szCs w:val="13"/>
                <w:color w:val="auto"/>
              </w:rPr>
            </w:pPr>
          </w:p>
        </w:tc>
        <w:tc>
          <w:tcPr>
            <w:tcW w:w="860" w:type="dxa"/>
            <w:vAlign w:val="bottom"/>
            <w:gridSpan w:val="3"/>
          </w:tcPr>
          <w:p>
            <w:pPr>
              <w:jc w:val="right"/>
              <w:ind w:right="248"/>
              <w:spacing w:after="0"/>
              <w:rPr>
                <w:sz w:val="20"/>
                <w:szCs w:val="20"/>
                <w:color w:val="auto"/>
              </w:rPr>
            </w:pPr>
            <w:r>
              <w:rPr>
                <w:rFonts w:ascii="Arial" w:cs="Arial" w:eastAsia="Arial" w:hAnsi="Arial"/>
                <w:sz w:val="13"/>
                <w:szCs w:val="13"/>
                <w:color w:val="auto"/>
              </w:rPr>
              <w:t>2,457</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26,031</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69.0</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21,439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69.8</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4,592</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2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5"/>
              </w:rPr>
              <w:t>13,506</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12,493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Research and development</w:t>
            </w:r>
          </w:p>
        </w:tc>
        <w:tc>
          <w:tcPr>
            <w:tcW w:w="2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4,305</w:t>
            </w:r>
          </w:p>
        </w:tc>
        <w:tc>
          <w:tcPr>
            <w:tcW w:w="14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11.4</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3,640</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140" w:type="dxa"/>
            <w:vAlign w:val="bottom"/>
          </w:tcPr>
          <w:p>
            <w:pPr>
              <w:spacing w:after="0"/>
              <w:rPr>
                <w:sz w:val="13"/>
                <w:szCs w:val="13"/>
                <w:color w:val="auto"/>
              </w:rPr>
            </w:pPr>
          </w:p>
        </w:tc>
        <w:tc>
          <w:tcPr>
            <w:tcW w:w="860" w:type="dxa"/>
            <w:vAlign w:val="bottom"/>
            <w:gridSpan w:val="3"/>
          </w:tcPr>
          <w:p>
            <w:pPr>
              <w:jc w:val="right"/>
              <w:ind w:right="248"/>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6,339</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64.0</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74.4</w:t>
            </w: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ind w:right="248"/>
              <w:spacing w:after="0"/>
              <w:rPr>
                <w:sz w:val="20"/>
                <w:szCs w:val="20"/>
                <w:color w:val="auto"/>
              </w:rPr>
            </w:pPr>
            <w:r>
              <w:rPr>
                <w:rFonts w:ascii="Arial" w:cs="Arial" w:eastAsia="Arial" w:hAnsi="Arial"/>
                <w:sz w:val="13"/>
                <w:szCs w:val="13"/>
                <w:color w:val="auto"/>
              </w:rPr>
              <w:t>1,301</w:t>
            </w:r>
          </w:p>
        </w:tc>
        <w:tc>
          <w:tcPr>
            <w:tcW w:w="1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24,150</w:t>
            </w:r>
          </w:p>
        </w:tc>
        <w:tc>
          <w:tcPr>
            <w:tcW w:w="1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22,849</w:t>
            </w: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Income (loss) from operations</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w:t>
            </w:r>
          </w:p>
        </w:tc>
        <w:tc>
          <w:tcPr>
            <w:tcW w:w="1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3,291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2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57"/>
        </w:trPr>
        <w:tc>
          <w:tcPr>
            <w:tcW w:w="4120" w:type="dxa"/>
            <w:vAlign w:val="bottom"/>
            <w:gridSpan w:val="2"/>
          </w:tcPr>
          <w:p>
            <w:pPr>
              <w:ind w:left="140"/>
              <w:spacing w:after="0"/>
              <w:rPr>
                <w:sz w:val="20"/>
                <w:szCs w:val="20"/>
                <w:color w:val="auto"/>
              </w:rPr>
            </w:pPr>
            <w:r>
              <w:rPr>
                <w:rFonts w:ascii="Arial" w:cs="Arial" w:eastAsia="Arial" w:hAnsi="Arial"/>
                <w:sz w:val="13"/>
                <w:szCs w:val="13"/>
                <w:color w:val="auto"/>
              </w:rPr>
              <w:t>Interest income</w:t>
            </w:r>
          </w:p>
        </w:tc>
        <w:tc>
          <w:tcPr>
            <w:tcW w:w="24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191"/>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income (expense)</w:t>
            </w:r>
          </w:p>
        </w:tc>
        <w:tc>
          <w:tcPr>
            <w:tcW w:w="2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(358)</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(386)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other expense, net</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ind w:right="208"/>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(628)</w:t>
            </w:r>
          </w:p>
        </w:tc>
        <w:tc>
          <w:tcPr>
            <w:tcW w:w="1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(391)</w:t>
            </w: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 income (loss)</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3"/>
                <w:szCs w:val="13"/>
                <w:color w:val="auto"/>
              </w:rPr>
              <w:t>3.1</w:t>
            </w: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ind w:right="248"/>
              <w:spacing w:after="0"/>
              <w:rPr>
                <w:sz w:val="20"/>
                <w:szCs w:val="20"/>
                <w:color w:val="auto"/>
              </w:rPr>
            </w:pPr>
            <w:r>
              <w:rPr>
                <w:rFonts w:ascii="Arial" w:cs="Arial" w:eastAsia="Arial" w:hAnsi="Arial"/>
                <w:sz w:val="13"/>
                <w:szCs w:val="13"/>
                <w:color w:val="auto"/>
              </w:rPr>
              <w:t>3,057</w:t>
            </w:r>
          </w:p>
        </w:tc>
        <w:tc>
          <w:tcPr>
            <w:tcW w:w="100" w:type="dxa"/>
            <w:vAlign w:val="bottom"/>
          </w:tcPr>
          <w:p>
            <w:pPr>
              <w:spacing w:after="0" w:line="20" w:lineRule="exact"/>
              <w:rPr>
                <w:sz w:val="1"/>
                <w:szCs w:val="1"/>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4120" w:type="dxa"/>
            <w:vAlign w:val="bottom"/>
            <w:gridSpan w:val="2"/>
            <w:vMerge w:val="continue"/>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1,162</w:t>
            </w:r>
          </w:p>
        </w:tc>
        <w:tc>
          <w:tcPr>
            <w:tcW w:w="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(1,895)</w:t>
            </w: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Due to rounding, totals may not equal the sum of the line items in the table above.</w:t>
      </w:r>
    </w:p>
    <w:p>
      <w:pPr>
        <w:spacing w:after="0" w:line="47" w:lineRule="exact"/>
        <w:rPr>
          <w:sz w:val="20"/>
          <w:szCs w:val="20"/>
          <w:color w:val="auto"/>
        </w:rPr>
      </w:pPr>
    </w:p>
    <w:p>
      <w:pPr>
        <w:ind w:left="900" w:hanging="213"/>
        <w:spacing w:after="0"/>
        <w:tabs>
          <w:tab w:leader="none" w:pos="9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Percentage is not meaningful.</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Revenues. </w:t>
      </w:r>
      <w:r>
        <w:rPr>
          <w:rFonts w:ascii="Arial" w:cs="Arial" w:eastAsia="Arial" w:hAnsi="Arial"/>
          <w:sz w:val="12"/>
          <w:szCs w:val="12"/>
          <w:color w:val="auto"/>
        </w:rPr>
        <w:t>Revenues for 2009 increased $7.0 million, or 23%, to $37.7 million from $30.7 million for 2008. The increase in revenues resulted primarily from a 9%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recurring revenue customers to 11,003 from 10,076 as well as a 10% increase in average recurring revenues per recurring revenue customer to $2,879 from $2,622. The increase in average recurring revenues per recurring revenue customer was primarily attributable to increased fees resulting from increased usage of our solutions by our recurring revenue customers. In addition, $1.2 million of the increase in revenues was due to higher testing and certification revenues due to a greater number of enablement campaigns for 2009. In 2009, we had our highest level of revenues from Trading Partner Enablement due to significant increased demand for enablement from our retailers in the year.</w:t>
      </w:r>
    </w:p>
    <w:p>
      <w:pPr>
        <w:spacing w:after="0" w:line="55"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Cost of Revenues. </w:t>
      </w:r>
      <w:r>
        <w:rPr>
          <w:rFonts w:ascii="Arial" w:cs="Arial" w:eastAsia="Arial" w:hAnsi="Arial"/>
          <w:sz w:val="12"/>
          <w:szCs w:val="12"/>
          <w:color w:val="auto"/>
        </w:rPr>
        <w:t>Cost of revenues for 2009 increased $2.4 million, or 27%, to $11.7 million from $9.3 million for 2008. Of the increase in costs, approximately $2.1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resulted from an increase in personnel costs, which was primarily attributable to the additional employees we hired for our implementation groups and customer support team. The remaining $300,000 increase was primarily due to higher costs of network services and depreciation. As a percentage of revenues, cost of revenues was 31% for 2009 compared to 30% for 2008.</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Sales and Marketing Expenses. </w:t>
      </w:r>
      <w:r>
        <w:rPr>
          <w:rFonts w:ascii="Arial" w:cs="Arial" w:eastAsia="Arial" w:hAnsi="Arial"/>
          <w:sz w:val="13"/>
          <w:szCs w:val="13"/>
          <w:color w:val="auto"/>
        </w:rPr>
        <w:t>Sales and marketing expenses for 2009 increased $1.0 million, or 8%, to $13.5 million from $12.5 million for 2008. The increase in the dollar amount</w:t>
      </w:r>
      <w:r>
        <w:rPr>
          <w:rFonts w:ascii="Arial" w:cs="Arial" w:eastAsia="Arial" w:hAnsi="Arial"/>
          <w:sz w:val="13"/>
          <w:szCs w:val="13"/>
          <w:i w:val="1"/>
          <w:iCs w:val="1"/>
          <w:color w:val="auto"/>
        </w:rPr>
        <w:t xml:space="preserve"> </w:t>
      </w:r>
      <w:r>
        <w:rPr>
          <w:rFonts w:ascii="Arial" w:cs="Arial" w:eastAsia="Arial" w:hAnsi="Arial"/>
          <w:sz w:val="13"/>
          <w:szCs w:val="13"/>
          <w:color w:val="auto"/>
        </w:rPr>
        <w:t>is due to higher commissions earned by sales personnel from new business. As a percentage of revenues, sales and marketing expenses were 36% for 2009 compared to 41% for 2008. Increased revenues for 2009 compared to 2008 allowed us to leverage our fixed sales and marketing expenses and caused the decrease in sales and marketing expenses as a percentage of revenues.</w:t>
      </w:r>
    </w:p>
    <w:p>
      <w:pPr>
        <w:spacing w:after="0" w:line="70"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Research and development expenses for 2009 increased $665,000, or 18%, to $4.3 million from $3.6 million for 2008. The increase in the</w:t>
      </w:r>
      <w:r>
        <w:rPr>
          <w:rFonts w:ascii="Arial" w:cs="Arial" w:eastAsia="Arial" w:hAnsi="Arial"/>
          <w:sz w:val="13"/>
          <w:szCs w:val="13"/>
          <w:i w:val="1"/>
          <w:iCs w:val="1"/>
          <w:color w:val="auto"/>
        </w:rPr>
        <w:t xml:space="preserve"> </w:t>
      </w:r>
      <w:r>
        <w:rPr>
          <w:rFonts w:ascii="Arial" w:cs="Arial" w:eastAsia="Arial" w:hAnsi="Arial"/>
          <w:sz w:val="13"/>
          <w:szCs w:val="13"/>
          <w:color w:val="auto"/>
        </w:rPr>
        <w:t>dollar amount was primarily related to increased personnel costs of $502,000 due to increased salaries and wages for 2009 as well as costs for employees added during 2009. We also had additional consulting fees of $147,000 during 2009 compared to 2008, as consultants supplemented development work on new solutions. As a percentage of revenues, research and development expenses were 11% for 2009 compared to 12% for 2008.</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General and administrative expenses for 2009 decreased $377,000, or 6%, to $6.3 million from $6.7 million for 2008.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general and administrative expenses were 17% for 2009 compared to 22% for 2008. In February 2009, the subscriber relationships from our 2006 Owens Direct acquisition became fully amortized, causing a decrease in amortization costs included in general and administrative expenses for the remainder of 2009 and driving the decrease in general and administrative expenses in absolute dollars and as a percentage of revenues.</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Other Income (Expense). </w:t>
      </w:r>
      <w:r>
        <w:rPr>
          <w:rFonts w:ascii="Arial" w:cs="Arial" w:eastAsia="Arial" w:hAnsi="Arial"/>
          <w:sz w:val="13"/>
          <w:szCs w:val="13"/>
          <w:color w:val="auto"/>
        </w:rPr>
        <w:t>Interest expense for 2009 decreased $149,000, or 36%, to $270,000 from $419,000 for 2008. The decrease in interest expense is principally due to reduced</w:t>
      </w:r>
      <w:r>
        <w:rPr>
          <w:rFonts w:ascii="Arial" w:cs="Arial" w:eastAsia="Arial" w:hAnsi="Arial"/>
          <w:sz w:val="13"/>
          <w:szCs w:val="13"/>
          <w:i w:val="1"/>
          <w:iCs w:val="1"/>
          <w:color w:val="auto"/>
        </w:rPr>
        <w:t xml:space="preserve"> </w:t>
      </w:r>
      <w:r>
        <w:rPr>
          <w:rFonts w:ascii="Arial" w:cs="Arial" w:eastAsia="Arial" w:hAnsi="Arial"/>
          <w:sz w:val="13"/>
          <w:szCs w:val="13"/>
          <w:color w:val="auto"/>
        </w:rPr>
        <w:t>equipment borrowings. Other expense for 2009 was $358,000 compared to other income of $28,000 for 2008. The other income (expense) change was driven by updating the value of preferred stock warrants we issued to fair market value using the Black-Scholes method.</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Adjusted EBITDA. </w:t>
      </w:r>
      <w:r>
        <w:rPr>
          <w:rFonts w:ascii="Arial" w:cs="Arial" w:eastAsia="Arial" w:hAnsi="Arial"/>
          <w:sz w:val="13"/>
          <w:szCs w:val="13"/>
          <w:color w:val="auto"/>
        </w:rPr>
        <w:t>Adjusted EBITDA, which is a non-GAAP measure of financial performance, consists of net income (loss) plus depreciation and amortization, interest expense,</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reconciliation of net income (loss) to Adjusted EBITDA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Year Ended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1,455</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1,988</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2,978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3,206</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30"/>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Non-GAAP Net Income per Share. </w:t>
      </w:r>
      <w:r>
        <w:rPr>
          <w:rFonts w:ascii="Arial" w:cs="Arial" w:eastAsia="Arial" w:hAnsi="Arial"/>
          <w:sz w:val="12"/>
          <w:szCs w:val="12"/>
          <w:color w:val="auto"/>
        </w:rPr>
        <w:t>Non-GAAP net income (loss) per share, which is also a non-GAAP measure of financial performance, consists of net income (loss) plus non-cash,</w:t>
      </w:r>
      <w:r>
        <w:rPr>
          <w:rFonts w:ascii="Arial" w:cs="Arial" w:eastAsia="Arial" w:hAnsi="Arial"/>
          <w:sz w:val="12"/>
          <w:szCs w:val="12"/>
          <w:i w:val="1"/>
          <w:iCs w:val="1"/>
          <w:color w:val="auto"/>
        </w:rPr>
        <w:t xml:space="preserve"> </w:t>
      </w:r>
      <w:r>
        <w:rPr>
          <w:rFonts w:ascii="Arial" w:cs="Arial" w:eastAsia="Arial" w:hAnsi="Arial"/>
          <w:sz w:val="12"/>
          <w:szCs w:val="12"/>
          <w:color w:val="auto"/>
        </w:rPr>
        <w:t>stock-based compensation expense and amortization expense related to intangible assets divided by the weighted average number of shares of common stock outstanding during each period. We believe non-GAAP net income (loss) per share is useful to an investor because it is widely used to measure a company’s operating performance.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reconciliation of net income (loss) to non-GAAP net income (loss) per share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Year Ended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228</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140"/>
              <w:spacing w:after="0"/>
              <w:rPr>
                <w:sz w:val="20"/>
                <w:szCs w:val="20"/>
                <w:color w:val="auto"/>
              </w:rPr>
            </w:pPr>
            <w:r>
              <w:rPr>
                <w:rFonts w:ascii="Arial" w:cs="Arial" w:eastAsia="Arial" w:hAnsi="Arial"/>
                <w:sz w:val="13"/>
                <w:szCs w:val="13"/>
                <w:color w:val="auto"/>
              </w:rPr>
              <w:t>Non-GAAP net income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1,545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65"/>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 (loss) per share</w:t>
            </w: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Shares used to compute non-GAAP net income (loss) per share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5"/>
        </w:trPr>
        <w:tc>
          <w:tcPr>
            <w:tcW w:w="84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9,268</w:t>
            </w:r>
          </w:p>
        </w:tc>
        <w:tc>
          <w:tcPr>
            <w:tcW w:w="1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Since inception, we have financed our operations primarily through the sale of preferred stock, borrowings under credit facilities and, prior to 2004, issuances of notes payable to stockholders. At December 31, 2010, our principal sources of liquidity were cash and cash equivalents totaling $40.5 million and accounts receivable, net of allowance for doubtful accounts, of $5.6 million compared to cash and cash equivalents of $5.9 million and accounts receivable, net of allowance for doubtful accounts, of $4.8 million at December 31, 2009. Our working capital as of December 31, 2010 was $42.6 million compared to working capital of $5.0 million as of December 31, 2009. We bill our recurring revenue customers in arrears for monthly service fees and initial integration set-up fees. As a result, the amount of our accounts receivable at the end of a period is driven significantly by our revenues from recurring revenue customers for the last month of the period, and our cash flows from operations are affected by our collection of amounts due from customers for services that resulted in the recognition of revenues in a prior period.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increase in working capital from December 31, 2009 to December 31, 2010 resulted primarily from the following:</w:t>
      </w:r>
    </w:p>
    <w:p>
      <w:pPr>
        <w:spacing w:after="0" w:line="96"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$34.5 million increase in cash and cash equivalents, primarily representing the net proceeds from our initial public and secondary stock offerings in April and December 2010;</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$800,000 increase in net accounts receivable, due to new business in 2010;</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$600,000 increase in deferred costs, current for expenses related to increased implementation resources and commission payments for new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$600,000 decrease in prepaid expenses and other current assets, as prepaid expenses related to our initial public offering were recognized;</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$300,000 decrease in accounts payable, and $400,000 decrease in accrued expenses and other current liabilities, as payments were made on invoices and accruals related to our initial public offering;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$600,000 increase in accrued compensation and benefits, due primarily to increased salary and bonus accruals;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$200,000 increase in current deferred revenue, due to new business in 2010;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$2.2 million decrease in the current portion of long-term debt and line of credit, as amounts were repaid with proceeds from our initial public offering.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Flows from Operating Activities</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Net cash provided by operating activities was $4.9 million for 2010 compared to $5.2 million for 2009. The approximate $1.7 million increase in net income was more than offset by the changes in non-cash expenses, including depreciation, amortization, and stock-based compensation, and the changes in working capital accounts as discussed above.</w:t>
      </w:r>
    </w:p>
    <w:p>
      <w:pPr>
        <w:spacing w:after="0" w:line="3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Net cash provided by operating activities was $5.2 million for 2009 compared to net cash used in operating activities of $807,000 for 2008. For 2009, net cash provided by operating activities was primarily a result of $1.2 million of net income, non-cash depreciation and amortization of $1.5 million, a $1.1 million increase in accrued compensation for bonuses in 2009 compared to 2008 due to our improved performance in 2009, and an $844,000 increase in deferred revenue. Increases in deferred revenue are due to continued growth in new business, offset by the recognition of setup revenue recognized ratably over time.</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For 2008, net cash used in operating activities was primarily a result of a $1.9 million net loss, offset by $2.0 million in non-cash depreciation and amortization expense, an increase in accounts receivable of $811,000 due to business growth and an increase in deferred costs of $1.7 million primarily related to increased personnel costs associated with our increased implementations in the period, offset by increased deferred revenue from growth in new business of $1.5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Flows from Investing Activities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2010 and 2009, net cash used in investing activities was $1.8 million and $1.0 million, respectively, all for capital expenditures. Capital expenditures in 2010 included a significant purchase of middleware and database licenses. In general, our various capital expenditures are for supporting our existing customer base, growth in new business, and internal use such as equipment for our employees.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provided by investing for 2008 was $379,000, consisting of the sale of short-term investments of $1.3 million, partially offset by $884,000 in capital expenditures.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Flows from Financing Activities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Net cash provided by financing activities was $31.4 million for 2010, representing the approximate $34.0 million of net proceeds from our initial and secondary public offerings slightly offset by $2.6 million of net repayments on our outstanding indebtedness.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Net cash used in financing activities was $1.9 million for 2009. We used these funds to pay $1.3 million in equipment loans and capital lease obligations and to pay $679,000 toward the term loan from our Owens Direct acquisition.</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For 2008, net cash used in financing activities was $711,000. We used these funds primarily to pay capital lease obligations as well as to pay a portion of the term loan from our Owens Direct acquisition.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Facility</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terminated our previous credit facility with BlueCrest Venture Finance Master Fund Limited effective March 31, 2010, such that no new borrowings will be made and all related outstanding indebtedness was repaid during the quarter ended June 30, 2010. We are currently reviewing our future needs for a credit facility.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Adequacy of Capital Resources</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Our future capital requirements may vary materially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and the response of competitors to our solutions and applications. Historically, we have experienced increases in our expenditures consistent with the growth in our operations and personnel, and we anticipate that our expenditures will continue to increase as we grow our business.</w:t>
      </w:r>
    </w:p>
    <w:p>
      <w:pPr>
        <w:spacing w:after="0" w:line="5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our cash and cash equivalents and cash flows from our operations will be sufficient to meet our working capital and capital expenditure requirements for at least the next twelve months.</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do not have any off-balance sheet arrangements, investments in special purpose entities or undisclosed borrowings or debt. Additionally, we are not a party to any derivative contracts or synthetic leases.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and Commercial Commitment Summary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contractual obligations and commercial commitments as of December 31, 2010 are summarized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0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right"/>
              <w:ind w:right="240"/>
              <w:spacing w:after="0" w:line="91" w:lineRule="exact"/>
              <w:rPr>
                <w:sz w:val="20"/>
                <w:szCs w:val="20"/>
                <w:color w:val="auto"/>
              </w:rPr>
            </w:pPr>
            <w:r>
              <w:rPr>
                <w:rFonts w:ascii="Arial" w:cs="Arial" w:eastAsia="Arial" w:hAnsi="Arial"/>
                <w:sz w:val="10"/>
                <w:szCs w:val="10"/>
                <w:b w:val="1"/>
                <w:bCs w:val="1"/>
                <w:color w:val="auto"/>
                <w:w w:val="96"/>
              </w:rPr>
              <w:t>Less Than</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jc w:val="center"/>
              <w:ind w:right="60"/>
              <w:spacing w:after="0" w:line="91" w:lineRule="exact"/>
              <w:rPr>
                <w:sz w:val="20"/>
                <w:szCs w:val="20"/>
                <w:color w:val="auto"/>
              </w:rPr>
            </w:pPr>
            <w:r>
              <w:rPr>
                <w:rFonts w:ascii="Arial" w:cs="Arial" w:eastAsia="Arial" w:hAnsi="Arial"/>
                <w:sz w:val="10"/>
                <w:szCs w:val="10"/>
                <w:b w:val="1"/>
                <w:bCs w:val="1"/>
                <w:color w:val="auto"/>
                <w:w w:val="96"/>
              </w:rPr>
              <w:t>1-3</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jc w:val="right"/>
              <w:ind w:right="18"/>
              <w:spacing w:after="0" w:line="91" w:lineRule="exact"/>
              <w:rPr>
                <w:sz w:val="20"/>
                <w:szCs w:val="20"/>
                <w:color w:val="auto"/>
              </w:rPr>
            </w:pPr>
            <w:r>
              <w:rPr>
                <w:rFonts w:ascii="Arial" w:cs="Arial" w:eastAsia="Arial" w:hAnsi="Arial"/>
                <w:sz w:val="10"/>
                <w:szCs w:val="10"/>
                <w:b w:val="1"/>
                <w:bCs w:val="1"/>
                <w:color w:val="auto"/>
                <w:w w:val="82"/>
              </w:rPr>
              <w:t>3-5</w:t>
            </w: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center"/>
              <w:ind w:right="40"/>
              <w:spacing w:after="0" w:line="91" w:lineRule="exact"/>
              <w:rPr>
                <w:sz w:val="20"/>
                <w:szCs w:val="20"/>
                <w:color w:val="auto"/>
              </w:rPr>
            </w:pPr>
            <w:r>
              <w:rPr>
                <w:rFonts w:ascii="Arial" w:cs="Arial" w:eastAsia="Arial" w:hAnsi="Arial"/>
                <w:sz w:val="10"/>
                <w:szCs w:val="10"/>
                <w:b w:val="1"/>
                <w:bCs w:val="1"/>
                <w:color w:val="auto"/>
                <w:w w:val="98"/>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1 Year</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Years</w:t>
            </w:r>
          </w:p>
        </w:tc>
        <w:tc>
          <w:tcPr>
            <w:tcW w:w="6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5"/>
              </w:rPr>
              <w:t>Years</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1,916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920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996</w:t>
            </w:r>
          </w:p>
        </w:tc>
        <w:tc>
          <w:tcPr>
            <w:tcW w:w="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long-term liabilities(1)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7,178</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1,042</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996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Consists of the long-term portion of deferred revenues and deferred tax liability.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size and breadth of our customer base mitigates the seasonality of any particular retailer. As a result, our results of operations are not materially affected by seasonality.</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In October 2009, the FASB issued ASU No. 2009-13, </w:t>
      </w:r>
      <w:r>
        <w:rPr>
          <w:rFonts w:ascii="Arial" w:cs="Arial" w:eastAsia="Arial" w:hAnsi="Arial"/>
          <w:sz w:val="13"/>
          <w:szCs w:val="13"/>
          <w:i w:val="1"/>
          <w:iCs w:val="1"/>
          <w:color w:val="auto"/>
        </w:rPr>
        <w:t>Revenue Recognition (ASC Topic 605), Multiple-Deliverable Revenue Arrangements, a consensus of the FASB Emerging Issues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Task Force. </w:t>
      </w:r>
      <w:r>
        <w:rPr>
          <w:rFonts w:ascii="Arial" w:cs="Arial" w:eastAsia="Arial" w:hAnsi="Arial"/>
          <w:sz w:val="13"/>
          <w:szCs w:val="13"/>
          <w:color w:val="auto"/>
        </w:rPr>
        <w:t>This guidance modifies the fair value requirements of ASC subtopic 605-25,</w:t>
      </w:r>
      <w:r>
        <w:rPr>
          <w:rFonts w:ascii="Arial" w:cs="Arial" w:eastAsia="Arial" w:hAnsi="Arial"/>
          <w:sz w:val="13"/>
          <w:szCs w:val="13"/>
          <w:i w:val="1"/>
          <w:iCs w:val="1"/>
          <w:color w:val="auto"/>
        </w:rPr>
        <w:t xml:space="preserve"> Revenue Recognition-Multiple Element Arrangements, </w:t>
      </w:r>
      <w:r>
        <w:rPr>
          <w:rFonts w:ascii="Arial" w:cs="Arial" w:eastAsia="Arial" w:hAnsi="Arial"/>
          <w:sz w:val="13"/>
          <w:szCs w:val="13"/>
          <w:color w:val="auto"/>
        </w:rPr>
        <w:t>by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allowing the use of the “best estimate of selling price” in addition to Vendor Objective Evidence (now referred to as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In October 2009, the FASB issued ASU No. 2009-14, </w:t>
      </w:r>
      <w:r>
        <w:rPr>
          <w:rFonts w:ascii="Arial" w:cs="Arial" w:eastAsia="Arial" w:hAnsi="Arial"/>
          <w:sz w:val="13"/>
          <w:szCs w:val="13"/>
          <w:i w:val="1"/>
          <w:iCs w:val="1"/>
          <w:color w:val="auto"/>
        </w:rPr>
        <w:t>Software (ASC Topic 985), Certain Revenue Arrangements That Include Software Elements, a consensus of the FASB Emerging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Issues Task Force. </w:t>
      </w:r>
      <w:r>
        <w:rPr>
          <w:rFonts w:ascii="Arial" w:cs="Arial" w:eastAsia="Arial" w:hAnsi="Arial"/>
          <w:sz w:val="13"/>
          <w:szCs w:val="13"/>
          <w:color w:val="auto"/>
        </w:rPr>
        <w:t>This guidance modifies the scope of ASC subtopic 965-605,</w:t>
      </w:r>
      <w:r>
        <w:rPr>
          <w:rFonts w:ascii="Arial" w:cs="Arial" w:eastAsia="Arial" w:hAnsi="Arial"/>
          <w:sz w:val="13"/>
          <w:szCs w:val="13"/>
          <w:i w:val="1"/>
          <w:iCs w:val="1"/>
          <w:color w:val="auto"/>
        </w:rPr>
        <w:t xml:space="preserve"> Software-Revenue Recognition, </w:t>
      </w:r>
      <w:r>
        <w:rPr>
          <w:rFonts w:ascii="Arial" w:cs="Arial" w:eastAsia="Arial" w:hAnsi="Arial"/>
          <w:sz w:val="13"/>
          <w:szCs w:val="13"/>
          <w:color w:val="auto"/>
        </w:rPr>
        <w:t>to exclude from its requirements (a) non-software components of tangible</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ASU No. 2009-13 and ASU No. 2009-14 both require expanded qualitative and quantitative disclosures and are effective for fiscal years beginning on or after June 15, 2010. However, companies may elect to adopt the updated requirements as early as interim periods ended September 30, 2009. These updates may be applied either prospectively from the beginning of the fiscal year for new or materially modified arrangements or retrospectively. We do not expect the impact of adopting these updates to have a material impact on our financial statements.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In January 2010, the FASB issued ASU No. 2010-06, Fair Value Measurements and Disclosures (ASC Topic 820), </w:t>
      </w:r>
      <w:r>
        <w:rPr>
          <w:rFonts w:ascii="Arial" w:cs="Arial" w:eastAsia="Arial" w:hAnsi="Arial"/>
          <w:sz w:val="13"/>
          <w:szCs w:val="13"/>
          <w:i w:val="1"/>
          <w:iCs w:val="1"/>
          <w:color w:val="auto"/>
        </w:rPr>
        <w:t>Improving Disclosures about Fair Value Measurements</w:t>
      </w:r>
      <w:r>
        <w:rPr>
          <w:rFonts w:ascii="Arial" w:cs="Arial" w:eastAsia="Arial" w:hAnsi="Arial"/>
          <w:sz w:val="13"/>
          <w:szCs w:val="13"/>
          <w:color w:val="auto"/>
        </w:rPr>
        <w:t>. ASU No. 2010-06 enhanced the disclosure requirements to include transfers in and out of Level 1 and 2 and the associated reasons. This update was effective for fiscal years beginning on or after December 15, 2009 and did not have a material impact on the financial statements. ASU No. 2010-06 also requires the disclosure of a disaggregated gross reconciliation of Level 3 fair value measurements, which is effective for fiscal years beginning on or after December 15, 2010. We do not expect the adoption of this portion of the update to have a material impact on our financial statements.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In July 2010, the FASB issued ASU No. 2010-20, Receivables (ASC Topic 310), </w:t>
      </w:r>
      <w:r>
        <w:rPr>
          <w:rFonts w:ascii="Arial" w:cs="Arial" w:eastAsia="Arial" w:hAnsi="Arial"/>
          <w:sz w:val="13"/>
          <w:szCs w:val="13"/>
          <w:i w:val="1"/>
          <w:iCs w:val="1"/>
          <w:color w:val="auto"/>
        </w:rPr>
        <w:t>Disclosures about the Credit Quality of Financing Receivables and the Allowance for Credit Losses</w:t>
      </w:r>
      <w:r>
        <w:rPr>
          <w:rFonts w:ascii="Arial" w:cs="Arial" w:eastAsia="Arial" w:hAnsi="Arial"/>
          <w:sz w:val="13"/>
          <w:szCs w:val="13"/>
          <w:color w:val="auto"/>
        </w:rPr>
        <w:t>. ASU No. 2010-20 enhances the disclosure requirements about the credit quality and related allowance for credit losses of financing receivables. We will be required to disclose the nature of the inherent risk of receivables, the methodology and analytics that support that assessment, and support any changes to the allowance for doubtful accounts. We will also be required to provide a rollforward of the allowance and disclose the accounts receivable on a disaggregated basis. This update is effective for fiscal years beginning on or after December 15, 2010, and we do not expect this change to have a material impact on our financial statements.</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Interest Rate Sensitivity Risk. </w:t>
      </w:r>
      <w:r>
        <w:rPr>
          <w:rFonts w:ascii="Arial" w:cs="Arial" w:eastAsia="Arial" w:hAnsi="Arial"/>
          <w:sz w:val="12"/>
          <w:szCs w:val="12"/>
          <w:color w:val="auto"/>
        </w:rPr>
        <w:t>For fixed rate debt, interest rate changes affect the fair value of financial instruments but do not impact earnings or cash flows. Conversely, for floating</w:t>
      </w:r>
      <w:r>
        <w:rPr>
          <w:rFonts w:ascii="Arial" w:cs="Arial" w:eastAsia="Arial" w:hAnsi="Arial"/>
          <w:sz w:val="12"/>
          <w:szCs w:val="12"/>
          <w:i w:val="1"/>
          <w:iCs w:val="1"/>
          <w:color w:val="auto"/>
        </w:rPr>
        <w:t xml:space="preserve"> </w:t>
      </w:r>
      <w:r>
        <w:rPr>
          <w:rFonts w:ascii="Arial" w:cs="Arial" w:eastAsia="Arial" w:hAnsi="Arial"/>
          <w:sz w:val="12"/>
          <w:szCs w:val="12"/>
          <w:color w:val="auto"/>
        </w:rPr>
        <w:t>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Due to the nature of our short-term investments, we have concluded that we do not have material market risk exposure. All of our outstanding debt as of December 31, 2009 and 2010 had a fixed rate. We therefore do not have any material risk to interest rate fluctuations.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Foreign Currency Exchange Risk. </w:t>
      </w:r>
      <w:r>
        <w:rPr>
          <w:rFonts w:ascii="Arial" w:cs="Arial" w:eastAsia="Arial" w:hAnsi="Arial"/>
          <w:sz w:val="13"/>
          <w:szCs w:val="13"/>
          <w:color w:val="auto"/>
        </w:rPr>
        <w:t>Our results of operations and cash flows are not materially affected by fluctuations in foreign currency exchange rates.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382"/>
        </w:trPr>
        <w:tc>
          <w:tcPr>
            <w:tcW w:w="1280" w:type="dxa"/>
            <w:vAlign w:val="bottom"/>
            <w:gridSpan w:val="3"/>
          </w:tcPr>
          <w:p>
            <w:pPr>
              <w:ind w:left="680"/>
              <w:spacing w:after="0"/>
              <w:rPr>
                <w:sz w:val="20"/>
                <w:szCs w:val="20"/>
                <w:color w:val="auto"/>
              </w:rPr>
            </w:pPr>
            <w:r>
              <w:rPr>
                <w:rFonts w:ascii="Arial" w:cs="Arial" w:eastAsia="Arial" w:hAnsi="Arial"/>
                <w:sz w:val="13"/>
                <w:szCs w:val="13"/>
                <w:b w:val="1"/>
                <w:bCs w:val="1"/>
                <w:color w:val="auto"/>
              </w:rPr>
              <w:t>Item 8.</w:t>
            </w:r>
          </w:p>
        </w:tc>
        <w:tc>
          <w:tcPr>
            <w:tcW w:w="704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140" w:type="dxa"/>
            <w:vAlign w:val="bottom"/>
          </w:tcPr>
          <w:p>
            <w:pPr>
              <w:spacing w:after="0"/>
              <w:rPr>
                <w:sz w:val="24"/>
                <w:szCs w:val="24"/>
                <w:color w:val="auto"/>
              </w:rPr>
            </w:pPr>
          </w:p>
        </w:tc>
      </w:tr>
      <w:tr>
        <w:trPr>
          <w:trHeight w:val="327"/>
        </w:trPr>
        <w:tc>
          <w:tcPr>
            <w:tcW w:w="680" w:type="dxa"/>
            <w:vAlign w:val="bottom"/>
          </w:tcPr>
          <w:p>
            <w:pPr>
              <w:spacing w:after="0"/>
              <w:rPr>
                <w:sz w:val="24"/>
                <w:szCs w:val="24"/>
                <w:color w:val="auto"/>
              </w:rPr>
            </w:pPr>
          </w:p>
        </w:tc>
        <w:tc>
          <w:tcPr>
            <w:tcW w:w="7640" w:type="dxa"/>
            <w:vAlign w:val="bottom"/>
            <w:gridSpan w:val="9"/>
          </w:tcPr>
          <w:p>
            <w:pPr>
              <w:spacing w:after="0"/>
              <w:rPr>
                <w:sz w:val="20"/>
                <w:szCs w:val="20"/>
                <w:color w:val="auto"/>
              </w:rPr>
            </w:pPr>
            <w:r>
              <w:rPr>
                <w:rFonts w:ascii="Arial" w:cs="Arial" w:eastAsia="Arial" w:hAnsi="Arial"/>
                <w:sz w:val="13"/>
                <w:szCs w:val="13"/>
                <w:b w:val="1"/>
                <w:bCs w:val="1"/>
                <w:color w:val="auto"/>
              </w:rPr>
              <w:t>SPS Commerce, Inc. Consolidated Financial Statements</w:t>
            </w:r>
          </w:p>
        </w:tc>
        <w:tc>
          <w:tcPr>
            <w:tcW w:w="3140" w:type="dxa"/>
            <w:vAlign w:val="bottom"/>
          </w:tcPr>
          <w:p>
            <w:pPr>
              <w:spacing w:after="0"/>
              <w:rPr>
                <w:sz w:val="24"/>
                <w:szCs w:val="24"/>
                <w:color w:val="auto"/>
              </w:rPr>
            </w:pPr>
          </w:p>
        </w:tc>
      </w:tr>
      <w:tr>
        <w:trPr>
          <w:trHeight w:val="137"/>
        </w:trPr>
        <w:tc>
          <w:tcPr>
            <w:tcW w:w="680" w:type="dxa"/>
            <w:vAlign w:val="bottom"/>
          </w:tcPr>
          <w:p>
            <w:pPr>
              <w:spacing w:after="0"/>
              <w:rPr>
                <w:sz w:val="11"/>
                <w:szCs w:val="11"/>
                <w:color w:val="auto"/>
              </w:rPr>
            </w:pPr>
          </w:p>
        </w:tc>
        <w:tc>
          <w:tcPr>
            <w:tcW w:w="3080" w:type="dxa"/>
            <w:vAlign w:val="bottom"/>
            <w:tcBorders>
              <w:bottom w:val="single" w:sz="8" w:color="0000EE"/>
            </w:tcBorders>
            <w:gridSpan w:val="7"/>
          </w:tcPr>
          <w:p>
            <w:pPr>
              <w:spacing w:after="0" w:line="137" w:lineRule="exact"/>
              <w:rPr>
                <w:rFonts w:ascii="Arial" w:cs="Arial" w:eastAsia="Arial" w:hAnsi="Arial"/>
                <w:sz w:val="13"/>
                <w:szCs w:val="13"/>
                <w:color w:val="0000EE"/>
                <w:w w:val="92"/>
              </w:rPr>
            </w:pPr>
            <w:hyperlink w:anchor="page42">
              <w:r>
                <w:rPr>
                  <w:rFonts w:ascii="Arial" w:cs="Arial" w:eastAsia="Arial" w:hAnsi="Arial"/>
                  <w:sz w:val="13"/>
                  <w:szCs w:val="13"/>
                  <w:color w:val="0000EE"/>
                  <w:w w:val="92"/>
                </w:rPr>
                <w:t>Report of Independent Registered Public Accounting Firm</w:t>
              </w:r>
            </w:hyperlink>
          </w:p>
        </w:tc>
        <w:tc>
          <w:tcPr>
            <w:tcW w:w="4560" w:type="dxa"/>
            <w:vAlign w:val="bottom"/>
            <w:gridSpan w:val="2"/>
          </w:tcPr>
          <w:p>
            <w:pPr>
              <w:spacing w:after="0"/>
              <w:rPr>
                <w:sz w:val="11"/>
                <w:szCs w:val="11"/>
                <w:color w:val="auto"/>
              </w:rPr>
            </w:pPr>
          </w:p>
        </w:tc>
        <w:tc>
          <w:tcPr>
            <w:tcW w:w="3140" w:type="dxa"/>
            <w:vAlign w:val="bottom"/>
          </w:tcPr>
          <w:p>
            <w:pPr>
              <w:jc w:val="right"/>
              <w:ind w:right="774"/>
              <w:spacing w:after="0" w:line="137" w:lineRule="exact"/>
              <w:rPr>
                <w:sz w:val="20"/>
                <w:szCs w:val="20"/>
                <w:color w:val="auto"/>
              </w:rPr>
            </w:pPr>
            <w:r>
              <w:rPr>
                <w:rFonts w:ascii="Arial" w:cs="Arial" w:eastAsia="Arial" w:hAnsi="Arial"/>
                <w:sz w:val="13"/>
                <w:szCs w:val="13"/>
                <w:color w:val="auto"/>
              </w:rPr>
              <w:t>41</w:t>
            </w:r>
          </w:p>
        </w:tc>
      </w:tr>
      <w:tr>
        <w:trPr>
          <w:trHeight w:val="137"/>
        </w:trPr>
        <w:tc>
          <w:tcPr>
            <w:tcW w:w="680" w:type="dxa"/>
            <w:vAlign w:val="bottom"/>
          </w:tcPr>
          <w:p>
            <w:pPr>
              <w:spacing w:after="0"/>
              <w:rPr>
                <w:sz w:val="11"/>
                <w:szCs w:val="11"/>
                <w:color w:val="auto"/>
              </w:rPr>
            </w:pPr>
          </w:p>
        </w:tc>
        <w:tc>
          <w:tcPr>
            <w:tcW w:w="7640" w:type="dxa"/>
            <w:vAlign w:val="bottom"/>
            <w:gridSpan w:val="9"/>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Consolidated Balance Sheets</w:t>
              </w:r>
            </w:hyperlink>
          </w:p>
        </w:tc>
        <w:tc>
          <w:tcPr>
            <w:tcW w:w="31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42</w:t>
            </w:r>
          </w:p>
        </w:tc>
      </w:tr>
      <w:tr>
        <w:trPr>
          <w:trHeight w:val="20"/>
        </w:trPr>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44">
              <w:r>
                <w:rPr>
                  <w:rFonts w:ascii="Arial" w:cs="Arial" w:eastAsia="Arial" w:hAnsi="Arial"/>
                  <w:sz w:val="13"/>
                  <w:szCs w:val="13"/>
                  <w:color w:val="0000EE"/>
                  <w:w w:val="89"/>
                </w:rPr>
                <w:t>Consolidated Statements of Operations</w:t>
              </w:r>
            </w:hyperlink>
          </w:p>
        </w:tc>
        <w:tc>
          <w:tcPr>
            <w:tcW w:w="5580" w:type="dxa"/>
            <w:vAlign w:val="bottom"/>
            <w:gridSpan w:val="5"/>
          </w:tcPr>
          <w:p>
            <w:pPr>
              <w:spacing w:after="0"/>
              <w:rPr>
                <w:sz w:val="11"/>
                <w:szCs w:val="11"/>
                <w:color w:val="auto"/>
              </w:rPr>
            </w:pPr>
          </w:p>
        </w:tc>
        <w:tc>
          <w:tcPr>
            <w:tcW w:w="31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43</w:t>
            </w:r>
          </w:p>
        </w:tc>
      </w:tr>
      <w:tr>
        <w:trPr>
          <w:trHeight w:val="137"/>
        </w:trPr>
        <w:tc>
          <w:tcPr>
            <w:tcW w:w="680" w:type="dxa"/>
            <w:vAlign w:val="bottom"/>
          </w:tcPr>
          <w:p>
            <w:pPr>
              <w:spacing w:after="0"/>
              <w:rPr>
                <w:sz w:val="11"/>
                <w:szCs w:val="11"/>
                <w:color w:val="auto"/>
              </w:rPr>
            </w:pPr>
          </w:p>
        </w:tc>
        <w:tc>
          <w:tcPr>
            <w:tcW w:w="5480" w:type="dxa"/>
            <w:vAlign w:val="bottom"/>
            <w:tcBorders>
              <w:bottom w:val="single" w:sz="8" w:color="0000EE"/>
            </w:tcBorders>
            <w:gridSpan w:val="8"/>
          </w:tcPr>
          <w:p>
            <w:pPr>
              <w:spacing w:after="0" w:line="138" w:lineRule="exact"/>
              <w:rPr>
                <w:rFonts w:ascii="Arial" w:cs="Arial" w:eastAsia="Arial" w:hAnsi="Arial"/>
                <w:sz w:val="13"/>
                <w:szCs w:val="13"/>
                <w:color w:val="0000EE"/>
                <w:w w:val="91"/>
              </w:rPr>
            </w:pPr>
            <w:hyperlink w:anchor="page45">
              <w:r>
                <w:rPr>
                  <w:rFonts w:ascii="Arial" w:cs="Arial" w:eastAsia="Arial" w:hAnsi="Arial"/>
                  <w:sz w:val="13"/>
                  <w:szCs w:val="13"/>
                  <w:color w:val="0000EE"/>
                  <w:w w:val="91"/>
                </w:rPr>
                <w:t>Consolidated Statements of Redeemable Convertible Preferred Stock and Stockholders’ Equity (Deficit)</w:t>
              </w:r>
            </w:hyperlink>
          </w:p>
        </w:tc>
        <w:tc>
          <w:tcPr>
            <w:tcW w:w="2160" w:type="dxa"/>
            <w:vAlign w:val="bottom"/>
          </w:tcPr>
          <w:p>
            <w:pPr>
              <w:spacing w:after="0"/>
              <w:rPr>
                <w:sz w:val="11"/>
                <w:szCs w:val="11"/>
                <w:color w:val="auto"/>
              </w:rPr>
            </w:pPr>
          </w:p>
        </w:tc>
        <w:tc>
          <w:tcPr>
            <w:tcW w:w="31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44</w:t>
            </w: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46">
              <w:r>
                <w:rPr>
                  <w:rFonts w:ascii="Arial" w:cs="Arial" w:eastAsia="Arial" w:hAnsi="Arial"/>
                  <w:sz w:val="13"/>
                  <w:szCs w:val="13"/>
                  <w:color w:val="0000EE"/>
                  <w:w w:val="89"/>
                </w:rPr>
                <w:t>Consolidated Statements of Cash Flows</w:t>
              </w:r>
            </w:hyperlink>
          </w:p>
        </w:tc>
        <w:tc>
          <w:tcPr>
            <w:tcW w:w="5540" w:type="dxa"/>
            <w:vAlign w:val="bottom"/>
            <w:gridSpan w:val="4"/>
          </w:tcPr>
          <w:p>
            <w:pPr>
              <w:spacing w:after="0"/>
              <w:rPr>
                <w:sz w:val="11"/>
                <w:szCs w:val="11"/>
                <w:color w:val="auto"/>
              </w:rPr>
            </w:pPr>
          </w:p>
        </w:tc>
        <w:tc>
          <w:tcPr>
            <w:tcW w:w="31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45</w:t>
            </w:r>
          </w:p>
        </w:tc>
      </w:tr>
      <w:tr>
        <w:trPr>
          <w:trHeight w:val="137"/>
        </w:trPr>
        <w:tc>
          <w:tcPr>
            <w:tcW w:w="680" w:type="dxa"/>
            <w:vAlign w:val="bottom"/>
          </w:tcPr>
          <w:p>
            <w:pPr>
              <w:spacing w:after="0"/>
              <w:rPr>
                <w:sz w:val="11"/>
                <w:szCs w:val="11"/>
                <w:color w:val="auto"/>
              </w:rPr>
            </w:pPr>
          </w:p>
        </w:tc>
        <w:tc>
          <w:tcPr>
            <w:tcW w:w="7640" w:type="dxa"/>
            <w:vAlign w:val="bottom"/>
            <w:gridSpan w:val="9"/>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Notes to Consolidated Financial Statements</w:t>
              </w:r>
            </w:hyperlink>
          </w:p>
        </w:tc>
        <w:tc>
          <w:tcPr>
            <w:tcW w:w="31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46</w:t>
            </w:r>
          </w:p>
        </w:tc>
      </w:tr>
      <w:tr>
        <w:trPr>
          <w:trHeight w:val="460"/>
        </w:trPr>
        <w:tc>
          <w:tcPr>
            <w:tcW w:w="6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gridSpan w:val="4"/>
          </w:tcPr>
          <w:p>
            <w:pPr>
              <w:spacing w:after="0"/>
              <w:rPr>
                <w:sz w:val="24"/>
                <w:szCs w:val="24"/>
                <w:color w:val="auto"/>
              </w:rPr>
            </w:pPr>
          </w:p>
        </w:tc>
        <w:tc>
          <w:tcPr>
            <w:tcW w:w="3180" w:type="dxa"/>
            <w:vAlign w:val="bottom"/>
            <w:gridSpan w:val="2"/>
          </w:tcPr>
          <w:p>
            <w:pPr>
              <w:jc w:val="right"/>
              <w:ind w:right="420"/>
              <w:spacing w:after="0"/>
              <w:rPr>
                <w:sz w:val="20"/>
                <w:szCs w:val="20"/>
                <w:color w:val="auto"/>
              </w:rPr>
            </w:pPr>
            <w:r>
              <w:rPr>
                <w:rFonts w:ascii="Arial" w:cs="Arial" w:eastAsia="Arial" w:hAnsi="Arial"/>
                <w:sz w:val="13"/>
                <w:szCs w:val="13"/>
                <w:color w:val="auto"/>
              </w:rPr>
              <w:t>40</w:t>
            </w:r>
          </w:p>
        </w:tc>
        <w:tc>
          <w:tcPr>
            <w:tcW w:w="2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SPS Commerce, Inc.</w:t>
      </w:r>
    </w:p>
    <w:p>
      <w:pPr>
        <w:spacing w:after="0" w:line="8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SPS Commerce, Inc. (a Delaware corporation) (the “Company”) as of December 31, 2010 and 2009, and the related consolidated statements of operations, redeemable convertible preferred stock and stockholders’ equity (deficit),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SPS Commerce, Inc. as of December 31, 2010 and 2009, and the results of its operations and its cash flows for each of the three years in the period ended December 31, 2010 in conformity with accounting principles generally accepted in the United States of America.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Minneapolis, Minnesota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3,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left="214"/>
              <w:spacing w:after="0"/>
              <w:rPr>
                <w:sz w:val="20"/>
                <w:szCs w:val="20"/>
                <w:color w:val="auto"/>
              </w:rPr>
            </w:pPr>
            <w:r>
              <w:rPr>
                <w:rFonts w:ascii="Arial" w:cs="Arial" w:eastAsia="Arial" w:hAnsi="Arial"/>
                <w:sz w:val="10"/>
                <w:szCs w:val="10"/>
                <w:b w:val="1"/>
                <w:bCs w:val="1"/>
                <w:color w:val="auto"/>
                <w:w w:val="95"/>
              </w:rPr>
              <w:t>December 31,</w:t>
            </w: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94"/>
              <w:spacing w:after="0" w:line="98" w:lineRule="exact"/>
              <w:rPr>
                <w:sz w:val="20"/>
                <w:szCs w:val="20"/>
                <w:color w:val="auto"/>
              </w:rPr>
            </w:pPr>
            <w:r>
              <w:rPr>
                <w:rFonts w:ascii="Arial" w:cs="Arial" w:eastAsia="Arial" w:hAnsi="Arial"/>
                <w:sz w:val="10"/>
                <w:szCs w:val="10"/>
                <w:b w:val="1"/>
                <w:bCs w:val="1"/>
                <w:color w:val="auto"/>
              </w:rPr>
              <w:t>2010</w:t>
            </w:r>
          </w:p>
        </w:tc>
        <w:tc>
          <w:tcPr>
            <w:tcW w:w="5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4"/>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81"/>
        </w:trPr>
        <w:tc>
          <w:tcPr>
            <w:tcW w:w="8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5"/>
          </w:tcPr>
          <w:p>
            <w:pPr>
              <w:jc w:val="center"/>
              <w:ind w:right="160"/>
              <w:spacing w:after="0" w:line="81" w:lineRule="exact"/>
              <w:rPr>
                <w:sz w:val="20"/>
                <w:szCs w:val="20"/>
                <w:color w:val="auto"/>
              </w:rPr>
            </w:pPr>
            <w:r>
              <w:rPr>
                <w:rFonts w:ascii="Arial" w:cs="Arial" w:eastAsia="Arial" w:hAnsi="Arial"/>
                <w:sz w:val="9"/>
                <w:szCs w:val="9"/>
                <w:b w:val="1"/>
                <w:bCs w:val="1"/>
                <w:color w:val="auto"/>
              </w:rPr>
              <w:t>(In thousands, except share</w:t>
            </w:r>
          </w:p>
        </w:tc>
      </w:tr>
      <w:tr>
        <w:trPr>
          <w:trHeight w:val="135"/>
        </w:trPr>
        <w:tc>
          <w:tcPr>
            <w:tcW w:w="8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left="274"/>
              <w:spacing w:after="0"/>
              <w:rPr>
                <w:sz w:val="20"/>
                <w:szCs w:val="20"/>
                <w:color w:val="auto"/>
              </w:rPr>
            </w:pPr>
            <w:r>
              <w:rPr>
                <w:rFonts w:ascii="Arial" w:cs="Arial" w:eastAsia="Arial" w:hAnsi="Arial"/>
                <w:sz w:val="10"/>
                <w:szCs w:val="10"/>
                <w:b w:val="1"/>
                <w:bCs w:val="1"/>
                <w:color w:val="auto"/>
                <w:w w:val="93"/>
              </w:rPr>
              <w:t>amounts)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8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8500" w:type="dxa"/>
            <w:vAlign w:val="bottom"/>
            <w:shd w:val="clear" w:color="auto" w:fill="CCEEFF"/>
          </w:tcPr>
          <w:p>
            <w:pPr>
              <w:ind w:left="4820"/>
              <w:spacing w:after="0" w:line="98" w:lineRule="exact"/>
              <w:rPr>
                <w:sz w:val="20"/>
                <w:szCs w:val="20"/>
                <w:color w:val="auto"/>
              </w:rPr>
            </w:pPr>
            <w:r>
              <w:rPr>
                <w:rFonts w:ascii="Arial" w:cs="Arial" w:eastAsia="Arial" w:hAnsi="Arial"/>
                <w:sz w:val="9"/>
                <w:szCs w:val="9"/>
                <w:b w:val="1"/>
                <w:bCs w:val="1"/>
                <w:color w:val="auto"/>
              </w:rPr>
              <w:t>ASSETS</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85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40,473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5,931</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Accounts receivable, less allowance for doubtful accounts of $209 and $226</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5,574</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4,766</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Deferred costs, current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4,720</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4,126</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Prepaid expenses and other current assets</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874</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1,440</w:t>
            </w:r>
          </w:p>
        </w:tc>
      </w:tr>
      <w:tr>
        <w:trPr>
          <w:trHeight w:val="20"/>
        </w:trPr>
        <w:tc>
          <w:tcPr>
            <w:tcW w:w="8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8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current assets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51,641</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16,263</w:t>
            </w:r>
          </w:p>
        </w:tc>
      </w:tr>
      <w:tr>
        <w:trPr>
          <w:trHeight w:val="98"/>
        </w:trPr>
        <w:tc>
          <w:tcPr>
            <w:tcW w:w="8500" w:type="dxa"/>
            <w:vAlign w:val="bottom"/>
          </w:tcPr>
          <w:p>
            <w:pPr>
              <w:spacing w:after="0" w:line="98" w:lineRule="exact"/>
              <w:rPr>
                <w:sz w:val="20"/>
                <w:szCs w:val="20"/>
                <w:color w:val="auto"/>
              </w:rPr>
            </w:pPr>
            <w:r>
              <w:rPr>
                <w:rFonts w:ascii="Arial" w:cs="Arial" w:eastAsia="Arial" w:hAnsi="Arial"/>
                <w:sz w:val="9"/>
                <w:szCs w:val="9"/>
                <w:color w:val="auto"/>
              </w:rPr>
              <w:t>PROPERTY AND EQUIPMENT</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Computer equipment and purchased software</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6,678</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8,542</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Office equipment and furniture</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1,840</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1,678</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Leasehold improvements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720</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609</w:t>
            </w:r>
          </w:p>
        </w:tc>
      </w:tr>
      <w:tr>
        <w:trPr>
          <w:trHeight w:val="98"/>
        </w:trPr>
        <w:tc>
          <w:tcPr>
            <w:tcW w:w="8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9,238</w:t>
            </w:r>
          </w:p>
        </w:tc>
        <w:tc>
          <w:tcPr>
            <w:tcW w:w="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10,829</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Less: accumulated depreciation and amortization</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60"/>
              <w:spacing w:after="0" w:line="98" w:lineRule="exact"/>
              <w:rPr>
                <w:sz w:val="20"/>
                <w:szCs w:val="20"/>
                <w:color w:val="auto"/>
              </w:rPr>
            </w:pPr>
            <w:r>
              <w:rPr>
                <w:rFonts w:ascii="Arial" w:cs="Arial" w:eastAsia="Arial" w:hAnsi="Arial"/>
                <w:sz w:val="9"/>
                <w:szCs w:val="9"/>
                <w:color w:val="auto"/>
              </w:rPr>
              <w:t>(6,478)</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(8,309)</w:t>
            </w:r>
          </w:p>
        </w:tc>
      </w:tr>
      <w:tr>
        <w:trPr>
          <w:trHeight w:val="98"/>
        </w:trPr>
        <w:tc>
          <w:tcPr>
            <w:tcW w:w="8500" w:type="dxa"/>
            <w:vAlign w:val="bottom"/>
          </w:tcPr>
          <w:p>
            <w:pPr>
              <w:ind w:left="200"/>
              <w:spacing w:after="0" w:line="98" w:lineRule="exact"/>
              <w:rPr>
                <w:sz w:val="20"/>
                <w:szCs w:val="20"/>
                <w:color w:val="auto"/>
              </w:rPr>
            </w:pPr>
            <w:r>
              <w:rPr>
                <w:rFonts w:ascii="Arial" w:cs="Arial" w:eastAsia="Arial" w:hAnsi="Arial"/>
                <w:sz w:val="9"/>
                <w:szCs w:val="9"/>
                <w:color w:val="auto"/>
              </w:rPr>
              <w:t>Total property and equipment, net</w:t>
            </w: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2,760</w:t>
            </w:r>
          </w:p>
        </w:tc>
        <w:tc>
          <w:tcPr>
            <w:tcW w:w="5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2,520</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GOODWILL</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1,166</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1,166</w:t>
            </w:r>
          </w:p>
        </w:tc>
      </w:tr>
      <w:tr>
        <w:trPr>
          <w:trHeight w:val="98"/>
        </w:trPr>
        <w:tc>
          <w:tcPr>
            <w:tcW w:w="8500" w:type="dxa"/>
            <w:vAlign w:val="bottom"/>
          </w:tcPr>
          <w:p>
            <w:pPr>
              <w:spacing w:after="0" w:line="98" w:lineRule="exact"/>
              <w:rPr>
                <w:sz w:val="20"/>
                <w:szCs w:val="20"/>
                <w:color w:val="auto"/>
              </w:rPr>
            </w:pPr>
            <w:r>
              <w:rPr>
                <w:rFonts w:ascii="Arial" w:cs="Arial" w:eastAsia="Arial" w:hAnsi="Arial"/>
                <w:sz w:val="9"/>
                <w:szCs w:val="9"/>
                <w:color w:val="auto"/>
              </w:rPr>
              <w:t>INTANGIBLE ASSETS, net</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290</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290</w:t>
            </w:r>
          </w:p>
        </w:tc>
      </w:tr>
      <w:tr>
        <w:trPr>
          <w:trHeight w:val="98"/>
        </w:trPr>
        <w:tc>
          <w:tcPr>
            <w:tcW w:w="8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Deferred costs, net of current portion</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1,943</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1,617</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non-current assets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80</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63</w:t>
            </w:r>
          </w:p>
        </w:tc>
      </w:tr>
      <w:tr>
        <w:trPr>
          <w:trHeight w:val="107"/>
        </w:trPr>
        <w:tc>
          <w:tcPr>
            <w:tcW w:w="85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57,880</w:t>
            </w:r>
          </w:p>
        </w:tc>
        <w:tc>
          <w:tcPr>
            <w:tcW w:w="5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21,919</w:t>
            </w:r>
          </w:p>
        </w:tc>
        <w:tc>
          <w:tcPr>
            <w:tcW w:w="100" w:type="dxa"/>
            <w:vAlign w:val="bottom"/>
          </w:tcPr>
          <w:p>
            <w:pPr>
              <w:spacing w:after="0"/>
              <w:rPr>
                <w:sz w:val="9"/>
                <w:szCs w:val="9"/>
                <w:color w:val="auto"/>
              </w:rPr>
            </w:pPr>
          </w:p>
        </w:tc>
      </w:tr>
      <w:tr>
        <w:trPr>
          <w:trHeight w:val="128"/>
        </w:trPr>
        <w:tc>
          <w:tcPr>
            <w:tcW w:w="8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85"/>
        </w:trPr>
        <w:tc>
          <w:tcPr>
            <w:tcW w:w="8500" w:type="dxa"/>
            <w:vAlign w:val="bottom"/>
            <w:shd w:val="clear" w:color="auto" w:fill="CCEEFF"/>
          </w:tcPr>
          <w:p>
            <w:pPr>
              <w:ind w:left="3560"/>
              <w:spacing w:after="0" w:line="85" w:lineRule="exact"/>
              <w:rPr>
                <w:sz w:val="20"/>
                <w:szCs w:val="20"/>
                <w:color w:val="auto"/>
              </w:rPr>
            </w:pPr>
            <w:r>
              <w:rPr>
                <w:rFonts w:ascii="Arial" w:cs="Arial" w:eastAsia="Arial" w:hAnsi="Arial"/>
                <w:sz w:val="9"/>
                <w:szCs w:val="9"/>
                <w:b w:val="1"/>
                <w:bCs w:val="1"/>
                <w:color w:val="auto"/>
              </w:rPr>
              <w:t>LIABILITIES, REDEEMABLE CONVERTIBLE PREFERRED STOCK</w:t>
            </w: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11"/>
        </w:trPr>
        <w:tc>
          <w:tcPr>
            <w:tcW w:w="8500" w:type="dxa"/>
            <w:vAlign w:val="bottom"/>
            <w:shd w:val="clear" w:color="auto" w:fill="CCEEFF"/>
          </w:tcPr>
          <w:p>
            <w:pPr>
              <w:ind w:left="4100"/>
              <w:spacing w:after="0"/>
              <w:rPr>
                <w:sz w:val="20"/>
                <w:szCs w:val="20"/>
                <w:color w:val="auto"/>
              </w:rPr>
            </w:pPr>
            <w:r>
              <w:rPr>
                <w:rFonts w:ascii="Arial" w:cs="Arial" w:eastAsia="Arial" w:hAnsi="Arial"/>
                <w:sz w:val="9"/>
                <w:szCs w:val="9"/>
                <w:b w:val="1"/>
                <w:bCs w:val="1"/>
                <w:color w:val="auto"/>
              </w:rPr>
              <w:t>AND STOCKHOLDERS’ EQUITY (DEFICIT)</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98"/>
        </w:trPr>
        <w:tc>
          <w:tcPr>
            <w:tcW w:w="85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Line of credit, net of discount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1,500</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Capital lease obligations, current</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122</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338</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Equipment loans, current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499</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Accounts payable</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998</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1,345</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Accrued compensation and benefits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3,577</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3,005</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Accrued expenses and other current liabilities</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807</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1,196</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Deferred revenue, current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3,585</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3,407</w:t>
            </w:r>
          </w:p>
        </w:tc>
      </w:tr>
      <w:tr>
        <w:trPr>
          <w:trHeight w:val="98"/>
        </w:trPr>
        <w:tc>
          <w:tcPr>
            <w:tcW w:w="8500" w:type="dxa"/>
            <w:vAlign w:val="bottom"/>
          </w:tcPr>
          <w:p>
            <w:pPr>
              <w:ind w:left="200"/>
              <w:spacing w:after="0" w:line="98" w:lineRule="exact"/>
              <w:rPr>
                <w:sz w:val="20"/>
                <w:szCs w:val="20"/>
                <w:color w:val="auto"/>
              </w:rPr>
            </w:pPr>
            <w:r>
              <w:rPr>
                <w:rFonts w:ascii="Arial" w:cs="Arial" w:eastAsia="Arial" w:hAnsi="Arial"/>
                <w:sz w:val="9"/>
                <w:szCs w:val="9"/>
                <w:color w:val="auto"/>
              </w:rPr>
              <w:t>Total current liabilities</w:t>
            </w: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9,089</w:t>
            </w:r>
          </w:p>
        </w:tc>
        <w:tc>
          <w:tcPr>
            <w:tcW w:w="5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11,290</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LONG-TERM DEBT, less current portion</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Capital lease obligations</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122</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Equipment loans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233</w:t>
            </w:r>
          </w:p>
        </w:tc>
      </w:tr>
      <w:tr>
        <w:trPr>
          <w:trHeight w:val="98"/>
        </w:trPr>
        <w:tc>
          <w:tcPr>
            <w:tcW w:w="8500" w:type="dxa"/>
            <w:vAlign w:val="bottom"/>
          </w:tcPr>
          <w:p>
            <w:pPr>
              <w:ind w:left="200"/>
              <w:spacing w:after="0" w:line="98" w:lineRule="exact"/>
              <w:rPr>
                <w:sz w:val="20"/>
                <w:szCs w:val="20"/>
                <w:color w:val="auto"/>
              </w:rPr>
            </w:pPr>
            <w:r>
              <w:rPr>
                <w:rFonts w:ascii="Arial" w:cs="Arial" w:eastAsia="Arial" w:hAnsi="Arial"/>
                <w:sz w:val="9"/>
                <w:szCs w:val="9"/>
                <w:color w:val="auto"/>
              </w:rPr>
              <w:t>Total long-term debt</w:t>
            </w: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355</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LIABILITIES</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Deferred revenue, less current portion</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5,002</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4,025</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Convertible preferred stock warrant liability</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569</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Other non-current liabilities</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281</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368</w:t>
            </w:r>
          </w:p>
        </w:tc>
      </w:tr>
      <w:tr>
        <w:trPr>
          <w:trHeight w:val="20"/>
        </w:trPr>
        <w:tc>
          <w:tcPr>
            <w:tcW w:w="8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85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liabilities</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14,372</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16,607</w:t>
            </w:r>
          </w:p>
        </w:tc>
      </w:tr>
      <w:tr>
        <w:trPr>
          <w:trHeight w:val="98"/>
        </w:trPr>
        <w:tc>
          <w:tcPr>
            <w:tcW w:w="8500" w:type="dxa"/>
            <w:vAlign w:val="bottom"/>
          </w:tcPr>
          <w:p>
            <w:pPr>
              <w:spacing w:after="0" w:line="98" w:lineRule="exact"/>
              <w:rPr>
                <w:sz w:val="20"/>
                <w:szCs w:val="20"/>
                <w:color w:val="auto"/>
              </w:rPr>
            </w:pPr>
            <w:r>
              <w:rPr>
                <w:rFonts w:ascii="Arial" w:cs="Arial" w:eastAsia="Arial" w:hAnsi="Arial"/>
                <w:sz w:val="9"/>
                <w:szCs w:val="9"/>
                <w:color w:val="auto"/>
              </w:rPr>
              <w:t>REDEEMABLE CONVERTIBLE PREFERRED STOCK</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6"/>
              </w:rPr>
              <w:t>Series A redeemable convertible preferred stock, $0.001 par value, 0 and 1,182,217 shares authorized; 0 and 1,154,151 shares issued and outstanding; aggregate liquidation preference of $0 and $10,000, respectively</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37,676</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w w:val="96"/>
              </w:rPr>
              <w:t>Series B redeemable convertible preferred stock, $0.001 par value, 0 and 6,274,329 shares authorized; 0 and 5,688,116 shares issued and outstanding; aggregate liquidation preference of $0 and $21,112, respectively</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20,658</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7"/>
              </w:rPr>
              <w:t>Series C redeemable convertible preferred stock, $0.001 par value, 0 and 1,602,000 shares authorized; 0 and 1,251,559 shares issued and outstanding; aggregate liquidation preference of $0 and $7,500, respectively</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7,444</w:t>
            </w:r>
          </w:p>
        </w:tc>
      </w:tr>
      <w:tr>
        <w:trPr>
          <w:trHeight w:val="98"/>
        </w:trPr>
        <w:tc>
          <w:tcPr>
            <w:tcW w:w="8500" w:type="dxa"/>
            <w:vAlign w:val="bottom"/>
          </w:tcPr>
          <w:p>
            <w:pPr>
              <w:ind w:left="200"/>
              <w:spacing w:after="0" w:line="98" w:lineRule="exact"/>
              <w:rPr>
                <w:sz w:val="20"/>
                <w:szCs w:val="20"/>
                <w:color w:val="auto"/>
              </w:rPr>
            </w:pPr>
            <w:r>
              <w:rPr>
                <w:rFonts w:ascii="Arial" w:cs="Arial" w:eastAsia="Arial" w:hAnsi="Arial"/>
                <w:sz w:val="9"/>
                <w:szCs w:val="9"/>
                <w:color w:val="auto"/>
              </w:rPr>
              <w:t>Total redeemable convertible preferred stock</w:t>
            </w: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65,778</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EQUITY (DEFICIT)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Preferred stock, $0.001 par value; 5,000,000 and 0 shares authorized; 0 shares issued and outstanding</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Common stock, $0.001 par value; 55,000,000 and 13,442,303 shares authorized; 11,849,572 and 327,113 shares issued and outstanding, respectively</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12</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8500" w:type="dxa"/>
            <w:vAlign w:val="bottom"/>
          </w:tcPr>
          <w:p>
            <w:pPr>
              <w:ind w:left="100"/>
              <w:spacing w:after="0" w:line="98" w:lineRule="exact"/>
              <w:rPr>
                <w:sz w:val="20"/>
                <w:szCs w:val="20"/>
                <w:color w:val="auto"/>
              </w:rPr>
            </w:pPr>
            <w:r>
              <w:rPr>
                <w:rFonts w:ascii="Arial" w:cs="Arial" w:eastAsia="Arial" w:hAnsi="Arial"/>
                <w:sz w:val="9"/>
                <w:szCs w:val="9"/>
                <w:color w:val="auto"/>
              </w:rPr>
              <w:t>Additional paid-in capital</w:t>
            </w:r>
          </w:p>
        </w:tc>
        <w:tc>
          <w:tcPr>
            <w:tcW w:w="60" w:type="dxa"/>
            <w:vAlign w:val="bottom"/>
          </w:tcPr>
          <w:p>
            <w:pPr>
              <w:spacing w:after="0"/>
              <w:rPr>
                <w:sz w:val="8"/>
                <w:szCs w:val="8"/>
                <w:color w:val="auto"/>
              </w:rPr>
            </w:pPr>
          </w:p>
        </w:tc>
        <w:tc>
          <w:tcPr>
            <w:tcW w:w="940" w:type="dxa"/>
            <w:vAlign w:val="bottom"/>
            <w:gridSpan w:val="2"/>
          </w:tcPr>
          <w:p>
            <w:pPr>
              <w:jc w:val="right"/>
              <w:ind w:right="500"/>
              <w:spacing w:after="0" w:line="98" w:lineRule="exact"/>
              <w:rPr>
                <w:sz w:val="20"/>
                <w:szCs w:val="20"/>
                <w:color w:val="auto"/>
              </w:rPr>
            </w:pPr>
            <w:r>
              <w:rPr>
                <w:rFonts w:ascii="Arial" w:cs="Arial" w:eastAsia="Arial" w:hAnsi="Arial"/>
                <w:sz w:val="9"/>
                <w:szCs w:val="9"/>
                <w:color w:val="auto"/>
              </w:rPr>
              <w:t>106,264</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5,186</w:t>
            </w:r>
          </w:p>
        </w:tc>
      </w:tr>
      <w:tr>
        <w:trPr>
          <w:trHeight w:val="98"/>
        </w:trPr>
        <w:tc>
          <w:tcPr>
            <w:tcW w:w="8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Accumulated deficit</w:t>
            </w: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460"/>
              <w:spacing w:after="0" w:line="98" w:lineRule="exact"/>
              <w:rPr>
                <w:sz w:val="20"/>
                <w:szCs w:val="20"/>
                <w:color w:val="auto"/>
              </w:rPr>
            </w:pPr>
            <w:r>
              <w:rPr>
                <w:rFonts w:ascii="Arial" w:cs="Arial" w:eastAsia="Arial" w:hAnsi="Arial"/>
                <w:sz w:val="9"/>
                <w:szCs w:val="9"/>
                <w:color w:val="auto"/>
              </w:rPr>
              <w:t>(62,768)</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(65,652)</w:t>
            </w:r>
          </w:p>
        </w:tc>
      </w:tr>
      <w:tr>
        <w:trPr>
          <w:trHeight w:val="98"/>
        </w:trPr>
        <w:tc>
          <w:tcPr>
            <w:tcW w:w="8500" w:type="dxa"/>
            <w:vAlign w:val="bottom"/>
          </w:tcPr>
          <w:p>
            <w:pPr>
              <w:ind w:left="200"/>
              <w:spacing w:after="0" w:line="98" w:lineRule="exact"/>
              <w:rPr>
                <w:sz w:val="20"/>
                <w:szCs w:val="20"/>
                <w:color w:val="auto"/>
              </w:rPr>
            </w:pPr>
            <w:r>
              <w:rPr>
                <w:rFonts w:ascii="Arial" w:cs="Arial" w:eastAsia="Arial" w:hAnsi="Arial"/>
                <w:sz w:val="9"/>
                <w:szCs w:val="9"/>
                <w:color w:val="auto"/>
              </w:rPr>
              <w:t>Total stockholders’ equity (deficit)</w:t>
            </w: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43,508</w:t>
            </w:r>
          </w:p>
        </w:tc>
        <w:tc>
          <w:tcPr>
            <w:tcW w:w="5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(60,466)</w:t>
            </w:r>
          </w:p>
        </w:tc>
        <w:tc>
          <w:tcPr>
            <w:tcW w:w="100" w:type="dxa"/>
            <w:vAlign w:val="bottom"/>
          </w:tcPr>
          <w:p>
            <w:pPr>
              <w:spacing w:after="0"/>
              <w:rPr>
                <w:sz w:val="8"/>
                <w:szCs w:val="8"/>
                <w:color w:val="auto"/>
              </w:rPr>
            </w:pPr>
          </w:p>
        </w:tc>
      </w:tr>
      <w:tr>
        <w:trPr>
          <w:trHeight w:val="98"/>
        </w:trPr>
        <w:tc>
          <w:tcPr>
            <w:tcW w:w="85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500"/>
              <w:spacing w:after="0" w:line="98" w:lineRule="exact"/>
              <w:rPr>
                <w:sz w:val="20"/>
                <w:szCs w:val="20"/>
                <w:color w:val="auto"/>
              </w:rPr>
            </w:pPr>
            <w:r>
              <w:rPr>
                <w:rFonts w:ascii="Arial" w:cs="Arial" w:eastAsia="Arial" w:hAnsi="Arial"/>
                <w:sz w:val="9"/>
                <w:szCs w:val="9"/>
                <w:color w:val="auto"/>
              </w:rPr>
              <w:t>57,880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21,919</w:t>
            </w:r>
          </w:p>
        </w:tc>
      </w:tr>
      <w:tr>
        <w:trPr>
          <w:trHeight w:val="29"/>
        </w:trPr>
        <w:tc>
          <w:tcPr>
            <w:tcW w:w="8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8"/>
                <w:szCs w:val="8"/>
                <w:color w:val="auto"/>
              </w:rPr>
            </w:pPr>
          </w:p>
        </w:tc>
        <w:tc>
          <w:tcPr>
            <w:tcW w:w="3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(In</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5"/>
              <w:spacing w:after="0" w:line="98" w:lineRule="exact"/>
              <w:rPr>
                <w:sz w:val="20"/>
                <w:szCs w:val="20"/>
                <w:color w:val="auto"/>
              </w:rPr>
            </w:pPr>
            <w:r>
              <w:rPr>
                <w:rFonts w:ascii="Arial" w:cs="Arial" w:eastAsia="Arial" w:hAnsi="Arial"/>
                <w:sz w:val="10"/>
                <w:szCs w:val="10"/>
                <w:b w:val="1"/>
                <w:bCs w:val="1"/>
                <w:color w:val="auto"/>
                <w:w w:val="98"/>
              </w:rPr>
              <w:t>2009</w:t>
            </w: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80" w:type="dxa"/>
            <w:vAlign w:val="bottom"/>
            <w:gridSpan w:val="3"/>
          </w:tcPr>
          <w:p>
            <w:pPr>
              <w:spacing w:after="0" w:line="81" w:lineRule="exact"/>
              <w:rPr>
                <w:sz w:val="20"/>
                <w:szCs w:val="20"/>
                <w:color w:val="auto"/>
              </w:rPr>
            </w:pPr>
            <w:r>
              <w:rPr>
                <w:rFonts w:ascii="Arial" w:cs="Arial" w:eastAsia="Arial" w:hAnsi="Arial"/>
                <w:sz w:val="9"/>
                <w:szCs w:val="9"/>
                <w:b w:val="1"/>
                <w:bCs w:val="1"/>
                <w:color w:val="auto"/>
              </w:rPr>
              <w:t>thousands, except</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44,597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37,746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30,697</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Cost of revenues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12,626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11,715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9,258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31,971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26,031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21,439</w:t>
            </w:r>
          </w:p>
        </w:tc>
        <w:tc>
          <w:tcPr>
            <w:tcW w:w="0" w:type="dxa"/>
            <w:vAlign w:val="bottom"/>
          </w:tcPr>
          <w:p>
            <w:pPr>
              <w:spacing w:after="0"/>
              <w:rPr>
                <w:sz w:val="1"/>
                <w:szCs w:val="1"/>
                <w:color w:val="auto"/>
              </w:rPr>
            </w:pPr>
          </w:p>
        </w:tc>
      </w:tr>
      <w:tr>
        <w:trPr>
          <w:trHeight w:val="156"/>
        </w:trPr>
        <w:tc>
          <w:tcPr>
            <w:tcW w:w="71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16,601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13,506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12,493</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4,349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4,305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3,640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7,985</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6,339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6,716</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28,935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24,150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22,849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3,036</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1,881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(270)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158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(expense)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80"/>
              <w:spacing w:after="0"/>
              <w:rPr>
                <w:sz w:val="20"/>
                <w:szCs w:val="20"/>
                <w:color w:val="auto"/>
              </w:rPr>
            </w:pPr>
            <w:r>
              <w:rPr>
                <w:rFonts w:ascii="Arial" w:cs="Arial" w:eastAsia="Arial" w:hAnsi="Arial"/>
                <w:sz w:val="13"/>
                <w:szCs w:val="13"/>
                <w:color w:val="auto"/>
              </w:rPr>
              <w:t>Total other expense</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2,884</w:t>
            </w:r>
          </w:p>
        </w:tc>
        <w:tc>
          <w:tcPr>
            <w:tcW w:w="120" w:type="dxa"/>
            <w:vAlign w:val="bottom"/>
          </w:tcPr>
          <w:p>
            <w:pPr>
              <w:spacing w:after="0"/>
              <w:rPr>
                <w:sz w:val="14"/>
                <w:szCs w:val="14"/>
                <w:color w:val="auto"/>
              </w:rPr>
            </w:pPr>
          </w:p>
        </w:tc>
        <w:tc>
          <w:tcPr>
            <w:tcW w:w="5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1,162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(1,895)</w:t>
            </w:r>
          </w:p>
        </w:tc>
        <w:tc>
          <w:tcPr>
            <w:tcW w:w="0" w:type="dxa"/>
            <w:vAlign w:val="bottom"/>
          </w:tcPr>
          <w:p>
            <w:pPr>
              <w:spacing w:after="0"/>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0.36</w:t>
            </w:r>
          </w:p>
        </w:tc>
        <w:tc>
          <w:tcPr>
            <w:tcW w:w="5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3.53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Weighted average common shares used to compute net income (loss) per share</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8,036</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5"/>
        </w:trPr>
        <w:tc>
          <w:tcPr>
            <w:tcW w:w="71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11,596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color w:val="auto"/>
              </w:rPr>
              <w:t>9,268</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REDEEMABLE CONVERTIBLE PREFERRED STOCK AND STOCKHOLDERS’ EQUITY (DEFICIT)</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2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8"/>
                <w:szCs w:val="8"/>
                <w:b w:val="1"/>
                <w:bCs w:val="1"/>
                <w:color w:val="auto"/>
                <w:w w:val="95"/>
              </w:rPr>
              <w:t>Redeemable Convertible Preferred Stock</w:t>
            </w: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8"/>
                <w:szCs w:val="8"/>
                <w:b w:val="1"/>
                <w:bCs w:val="1"/>
                <w:color w:val="auto"/>
                <w:w w:val="91"/>
              </w:rPr>
              <w:t>Stockholders’ Equity (Deficit)</w:t>
            </w: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jc w:val="center"/>
              <w:ind w:right="15"/>
              <w:spacing w:after="0" w:line="69" w:lineRule="exact"/>
              <w:rPr>
                <w:sz w:val="20"/>
                <w:szCs w:val="20"/>
                <w:color w:val="auto"/>
              </w:rPr>
            </w:pPr>
            <w:r>
              <w:rPr>
                <w:rFonts w:ascii="Arial" w:cs="Arial" w:eastAsia="Arial" w:hAnsi="Arial"/>
                <w:sz w:val="8"/>
                <w:szCs w:val="8"/>
                <w:b w:val="1"/>
                <w:bCs w:val="1"/>
                <w:color w:val="auto"/>
                <w:w w:val="93"/>
              </w:rPr>
              <w:t>Total</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Series A</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8"/>
                <w:szCs w:val="8"/>
                <w:b w:val="1"/>
                <w:bCs w:val="1"/>
                <w:color w:val="auto"/>
              </w:rPr>
              <w:t>Series B</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4"/>
            <w:vMerge w:val="restart"/>
          </w:tcPr>
          <w:p>
            <w:pPr>
              <w:ind w:left="380"/>
              <w:spacing w:after="0"/>
              <w:rPr>
                <w:sz w:val="20"/>
                <w:szCs w:val="20"/>
                <w:color w:val="auto"/>
              </w:rPr>
            </w:pPr>
            <w:r>
              <w:rPr>
                <w:rFonts w:ascii="Arial" w:cs="Arial" w:eastAsia="Arial" w:hAnsi="Arial"/>
                <w:sz w:val="8"/>
                <w:szCs w:val="8"/>
                <w:b w:val="1"/>
                <w:bCs w:val="1"/>
                <w:color w:val="auto"/>
              </w:rPr>
              <w:t>Series C</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3"/>
            <w:vMerge w:val="restart"/>
          </w:tcPr>
          <w:p>
            <w:pPr>
              <w:jc w:val="right"/>
              <w:ind w:right="32"/>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ind w:left="40"/>
              <w:spacing w:after="0"/>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6"/>
              </w:rPr>
              <w:t>Stockholders’</w:t>
            </w:r>
          </w:p>
        </w:tc>
        <w:tc>
          <w:tcPr>
            <w:tcW w:w="0" w:type="dxa"/>
            <w:vAlign w:val="bottom"/>
          </w:tcPr>
          <w:p>
            <w:pPr>
              <w:spacing w:after="0"/>
              <w:rPr>
                <w:sz w:val="1"/>
                <w:szCs w:val="1"/>
                <w:color w:val="auto"/>
              </w:rPr>
            </w:pPr>
          </w:p>
        </w:tc>
      </w:tr>
      <w:tr>
        <w:trPr>
          <w:trHeight w:val="88"/>
        </w:trPr>
        <w:tc>
          <w:tcPr>
            <w:tcW w:w="2300" w:type="dxa"/>
            <w:vAlign w:val="bottom"/>
          </w:tcPr>
          <w:p>
            <w:pPr>
              <w:spacing w:after="0"/>
              <w:rPr>
                <w:sz w:val="7"/>
                <w:szCs w:val="7"/>
                <w:color w:val="auto"/>
              </w:rPr>
            </w:pPr>
          </w:p>
        </w:tc>
        <w:tc>
          <w:tcPr>
            <w:tcW w:w="7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bottom w:val="single" w:sz="8" w:color="auto"/>
            </w:tcBorders>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bottom w:val="single" w:sz="8" w:color="auto"/>
            </w:tcBorders>
            <w:gridSpan w:val="4"/>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w w:val="89"/>
              </w:rPr>
              <w:t>Paid-in</w:t>
            </w:r>
          </w:p>
        </w:tc>
        <w:tc>
          <w:tcPr>
            <w:tcW w:w="60" w:type="dxa"/>
            <w:vAlign w:val="bottom"/>
          </w:tcPr>
          <w:p>
            <w:pPr>
              <w:spacing w:after="0"/>
              <w:rPr>
                <w:sz w:val="7"/>
                <w:szCs w:val="7"/>
                <w:color w:val="auto"/>
              </w:rPr>
            </w:pPr>
          </w:p>
        </w:tc>
        <w:tc>
          <w:tcPr>
            <w:tcW w:w="74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87"/>
              </w:rPr>
              <w:t>Accumulated</w:t>
            </w:r>
          </w:p>
        </w:tc>
        <w:tc>
          <w:tcPr>
            <w:tcW w:w="60" w:type="dxa"/>
            <w:vAlign w:val="bottom"/>
          </w:tcPr>
          <w:p>
            <w:pPr>
              <w:spacing w:after="0"/>
              <w:rPr>
                <w:sz w:val="7"/>
                <w:szCs w:val="7"/>
                <w:color w:val="auto"/>
              </w:rPr>
            </w:pPr>
          </w:p>
        </w:tc>
        <w:tc>
          <w:tcPr>
            <w:tcW w:w="620" w:type="dxa"/>
            <w:vAlign w:val="bottom"/>
            <w:gridSpan w:val="2"/>
          </w:tcPr>
          <w:p>
            <w:pPr>
              <w:jc w:val="center"/>
              <w:ind w:right="160"/>
              <w:spacing w:after="0" w:line="88" w:lineRule="exact"/>
              <w:rPr>
                <w:sz w:val="20"/>
                <w:szCs w:val="20"/>
                <w:color w:val="auto"/>
              </w:rPr>
            </w:pPr>
            <w:r>
              <w:rPr>
                <w:rFonts w:ascii="Arial" w:cs="Arial" w:eastAsia="Arial" w:hAnsi="Arial"/>
                <w:sz w:val="8"/>
                <w:szCs w:val="8"/>
                <w:b w:val="1"/>
                <w:bCs w:val="1"/>
                <w:color w:val="auto"/>
                <w:w w:val="89"/>
              </w:rPr>
              <w:t>Equity</w:t>
            </w:r>
          </w:p>
        </w:tc>
        <w:tc>
          <w:tcPr>
            <w:tcW w:w="0" w:type="dxa"/>
            <w:vAlign w:val="bottom"/>
          </w:tcPr>
          <w:p>
            <w:pPr>
              <w:spacing w:after="0"/>
              <w:rPr>
                <w:sz w:val="1"/>
                <w:szCs w:val="1"/>
                <w:color w:val="auto"/>
              </w:rPr>
            </w:pPr>
          </w:p>
        </w:tc>
      </w:tr>
      <w:tr>
        <w:trPr>
          <w:trHeight w:val="78"/>
        </w:trPr>
        <w:tc>
          <w:tcPr>
            <w:tcW w:w="2300" w:type="dxa"/>
            <w:vAlign w:val="bottom"/>
          </w:tcPr>
          <w:p>
            <w:pPr>
              <w:spacing w:after="0"/>
              <w:rPr>
                <w:sz w:val="6"/>
                <w:szCs w:val="6"/>
                <w:color w:val="auto"/>
              </w:rPr>
            </w:pPr>
          </w:p>
        </w:tc>
        <w:tc>
          <w:tcPr>
            <w:tcW w:w="500" w:type="dxa"/>
            <w:vAlign w:val="bottom"/>
            <w:tcBorders>
              <w:bottom w:val="single" w:sz="8" w:color="auto"/>
            </w:tcBorders>
          </w:tcPr>
          <w:p>
            <w:pPr>
              <w:ind w:left="140"/>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500" w:type="dxa"/>
            <w:vAlign w:val="bottom"/>
            <w:tcBorders>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6"/>
                <w:szCs w:val="6"/>
                <w:color w:val="auto"/>
              </w:rPr>
            </w:pPr>
          </w:p>
        </w:tc>
        <w:tc>
          <w:tcPr>
            <w:tcW w:w="140" w:type="dxa"/>
            <w:vAlign w:val="bottom"/>
            <w:vMerge w:val="restart"/>
          </w:tcPr>
          <w:p>
            <w:pPr>
              <w:ind w:left="40"/>
              <w:spacing w:after="0"/>
              <w:rPr>
                <w:sz w:val="20"/>
                <w:szCs w:val="20"/>
                <w:color w:val="auto"/>
              </w:rPr>
            </w:pPr>
            <w:r>
              <w:rPr>
                <w:rFonts w:ascii="Arial" w:cs="Arial" w:eastAsia="Arial" w:hAnsi="Arial"/>
                <w:sz w:val="8"/>
                <w:szCs w:val="8"/>
                <w:b w:val="1"/>
                <w:bCs w:val="1"/>
                <w:color w:val="auto"/>
                <w:w w:val="81"/>
              </w:rPr>
              <w:t>(In</w:t>
            </w:r>
          </w:p>
        </w:tc>
        <w:tc>
          <w:tcPr>
            <w:tcW w:w="340" w:type="dxa"/>
            <w:vAlign w:val="bottom"/>
            <w:tcBorders>
              <w:bottom w:val="single" w:sz="8" w:color="auto"/>
            </w:tcBorders>
            <w:gridSpan w:val="2"/>
          </w:tcPr>
          <w:p>
            <w:pPr>
              <w:ind w:left="40"/>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w w:val="93"/>
              </w:rPr>
              <w:t>Total</w:t>
            </w:r>
          </w:p>
        </w:tc>
        <w:tc>
          <w:tcPr>
            <w:tcW w:w="240" w:type="dxa"/>
            <w:vAlign w:val="bottom"/>
          </w:tcPr>
          <w:p>
            <w:pPr>
              <w:spacing w:after="0"/>
              <w:rPr>
                <w:sz w:val="6"/>
                <w:szCs w:val="6"/>
                <w:color w:val="auto"/>
              </w:rPr>
            </w:pPr>
          </w:p>
        </w:tc>
        <w:tc>
          <w:tcPr>
            <w:tcW w:w="460" w:type="dxa"/>
            <w:vAlign w:val="bottom"/>
            <w:tcBorders>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6"/>
                <w:szCs w:val="6"/>
                <w:color w:val="auto"/>
              </w:rPr>
            </w:pPr>
          </w:p>
        </w:tc>
        <w:tc>
          <w:tcPr>
            <w:tcW w:w="300" w:type="dxa"/>
            <w:vAlign w:val="bottom"/>
            <w:tcBorders>
              <w:bottom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85"/>
              </w:rPr>
              <w:t>Amount</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35"/>
              <w:spacing w:after="0" w:line="79" w:lineRule="exact"/>
              <w:rPr>
                <w:sz w:val="20"/>
                <w:szCs w:val="20"/>
                <w:color w:val="auto"/>
              </w:rPr>
            </w:pPr>
            <w:r>
              <w:rPr>
                <w:rFonts w:ascii="Arial" w:cs="Arial" w:eastAsia="Arial" w:hAnsi="Arial"/>
                <w:sz w:val="8"/>
                <w:szCs w:val="8"/>
                <w:b w:val="1"/>
                <w:bCs w:val="1"/>
                <w:color w:val="auto"/>
                <w:w w:val="89"/>
              </w:rPr>
              <w:t>Capital</w:t>
            </w:r>
          </w:p>
        </w:tc>
        <w:tc>
          <w:tcPr>
            <w:tcW w:w="1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right"/>
              <w:ind w:right="135"/>
              <w:spacing w:after="0" w:line="79" w:lineRule="exact"/>
              <w:rPr>
                <w:sz w:val="20"/>
                <w:szCs w:val="20"/>
                <w:color w:val="auto"/>
              </w:rPr>
            </w:pPr>
            <w:r>
              <w:rPr>
                <w:rFonts w:ascii="Arial" w:cs="Arial" w:eastAsia="Arial" w:hAnsi="Arial"/>
                <w:sz w:val="8"/>
                <w:szCs w:val="8"/>
                <w:b w:val="1"/>
                <w:bCs w:val="1"/>
                <w:color w:val="auto"/>
              </w:rPr>
              <w:t>Deficit</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7"/>
              </w:rPr>
              <w:t>(Deficit)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34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w w:val="70"/>
              </w:rPr>
              <w:t>thousands,</w:t>
            </w:r>
          </w:p>
        </w:tc>
        <w:tc>
          <w:tcPr>
            <w:tcW w:w="840" w:type="dxa"/>
            <w:vAlign w:val="bottom"/>
            <w:gridSpan w:val="4"/>
          </w:tcPr>
          <w:p>
            <w:pPr>
              <w:jc w:val="right"/>
              <w:ind w:right="40"/>
              <w:spacing w:after="0" w:line="90" w:lineRule="exact"/>
              <w:rPr>
                <w:sz w:val="20"/>
                <w:szCs w:val="20"/>
                <w:color w:val="auto"/>
              </w:rPr>
            </w:pPr>
            <w:r>
              <w:rPr>
                <w:rFonts w:ascii="Arial" w:cs="Arial" w:eastAsia="Arial" w:hAnsi="Arial"/>
                <w:sz w:val="8"/>
                <w:szCs w:val="8"/>
                <w:b w:val="1"/>
                <w:bCs w:val="1"/>
                <w:color w:val="auto"/>
                <w:w w:val="89"/>
              </w:rPr>
              <w:t>except share amounts)</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Balances, January 1, 2008</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1,154,151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37,676</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5,759,246</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20,844</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1,251,559</w:t>
            </w:r>
          </w:p>
        </w:tc>
        <w:tc>
          <w:tcPr>
            <w:tcW w:w="220" w:type="dxa"/>
            <w:vAlign w:val="bottom"/>
            <w:gridSpan w:val="2"/>
            <w:shd w:val="clear" w:color="auto" w:fill="CCEEFF"/>
          </w:tcPr>
          <w:p>
            <w:pPr>
              <w:ind w:left="14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7,444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65,964</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246,762</w:t>
            </w:r>
          </w:p>
        </w:tc>
        <w:tc>
          <w:tcPr>
            <w:tcW w:w="120" w:type="dxa"/>
            <w:vAlign w:val="bottom"/>
            <w:shd w:val="clear" w:color="auto" w:fill="CCEEFF"/>
          </w:tcPr>
          <w:p>
            <w:pPr>
              <w:jc w:val="right"/>
              <w:ind w:right="52"/>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60"/>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4,808</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(64,919)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(60,111)</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157</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157</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2,232</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82,151</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5</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(1,895)</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(1,895)</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Balances, December 31, 2008</w:t>
            </w:r>
          </w:p>
        </w:tc>
        <w:tc>
          <w:tcPr>
            <w:tcW w:w="500" w:type="dxa"/>
            <w:vAlign w:val="bottom"/>
            <w:tcBorders>
              <w:top w:val="single" w:sz="8" w:color="auto"/>
            </w:tcBorders>
          </w:tcPr>
          <w:p>
            <w:pPr>
              <w:ind w:left="140"/>
              <w:spacing w:after="0" w:line="98" w:lineRule="exact"/>
              <w:rPr>
                <w:sz w:val="20"/>
                <w:szCs w:val="20"/>
                <w:color w:val="auto"/>
              </w:rPr>
            </w:pPr>
            <w:r>
              <w:rPr>
                <w:rFonts w:ascii="Arial" w:cs="Arial" w:eastAsia="Arial" w:hAnsi="Arial"/>
                <w:sz w:val="9"/>
                <w:szCs w:val="9"/>
                <w:color w:val="auto"/>
                <w:w w:val="84"/>
              </w:rPr>
              <w:t>1,154,151</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37,676</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5,759,246</w:t>
            </w:r>
          </w:p>
        </w:tc>
        <w:tc>
          <w:tcPr>
            <w:tcW w:w="2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20,844</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1,251,559</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7,444</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65,964</w:t>
            </w:r>
          </w:p>
        </w:tc>
        <w:tc>
          <w:tcPr>
            <w:tcW w:w="240" w:type="dxa"/>
            <w:vAlign w:val="bottom"/>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331,145</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4,970</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(66,814)</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(61,844)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228</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228</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15,640</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7"/>
        </w:trPr>
        <w:tc>
          <w:tcPr>
            <w:tcW w:w="23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Repurchase of redeemable convertible preferred and</w:t>
            </w: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00" w:type="dxa"/>
            <w:vAlign w:val="bottom"/>
            <w:shd w:val="clear" w:color="auto" w:fill="CCEEFF"/>
          </w:tcPr>
          <w:p>
            <w:pPr>
              <w:ind w:left="100"/>
              <w:spacing w:after="0"/>
              <w:rPr>
                <w:sz w:val="20"/>
                <w:szCs w:val="20"/>
                <w:color w:val="auto"/>
              </w:rPr>
            </w:pPr>
            <w:r>
              <w:rPr>
                <w:rFonts w:ascii="Arial" w:cs="Arial" w:eastAsia="Arial" w:hAnsi="Arial"/>
                <w:sz w:val="9"/>
                <w:szCs w:val="9"/>
                <w:color w:val="auto"/>
              </w:rPr>
              <w:t>common stock</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(71,130)</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(186)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1"/>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(186)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(19,672)</w:t>
            </w:r>
          </w:p>
        </w:tc>
        <w:tc>
          <w:tcPr>
            <w:tcW w:w="12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(14)</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1,162</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1,162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Balances, December 31, 2009</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1,154,151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37,676</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5,688,116</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20,658</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1,251,559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7,444</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65,778</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327,113</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5,186</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(65,652)</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(60,466)</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750</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750</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49,224</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149,905</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43</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43</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Conversion of redeemable convertible preferred stock</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(1,154,151)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(37,676)</w:t>
            </w: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(5,688,116)</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(20,658)</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(1,251,559)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1"/>
              <w:spacing w:after="0" w:line="98" w:lineRule="exact"/>
              <w:rPr>
                <w:sz w:val="20"/>
                <w:szCs w:val="20"/>
                <w:color w:val="auto"/>
              </w:rPr>
            </w:pPr>
            <w:r>
              <w:rPr>
                <w:rFonts w:ascii="Arial" w:cs="Arial" w:eastAsia="Arial" w:hAnsi="Arial"/>
                <w:sz w:val="9"/>
                <w:szCs w:val="9"/>
                <w:color w:val="auto"/>
                <w:w w:val="98"/>
              </w:rPr>
              <w:t>(7,444)</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w w:val="95"/>
              </w:rPr>
              <w:t>(65,778)</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8,093,826</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65,770</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65,778</w:t>
            </w:r>
          </w:p>
        </w:tc>
        <w:tc>
          <w:tcPr>
            <w:tcW w:w="0" w:type="dxa"/>
            <w:vAlign w:val="bottom"/>
          </w:tcPr>
          <w:p>
            <w:pPr>
              <w:spacing w:after="0"/>
              <w:rPr>
                <w:sz w:val="1"/>
                <w:szCs w:val="1"/>
                <w:color w:val="auto"/>
              </w:rPr>
            </w:pPr>
          </w:p>
        </w:tc>
      </w:tr>
      <w:tr>
        <w:trPr>
          <w:trHeight w:val="87"/>
        </w:trPr>
        <w:tc>
          <w:tcPr>
            <w:tcW w:w="2300" w:type="dxa"/>
            <w:vAlign w:val="bottom"/>
          </w:tcPr>
          <w:p>
            <w:pPr>
              <w:spacing w:after="0" w:line="88" w:lineRule="exact"/>
              <w:rPr>
                <w:sz w:val="20"/>
                <w:szCs w:val="20"/>
                <w:color w:val="auto"/>
              </w:rPr>
            </w:pPr>
            <w:r>
              <w:rPr>
                <w:rFonts w:ascii="Arial" w:cs="Arial" w:eastAsia="Arial" w:hAnsi="Arial"/>
                <w:sz w:val="9"/>
                <w:szCs w:val="9"/>
                <w:color w:val="auto"/>
                <w:w w:val="95"/>
              </w:rPr>
              <w:t>Conversion of warrants to purchase redeemable convertible</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00" w:type="dxa"/>
            <w:vAlign w:val="bottom"/>
          </w:tcPr>
          <w:p>
            <w:pPr>
              <w:ind w:left="100"/>
              <w:spacing w:after="0"/>
              <w:rPr>
                <w:sz w:val="20"/>
                <w:szCs w:val="20"/>
                <w:color w:val="auto"/>
              </w:rPr>
            </w:pPr>
            <w:r>
              <w:rPr>
                <w:rFonts w:ascii="Arial" w:cs="Arial" w:eastAsia="Arial" w:hAnsi="Arial"/>
                <w:sz w:val="9"/>
                <w:szCs w:val="9"/>
                <w:color w:val="auto"/>
              </w:rPr>
              <w:t>preferred stock</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9"/>
                <w:szCs w:val="9"/>
                <w:color w:val="auto"/>
              </w:rPr>
              <w:t>596</w:t>
            </w:r>
          </w:p>
        </w:tc>
        <w:tc>
          <w:tcPr>
            <w:tcW w:w="60" w:type="dxa"/>
            <w:vAlign w:val="bottom"/>
          </w:tcPr>
          <w:p>
            <w:pPr>
              <w:spacing w:after="0"/>
              <w:rPr>
                <w:sz w:val="9"/>
                <w:szCs w:val="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9"/>
                <w:szCs w:val="9"/>
                <w:color w:val="auto"/>
              </w:rPr>
              <w:t>596</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Initial public offering, net of costs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3,114,504</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32,899</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32,902</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Secondary stock offering, net of costs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115,000</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1,020</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1,020</w:t>
            </w: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2,884</w:t>
            </w: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2,884</w:t>
            </w:r>
          </w:p>
        </w:tc>
        <w:tc>
          <w:tcPr>
            <w:tcW w:w="0" w:type="dxa"/>
            <w:vAlign w:val="bottom"/>
          </w:tcPr>
          <w:p>
            <w:pPr>
              <w:spacing w:after="0"/>
              <w:rPr>
                <w:sz w:val="1"/>
                <w:szCs w:val="1"/>
                <w:color w:val="auto"/>
              </w:rPr>
            </w:pPr>
          </w:p>
        </w:tc>
      </w:tr>
      <w:tr>
        <w:trPr>
          <w:trHeight w:val="98"/>
        </w:trPr>
        <w:tc>
          <w:tcPr>
            <w:tcW w:w="230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2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Balances, December 31, 2010</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ind w:left="14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CEEFF"/>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11,849,572</w:t>
            </w:r>
          </w:p>
        </w:tc>
        <w:tc>
          <w:tcPr>
            <w:tcW w:w="120" w:type="dxa"/>
            <w:vAlign w:val="bottom"/>
            <w:shd w:val="clear" w:color="auto" w:fill="CCEEFF"/>
          </w:tcPr>
          <w:p>
            <w:pPr>
              <w:jc w:val="right"/>
              <w:ind w:right="52"/>
              <w:spacing w:after="0"/>
              <w:rPr>
                <w:sz w:val="20"/>
                <w:szCs w:val="20"/>
                <w:color w:val="auto"/>
              </w:rPr>
            </w:pPr>
            <w:r>
              <w:rPr>
                <w:rFonts w:ascii="Arial" w:cs="Arial" w:eastAsia="Arial" w:hAnsi="Arial"/>
                <w:sz w:val="5"/>
                <w:szCs w:val="5"/>
                <w:color w:val="auto"/>
                <w:w w:val="70"/>
              </w:rPr>
              <w:t>$</w:t>
            </w:r>
          </w:p>
        </w:tc>
        <w:tc>
          <w:tcPr>
            <w:tcW w:w="22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w:t>
            </w:r>
          </w:p>
        </w:tc>
        <w:tc>
          <w:tcPr>
            <w:tcW w:w="220" w:type="dxa"/>
            <w:vAlign w:val="bottom"/>
            <w:gridSpan w:val="2"/>
            <w:shd w:val="clear" w:color="auto" w:fill="CCEEFF"/>
          </w:tcPr>
          <w:p>
            <w:pPr>
              <w:ind w:left="160"/>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8"/>
              </w:rPr>
              <w:t>106,264</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(62,768)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43,508</w:t>
            </w: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9"/>
          </w:tcPr>
          <w:p>
            <w:pPr>
              <w:jc w:val="right"/>
              <w:ind w:right="400"/>
              <w:spacing w:after="0"/>
              <w:rPr>
                <w:sz w:val="20"/>
                <w:szCs w:val="20"/>
                <w:color w:val="auto"/>
              </w:rPr>
            </w:pPr>
            <w:r>
              <w:rPr>
                <w:rFonts w:ascii="Arial" w:cs="Arial" w:eastAsia="Arial" w:hAnsi="Arial"/>
                <w:sz w:val="10"/>
                <w:szCs w:val="10"/>
                <w:b w:val="1"/>
                <w:bCs w:val="1"/>
                <w:color w:val="auto"/>
              </w:rPr>
              <w:t>Year Ended December 31,</w:t>
            </w:r>
          </w:p>
        </w:tc>
      </w:tr>
      <w:tr>
        <w:trPr>
          <w:trHeight w:val="98"/>
        </w:trPr>
        <w:tc>
          <w:tcPr>
            <w:tcW w:w="8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rPr>
              <w:t>2009</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131"/>
        </w:trPr>
        <w:tc>
          <w:tcPr>
            <w:tcW w:w="8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Arial" w:cs="Arial" w:eastAsia="Arial" w:hAnsi="Arial"/>
                <w:sz w:val="10"/>
                <w:szCs w:val="10"/>
                <w:b w:val="1"/>
                <w:bCs w:val="1"/>
                <w:color w:val="auto"/>
                <w:w w:val="98"/>
              </w:rPr>
              <w:t>(In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4"/>
        </w:trPr>
        <w:tc>
          <w:tcPr>
            <w:tcW w:w="8100" w:type="dxa"/>
            <w:vAlign w:val="bottom"/>
            <w:shd w:val="clear" w:color="auto" w:fill="CCEEFF"/>
          </w:tcPr>
          <w:p>
            <w:pPr>
              <w:spacing w:after="0"/>
              <w:rPr>
                <w:sz w:val="20"/>
                <w:szCs w:val="20"/>
                <w:color w:val="auto"/>
              </w:rPr>
            </w:pPr>
            <w:r>
              <w:rPr>
                <w:rFonts w:ascii="Arial" w:cs="Arial" w:eastAsia="Arial" w:hAnsi="Arial"/>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2,884</w:t>
            </w:r>
          </w:p>
        </w:tc>
        <w:tc>
          <w:tcPr>
            <w:tcW w:w="20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(1,895)</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Reconciliation of net income (loss) to net cash provided by (used in)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1,533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1,445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1,963</w:t>
            </w:r>
          </w:p>
        </w:tc>
      </w:tr>
      <w:tr>
        <w:trPr>
          <w:trHeight w:val="108"/>
        </w:trPr>
        <w:tc>
          <w:tcPr>
            <w:tcW w:w="81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Provision for doubtful accounts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274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396</w:t>
            </w: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Amortization of debt issue costs</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w:t>
            </w:r>
          </w:p>
        </w:tc>
      </w:tr>
      <w:tr>
        <w:trPr>
          <w:trHeight w:val="108"/>
        </w:trPr>
        <w:tc>
          <w:tcPr>
            <w:tcW w:w="81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Stock-based compensation</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750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157</w:t>
            </w: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Change in carrying value of preferred stock warrants</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45</w:t>
            </w:r>
          </w:p>
        </w:tc>
      </w:tr>
      <w:tr>
        <w:trPr>
          <w:trHeight w:val="108"/>
        </w:trPr>
        <w:tc>
          <w:tcPr>
            <w:tcW w:w="81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Non-cash interest expense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w:t>
            </w: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(811)</w:t>
            </w:r>
          </w:p>
        </w:tc>
      </w:tr>
      <w:tr>
        <w:trPr>
          <w:trHeight w:val="108"/>
        </w:trPr>
        <w:tc>
          <w:tcPr>
            <w:tcW w:w="8100" w:type="dxa"/>
            <w:vAlign w:val="bottom"/>
          </w:tcPr>
          <w:p>
            <w:pPr>
              <w:ind w:left="32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(655)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w:t>
            </w: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Other assets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w:t>
            </w:r>
          </w:p>
        </w:tc>
      </w:tr>
      <w:tr>
        <w:trPr>
          <w:trHeight w:val="108"/>
        </w:trPr>
        <w:tc>
          <w:tcPr>
            <w:tcW w:w="8100" w:type="dxa"/>
            <w:vAlign w:val="bottom"/>
          </w:tcPr>
          <w:p>
            <w:pPr>
              <w:ind w:left="320"/>
              <w:spacing w:after="0" w:line="108" w:lineRule="exact"/>
              <w:rPr>
                <w:sz w:val="20"/>
                <w:szCs w:val="20"/>
                <w:color w:val="auto"/>
              </w:rPr>
            </w:pPr>
            <w:r>
              <w:rPr>
                <w:rFonts w:ascii="Arial" w:cs="Arial" w:eastAsia="Arial" w:hAnsi="Arial"/>
                <w:sz w:val="10"/>
                <w:szCs w:val="10"/>
                <w:color w:val="auto"/>
              </w:rPr>
              <w:t>Deferred costs</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(98)</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(1,659)</w:t>
            </w: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(347)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541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(319)</w:t>
            </w:r>
          </w:p>
        </w:tc>
      </w:tr>
      <w:tr>
        <w:trPr>
          <w:trHeight w:val="108"/>
        </w:trPr>
        <w:tc>
          <w:tcPr>
            <w:tcW w:w="8100" w:type="dxa"/>
            <w:vAlign w:val="bottom"/>
          </w:tcPr>
          <w:p>
            <w:pPr>
              <w:ind w:left="320"/>
              <w:spacing w:after="0" w:line="108" w:lineRule="exact"/>
              <w:rPr>
                <w:sz w:val="20"/>
                <w:szCs w:val="20"/>
                <w:color w:val="auto"/>
              </w:rPr>
            </w:pPr>
            <w:r>
              <w:rPr>
                <w:rFonts w:ascii="Arial" w:cs="Arial" w:eastAsia="Arial" w:hAnsi="Arial"/>
                <w:sz w:val="10"/>
                <w:szCs w:val="10"/>
                <w:color w:val="auto"/>
              </w:rPr>
              <w:t>Interest payable</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w:t>
            </w: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1,155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844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1,526</w:t>
            </w:r>
          </w:p>
        </w:tc>
      </w:tr>
      <w:tr>
        <w:trPr>
          <w:trHeight w:val="108"/>
        </w:trPr>
        <w:tc>
          <w:tcPr>
            <w:tcW w:w="8100" w:type="dxa"/>
            <w:vAlign w:val="bottom"/>
          </w:tcPr>
          <w:p>
            <w:pPr>
              <w:ind w:left="320"/>
              <w:spacing w:after="0" w:line="108" w:lineRule="exact"/>
              <w:rPr>
                <w:sz w:val="20"/>
                <w:szCs w:val="20"/>
                <w:color w:val="auto"/>
              </w:rPr>
            </w:pPr>
            <w:r>
              <w:rPr>
                <w:rFonts w:ascii="Arial" w:cs="Arial" w:eastAsia="Arial" w:hAnsi="Arial"/>
                <w:sz w:val="10"/>
                <w:szCs w:val="10"/>
                <w:color w:val="auto"/>
              </w:rPr>
              <w:t>Deferred tax liability</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82</w:t>
            </w: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Accrued compensation and benefits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572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1,121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(510)</w:t>
            </w:r>
          </w:p>
        </w:tc>
      </w:tr>
      <w:tr>
        <w:trPr>
          <w:trHeight w:val="108"/>
        </w:trPr>
        <w:tc>
          <w:tcPr>
            <w:tcW w:w="8100" w:type="dxa"/>
            <w:vAlign w:val="bottom"/>
          </w:tcPr>
          <w:p>
            <w:pPr>
              <w:ind w:left="320"/>
              <w:spacing w:after="0" w:line="108" w:lineRule="exact"/>
              <w:rPr>
                <w:sz w:val="20"/>
                <w:szCs w:val="20"/>
                <w:color w:val="auto"/>
              </w:rPr>
            </w:pPr>
            <w:r>
              <w:rPr>
                <w:rFonts w:ascii="Arial" w:cs="Arial" w:eastAsia="Arial" w:hAnsi="Arial"/>
                <w:sz w:val="10"/>
                <w:szCs w:val="10"/>
                <w:color w:val="auto"/>
              </w:rPr>
              <w:t>Deferred rent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(112)</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w:t>
            </w:r>
          </w:p>
        </w:tc>
      </w:tr>
      <w:tr>
        <w:trPr>
          <w:trHeight w:val="108"/>
        </w:trPr>
        <w:tc>
          <w:tcPr>
            <w:tcW w:w="81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Accrued expenses and other current liabilities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(371)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(87)</w:t>
            </w:r>
          </w:p>
        </w:tc>
      </w:tr>
      <w:tr>
        <w:trPr>
          <w:trHeight w:val="108"/>
        </w:trPr>
        <w:tc>
          <w:tcPr>
            <w:tcW w:w="8100" w:type="dxa"/>
            <w:vAlign w:val="bottom"/>
          </w:tcPr>
          <w:p>
            <w:pPr>
              <w:ind w:left="420"/>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4,919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5,158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(807)</w:t>
            </w:r>
          </w:p>
        </w:tc>
        <w:tc>
          <w:tcPr>
            <w:tcW w:w="100" w:type="dxa"/>
            <w:vAlign w:val="bottom"/>
          </w:tcPr>
          <w:p>
            <w:pPr>
              <w:spacing w:after="0"/>
              <w:rPr>
                <w:sz w:val="9"/>
                <w:szCs w:val="9"/>
                <w:color w:val="auto"/>
              </w:rPr>
            </w:pPr>
          </w:p>
        </w:tc>
      </w:tr>
      <w:tr>
        <w:trPr>
          <w:trHeight w:val="108"/>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Purchases of property and equipment</w:t>
            </w:r>
          </w:p>
        </w:tc>
        <w:tc>
          <w:tcPr>
            <w:tcW w:w="8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(1,772)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(1,000)</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(884)</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Maturities of short-term investments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1,263</w:t>
            </w: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(1,772)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(1,000)</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379</w:t>
            </w:r>
          </w:p>
        </w:tc>
        <w:tc>
          <w:tcPr>
            <w:tcW w:w="100" w:type="dxa"/>
            <w:vAlign w:val="bottom"/>
          </w:tcPr>
          <w:p>
            <w:pPr>
              <w:spacing w:after="0"/>
              <w:rPr>
                <w:sz w:val="9"/>
                <w:szCs w:val="9"/>
                <w:color w:val="auto"/>
              </w:rPr>
            </w:pPr>
          </w:p>
        </w:tc>
      </w:tr>
      <w:tr>
        <w:trPr>
          <w:trHeight w:val="108"/>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Borrowings on line of credit</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4,450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16,325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10,425</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Payments on line of credit</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(5,950)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(16,125)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(10,125)</w:t>
            </w: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equipment loans</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855</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Payments on equipment loans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(732)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(730)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(721)</w:t>
            </w: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Payments on term loan</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(679)</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(621)</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Payments of capital lease obligations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(338)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(534)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(529)</w:t>
            </w: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proceeds from initial public offering</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32,902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proceeds from secondary stock offering</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1,020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Net proceeds from exercise of stock options</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w:t>
            </w: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preferred and common stock</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100" w:type="dxa"/>
            <w:vAlign w:val="bottom"/>
          </w:tcPr>
          <w:p>
            <w:pPr>
              <w:ind w:left="220"/>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7"/>
              </w:rPr>
              <w:t>31,395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(1,942)</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(711)</w:t>
            </w:r>
          </w:p>
        </w:tc>
        <w:tc>
          <w:tcPr>
            <w:tcW w:w="100" w:type="dxa"/>
            <w:vAlign w:val="bottom"/>
          </w:tcPr>
          <w:p>
            <w:pPr>
              <w:spacing w:after="0"/>
              <w:rPr>
                <w:sz w:val="9"/>
                <w:szCs w:val="9"/>
                <w:color w:val="auto"/>
              </w:rPr>
            </w:pPr>
          </w:p>
        </w:tc>
      </w:tr>
      <w:tr>
        <w:trPr>
          <w:trHeight w:val="108"/>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34,542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2,216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(1,139)</w:t>
            </w:r>
          </w:p>
        </w:tc>
      </w:tr>
      <w:tr>
        <w:trPr>
          <w:trHeight w:val="108"/>
        </w:trPr>
        <w:tc>
          <w:tcPr>
            <w:tcW w:w="81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4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5,931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3,715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4,854</w:t>
            </w:r>
          </w:p>
        </w:tc>
      </w:tr>
      <w:tr>
        <w:trPr>
          <w:trHeight w:val="20"/>
        </w:trPr>
        <w:tc>
          <w:tcPr>
            <w:tcW w:w="8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8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40,473</w:t>
            </w:r>
          </w:p>
        </w:tc>
        <w:tc>
          <w:tcPr>
            <w:tcW w:w="20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5,931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3,715</w:t>
            </w:r>
          </w:p>
        </w:tc>
      </w:tr>
      <w:tr>
        <w:trPr>
          <w:trHeight w:val="118"/>
        </w:trPr>
        <w:tc>
          <w:tcPr>
            <w:tcW w:w="8100" w:type="dxa"/>
            <w:vAlign w:val="bottom"/>
          </w:tcPr>
          <w:p>
            <w:pPr>
              <w:spacing w:after="0"/>
              <w:rPr>
                <w:sz w:val="20"/>
                <w:szCs w:val="20"/>
                <w:color w:val="auto"/>
              </w:rPr>
            </w:pPr>
            <w:r>
              <w:rPr>
                <w:rFonts w:ascii="Arial" w:cs="Arial" w:eastAsia="Arial" w:hAnsi="Arial"/>
                <w:sz w:val="10"/>
                <w:szCs w:val="10"/>
                <w:color w:val="auto"/>
              </w:rPr>
              <w:t>Supplemental disclosure of cash flow information</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1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62</w:t>
            </w:r>
          </w:p>
        </w:tc>
        <w:tc>
          <w:tcPr>
            <w:tcW w:w="20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374</w:t>
            </w:r>
          </w:p>
        </w:tc>
      </w:tr>
      <w:tr>
        <w:trPr>
          <w:trHeight w:val="108"/>
        </w:trPr>
        <w:tc>
          <w:tcPr>
            <w:tcW w:w="8100" w:type="dxa"/>
            <w:vAlign w:val="bottom"/>
          </w:tcPr>
          <w:p>
            <w:pPr>
              <w:ind w:left="120"/>
              <w:spacing w:after="0" w:line="108" w:lineRule="exact"/>
              <w:rPr>
                <w:sz w:val="20"/>
                <w:szCs w:val="20"/>
                <w:color w:val="auto"/>
              </w:rPr>
            </w:pPr>
            <w:r>
              <w:rPr>
                <w:rFonts w:ascii="Arial" w:cs="Arial" w:eastAsia="Arial" w:hAnsi="Arial"/>
                <w:sz w:val="10"/>
                <w:szCs w:val="10"/>
                <w:color w:val="auto"/>
              </w:rPr>
              <w:t>Non cash investing and financing activities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1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Capital lease obligations incurred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166</w:t>
            </w:r>
          </w:p>
        </w:tc>
      </w:tr>
    </w:tbl>
    <w:p>
      <w:pPr>
        <w:spacing w:after="0" w:line="4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A —</w:t>
      </w:r>
      <w:r>
        <w:rPr>
          <w:sz w:val="20"/>
          <w:szCs w:val="20"/>
          <w:color w:val="auto"/>
        </w:rPr>
        <w:tab/>
      </w:r>
      <w:r>
        <w:rPr>
          <w:rFonts w:ascii="Arial" w:cs="Arial" w:eastAsia="Arial" w:hAnsi="Arial"/>
          <w:sz w:val="12"/>
          <w:szCs w:val="12"/>
          <w:b w:val="1"/>
          <w:bCs w:val="1"/>
          <w:color w:val="auto"/>
        </w:rPr>
        <w:t>General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Description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accompanying consolidated financial statements have been prepared in conformity with accounting principles generally accepted in the United States of America (“GAAP”) and include the accounts of SPS Commerce, Inc. and its subsidiary, SPS Commerce Hong Kong Limited. All significant intercompany accounts and transactions have been eliminated in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Risk and Uncertainties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rely on hardware and software licensed from third parties to offer our on-demand management solutions. Our management believes alternate sources are available; however, disruption or termination of these relationships could adversely affect our operating results in the near term.</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consist of cash and highly liquid investments with original maturities when purchased of less than 90 days.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Financial instruments that potentially subject us to concentrations of credit risk consist principally of temporary cash investments in financial institutions in excess of federally insured limits and trade accounts receivable. Temporary cash investments are held with financial institutions that we believe are subject to minimal risk.</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customers to make the required payments. Accounts that are outstanding longer than the contractual terms are considered past due. When determining the allowances for doubtful accounts, we take several factors into consideration including the overall composition of the accounts receivable aging, our prior history of accounts receivable write-offs, the type of customers and our day-to-day knowledge of specific customers. We write off accounts receivable when they become uncollectible.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the allowances for doubtful accounts are recorded as bad debt expense and are included in general and administrative expense in our statements of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Property and equipment, including assets acquired under capital lease obligations, are stated at cost, net of accumulated depreciation and amortization. Depreciation and amortization are computed using the straight-line method over the shorter of the estimated useful lives of the individual assets or the lease term. The estimated useful lives are: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Computer equipment and purchased software 2 — 5 years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Office equipment and furniture 5 — 7 years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Leasehold improvements 2 — 7 years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Significant additions or improvements extending asset lives beyond one year are capitalized, while repairs and maintenance are charged to expense as incurred. The assets and related accumulated depreciation and amortization accounts are adjusted for asset retirements and disposals with the resulting gain or loss included in net income (loss).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680" w:right="460" w:firstLine="399"/>
        <w:spacing w:after="0" w:line="305" w:lineRule="auto"/>
        <w:rPr>
          <w:sz w:val="20"/>
          <w:szCs w:val="20"/>
          <w:color w:val="auto"/>
        </w:rPr>
      </w:pPr>
      <w:r>
        <w:rPr>
          <w:rFonts w:ascii="Arial" w:cs="Arial" w:eastAsia="Arial" w:hAnsi="Arial"/>
          <w:sz w:val="11"/>
          <w:szCs w:val="11"/>
          <w:color w:val="auto"/>
        </w:rPr>
        <w:t xml:space="preserve">Costs incurred to develop software applications used in our on-demand supply chain management solutions are accounted for in accordance with ASC 350-40, </w:t>
      </w:r>
      <w:r>
        <w:rPr>
          <w:rFonts w:ascii="Arial" w:cs="Arial" w:eastAsia="Arial" w:hAnsi="Arial"/>
          <w:sz w:val="11"/>
          <w:szCs w:val="11"/>
          <w:i w:val="1"/>
          <w:iCs w:val="1"/>
          <w:color w:val="auto"/>
        </w:rPr>
        <w:t>Intangibles —</w:t>
      </w:r>
      <w:r>
        <w:rPr>
          <w:rFonts w:ascii="Arial" w:cs="Arial" w:eastAsia="Arial" w:hAnsi="Arial"/>
          <w:sz w:val="11"/>
          <w:szCs w:val="11"/>
          <w:color w:val="auto"/>
        </w:rPr>
        <w:t xml:space="preserve"> </w:t>
      </w:r>
      <w:r>
        <w:rPr>
          <w:rFonts w:ascii="Arial" w:cs="Arial" w:eastAsia="Arial" w:hAnsi="Arial"/>
          <w:sz w:val="11"/>
          <w:szCs w:val="11"/>
          <w:i w:val="1"/>
          <w:iCs w:val="1"/>
          <w:color w:val="auto"/>
        </w:rPr>
        <w:t>Goodwill and Other</w:t>
      </w:r>
      <w:r>
        <w:rPr>
          <w:rFonts w:ascii="Arial" w:cs="Arial" w:eastAsia="Arial" w:hAnsi="Arial"/>
          <w:sz w:val="11"/>
          <w:szCs w:val="11"/>
          <w:color w:val="auto"/>
        </w:rPr>
        <w:t>. Capitalizable costs consist of (a) certain external direct costs of materials and services incurred in developing or obtaining internal-use computer software and</w:t>
      </w:r>
    </w:p>
    <w:p>
      <w:pPr>
        <w:spacing w:after="0" w:line="1" w:lineRule="exact"/>
        <w:rPr>
          <w:sz w:val="20"/>
          <w:szCs w:val="20"/>
          <w:color w:val="auto"/>
        </w:rPr>
      </w:pPr>
    </w:p>
    <w:p>
      <w:pPr>
        <w:ind w:left="680" w:firstLine="7"/>
        <w:spacing w:after="0" w:line="280" w:lineRule="auto"/>
        <w:tabs>
          <w:tab w:leader="none" w:pos="866" w:val="left"/>
        </w:tabs>
        <w:numPr>
          <w:ilvl w:val="0"/>
          <w:numId w:val="24"/>
        </w:numPr>
        <w:rPr>
          <w:rFonts w:ascii="Arial" w:cs="Arial" w:eastAsia="Arial" w:hAnsi="Arial"/>
          <w:sz w:val="12"/>
          <w:szCs w:val="12"/>
          <w:color w:val="auto"/>
        </w:rPr>
      </w:pPr>
      <w:r>
        <w:rPr>
          <w:rFonts w:ascii="Arial" w:cs="Arial" w:eastAsia="Arial" w:hAnsi="Arial"/>
          <w:sz w:val="12"/>
          <w:szCs w:val="12"/>
          <w:color w:val="auto"/>
        </w:rPr>
        <w:t>payroll and payroll-related costs for employees who are directly associated with, and who devote time to, the project. These costs generally consist of internal labor during configuration, coding and testing activities. Research and development costs incurred during the preliminary project stage, or costs incurred for data conversion activities, training, maintenance and general and administrative or overhead costs, are expensed as incurred. Costs that cannot be separated between the maintenance of, and relatively minor upgrades and enhancements to, internal-use software are also expensed as incurred. Capitalization begins when (a) the preliminary project stage is complete, (b) management with the relevant authority authorizes and commits to the funding of the software project, (c) it is probable the project will be completed, (d) the software will be used to perform the functions intended, and (e) certain functional and quality standards have been met. Historically, no projects have had material costs beyond the preliminary project stage.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research and development efforts during 2010, 2009 and 2008 were primarily maintenance and data conversion activities related to our on-demand supply chain management solution. As such, we did not capitalize any research and development costs during 2010, 2009 or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review our long-lived assets for impairment whenever events or changes in circumstances indicate that the carrying amount may not be recoverable. The carrying amount of a long-lived asset is not recoverable if it exceeds the sum of the undiscounted cash flows expected to result from the use and eventual disposition of the asset at the date it is tested for recoverability, whether in use or under development. An impairment loss is measured as the amount by which the carrying amount of a long-lived asset exceeds its fair value. There has been no impairment of our long-lived assets to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provide for income taxes using the asset and liability method, which requires recognition of deferred tax assets and liabilities for the expected future tax consequences of events that have been included in the financial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statements. Under this method, deferred tax assets and liabilities are determined based on the difference between the financial statement and tax bases of assets and liabilities, using enacted tax rates in effect for the year in which the differences are expected to reverse. Deferred tax assets are reduced by a valuation allowance to the extent that utilization is not presently more likely than not.</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Revenues from our Trading Partner Integration and Trading Partner Intelligence solutions are generated through set-up fees and recurring monthly hosting fees. Revenues from our Trading Partner Enablement solutions are generally one-time service fees. In accordance with ASC 605-45, </w:t>
      </w:r>
      <w:r>
        <w:rPr>
          <w:rFonts w:ascii="Arial" w:cs="Arial" w:eastAsia="Arial" w:hAnsi="Arial"/>
          <w:sz w:val="13"/>
          <w:szCs w:val="13"/>
          <w:i w:val="1"/>
          <w:iCs w:val="1"/>
          <w:color w:val="auto"/>
        </w:rPr>
        <w:t>Revenue Recognition,</w:t>
      </w:r>
      <w:r>
        <w:rPr>
          <w:rFonts w:ascii="Arial" w:cs="Arial" w:eastAsia="Arial" w:hAnsi="Arial"/>
          <w:sz w:val="13"/>
          <w:szCs w:val="13"/>
          <w:color w:val="auto"/>
        </w:rPr>
        <w:t xml:space="preserve"> taxes are presented on a net-basis.</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 xml:space="preserve">Fees related to recurring monthly hosting services and one-time services are recognized when the services are provided. The recurring monthly fee is comprised of both a fixed and a transaction-based fee. Revenue is recorded in accordance with Staff Accounting Bulletin (SAB) 104, </w:t>
      </w:r>
      <w:r>
        <w:rPr>
          <w:rFonts w:ascii="Arial" w:cs="Arial" w:eastAsia="Arial" w:hAnsi="Arial"/>
          <w:sz w:val="11"/>
          <w:szCs w:val="11"/>
          <w:i w:val="1"/>
          <w:iCs w:val="1"/>
          <w:color w:val="auto"/>
        </w:rPr>
        <w:t>Revenue Recognition in Financial Statements,</w:t>
      </w:r>
      <w:r>
        <w:rPr>
          <w:rFonts w:ascii="Arial" w:cs="Arial" w:eastAsia="Arial" w:hAnsi="Arial"/>
          <w:sz w:val="11"/>
          <w:szCs w:val="11"/>
          <w:color w:val="auto"/>
        </w:rPr>
        <w:t xml:space="preserve"> when all of the following criteria are met:</w:t>
      </w:r>
    </w:p>
    <w:p>
      <w:pPr>
        <w:spacing w:after="0" w:line="1" w:lineRule="exact"/>
        <w:rPr>
          <w:sz w:val="20"/>
          <w:szCs w:val="20"/>
          <w:color w:val="auto"/>
        </w:rPr>
      </w:pPr>
    </w:p>
    <w:p>
      <w:pPr>
        <w:ind w:left="680" w:right="140" w:firstLine="7"/>
        <w:spacing w:after="0" w:line="264" w:lineRule="auto"/>
        <w:tabs>
          <w:tab w:leader="none" w:pos="866"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persuasive evidence of an arrangement exists, (2) delivery has occurred, (3) the fee is fixed and determinable, and (4) collectability is probable. If collection is not considered probable, revenues are recognized when the fees are collected.</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Set-up fees paid by customers in connection with our solutions, as well as associated direct and incremental costs such as labor and commissions, are deferred and recognized ratably over the expected life of the customer relationship, which is generally two years. We periodically evaluate the length of this amortization period, and adjust it as necessary, as more experience is gained with customer renewals, contract cancellations and technology changes requested by our customers. It is possible that, in the future, the estimates of expected customer lives may change and, if so, the periods over which such subscription set-up fees and costs are amortized will be adjusted. Any such change in the expected life of the customer relationship will affect our future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(Loss) Per Share</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Basic net income (loss) per share has been computed using the weighted average number of shares of common stock outstanding during each period. Diluted net income (loss) per share also includes the impact of our outstanding potential common shares, such as options, warrants and redeemable convertible preferred stock. Potential common shares that are anti-dilutive are excluded from the calculation of diluted net income (loss) per share.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jc w:val="both"/>
        <w:ind w:left="680" w:right="260" w:firstLine="399"/>
        <w:spacing w:after="0" w:line="260" w:lineRule="auto"/>
        <w:rPr>
          <w:sz w:val="20"/>
          <w:szCs w:val="20"/>
          <w:color w:val="auto"/>
        </w:rPr>
      </w:pPr>
      <w:r>
        <w:rPr>
          <w:rFonts w:ascii="Arial" w:cs="Arial" w:eastAsia="Arial" w:hAnsi="Arial"/>
          <w:sz w:val="13"/>
          <w:szCs w:val="13"/>
          <w:color w:val="auto"/>
        </w:rPr>
        <w:t xml:space="preserve">ASC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xml:space="preserve"> requires the cost of all share-based payments to employees, including grants of employee stock options, to be recognized in the financial statements based on the grant date fair value of those awards. In accordance with ASC 718, this cost is recognized over the period for which an employee is required to provide service in exchange for the award. ASC 718 also requires that the benefits associated with tax deductions in excess of recognized compensation expense be reported as a cash flow from financing activities.</w:t>
      </w:r>
    </w:p>
    <w:p>
      <w:pPr>
        <w:spacing w:after="0" w:line="7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significant judgment is required in determining the expected volatility of common stock and the expected term individuals will hold their share-based awards prior to exercising. Expected volatility of the stock is based on a peer group in the industry in which we do business because we do not have sufficient historical volatility data for our own common stock. The expected term of the options is based on evaluations of historical and expected future employee exercise behavior.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Advertising costs are charged to expense as incurred. Advertising costs were approximately $94,000, $56,000 and $85,000 for the years ended December 31, 2010, 2009 and 2008, respectively. Advertising costs are included in operating expenses in our statements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with the carrying value of the reporting unit. Fair value is determined using the direct market observation of market price and outstanding equity of the reporting unit at December 31. If the carrying value of goodwill exceeds the fair value of the reporting unit, goodwill may be impaired. If this occurs, the fair value is then allocated to the assets and liabilities in a manner similar to a purchase price allocation in order to determine the implied fair value of the reporting unit with goodwill. This implied fair value is then compared with the carrying amount of goodwill and, if it is less, we would then recognize an impairment loss in our financial statements. For the years ended December 31, 2009 and prior, the impairment test compared the carrying value of the company to the fair value of the company, which was based on a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jc w:val="both"/>
        <w:ind w:left="680" w:right="140" w:firstLine="399"/>
        <w:spacing w:after="0" w:line="371" w:lineRule="auto"/>
        <w:rPr>
          <w:sz w:val="20"/>
          <w:szCs w:val="20"/>
          <w:color w:val="auto"/>
        </w:rPr>
      </w:pPr>
      <w:r>
        <w:rPr>
          <w:rFonts w:ascii="Arial" w:cs="Arial" w:eastAsia="Arial" w:hAnsi="Arial"/>
          <w:sz w:val="11"/>
          <w:szCs w:val="11"/>
          <w:color w:val="auto"/>
        </w:rPr>
        <w:t>Intangible assets include subscriber relationships and covenants not-to-compete. The subscriber relationship asset is being amortized on a straight-line basis over three years, which approximates its respective useful life. The covenants not-to-compete are amortized on a straight-line basis over two years upon termination of employment of the respective employees.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Issue Costs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capitalize all debt issue costs and amortize them as interest expense over the term of the related debt.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We operate in and report on one segment, supply chain management solutions, based upon the provisions of ASC 280-10, </w:t>
      </w:r>
      <w:r>
        <w:rPr>
          <w:rFonts w:ascii="Arial" w:cs="Arial" w:eastAsia="Arial" w:hAnsi="Arial"/>
          <w:sz w:val="13"/>
          <w:szCs w:val="13"/>
          <w:i w:val="1"/>
          <w:iCs w:val="1"/>
          <w:color w:val="auto"/>
        </w:rPr>
        <w:t>Segment Reporting.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carrying amounts of our financial instruments, which include cash and cash equivalents, accounts receivable, accounts payable, and other accrued expenses, approximates fair value due to their short maturities. Based on borrowing rates currently available to us for loans with similar terms, the carrying value of debt and capital lease obligations approximates fair value.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 xml:space="preserve">In October 2009, the FASB issued ASU No. 2009-13, Revenue Recognition (ASC Topic 605), </w:t>
      </w:r>
      <w:r>
        <w:rPr>
          <w:rFonts w:ascii="Arial" w:cs="Arial" w:eastAsia="Arial" w:hAnsi="Arial"/>
          <w:sz w:val="13"/>
          <w:szCs w:val="13"/>
          <w:i w:val="1"/>
          <w:iCs w:val="1"/>
          <w:color w:val="auto"/>
        </w:rPr>
        <w:t>Multiple-Deliverable Revenue Arrangements, a consensus of the FASB Emerging Issues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Task Force. </w:t>
      </w:r>
      <w:r>
        <w:rPr>
          <w:rFonts w:ascii="Arial" w:cs="Arial" w:eastAsia="Arial" w:hAnsi="Arial"/>
          <w:sz w:val="13"/>
          <w:szCs w:val="13"/>
          <w:color w:val="auto"/>
        </w:rPr>
        <w:t>This guidance modifies the fair value requirements of ASC subtopic 605-25,</w:t>
      </w:r>
      <w:r>
        <w:rPr>
          <w:rFonts w:ascii="Arial" w:cs="Arial" w:eastAsia="Arial" w:hAnsi="Arial"/>
          <w:sz w:val="13"/>
          <w:szCs w:val="13"/>
          <w:i w:val="1"/>
          <w:iCs w:val="1"/>
          <w:color w:val="auto"/>
        </w:rPr>
        <w:t xml:space="preserve"> Revenue Recognition-Multiple Element Arrangements, </w:t>
      </w:r>
      <w:r>
        <w:rPr>
          <w:rFonts w:ascii="Arial" w:cs="Arial" w:eastAsia="Arial" w:hAnsi="Arial"/>
          <w:sz w:val="13"/>
          <w:szCs w:val="13"/>
          <w:color w:val="auto"/>
        </w:rPr>
        <w:t>by allowing the use of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selling price” in addition to Vendor Objective Evidence (now referred to as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71"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 xml:space="preserve">In October 2009, the FASB issued ASU No. 2009-14, Software (ASC Topic 985), </w:t>
      </w:r>
      <w:r>
        <w:rPr>
          <w:rFonts w:ascii="Arial" w:cs="Arial" w:eastAsia="Arial" w:hAnsi="Arial"/>
          <w:sz w:val="13"/>
          <w:szCs w:val="13"/>
          <w:i w:val="1"/>
          <w:iCs w:val="1"/>
          <w:color w:val="auto"/>
        </w:rPr>
        <w:t>Certain Revenue Arrangements That Include Software Elements, a consensus of the FASB Emerging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Issues Task Force. </w:t>
      </w:r>
      <w:r>
        <w:rPr>
          <w:rFonts w:ascii="Arial" w:cs="Arial" w:eastAsia="Arial" w:hAnsi="Arial"/>
          <w:sz w:val="13"/>
          <w:szCs w:val="13"/>
          <w:color w:val="auto"/>
        </w:rPr>
        <w:t>This guidance modifies the scope of ASC subtopic 965-605,</w:t>
      </w:r>
      <w:r>
        <w:rPr>
          <w:rFonts w:ascii="Arial" w:cs="Arial" w:eastAsia="Arial" w:hAnsi="Arial"/>
          <w:sz w:val="13"/>
          <w:szCs w:val="13"/>
          <w:i w:val="1"/>
          <w:iCs w:val="1"/>
          <w:color w:val="auto"/>
        </w:rPr>
        <w:t xml:space="preserve"> Software-Revenue Recognition, </w:t>
      </w:r>
      <w:r>
        <w:rPr>
          <w:rFonts w:ascii="Arial" w:cs="Arial" w:eastAsia="Arial" w:hAnsi="Arial"/>
          <w:sz w:val="13"/>
          <w:szCs w:val="13"/>
          <w:color w:val="auto"/>
        </w:rPr>
        <w:t>to exclude from its requirements (a) non-software components of tangible</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70" w:lineRule="exact"/>
        <w:rPr>
          <w:sz w:val="20"/>
          <w:szCs w:val="20"/>
          <w:color w:val="auto"/>
        </w:rPr>
      </w:pPr>
    </w:p>
    <w:p>
      <w:pPr>
        <w:ind w:left="680" w:right="860" w:firstLine="399"/>
        <w:spacing w:after="0" w:line="260" w:lineRule="auto"/>
        <w:rPr>
          <w:sz w:val="20"/>
          <w:szCs w:val="20"/>
          <w:color w:val="auto"/>
        </w:rPr>
      </w:pPr>
      <w:r>
        <w:rPr>
          <w:rFonts w:ascii="Arial" w:cs="Arial" w:eastAsia="Arial" w:hAnsi="Arial"/>
          <w:sz w:val="13"/>
          <w:szCs w:val="13"/>
          <w:color w:val="auto"/>
        </w:rPr>
        <w:t>ASU No. 2009-13 and ASU No. 2009-14 both require expanded qualitative and quantitative disclosures and are effective for fiscal years beginning on or after June 15, 2010. However, companies may elect to adopt the updated requirements as early as interim periods ended September 30, 2009. These updates may be applied either prospectively from the beginning of the fiscal year for new or materially modified arrangements or retrospectively. We do not expect the impact of adopting these updates to have a material impact on our financial statements.</w:t>
      </w:r>
    </w:p>
    <w:p>
      <w:pPr>
        <w:spacing w:after="0" w:line="70"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 xml:space="preserve">In January 2010, the FASB issued ASU No. 2010-06, Fair Value Measurements and Disclosures (ASC Topic 820), </w:t>
      </w:r>
      <w:r>
        <w:rPr>
          <w:rFonts w:ascii="Arial" w:cs="Arial" w:eastAsia="Arial" w:hAnsi="Arial"/>
          <w:sz w:val="13"/>
          <w:szCs w:val="13"/>
          <w:i w:val="1"/>
          <w:iCs w:val="1"/>
          <w:color w:val="auto"/>
        </w:rPr>
        <w:t>Improving Disclosures about Fair Value Measurements</w:t>
      </w:r>
      <w:r>
        <w:rPr>
          <w:rFonts w:ascii="Arial" w:cs="Arial" w:eastAsia="Arial" w:hAnsi="Arial"/>
          <w:sz w:val="13"/>
          <w:szCs w:val="13"/>
          <w:color w:val="auto"/>
        </w:rPr>
        <w:t>. ASU No. 2010-06 enhanced the disclosure requirements to include transfers in and out of Level 1 and 2 and the associated reasons. This update was effective for fiscal years beginning on or after December 15, 2009 and did not have a material impact on the financial statements. ASU No. 2010-06 also requires the disclosure of a disaggregated gross reconciliation of Level 3 fair value measurements, which is effective for fiscal years beginning on or after December 15, 2010. We do not expect the adoption of this portion of the update to have a material impact on our financial statements.</w:t>
      </w:r>
    </w:p>
    <w:p>
      <w:pPr>
        <w:spacing w:after="0" w:line="71"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 xml:space="preserve">In July 2010, the FASB issued ASU No. 2010-20, Receivables (ASC Topic 310), </w:t>
      </w:r>
      <w:r>
        <w:rPr>
          <w:rFonts w:ascii="Arial" w:cs="Arial" w:eastAsia="Arial" w:hAnsi="Arial"/>
          <w:sz w:val="13"/>
          <w:szCs w:val="13"/>
          <w:i w:val="1"/>
          <w:iCs w:val="1"/>
          <w:color w:val="auto"/>
        </w:rPr>
        <w:t>Disclosures about the Credit Quality of Financing Receivables and the Allowance for Credit Losses</w:t>
      </w:r>
      <w:r>
        <w:rPr>
          <w:rFonts w:ascii="Arial" w:cs="Arial" w:eastAsia="Arial" w:hAnsi="Arial"/>
          <w:sz w:val="13"/>
          <w:szCs w:val="13"/>
          <w:color w:val="auto"/>
        </w:rPr>
        <w:t>. ASU No. 2010-20 enhances the disclosure requirements about the credit quality and related allowance for credit losses of financing receivables. We will be required to disclose the nature of the inherent risk of receivables, the methodology and analytics that support that assessment, and support any changes to the allowance for doubtful accounts. We will also be required to provide a rollforward of the allowance and disclose the accounts receivable on a disaggregated basis. This update is effective for fiscal years beginning on or after December 15, 2010, and we do not expect this change to have a material impact on our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b w:val="1"/>
                <w:bCs w:val="1"/>
                <w:color w:val="auto"/>
              </w:rPr>
              <w:t>NOTE B —</w:t>
            </w:r>
          </w:p>
        </w:tc>
        <w:tc>
          <w:tcPr>
            <w:tcW w:w="3580" w:type="dxa"/>
            <w:vAlign w:val="bottom"/>
          </w:tcPr>
          <w:p>
            <w:pPr>
              <w:ind w:left="20"/>
              <w:spacing w:after="0"/>
              <w:rPr>
                <w:sz w:val="20"/>
                <w:szCs w:val="20"/>
                <w:color w:val="auto"/>
              </w:rPr>
            </w:pPr>
            <w:r>
              <w:rPr>
                <w:rFonts w:ascii="Arial" w:cs="Arial" w:eastAsia="Arial" w:hAnsi="Arial"/>
                <w:sz w:val="13"/>
                <w:szCs w:val="13"/>
                <w:b w:val="1"/>
                <w:bCs w:val="1"/>
                <w:color w:val="auto"/>
              </w:rPr>
              <w:t>Financial Statement Components</w:t>
            </w: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66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Allowance for Doubtful Accounts</w:t>
            </w:r>
          </w:p>
        </w:tc>
        <w:tc>
          <w:tcPr>
            <w:tcW w:w="3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660" w:type="dxa"/>
            <w:vAlign w:val="bottom"/>
            <w:gridSpan w:val="2"/>
          </w:tcPr>
          <w:p>
            <w:pPr>
              <w:ind w:left="400"/>
              <w:spacing w:after="0"/>
              <w:rPr>
                <w:sz w:val="20"/>
                <w:szCs w:val="20"/>
                <w:color w:val="auto"/>
              </w:rPr>
            </w:pPr>
            <w:r>
              <w:rPr>
                <w:rFonts w:ascii="Arial" w:cs="Arial" w:eastAsia="Arial" w:hAnsi="Arial"/>
                <w:sz w:val="13"/>
                <w:szCs w:val="13"/>
                <w:color w:val="auto"/>
                <w:w w:val="98"/>
              </w:rPr>
              <w:t>The allowance for doubtful accounts activity was as follows (in thousands):</w:t>
            </w:r>
          </w:p>
        </w:tc>
        <w:tc>
          <w:tcPr>
            <w:tcW w:w="3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3"/>
                <w:szCs w:val="13"/>
                <w:color w:val="auto"/>
                <w:w w:val="89"/>
              </w:rPr>
              <w:t>Balances, January 1</w:t>
            </w:r>
          </w:p>
        </w:tc>
        <w:tc>
          <w:tcPr>
            <w:tcW w:w="3580" w:type="dxa"/>
            <w:vAlign w:val="bottom"/>
            <w:shd w:val="clear" w:color="auto" w:fill="CCEEFF"/>
          </w:tcPr>
          <w:p>
            <w:pPr>
              <w:spacing w:after="0"/>
              <w:rPr>
                <w:sz w:val="13"/>
                <w:szCs w:val="13"/>
                <w:color w:val="auto"/>
              </w:rPr>
            </w:pP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tcPr>
          <w:p>
            <w:pPr>
              <w:ind w:left="140"/>
              <w:spacing w:after="0"/>
              <w:rPr>
                <w:sz w:val="20"/>
                <w:szCs w:val="20"/>
                <w:color w:val="auto"/>
              </w:rPr>
            </w:pPr>
            <w:r>
              <w:rPr>
                <w:rFonts w:ascii="Arial" w:cs="Arial" w:eastAsia="Arial" w:hAnsi="Arial"/>
                <w:sz w:val="13"/>
                <w:szCs w:val="13"/>
                <w:color w:val="auto"/>
              </w:rPr>
              <w:t>Provision for doubtful accounts</w:t>
            </w: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Write-offs, net of recoveries</w:t>
            </w:r>
          </w:p>
        </w:tc>
        <w:tc>
          <w:tcPr>
            <w:tcW w:w="3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60" w:type="dxa"/>
            <w:vAlign w:val="bottom"/>
            <w:gridSpan w:val="2"/>
            <w:vMerge w:val="restart"/>
          </w:tcPr>
          <w:p>
            <w:pPr>
              <w:spacing w:after="0"/>
              <w:rPr>
                <w:sz w:val="20"/>
                <w:szCs w:val="20"/>
                <w:color w:val="auto"/>
              </w:rPr>
            </w:pPr>
            <w:r>
              <w:rPr>
                <w:rFonts w:ascii="Arial" w:cs="Arial" w:eastAsia="Arial" w:hAnsi="Arial"/>
                <w:sz w:val="13"/>
                <w:szCs w:val="13"/>
                <w:color w:val="auto"/>
              </w:rPr>
              <w:t>Balances, December 31</w:t>
            </w:r>
          </w:p>
        </w:tc>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209</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40" w:type="dxa"/>
            <w:vAlign w:val="bottom"/>
          </w:tcPr>
          <w:p>
            <w:pPr>
              <w:jc w:val="right"/>
              <w:ind w:right="2774"/>
              <w:spacing w:after="0"/>
              <w:rPr>
                <w:sz w:val="20"/>
                <w:szCs w:val="20"/>
                <w:color w:val="auto"/>
              </w:rPr>
            </w:pPr>
            <w:r>
              <w:rPr>
                <w:rFonts w:ascii="Arial" w:cs="Arial" w:eastAsia="Arial" w:hAnsi="Arial"/>
                <w:sz w:val="13"/>
                <w:szCs w:val="13"/>
                <w:color w:val="auto"/>
              </w:rPr>
              <w:t>50</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included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62"/>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42"/>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9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rPr>
              <w:t>Carrying</w:t>
            </w:r>
          </w:p>
        </w:tc>
        <w:tc>
          <w:tcPr>
            <w:tcW w:w="100" w:type="dxa"/>
            <w:vAlign w:val="bottom"/>
          </w:tcPr>
          <w:p>
            <w:pPr>
              <w:spacing w:after="0"/>
              <w:rPr>
                <w:sz w:val="7"/>
                <w:szCs w:val="7"/>
                <w:color w:val="auto"/>
              </w:rPr>
            </w:pPr>
          </w:p>
        </w:tc>
        <w:tc>
          <w:tcPr>
            <w:tcW w:w="110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6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6"/>
              </w:rPr>
              <w:t>Net</w:t>
            </w:r>
          </w:p>
        </w:tc>
        <w:tc>
          <w:tcPr>
            <w:tcW w:w="880" w:type="dxa"/>
            <w:vAlign w:val="bottom"/>
            <w:gridSpan w:val="3"/>
          </w:tcPr>
          <w:p>
            <w:pPr>
              <w:jc w:val="right"/>
              <w:ind w:right="420"/>
              <w:spacing w:after="0" w:line="81" w:lineRule="exact"/>
              <w:rPr>
                <w:sz w:val="20"/>
                <w:szCs w:val="20"/>
                <w:color w:val="auto"/>
              </w:rPr>
            </w:pPr>
            <w:r>
              <w:rPr>
                <w:rFonts w:ascii="Arial" w:cs="Arial" w:eastAsia="Arial" w:hAnsi="Arial"/>
                <w:sz w:val="9"/>
                <w:szCs w:val="9"/>
                <w:b w:val="1"/>
                <w:bCs w:val="1"/>
                <w:color w:val="auto"/>
              </w:rPr>
              <w:t>Carrying</w:t>
            </w:r>
          </w:p>
        </w:tc>
        <w:tc>
          <w:tcPr>
            <w:tcW w:w="80" w:type="dxa"/>
            <w:vAlign w:val="bottom"/>
          </w:tcPr>
          <w:p>
            <w:pPr>
              <w:spacing w:after="0"/>
              <w:rPr>
                <w:sz w:val="7"/>
                <w:szCs w:val="7"/>
                <w:color w:val="auto"/>
              </w:rPr>
            </w:pPr>
          </w:p>
        </w:tc>
        <w:tc>
          <w:tcPr>
            <w:tcW w:w="112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7"/>
                <w:szCs w:val="7"/>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6"/>
              </w:rPr>
              <w:t>Net</w:t>
            </w:r>
          </w:p>
        </w:tc>
        <w:tc>
          <w:tcPr>
            <w:tcW w:w="0" w:type="dxa"/>
            <w:vAlign w:val="bottom"/>
          </w:tcPr>
          <w:p>
            <w:pPr>
              <w:spacing w:after="0"/>
              <w:rPr>
                <w:sz w:val="1"/>
                <w:szCs w:val="1"/>
                <w:color w:val="auto"/>
              </w:rPr>
            </w:pPr>
          </w:p>
        </w:tc>
      </w:tr>
      <w:tr>
        <w:trPr>
          <w:trHeight w:val="125"/>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8"/>
              </w:rPr>
              <w:t>Amortization</w:t>
            </w:r>
          </w:p>
        </w:tc>
        <w:tc>
          <w:tcPr>
            <w:tcW w:w="6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Subscriber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(1,930)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1,930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Covenants not-to-compete</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290</w:t>
            </w:r>
          </w:p>
        </w:tc>
        <w:tc>
          <w:tcPr>
            <w:tcW w:w="14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(290)</w:t>
            </w:r>
          </w:p>
        </w:tc>
        <w:tc>
          <w:tcPr>
            <w:tcW w:w="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(2,220)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290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2,510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290</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There was no amortization expense for the year ended December 31, 2010. Amortization expense was $156,000 and $788,000 for the years ended December 31, 2009 and 2008,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Issue Costs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Debt issue costs, included in other assets on our balance sheets, included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7"/>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w w:val="89"/>
              </w:rPr>
              <w:t>2010</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Debt issue costs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Accumulated amortization</w:t>
            </w:r>
          </w:p>
        </w:tc>
        <w:tc>
          <w:tcPr>
            <w:tcW w:w="80" w:type="dxa"/>
            <w:vAlign w:val="bottom"/>
          </w:tcPr>
          <w:p>
            <w:pPr>
              <w:spacing w:after="0"/>
              <w:rPr>
                <w:sz w:val="13"/>
                <w:szCs w:val="13"/>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Amortization expense was $1,000, $9,000 and $22,000 for the years ended December 31, 2010, 2009 and 2008.</w:t>
            </w: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24"/>
        </w:trPr>
        <w:tc>
          <w:tcPr>
            <w:tcW w:w="68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Accounts Payable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Accounts payable included the following (in thousands):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7"/>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Costs incurred for initial public offering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Other accounts payable</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998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1,027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$ 998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1,345</w:t>
            </w:r>
          </w:p>
        </w:tc>
        <w:tc>
          <w:tcPr>
            <w:tcW w:w="800" w:type="dxa"/>
            <w:vAlign w:val="bottom"/>
          </w:tcPr>
          <w:p>
            <w:pPr>
              <w:spacing w:after="0"/>
              <w:rPr>
                <w:sz w:val="14"/>
                <w:szCs w:val="14"/>
                <w:color w:val="auto"/>
              </w:rPr>
            </w:pPr>
          </w:p>
        </w:tc>
      </w:tr>
      <w:tr>
        <w:trPr>
          <w:trHeight w:val="333"/>
        </w:trPr>
        <w:tc>
          <w:tcPr>
            <w:tcW w:w="68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Accrued Expenses and Other Current Liabilities</w:t>
            </w: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Accrued expenses and other current liabilities included the following (in thousands):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7"/>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gridSpan w:val="3"/>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Costs accrued for initial public offering</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Other accrued expenses and other current liabilities</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807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819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5"/>
              </w:rPr>
              <w:t>$ 807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1,196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700" w:type="dxa"/>
            <w:vAlign w:val="bottom"/>
          </w:tcPr>
          <w:p>
            <w:pPr>
              <w:ind w:left="4940"/>
              <w:spacing w:after="0"/>
              <w:rPr>
                <w:sz w:val="20"/>
                <w:szCs w:val="20"/>
                <w:color w:val="auto"/>
              </w:rPr>
            </w:pPr>
            <w:r>
              <w:rPr>
                <w:rFonts w:ascii="Arial" w:cs="Arial" w:eastAsia="Arial" w:hAnsi="Arial"/>
                <w:sz w:val="13"/>
                <w:szCs w:val="13"/>
                <w:color w:val="auto"/>
              </w:rPr>
              <w:t>51</w:t>
            </w: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C —</w:t>
      </w:r>
      <w:r>
        <w:rPr>
          <w:sz w:val="20"/>
          <w:szCs w:val="20"/>
          <w:color w:val="auto"/>
        </w:rPr>
        <w:tab/>
      </w:r>
      <w:r>
        <w:rPr>
          <w:rFonts w:ascii="Arial" w:cs="Arial" w:eastAsia="Arial" w:hAnsi="Arial"/>
          <w:sz w:val="12"/>
          <w:szCs w:val="12"/>
          <w:b w:val="1"/>
          <w:bCs w:val="1"/>
          <w:color w:val="auto"/>
        </w:rPr>
        <w:t>Fair Value of Financial Instruments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 xml:space="preserve">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defines fair value as the price that would be received for an asset or paid to transfer a liability (an exit price) in the principal or most advantageous market for the asset or liability in an orderly transaction between market participants on the measurement date. ASC 820 also describes three levels of inputs that may be used to measure fair value:</w:t>
      </w:r>
    </w:p>
    <w:p>
      <w:pPr>
        <w:spacing w:after="0" w:line="6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Level 1 — quoted prices in active markets for identical assets and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Level 2 — observable inputs other than quoted prices in active markets for identical assets and liabilities.</w:t>
      </w:r>
    </w:p>
    <w:p>
      <w:pPr>
        <w:spacing w:after="0" w:line="86" w:lineRule="exact"/>
        <w:rPr>
          <w:rFonts w:ascii="Arial" w:cs="Arial" w:eastAsia="Arial" w:hAnsi="Arial"/>
          <w:sz w:val="13"/>
          <w:szCs w:val="13"/>
          <w:color w:val="auto"/>
        </w:rPr>
      </w:pPr>
    </w:p>
    <w:p>
      <w:pPr>
        <w:ind w:left="1080" w:right="1560" w:firstLine="10"/>
        <w:spacing w:after="0" w:line="428" w:lineRule="auto"/>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Level 3 — unobservable inputs in which there is little or no market data available, which require the reporting entity to develop its own assumptions. The table below presents our assets and liabilities measured at fair value on a recurring basis as of December 31, 2010 (in thousands):</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Total</w:t>
            </w:r>
          </w:p>
        </w:tc>
        <w:tc>
          <w:tcPr>
            <w:tcW w:w="4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Level 1</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Level 3</w:t>
            </w:r>
          </w:p>
        </w:tc>
      </w:tr>
      <w:tr>
        <w:trPr>
          <w:trHeight w:val="185"/>
        </w:trPr>
        <w:tc>
          <w:tcPr>
            <w:tcW w:w="65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   40,473</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   40,473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ind w:left="280"/>
              <w:spacing w:after="0"/>
              <w:rPr>
                <w:sz w:val="20"/>
                <w:szCs w:val="20"/>
                <w:color w:val="auto"/>
              </w:rPr>
            </w:pPr>
            <w:r>
              <w:rPr>
                <w:rFonts w:ascii="Arial" w:cs="Arial" w:eastAsia="Arial" w:hAnsi="Arial"/>
                <w:sz w:val="13"/>
                <w:szCs w:val="13"/>
                <w:color w:val="auto"/>
                <w:w w:val="76"/>
              </w:rPr>
              <w:t>—</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presents our assets and liabilities measured at fair value on a recurring basis as of December 31, 2009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w w:val="94"/>
              </w:rPr>
              <w:t>Level 1</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w w:val="88"/>
              </w:rPr>
              <w:t>Level 3</w:t>
            </w:r>
          </w:p>
        </w:tc>
      </w:tr>
      <w:tr>
        <w:trPr>
          <w:trHeight w:val="178"/>
        </w:trPr>
        <w:tc>
          <w:tcPr>
            <w:tcW w:w="67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5,931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5,931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Preferred stock warrants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569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569</w:t>
            </w:r>
          </w:p>
        </w:tc>
      </w:tr>
    </w:tbl>
    <w:p>
      <w:pPr>
        <w:spacing w:after="0" w:line="81"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previously had warrants outstanding to purchase 68,201 shares of our Series B redeemable convertible preferred stock. With the completion of our initial public offering in April 2010, these warrants were converted into warrants to purchase common stock and the related liability was transferred to additional paid-in capital in our balance sheets. See Note F for additional information. The table below presents a reconciliation of these preferred stock warrants, which were measured at fair value on a recurring basis using significant unobservable inputs (Level 3 inputs) (in thousands):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January 1, 2009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188</w:t>
            </w:r>
          </w:p>
        </w:tc>
      </w:tr>
      <w:tr>
        <w:trPr>
          <w:trHeight w:val="157"/>
        </w:trPr>
        <w:tc>
          <w:tcPr>
            <w:tcW w:w="9600" w:type="dxa"/>
            <w:vAlign w:val="bottom"/>
            <w:gridSpan w:val="2"/>
          </w:tcPr>
          <w:p>
            <w:pPr>
              <w:ind w:left="140"/>
              <w:spacing w:after="0"/>
              <w:rPr>
                <w:sz w:val="20"/>
                <w:szCs w:val="20"/>
                <w:color w:val="auto"/>
              </w:rPr>
            </w:pPr>
            <w:r>
              <w:rPr>
                <w:rFonts w:ascii="Arial" w:cs="Arial" w:eastAsia="Arial" w:hAnsi="Arial"/>
                <w:sz w:val="13"/>
                <w:szCs w:val="13"/>
                <w:color w:val="auto"/>
              </w:rPr>
              <w:t>Total losses recognized</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40" w:type="dxa"/>
            <w:vAlign w:val="bottom"/>
          </w:tcPr>
          <w:p>
            <w:pPr>
              <w:spacing w:after="0"/>
              <w:rPr>
                <w:sz w:val="13"/>
                <w:szCs w:val="13"/>
                <w:color w:val="auto"/>
              </w:rPr>
            </w:pPr>
          </w:p>
        </w:tc>
      </w:tr>
      <w:tr>
        <w:trPr>
          <w:trHeight w:val="157"/>
        </w:trPr>
        <w:tc>
          <w:tcPr>
            <w:tcW w:w="9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2009</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569</w:t>
            </w:r>
          </w:p>
        </w:tc>
      </w:tr>
      <w:tr>
        <w:trPr>
          <w:trHeight w:val="157"/>
        </w:trPr>
        <w:tc>
          <w:tcPr>
            <w:tcW w:w="9600" w:type="dxa"/>
            <w:vAlign w:val="bottom"/>
            <w:gridSpan w:val="2"/>
          </w:tcPr>
          <w:p>
            <w:pPr>
              <w:ind w:left="140"/>
              <w:spacing w:after="0"/>
              <w:rPr>
                <w:sz w:val="20"/>
                <w:szCs w:val="20"/>
                <w:color w:val="auto"/>
              </w:rPr>
            </w:pPr>
            <w:r>
              <w:rPr>
                <w:rFonts w:ascii="Arial" w:cs="Arial" w:eastAsia="Arial" w:hAnsi="Arial"/>
                <w:sz w:val="13"/>
                <w:szCs w:val="13"/>
                <w:color w:val="auto"/>
              </w:rPr>
              <w:t>Total losses recognized</w:t>
            </w:r>
          </w:p>
        </w:tc>
        <w:tc>
          <w:tcPr>
            <w:tcW w:w="8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r>
      <w:tr>
        <w:trPr>
          <w:trHeight w:val="157"/>
        </w:trPr>
        <w:tc>
          <w:tcPr>
            <w:tcW w:w="9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Converted into warrants to purchase common stock and liability transferred to additional paid-in capital</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(596)</w:t>
            </w:r>
          </w:p>
        </w:tc>
      </w:tr>
      <w:tr>
        <w:trPr>
          <w:trHeight w:val="166"/>
        </w:trPr>
        <w:tc>
          <w:tcPr>
            <w:tcW w:w="9600" w:type="dxa"/>
            <w:vAlign w:val="bottom"/>
            <w:gridSpan w:val="2"/>
          </w:tcPr>
          <w:p>
            <w:pPr>
              <w:spacing w:after="0"/>
              <w:rPr>
                <w:sz w:val="20"/>
                <w:szCs w:val="20"/>
                <w:color w:val="auto"/>
              </w:rPr>
            </w:pPr>
            <w:r>
              <w:rPr>
                <w:rFonts w:ascii="Arial" w:cs="Arial" w:eastAsia="Arial" w:hAnsi="Arial"/>
                <w:sz w:val="13"/>
                <w:szCs w:val="13"/>
                <w:color w:val="auto"/>
              </w:rPr>
              <w:t>Balance at December 31, 2010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r>
      <w:tr>
        <w:trPr>
          <w:trHeight w:val="333"/>
        </w:trPr>
        <w:tc>
          <w:tcPr>
            <w:tcW w:w="840" w:type="dxa"/>
            <w:vAlign w:val="bottom"/>
          </w:tcPr>
          <w:p>
            <w:pPr>
              <w:spacing w:after="0"/>
              <w:rPr>
                <w:sz w:val="20"/>
                <w:szCs w:val="20"/>
                <w:color w:val="auto"/>
              </w:rPr>
            </w:pPr>
            <w:r>
              <w:rPr>
                <w:rFonts w:ascii="Arial" w:cs="Arial" w:eastAsia="Arial" w:hAnsi="Arial"/>
                <w:sz w:val="13"/>
                <w:szCs w:val="13"/>
                <w:b w:val="1"/>
                <w:bCs w:val="1"/>
                <w:color w:val="auto"/>
              </w:rPr>
              <w:t>NOTE D —</w:t>
            </w:r>
          </w:p>
        </w:tc>
        <w:tc>
          <w:tcPr>
            <w:tcW w:w="8760" w:type="dxa"/>
            <w:vAlign w:val="bottom"/>
          </w:tcPr>
          <w:p>
            <w:pPr>
              <w:ind w:left="1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8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previously maintained a credit facility with BlueCrest Venture Finance Master Fund Limited which provided us a series of equipment and term loans as well as a revolving line of credit. We terminated this credit facility, effective March 31, 2010, such that no new borrowings will be made and all related outstanding indebtedness was repaid during the quarter ended June 30, 2010.</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March 2009, we agreed to terms with a lender to provide for equipment loans in the aggregate amount not to exceed $1,100,000. All loans were payable in 36 monthly installments of principal and interest at 12.75%. We also entered into an equipment loan with the same lender in March 2008 to provide equipment loans in the aggregate amount not to exceed $1,250,000. All loans were payable in 36 monthly installments of principal and interest at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spacing w:after="0" w:line="264" w:lineRule="auto"/>
        <w:rPr>
          <w:sz w:val="20"/>
          <w:szCs w:val="20"/>
          <w:color w:val="auto"/>
        </w:rPr>
      </w:pPr>
      <w:r>
        <w:rPr>
          <w:rFonts w:ascii="Arial" w:cs="Arial" w:eastAsia="Arial" w:hAnsi="Arial"/>
          <w:sz w:val="13"/>
          <w:szCs w:val="13"/>
          <w:color w:val="auto"/>
        </w:rPr>
        <w:t>9.25% plus the greater of 2.55% or the yield for the three-year U.S. Treasury note on the date of the advance. We entered into an equipment loan agreement with the same lender in March 2007 to provide an aggregate amount not to exceed $1,250,000. All loans were payable in 36 monthly installments of principal and interest at 7.20% plus the greater of 4.84% or the yield for the three-year U.S. treasury note on the date of the advance.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February 2006, we entered into a loan and security agreement with the same lender which included a $2,000,000 term loan, an equipment loan not to exceed an aggregate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$1,250,000, and a revolving line of credit. The revolving line of credit was limited to the lesser of $1,250,000 or 85% of eligible domestic accounts receivable plus 70% of eligible foreign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accounts receivable less any reserves. In April 2009, we agreed to terms for a renewal of the revolving line of credit which provided for available borrowings up to $3,500,000 based 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eligible receivables, and expired on March 31, 2010.</w:t>
      </w:r>
    </w:p>
    <w:p>
      <w:pPr>
        <w:spacing w:after="0" w:line="89" w:lineRule="exact"/>
        <w:rPr>
          <w:sz w:val="20"/>
          <w:szCs w:val="20"/>
          <w:color w:val="auto"/>
        </w:rPr>
      </w:pPr>
    </w:p>
    <w:p>
      <w:pPr>
        <w:ind w:left="680" w:right="1060" w:firstLine="399"/>
        <w:spacing w:after="0" w:line="296" w:lineRule="auto"/>
        <w:rPr>
          <w:sz w:val="20"/>
          <w:szCs w:val="20"/>
          <w:color w:val="auto"/>
        </w:rPr>
      </w:pPr>
      <w:r>
        <w:rPr>
          <w:rFonts w:ascii="Arial" w:cs="Arial" w:eastAsia="Arial" w:hAnsi="Arial"/>
          <w:sz w:val="12"/>
          <w:szCs w:val="12"/>
          <w:color w:val="auto"/>
        </w:rPr>
        <w:t>Each loan was collateralized by substantially all of our assets and contained certain nonfinancial covenants with which we were in compliance at December 31, 2009 and through March 31, 2010. The fair value of the preferred stock warrant issued in connection with the loan and security agreement was $160,000 and was recorded as a debt discount. This debt discount was amortized to interest expense over the weighted average life of the term loan, equipment loan and the revolving line of credit.</w:t>
      </w:r>
    </w:p>
    <w:p>
      <w:pPr>
        <w:spacing w:after="0" w:line="50"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At December 31, 2009, outstanding borrowings under the revolving line of credit were $1,500,000 with an effective interest rate of 9.00%. At December 31, 2010, there were no outstanding borrowings under the revolving line of credit.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Equipment loans included in long-term debt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60" w:type="dxa"/>
            <w:vAlign w:val="bottom"/>
          </w:tcPr>
          <w:p>
            <w:pPr>
              <w:spacing w:after="0"/>
              <w:rPr>
                <w:sz w:val="10"/>
                <w:szCs w:val="10"/>
                <w:color w:val="auto"/>
              </w:rPr>
            </w:pPr>
          </w:p>
        </w:tc>
        <w:tc>
          <w:tcPr>
            <w:tcW w:w="11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December 31,</w:t>
            </w:r>
          </w:p>
        </w:tc>
      </w:tr>
      <w:tr>
        <w:trPr>
          <w:trHeight w:val="98"/>
        </w:trPr>
        <w:tc>
          <w:tcPr>
            <w:tcW w:w="88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r>
      <w:tr>
        <w:trPr>
          <w:trHeight w:val="29"/>
        </w:trPr>
        <w:tc>
          <w:tcPr>
            <w:tcW w:w="8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860" w:type="dxa"/>
            <w:vAlign w:val="bottom"/>
            <w:shd w:val="clear" w:color="auto" w:fill="CCEEFF"/>
          </w:tcPr>
          <w:p>
            <w:pPr>
              <w:spacing w:after="0"/>
              <w:rPr>
                <w:sz w:val="20"/>
                <w:szCs w:val="20"/>
                <w:color w:val="auto"/>
              </w:rPr>
            </w:pPr>
            <w:r>
              <w:rPr>
                <w:rFonts w:ascii="Arial" w:cs="Arial" w:eastAsia="Arial" w:hAnsi="Arial"/>
                <w:sz w:val="13"/>
                <w:szCs w:val="13"/>
                <w:color w:val="auto"/>
              </w:rPr>
              <w:t>Various equipment loans — interest ranging from 11.49% to 12.53% and originally due at dates through January 1, 2012</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r>
      <w:tr>
        <w:trPr>
          <w:trHeight w:val="157"/>
        </w:trPr>
        <w:tc>
          <w:tcPr>
            <w:tcW w:w="8860" w:type="dxa"/>
            <w:vAlign w:val="bottom"/>
          </w:tcPr>
          <w:p>
            <w:pPr>
              <w:spacing w:after="0"/>
              <w:rPr>
                <w:sz w:val="20"/>
                <w:szCs w:val="20"/>
                <w:color w:val="auto"/>
              </w:rPr>
            </w:pPr>
            <w:r>
              <w:rPr>
                <w:rFonts w:ascii="Arial" w:cs="Arial" w:eastAsia="Arial" w:hAnsi="Arial"/>
                <w:sz w:val="13"/>
                <w:szCs w:val="13"/>
                <w:color w:val="auto"/>
              </w:rPr>
              <w:t>Less: current maturities</w:t>
            </w: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(499)</w:t>
            </w:r>
          </w:p>
        </w:tc>
      </w:tr>
      <w:tr>
        <w:trPr>
          <w:trHeight w:val="20"/>
        </w:trPr>
        <w:tc>
          <w:tcPr>
            <w:tcW w:w="8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long-term debt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r>
      <w:tr>
        <w:trPr>
          <w:trHeight w:val="29"/>
        </w:trPr>
        <w:tc>
          <w:tcPr>
            <w:tcW w:w="8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E —</w:t>
      </w:r>
      <w:r>
        <w:rPr>
          <w:sz w:val="20"/>
          <w:szCs w:val="20"/>
          <w:color w:val="auto"/>
        </w:rPr>
        <w:tab/>
      </w:r>
      <w:r>
        <w:rPr>
          <w:rFonts w:ascii="Arial" w:cs="Arial" w:eastAsia="Arial" w:hAnsi="Arial"/>
          <w:sz w:val="11"/>
          <w:szCs w:val="11"/>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Leases</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We lease certain computer equipment and purchased software under capital leases that bear an interest rate of 10.75%. A summary of our property under these leases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600"/>
              <w:spacing w:after="0"/>
              <w:rPr>
                <w:sz w:val="20"/>
                <w:szCs w:val="20"/>
                <w:color w:val="auto"/>
              </w:rPr>
            </w:pPr>
            <w:r>
              <w:rPr>
                <w:rFonts w:ascii="Arial" w:cs="Arial" w:eastAsia="Arial" w:hAnsi="Arial"/>
                <w:sz w:val="10"/>
                <w:szCs w:val="10"/>
                <w:b w:val="1"/>
                <w:bCs w:val="1"/>
                <w:color w:val="auto"/>
              </w:rPr>
              <w:t>December 31,</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8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20"/>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purchased software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1,664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tcBorders>
              <w:left w:val="single" w:sz="8" w:color="CCEEFF"/>
            </w:tcBorders>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140" w:type="dxa"/>
            <w:vAlign w:val="bottom"/>
          </w:tcPr>
          <w:p>
            <w:pPr>
              <w:spacing w:after="0"/>
              <w:rPr>
                <w:sz w:val="20"/>
                <w:szCs w:val="20"/>
                <w:color w:val="auto"/>
              </w:rPr>
            </w:pPr>
            <w:r>
              <w:rPr>
                <w:rFonts w:ascii="Arial" w:cs="Arial" w:eastAsia="Arial" w:hAnsi="Arial"/>
                <w:sz w:val="13"/>
                <w:szCs w:val="13"/>
                <w:color w:val="auto"/>
              </w:rPr>
              <w:t>Accumulated amortization</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(470)</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(892)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tcBorders>
              <w:left w:val="single" w:sz="8" w:color="CCEEFF"/>
            </w:tcBorders>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8140" w:type="dxa"/>
            <w:vAlign w:val="bottom"/>
          </w:tcPr>
          <w:p>
            <w:pPr>
              <w:ind w:left="400"/>
              <w:spacing w:after="0"/>
              <w:rPr>
                <w:sz w:val="20"/>
                <w:szCs w:val="20"/>
                <w:color w:val="auto"/>
              </w:rPr>
            </w:pPr>
            <w:r>
              <w:rPr>
                <w:rFonts w:ascii="Arial" w:cs="Arial" w:eastAsia="Arial" w:hAnsi="Arial"/>
                <w:sz w:val="13"/>
                <w:szCs w:val="13"/>
                <w:color w:val="auto"/>
              </w:rPr>
              <w:t>At December 31, 2010, future minimum payments under capital leases were as follows (in thousands):</w:t>
            </w: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00"/>
        </w:trPr>
        <w:tc>
          <w:tcPr>
            <w:tcW w:w="680" w:type="dxa"/>
            <w:vAlign w:val="bottom"/>
          </w:tcPr>
          <w:p>
            <w:pPr>
              <w:spacing w:after="0"/>
              <w:rPr>
                <w:sz w:val="8"/>
                <w:szCs w:val="8"/>
                <w:color w:val="auto"/>
              </w:rPr>
            </w:pPr>
          </w:p>
        </w:tc>
        <w:tc>
          <w:tcPr>
            <w:tcW w:w="8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40" w:type="dxa"/>
            <w:vAlign w:val="bottom"/>
            <w:tcBorders>
              <w:left w:val="single" w:sz="8" w:color="CCEEFF"/>
            </w:tcBorders>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140" w:type="dxa"/>
            <w:vAlign w:val="bottom"/>
          </w:tcPr>
          <w:p>
            <w:pPr>
              <w:ind w:left="140"/>
              <w:spacing w:after="0"/>
              <w:rPr>
                <w:sz w:val="20"/>
                <w:szCs w:val="20"/>
                <w:color w:val="auto"/>
              </w:rPr>
            </w:pPr>
            <w:r>
              <w:rPr>
                <w:rFonts w:ascii="Arial" w:cs="Arial" w:eastAsia="Arial" w:hAnsi="Arial"/>
                <w:sz w:val="13"/>
                <w:szCs w:val="13"/>
                <w:color w:val="auto"/>
              </w:rPr>
              <w:t>Less: amount representing interest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8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40" w:type="dxa"/>
            <w:vAlign w:val="bottom"/>
            <w:tcBorders>
              <w:left w:val="single" w:sz="8" w:color="CCEEFF"/>
            </w:tcBorders>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140" w:type="dxa"/>
            <w:vAlign w:val="bottom"/>
          </w:tcPr>
          <w:p>
            <w:pPr>
              <w:ind w:left="140"/>
              <w:spacing w:after="0"/>
              <w:rPr>
                <w:sz w:val="20"/>
                <w:szCs w:val="20"/>
                <w:color w:val="auto"/>
              </w:rPr>
            </w:pPr>
            <w:r>
              <w:rPr>
                <w:rFonts w:ascii="Arial" w:cs="Arial" w:eastAsia="Arial" w:hAnsi="Arial"/>
                <w:sz w:val="13"/>
                <w:szCs w:val="13"/>
                <w:color w:val="auto"/>
              </w:rPr>
              <w:t>Less: current portion</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(122)</w:t>
            </w:r>
          </w:p>
        </w:tc>
        <w:tc>
          <w:tcPr>
            <w:tcW w:w="8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left w:val="single" w:sz="8" w:color="CCEEFF"/>
            </w:tcBorders>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140" w:type="dxa"/>
            <w:vAlign w:val="bottom"/>
          </w:tcPr>
          <w:p>
            <w:pPr>
              <w:ind w:left="494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are obligated under non-cancellable operating leases primarily for office space. Rent expense charged to operations was $684,000, $682,000 and $663,000 for the years ended December 31, 2010, 2009 and 2008, respectively.</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9180" w:type="dxa"/>
            <w:vAlign w:val="bottom"/>
            <w:gridSpan w:val="2"/>
          </w:tcPr>
          <w:p>
            <w:pPr>
              <w:jc w:val="right"/>
              <w:ind w:right="3600"/>
              <w:spacing w:after="0"/>
              <w:rPr>
                <w:sz w:val="20"/>
                <w:szCs w:val="20"/>
                <w:color w:val="auto"/>
              </w:rPr>
            </w:pPr>
            <w:r>
              <w:rPr>
                <w:rFonts w:ascii="Arial" w:cs="Arial" w:eastAsia="Arial" w:hAnsi="Arial"/>
                <w:sz w:val="13"/>
                <w:szCs w:val="13"/>
                <w:color w:val="auto"/>
                <w:w w:val="91"/>
              </w:rPr>
              <w:t>At December 31, 2010, future minimum payments under operating leases were as follows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34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3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2011</w:t>
            </w:r>
          </w:p>
        </w:tc>
        <w:tc>
          <w:tcPr>
            <w:tcW w:w="9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w:t>
            </w:r>
          </w:p>
        </w:tc>
      </w:tr>
      <w:tr>
        <w:trPr>
          <w:trHeight w:val="157"/>
        </w:trPr>
        <w:tc>
          <w:tcPr>
            <w:tcW w:w="340" w:type="dxa"/>
            <w:vAlign w:val="bottom"/>
          </w:tcPr>
          <w:p>
            <w:pPr>
              <w:jc w:val="right"/>
              <w:spacing w:after="0"/>
              <w:rPr>
                <w:sz w:val="20"/>
                <w:szCs w:val="20"/>
                <w:color w:val="auto"/>
              </w:rPr>
            </w:pPr>
            <w:r>
              <w:rPr>
                <w:rFonts w:ascii="Arial" w:cs="Arial" w:eastAsia="Arial" w:hAnsi="Arial"/>
                <w:sz w:val="13"/>
                <w:szCs w:val="13"/>
                <w:color w:val="auto"/>
                <w:w w:val="89"/>
              </w:rPr>
              <w:t>2012</w:t>
            </w:r>
          </w:p>
        </w:tc>
        <w:tc>
          <w:tcPr>
            <w:tcW w:w="9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996</w:t>
            </w:r>
          </w:p>
        </w:tc>
      </w:tr>
      <w:tr>
        <w:trPr>
          <w:trHeight w:val="20"/>
        </w:trPr>
        <w:tc>
          <w:tcPr>
            <w:tcW w:w="3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40" w:type="dxa"/>
            <w:vAlign w:val="bottom"/>
            <w:shd w:val="clear" w:color="auto" w:fill="CCEEFF"/>
          </w:tcPr>
          <w:p>
            <w:pPr>
              <w:spacing w:after="0"/>
              <w:rPr>
                <w:sz w:val="13"/>
                <w:szCs w:val="13"/>
                <w:color w:val="auto"/>
              </w:rPr>
            </w:pPr>
          </w:p>
        </w:tc>
        <w:tc>
          <w:tcPr>
            <w:tcW w:w="9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1,916</w:t>
            </w:r>
          </w:p>
        </w:tc>
      </w:tr>
      <w:tr>
        <w:trPr>
          <w:trHeight w:val="29"/>
        </w:trPr>
        <w:tc>
          <w:tcPr>
            <w:tcW w:w="34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Incentive Agreements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board of directors previously approved management incentive agreements that provide for a bonus to be paid to certain executive officers upon a sale of the company. The aggregate bonus is equal to 0.322% of the amount of the purchase price, as defined, exceeding $25,000,000 and less than $65,000,000. The aggregate bonus under these agreements is limited to $150,000. These management incentive agreements terminate on June 30, 2012, regardless of employment status. At December 31, 2010 and 2009, no expense or liability had been recorded relating to these agreements.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Contingencies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are involved in various claims and legal actions in the normal course of business. Our management believes that the outcome of such claims and legal actions will not have a significant adverse effect on our financial position, results of operations or cash flows.</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F —</w:t>
      </w:r>
      <w:r>
        <w:rPr>
          <w:sz w:val="20"/>
          <w:szCs w:val="20"/>
          <w:color w:val="auto"/>
        </w:rPr>
        <w:tab/>
      </w:r>
      <w:r>
        <w:rPr>
          <w:rFonts w:ascii="Arial" w:cs="Arial" w:eastAsia="Arial" w:hAnsi="Arial"/>
          <w:sz w:val="11"/>
          <w:szCs w:val="11"/>
          <w:b w:val="1"/>
          <w:bCs w:val="1"/>
          <w:color w:val="auto"/>
        </w:rPr>
        <w:t>Redeemable Convertible Preferred Stock and Stockholders’ Equity (Deficit)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Reverse Stock Split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April 13, 2010, we effected a 0.267 for 1 reverse stock split in the form of a combination of our outstanding stock. All share and per share amounts in the accompanying financial statements and notes have been retroactively adjusted for all periods presented to give effect to the reverse stock split.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96"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On April 27, 2010, we completed our initial public offering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5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At the close of the initial public offering, our outstanding shares of redeemable convertible preferred stock were automatically converted into 8,093,826 shares of common stock and warrants to purchase 68,201 shares of redeemable convertible preferred stock were converted into warrants to purchase 68,201 shares of common stock. Accordingly, the related warrant liability of approximately $596,000 was transferred to additional paid-in capital in our balance sheet. These common stock warrants have an exercise price of $3.67 per share and expiration dates ranging from May 2011 to February 2016.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Secondary Stock Offering</w:t>
      </w:r>
    </w:p>
    <w:p>
      <w:pPr>
        <w:spacing w:after="0" w:line="96"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On December 3, 2010, we completed a secondary stock offering of 3,301,926 shares of common stock at an offering price of $12.25 per share. We issued and sold 115,000 shares, including 15,000 shares sold pursuant to the exercise in full of the underwriters’ over-allotment option, and the selling stockholders sold 3,186,926 shares. We received proceeds of approximately $1.0 million after payment of underwriting discounts and commissions and legal, accounting and other fees incurred in connection with the offering.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 Warrants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As discussed above, we previously had warrants outstanding to purchase 68,201 shares of our Series B redeemable convertible preferred stock. These warrants had an exercise price of $3.67 per share and expiration dates ranging from May 2011 to February 2016. We classified these outstanding warrants as a liability in our balance sheets. These warrants were subject to revaluation at each balance sheet date and any change in fair market value was recognized as a component of other income (expense) in our statements of operations.</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Prior to the conversion of the preferred stock warrants into common stock warrants, we recorded other expense of $27,000, $381,000 and $45,000 for the years ended December 31, 2010, 2009 and 2008, respectively, for changes in the fair market value of these warrants.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Redeemable Convertible Preferred Stock</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As discussed above, we previously had issued various classes of redeemable convertible preferred stock. The holders of our Series A, B, and C redeemable convertible preferred stock had the option to put their shares back to the company at the liquidation preference value, as defined in the Certificate of Incorporation, in the event of any liquidation, dissolution or winding up of the company, as defined.</w:t>
      </w:r>
    </w:p>
    <w:p>
      <w:pPr>
        <w:spacing w:after="0" w:line="67"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None of the Series A, B and C redeemable convertible preferred stock had a mandatory redemption feature. In the event of a liquidation, as defined, the holders of Series C redeemable convertible preferred stock were entitled to receive, prior to and in preference to any distribution of any assets or surplus funds of the company to the holders of Series A and B redeemable convertible preferred stock or common stock, an amount in cash equal to $5.99 per share plus accrued unpaid dividends. After the liquidation payment to Series C redeemable convertible preferred stockholders, the holders of Series B redeemable convertible preferred stock were entitled to receive, prior to and in preference to any distribution of any assets or surplus funds of the company to the holders of Series A redeemable convertible preferred stock or common stock, an amount in cash equal to $3.67 per share plus accrued unpaid dividends. After the liquidation payment of Series B redeemable convertible preferred stockholders, the holders of Series A redeemable convertible preferred stock were entitled to receive, prior to and in preference to any distribution of any assets or surplus funds of the company to the holders of common stock, an amount in cash equal to $8.65 per share plus accrued unpaid dividends. After the liquidation payment to Series A, B and C redeemable convertible preferred stockholders, holders of common stock and Series A, B and C redeemable convertible preferred stock would share pro rata in the remaining assets of the company.</w:t>
      </w:r>
    </w:p>
    <w:p>
      <w:pPr>
        <w:spacing w:after="0" w:line="6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Each share of Series A, B, and C redeemable convertible preferred stock, at the option of the holder, was convertible into common shares at a conversion ratio equal to the conversion value divided by the conversion price. The conversion ratio was 1 to 1 at December 31, 2009. The conversion value and conversion price were initially set in our Fifth Amended and Restated Certificate of Incorporation at $8.65, $3.67 and $5.99 for the Series A, B and C redeemable convertible preferred stock, respectively. The conversion price was subject to adjustment for certain dilutive issuances. We had not issued any dilutive instruments which would adjust the conversion price and, therefore, the conversion value and the conversion price had not changed since they were initially set.</w:t>
      </w:r>
    </w:p>
    <w:p>
      <w:pPr>
        <w:spacing w:after="0" w:line="71"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Each share of Series A, B and C redeemable convertible preferred stock were to be automatically and immediately converted into shares of common stock upon the closing of a public offering pursuant to an effective registration statement at the then effective conversion ratio, if the offering price per share was not less than $13.45 and the gross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proceeds to the company were at least $20,000,000. Each share of redeemable convertible preferred stock was subject to weighted-average anti-dilution price protection. The holders of the redeemable convertible preferred stock were entitled to dividends only when declared. No dividends had been declared since the issuance of the redeemable convertible preferred stock. The holders of Series A, B and C redeemable convertible preferred stock were generally entitled to vote on all matters submitted to a vote of stockholders, except those required by law to be submitted to a class vote.</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G —</w:t>
      </w:r>
      <w:r>
        <w:rPr>
          <w:sz w:val="20"/>
          <w:szCs w:val="20"/>
          <w:color w:val="auto"/>
        </w:rPr>
        <w:tab/>
      </w:r>
      <w:r>
        <w:rPr>
          <w:rFonts w:ascii="Arial" w:cs="Arial" w:eastAsia="Arial" w:hAnsi="Arial"/>
          <w:sz w:val="11"/>
          <w:szCs w:val="11"/>
          <w:b w:val="1"/>
          <w:bCs w:val="1"/>
          <w:color w:val="auto"/>
        </w:rPr>
        <w:t>Stock-Based Compensation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December 31, 2010, there were approximately 358,351 shares available for grant under approved equity compensation plans.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recorded non-cash stock-based compensation expense of $750,000, $228,000 and $157,000 for the years ended December 31, 2010, 2009 and 2008, respectively. This expense was allocated as follows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4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$ 103</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Operating expenses:</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jc w:val="right"/>
              <w:spacing w:after="0"/>
              <w:rPr>
                <w:sz w:val="20"/>
                <w:szCs w:val="20"/>
                <w:color w:val="auto"/>
              </w:rPr>
            </w:pPr>
            <w:r>
              <w:rPr>
                <w:rFonts w:ascii="Arial" w:cs="Arial" w:eastAsia="Arial" w:hAnsi="Arial"/>
                <w:sz w:val="13"/>
                <w:szCs w:val="13"/>
                <w:color w:val="auto"/>
              </w:rPr>
              <w:t>20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92"/>
              </w:rPr>
              <w:t>$ 750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229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157</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 of December 31, 2010, there was approximately $2,656,000 of unrecognized stock-based compensation expense under our equity compensation plans, which is expected to be recognized on a straight line basis over a weighted average period of approximately two years.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stock option activity was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4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08"/>
        </w:trPr>
        <w:tc>
          <w:tcPr>
            <w:tcW w:w="74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0" w:type="dxa"/>
            <w:vAlign w:val="bottom"/>
          </w:tcPr>
          <w:p>
            <w:pPr>
              <w:jc w:val="right"/>
              <w:ind w:right="276"/>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($/share)</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1,240,465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46,191</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(82,151)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(16,922)</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1,187,583</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339,187</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(15,640)</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(262,925)</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1,248,205</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479,691</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(157,056)</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0.82</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(21,496)</w:t>
            </w:r>
          </w:p>
        </w:tc>
        <w:tc>
          <w:tcPr>
            <w:tcW w:w="1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23.92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1,549,344</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intrinsic value of options exercised during the years ended December 31, 2010, 2009 and 2008 was $1,696,000, $101,000 and $346,000, respectively.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80" w:firstLine="399"/>
        <w:spacing w:after="0" w:line="276" w:lineRule="auto"/>
        <w:rPr>
          <w:sz w:val="20"/>
          <w:szCs w:val="20"/>
          <w:color w:val="auto"/>
        </w:rPr>
      </w:pPr>
      <w:r>
        <w:rPr>
          <w:rFonts w:ascii="Arial" w:cs="Arial" w:eastAsia="Arial" w:hAnsi="Arial"/>
          <w:sz w:val="13"/>
          <w:szCs w:val="13"/>
          <w:color w:val="auto"/>
        </w:rPr>
        <w:t>The weighted-average fair values per share of options granted during 2010, 2009 and 2008 were $5.82, $1.54 and $2.40, respectively. The fair value of the options granted was estimated on the date of grant using the Black-Scholes option pricing model with the following assumptions: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4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2010</w:t>
            </w:r>
          </w:p>
        </w:tc>
        <w:tc>
          <w:tcPr>
            <w:tcW w:w="1700" w:type="dxa"/>
            <w:vAlign w:val="bottom"/>
            <w:gridSpan w:val="3"/>
          </w:tcPr>
          <w:p>
            <w:pPr>
              <w:jc w:val="right"/>
              <w:ind w:right="534"/>
              <w:spacing w:after="0"/>
              <w:rPr>
                <w:sz w:val="20"/>
                <w:szCs w:val="20"/>
                <w:color w:val="auto"/>
              </w:rPr>
            </w:pPr>
            <w:r>
              <w:rPr>
                <w:rFonts w:ascii="Arial" w:cs="Arial" w:eastAsia="Arial" w:hAnsi="Arial"/>
                <w:sz w:val="10"/>
                <w:szCs w:val="10"/>
                <w:b w:val="1"/>
                <w:bCs w:val="1"/>
                <w:color w:val="auto"/>
              </w:rPr>
              <w:t>2009</w:t>
            </w:r>
          </w:p>
        </w:tc>
        <w:tc>
          <w:tcPr>
            <w:tcW w:w="6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2008</w:t>
            </w:r>
          </w:p>
        </w:tc>
      </w:tr>
      <w:tr>
        <w:trPr>
          <w:trHeight w:val="29"/>
        </w:trPr>
        <w:tc>
          <w:tcPr>
            <w:tcW w:w="6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- 49%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- 53%</w:t>
            </w:r>
          </w:p>
        </w:tc>
        <w:tc>
          <w:tcPr>
            <w:tcW w:w="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53%</w:t>
            </w: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Expected dividends</w:t>
            </w:r>
          </w:p>
        </w:tc>
        <w:tc>
          <w:tcPr>
            <w:tcW w:w="140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3"/>
                <w:szCs w:val="13"/>
                <w:color w:val="auto"/>
                <w:w w:val="91"/>
              </w:rPr>
              <w:t>—</w:t>
            </w:r>
          </w:p>
        </w:tc>
        <w:tc>
          <w:tcPr>
            <w:tcW w:w="30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Expected life (in years)</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6"/>
              </w:rPr>
              <w:t>6.25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- 7.0</w:t>
            </w:r>
          </w:p>
        </w:tc>
        <w:tc>
          <w:tcPr>
            <w:tcW w:w="6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9"/>
              </w:rPr>
              <w:t>7.0</w:t>
            </w:r>
          </w:p>
        </w:tc>
      </w:t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Weighted-average risk-free interest rate</w:t>
            </w:r>
          </w:p>
        </w:tc>
        <w:tc>
          <w:tcPr>
            <w:tcW w:w="680" w:type="dxa"/>
            <w:vAlign w:val="bottom"/>
          </w:tcPr>
          <w:p>
            <w:pPr>
              <w:jc w:val="right"/>
              <w:spacing w:after="0"/>
              <w:rPr>
                <w:sz w:val="20"/>
                <w:szCs w:val="20"/>
                <w:color w:val="auto"/>
              </w:rPr>
            </w:pPr>
            <w:r>
              <w:rPr>
                <w:rFonts w:ascii="Arial" w:cs="Arial" w:eastAsia="Arial" w:hAnsi="Arial"/>
                <w:sz w:val="13"/>
                <w:szCs w:val="13"/>
                <w:color w:val="auto"/>
              </w:rPr>
              <w:t>1.79%</w:t>
            </w:r>
          </w:p>
        </w:tc>
        <w:tc>
          <w:tcPr>
            <w:tcW w:w="720" w:type="dxa"/>
            <w:vAlign w:val="bottom"/>
          </w:tcPr>
          <w:p>
            <w:pPr>
              <w:spacing w:after="0"/>
              <w:rPr>
                <w:sz w:val="20"/>
                <w:szCs w:val="20"/>
                <w:color w:val="auto"/>
              </w:rPr>
            </w:pPr>
            <w:r>
              <w:rPr>
                <w:rFonts w:ascii="Arial" w:cs="Arial" w:eastAsia="Arial" w:hAnsi="Arial"/>
                <w:sz w:val="13"/>
                <w:szCs w:val="13"/>
                <w:color w:val="auto"/>
              </w:rPr>
              <w:t>- 3.14%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2.71%</w:t>
            </w:r>
          </w:p>
        </w:tc>
        <w:tc>
          <w:tcPr>
            <w:tcW w:w="740" w:type="dxa"/>
            <w:vAlign w:val="bottom"/>
          </w:tcPr>
          <w:p>
            <w:pPr>
              <w:ind w:left="20"/>
              <w:spacing w:after="0"/>
              <w:rPr>
                <w:sz w:val="20"/>
                <w:szCs w:val="20"/>
                <w:color w:val="auto"/>
              </w:rPr>
            </w:pPr>
            <w:r>
              <w:rPr>
                <w:rFonts w:ascii="Arial" w:cs="Arial" w:eastAsia="Arial" w:hAnsi="Arial"/>
                <w:sz w:val="13"/>
                <w:szCs w:val="13"/>
                <w:color w:val="auto"/>
              </w:rPr>
              <w:t>- 4.01%</w:t>
            </w:r>
          </w:p>
        </w:tc>
        <w:tc>
          <w:tcPr>
            <w:tcW w:w="680" w:type="dxa"/>
            <w:vAlign w:val="bottom"/>
            <w:gridSpan w:val="2"/>
          </w:tcPr>
          <w:p>
            <w:pPr>
              <w:jc w:val="center"/>
              <w:ind w:left="238"/>
              <w:spacing w:after="0"/>
              <w:rPr>
                <w:sz w:val="20"/>
                <w:szCs w:val="20"/>
                <w:color w:val="auto"/>
              </w:rPr>
            </w:pPr>
            <w:r>
              <w:rPr>
                <w:rFonts w:ascii="Arial" w:cs="Arial" w:eastAsia="Arial" w:hAnsi="Arial"/>
                <w:sz w:val="13"/>
                <w:szCs w:val="13"/>
                <w:color w:val="auto"/>
                <w:w w:val="87"/>
              </w:rPr>
              <w:t>4.0%</w:t>
            </w:r>
          </w:p>
        </w:tc>
      </w:tr>
    </w:tbl>
    <w:p>
      <w:pPr>
        <w:spacing w:after="0" w:line="72" w:lineRule="exact"/>
        <w:rPr>
          <w:sz w:val="20"/>
          <w:szCs w:val="20"/>
          <w:color w:val="auto"/>
        </w:rPr>
      </w:pPr>
    </w:p>
    <w:p>
      <w:pPr>
        <w:ind w:left="680" w:right="1060" w:firstLine="399"/>
        <w:spacing w:after="0" w:line="296" w:lineRule="auto"/>
        <w:rPr>
          <w:sz w:val="20"/>
          <w:szCs w:val="20"/>
          <w:color w:val="auto"/>
        </w:rPr>
      </w:pPr>
      <w:r>
        <w:rPr>
          <w:rFonts w:ascii="Arial" w:cs="Arial" w:eastAsia="Arial" w:hAnsi="Arial"/>
          <w:sz w:val="12"/>
          <w:szCs w:val="12"/>
          <w:color w:val="auto"/>
        </w:rPr>
        <w:t>Prior to becoming a public entity,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50" w:lineRule="exact"/>
        <w:rPr>
          <w:sz w:val="20"/>
          <w:szCs w:val="20"/>
          <w:color w:val="auto"/>
        </w:rPr>
      </w:pPr>
    </w:p>
    <w:p>
      <w:pPr>
        <w:jc w:val="both"/>
        <w:ind w:left="680" w:right="980" w:firstLine="399"/>
        <w:spacing w:after="0" w:line="264" w:lineRule="auto"/>
        <w:rPr>
          <w:sz w:val="20"/>
          <w:szCs w:val="20"/>
          <w:color w:val="auto"/>
        </w:rPr>
      </w:pPr>
      <w:r>
        <w:rPr>
          <w:rFonts w:ascii="Arial" w:cs="Arial" w:eastAsia="Arial" w:hAnsi="Arial"/>
          <w:sz w:val="13"/>
          <w:szCs w:val="13"/>
          <w:color w:val="auto"/>
        </w:rPr>
        <w:t>We have not issued dividends on our common stock and do not expect to do so in the foreseeable future. The expected term of the options is based on evaluations of historical and expected future employee exercise behavior. The estimated pre-vesting forfeiture rate is based on our historical experience. The risk-free interest rate is based on the U.S. Treasury rates at the date of grant with maturity dates approximately equal to the expected life at the grant date.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our stock options outstanding at December 31, 2010: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Weighted</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5"/>
              </w:rPr>
              <w:t>Options</w:t>
            </w:r>
          </w:p>
        </w:tc>
        <w:tc>
          <w:tcPr>
            <w:tcW w:w="11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980" w:type="dxa"/>
            <w:vAlign w:val="bottom"/>
            <w:gridSpan w:val="4"/>
            <w:vMerge w:val="restart"/>
          </w:tcPr>
          <w:p>
            <w:pPr>
              <w:jc w:val="center"/>
              <w:ind w:right="620"/>
              <w:spacing w:after="0"/>
              <w:rPr>
                <w:sz w:val="20"/>
                <w:szCs w:val="20"/>
                <w:color w:val="auto"/>
              </w:rPr>
            </w:pPr>
            <w:r>
              <w:rPr>
                <w:rFonts w:ascii="Arial" w:cs="Arial" w:eastAsia="Arial" w:hAnsi="Arial"/>
                <w:sz w:val="10"/>
                <w:szCs w:val="10"/>
                <w:b w:val="1"/>
                <w:bCs w:val="1"/>
                <w:color w:val="auto"/>
                <w:w w:val="95"/>
              </w:rPr>
              <w:t>Options</w:t>
            </w:r>
          </w:p>
        </w:tc>
        <w:tc>
          <w:tcPr>
            <w:tcW w:w="80" w:type="dxa"/>
            <w:vAlign w:val="bottom"/>
          </w:tcPr>
          <w:p>
            <w:pPr>
              <w:spacing w:after="0"/>
              <w:rPr>
                <w:sz w:val="9"/>
                <w:szCs w:val="9"/>
                <w:color w:val="auto"/>
              </w:rPr>
            </w:pPr>
          </w:p>
        </w:tc>
        <w:tc>
          <w:tcPr>
            <w:tcW w:w="6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7"/>
              </w:rPr>
              <w:t>Exercise</w:t>
            </w:r>
          </w:p>
        </w:tc>
        <w:tc>
          <w:tcPr>
            <w:tcW w:w="2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92"/>
              </w:rPr>
              <w:t>E</w:t>
            </w:r>
            <w:r>
              <w:rPr>
                <w:rFonts w:ascii="Arial" w:cs="Arial" w:eastAsia="Arial" w:hAnsi="Arial"/>
                <w:sz w:val="10"/>
                <w:szCs w:val="10"/>
                <w:b w:val="1"/>
                <w:bCs w:val="1"/>
                <w:color w:val="auto"/>
                <w:w w:val="92"/>
              </w:rPr>
              <w:t>xercise Price per Share</w:t>
            </w:r>
          </w:p>
        </w:tc>
        <w:tc>
          <w:tcPr>
            <w:tcW w:w="3500" w:type="dxa"/>
            <w:vAlign w:val="bottom"/>
          </w:tcPr>
          <w:p>
            <w:pPr>
              <w:spacing w:after="0"/>
              <w:rPr>
                <w:sz w:val="10"/>
                <w:szCs w:val="1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Outstanding</w:t>
            </w: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Contractual</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12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Exercisable</w:t>
            </w:r>
          </w:p>
        </w:tc>
        <w:tc>
          <w:tcPr>
            <w:tcW w:w="80" w:type="dxa"/>
            <w:vAlign w:val="bottom"/>
          </w:tcPr>
          <w:p>
            <w:pPr>
              <w:spacing w:after="0"/>
              <w:rPr>
                <w:sz w:val="10"/>
                <w:szCs w:val="10"/>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420" w:type="dxa"/>
            <w:vAlign w:val="bottom"/>
            <w:gridSpan w:val="2"/>
          </w:tcPr>
          <w:p>
            <w:pPr>
              <w:jc w:val="center"/>
              <w:ind w:left="3437"/>
              <w:spacing w:after="0"/>
              <w:rPr>
                <w:sz w:val="20"/>
                <w:szCs w:val="20"/>
                <w:color w:val="auto"/>
              </w:rPr>
            </w:pPr>
            <w:r>
              <w:rPr>
                <w:rFonts w:ascii="Arial" w:cs="Arial" w:eastAsia="Arial" w:hAnsi="Arial"/>
                <w:sz w:val="10"/>
                <w:szCs w:val="10"/>
                <w:b w:val="1"/>
                <w:bCs w:val="1"/>
                <w:color w:val="auto"/>
                <w:w w:val="97"/>
              </w:rPr>
              <w:t>(#)</w:t>
            </w:r>
          </w:p>
        </w:tc>
        <w:tc>
          <w:tcPr>
            <w:tcW w:w="42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Life (Years)</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($/share)</w:t>
            </w:r>
          </w:p>
        </w:tc>
        <w:tc>
          <w:tcPr>
            <w:tcW w:w="220" w:type="dxa"/>
            <w:vAlign w:val="bottom"/>
          </w:tcPr>
          <w:p>
            <w:pPr>
              <w:spacing w:after="0"/>
              <w:rPr>
                <w:sz w:val="10"/>
                <w:szCs w:val="10"/>
                <w:color w:val="auto"/>
              </w:rPr>
            </w:pPr>
          </w:p>
        </w:tc>
        <w:tc>
          <w:tcPr>
            <w:tcW w:w="580" w:type="dxa"/>
            <w:vAlign w:val="bottom"/>
          </w:tcPr>
          <w:p>
            <w:pPr>
              <w:jc w:val="center"/>
              <w:ind w:right="159"/>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1"/>
              </w:rPr>
              <w:t>($/share)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$0.37</w:t>
            </w:r>
          </w:p>
        </w:tc>
        <w:tc>
          <w:tcPr>
            <w:tcW w:w="48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620,320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0.37</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620,320</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$0.41 - $7.45</w:t>
            </w:r>
          </w:p>
        </w:tc>
        <w:tc>
          <w:tcPr>
            <w:tcW w:w="4840" w:type="dxa"/>
            <w:vAlign w:val="bottom"/>
            <w:gridSpan w:val="3"/>
          </w:tcPr>
          <w:p>
            <w:pPr>
              <w:jc w:val="right"/>
              <w:ind w:right="420"/>
              <w:spacing w:after="0"/>
              <w:rPr>
                <w:sz w:val="20"/>
                <w:szCs w:val="20"/>
                <w:color w:val="auto"/>
              </w:rPr>
            </w:pPr>
            <w:r>
              <w:rPr>
                <w:rFonts w:ascii="Arial" w:cs="Arial" w:eastAsia="Arial" w:hAnsi="Arial"/>
                <w:sz w:val="13"/>
                <w:szCs w:val="13"/>
                <w:color w:val="auto"/>
              </w:rPr>
              <w:t>451,900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2.84</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327,745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2.87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$7.49 - $11.24</w:t>
            </w:r>
          </w:p>
        </w:tc>
        <w:tc>
          <w:tcPr>
            <w:tcW w:w="48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49,885</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16,818</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$11.99 - $13.28</w:t>
            </w:r>
          </w:p>
        </w:tc>
        <w:tc>
          <w:tcPr>
            <w:tcW w:w="350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427,239</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9.3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12.03</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15,304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12.00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1,549,344</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980,187</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b w:val="1"/>
                <w:bCs w:val="1"/>
                <w:color w:val="auto"/>
              </w:rPr>
              <w:t>NOTE H —</w:t>
            </w:r>
          </w:p>
        </w:tc>
        <w:tc>
          <w:tcPr>
            <w:tcW w:w="3500" w:type="dxa"/>
            <w:vAlign w:val="bottom"/>
          </w:tcPr>
          <w:p>
            <w:pPr>
              <w:spacing w:after="0"/>
              <w:rPr>
                <w:sz w:val="20"/>
                <w:szCs w:val="20"/>
                <w:color w:val="auto"/>
              </w:rPr>
            </w:pPr>
            <w:r>
              <w:rPr>
                <w:rFonts w:ascii="Arial" w:cs="Arial" w:eastAsia="Arial" w:hAnsi="Arial"/>
                <w:sz w:val="13"/>
                <w:szCs w:val="13"/>
                <w:b w:val="1"/>
                <w:bCs w:val="1"/>
                <w:color w:val="auto"/>
              </w:rPr>
              <w:t>Income Taxes</w:t>
            </w:r>
          </w:p>
        </w:tc>
        <w:tc>
          <w:tcPr>
            <w:tcW w:w="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5940" w:type="dxa"/>
            <w:vAlign w:val="bottom"/>
            <w:gridSpan w:val="4"/>
          </w:tcPr>
          <w:p>
            <w:pPr>
              <w:ind w:left="400"/>
              <w:spacing w:after="0"/>
              <w:rPr>
                <w:sz w:val="20"/>
                <w:szCs w:val="20"/>
                <w:color w:val="auto"/>
              </w:rPr>
            </w:pPr>
            <w:r>
              <w:rPr>
                <w:rFonts w:ascii="Arial" w:cs="Arial" w:eastAsia="Arial" w:hAnsi="Arial"/>
                <w:sz w:val="13"/>
                <w:szCs w:val="13"/>
                <w:color w:val="auto"/>
              </w:rPr>
              <w:t>The provision for income taxes was as follows (in thousands):</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8"/>
          </w:tcPr>
          <w:p>
            <w:pPr>
              <w:jc w:val="right"/>
              <w:ind w:right="420"/>
              <w:spacing w:after="0"/>
              <w:rPr>
                <w:sz w:val="20"/>
                <w:szCs w:val="20"/>
                <w:color w:val="auto"/>
              </w:rPr>
            </w:pPr>
            <w:r>
              <w:rPr>
                <w:rFonts w:ascii="Arial" w:cs="Arial" w:eastAsia="Arial" w:hAnsi="Arial"/>
                <w:sz w:val="10"/>
                <w:szCs w:val="10"/>
                <w:b w:val="1"/>
                <w:bCs w:val="1"/>
                <w:color w:val="auto"/>
                <w:w w:val="99"/>
              </w:rPr>
              <w:t>Year Ended 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0"/>
              </w:rPr>
              <w:t>2010</w:t>
            </w:r>
          </w:p>
        </w:tc>
        <w:tc>
          <w:tcPr>
            <w:tcW w:w="920" w:type="dxa"/>
            <w:vAlign w:val="bottom"/>
            <w:tcBorders>
              <w:top w:val="single" w:sz="8" w:color="auto"/>
            </w:tcBorders>
            <w:gridSpan w:val="3"/>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3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rPr>
              <w:t>Federal</w:t>
            </w:r>
          </w:p>
        </w:tc>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78"/>
              </w:rPr>
              <w:t>$ 41</w:t>
            </w:r>
          </w:p>
        </w:tc>
        <w:tc>
          <w:tcPr>
            <w:tcW w:w="980" w:type="dxa"/>
            <w:vAlign w:val="bottom"/>
            <w:gridSpan w:val="4"/>
          </w:tcPr>
          <w:p>
            <w:pPr>
              <w:jc w:val="right"/>
              <w:ind w:right="60"/>
              <w:spacing w:after="0"/>
              <w:rPr>
                <w:sz w:val="20"/>
                <w:szCs w:val="20"/>
                <w:color w:val="auto"/>
              </w:rPr>
            </w:pPr>
            <w:r>
              <w:rPr>
                <w:rFonts w:ascii="Arial" w:cs="Arial" w:eastAsia="Arial" w:hAnsi="Arial"/>
                <w:sz w:val="13"/>
                <w:szCs w:val="13"/>
                <w:color w:val="auto"/>
              </w:rPr>
              <w:t>$ 36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 —</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3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Deferred</w:t>
            </w:r>
          </w:p>
        </w:tc>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3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100" w:type="dxa"/>
            <w:vAlign w:val="bottom"/>
          </w:tcPr>
          <w:p>
            <w:pPr>
              <w:ind w:left="140"/>
              <w:spacing w:after="0"/>
              <w:rPr>
                <w:sz w:val="20"/>
                <w:szCs w:val="20"/>
                <w:color w:val="auto"/>
              </w:rPr>
            </w:pPr>
            <w:r>
              <w:rPr>
                <w:rFonts w:ascii="Arial" w:cs="Arial" w:eastAsia="Arial" w:hAnsi="Arial"/>
                <w:sz w:val="13"/>
                <w:szCs w:val="13"/>
                <w:color w:val="auto"/>
              </w:rPr>
              <w:t>State</w:t>
            </w:r>
          </w:p>
        </w:tc>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680" w:type="dxa"/>
            <w:vAlign w:val="bottom"/>
            <w:gridSpan w:val="2"/>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8"/>
              </w:rPr>
              <w:t>$ 92</w:t>
            </w:r>
          </w:p>
        </w:tc>
        <w:tc>
          <w:tcPr>
            <w:tcW w:w="680" w:type="dxa"/>
            <w:vAlign w:val="bottom"/>
            <w:gridSpan w:val="2"/>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$ 91</w:t>
            </w: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20" w:type="dxa"/>
            <w:vAlign w:val="bottom"/>
            <w:gridSpan w:val="2"/>
          </w:tcPr>
          <w:p>
            <w:pPr>
              <w:jc w:val="right"/>
              <w:ind w:right="401"/>
              <w:spacing w:after="0"/>
              <w:rPr>
                <w:sz w:val="20"/>
                <w:szCs w:val="20"/>
                <w:color w:val="auto"/>
              </w:rPr>
            </w:pPr>
            <w:r>
              <w:rPr>
                <w:rFonts w:ascii="Arial" w:cs="Arial" w:eastAsia="Arial" w:hAnsi="Arial"/>
                <w:sz w:val="13"/>
                <w:szCs w:val="13"/>
                <w:color w:val="auto"/>
              </w:rPr>
              <w:t>57</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provision for income taxes includes estimated federal alternative minimum taxes and state income taxes, as well as deferred tax expense resulting from the book and tax basis difference in goodwill from a prior asset acquisition.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provision for income taxes to the statutory federal rate was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Expected federal income tax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State income taxes, net of federal tax effect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Meals and entertainment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Stock compensation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Stock warrants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(6,485)</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Section 382 limitation</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Change in state deferred rate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Prior year true up</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AMT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General business credit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State net operating loss adjustment</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(1,087)</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40"/>
              <w:spacing w:after="0"/>
              <w:rPr>
                <w:sz w:val="20"/>
                <w:szCs w:val="20"/>
                <w:color w:val="auto"/>
              </w:rPr>
            </w:pPr>
            <w:r>
              <w:rPr>
                <w:rFonts w:ascii="Arial" w:cs="Arial" w:eastAsia="Arial" w:hAnsi="Arial"/>
                <w:sz w:val="13"/>
                <w:szCs w:val="13"/>
                <w:color w:val="auto"/>
              </w:rPr>
              <w:t>Total provision for income taxes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2010, we had net operating loss carryforwards of $49.9 million for U.S. federal tax purposes and $31.4 million for state tax purposes. These loss carryforwards expire between 2011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believe that approximately $17.6 million of federal losses and $7.0 million of state losses will expire unused due to Section 382 limitations. This limitation could be further restricted if ownership changes occur in future years. Our deferred tax asset is reported net of this limitation.</w:t>
      </w:r>
    </w:p>
    <w:p>
      <w:pPr>
        <w:spacing w:after="0" w:line="7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components of our deferred tax assets and liabilities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receivable allowances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current deferred tax asset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Net current deferred tax asset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Noncurrent:</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Net operating loss credit carryforwards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12,636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19,096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Total noncurrent deferred tax asset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20,384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(14,019)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(20,494)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noncurrent deferred tax liability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300" w:firstLine="399"/>
        <w:spacing w:after="0" w:line="276" w:lineRule="auto"/>
        <w:rPr>
          <w:sz w:val="20"/>
          <w:szCs w:val="20"/>
          <w:color w:val="auto"/>
        </w:rPr>
      </w:pPr>
      <w:r>
        <w:rPr>
          <w:rFonts w:ascii="Arial" w:cs="Arial" w:eastAsia="Arial" w:hAnsi="Arial"/>
          <w:sz w:val="13"/>
          <w:szCs w:val="13"/>
          <w:color w:val="auto"/>
        </w:rPr>
        <w:t>We are subject to income taxes in the U.S. federal jurisdiction and various state jurisdictions. As of December 31, 2010, we are generally subject to U.S. federal and state tax examinations for all tax years prior to 2009 due to net operating loss carryforwards.</w:t>
      </w:r>
    </w:p>
    <w:p>
      <w:pPr>
        <w:spacing w:after="0" w:line="59" w:lineRule="exact"/>
        <w:rPr>
          <w:sz w:val="20"/>
          <w:szCs w:val="20"/>
          <w:color w:val="auto"/>
        </w:rPr>
      </w:pPr>
    </w:p>
    <w:p>
      <w:pPr>
        <w:ind w:left="680" w:right="1380" w:firstLine="399"/>
        <w:spacing w:after="0" w:line="276" w:lineRule="auto"/>
        <w:rPr>
          <w:sz w:val="20"/>
          <w:szCs w:val="20"/>
          <w:color w:val="auto"/>
        </w:rPr>
      </w:pPr>
      <w:r>
        <w:rPr>
          <w:rFonts w:ascii="Arial" w:cs="Arial" w:eastAsia="Arial" w:hAnsi="Arial"/>
          <w:sz w:val="13"/>
          <w:szCs w:val="13"/>
          <w:color w:val="auto"/>
        </w:rPr>
        <w:t>As of December 31, 2010,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I —</w:t>
      </w:r>
      <w:r>
        <w:rPr>
          <w:sz w:val="20"/>
          <w:szCs w:val="20"/>
          <w:color w:val="auto"/>
        </w:rPr>
        <w:tab/>
      </w:r>
      <w:r>
        <w:rPr>
          <w:rFonts w:ascii="Arial" w:cs="Arial" w:eastAsia="Arial" w:hAnsi="Arial"/>
          <w:sz w:val="11"/>
          <w:szCs w:val="11"/>
          <w:b w:val="1"/>
          <w:bCs w:val="1"/>
          <w:color w:val="auto"/>
        </w:rPr>
        <w:t>Net Income (Loss) Per Share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The following table presents the components of the computation of basic and diluted net income (loss) per share for the periods indicated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3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3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2,884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1,162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(1,895)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31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basic</w:t>
            </w: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8,036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Options and warrants to purchase common and preferred stock</w:t>
            </w:r>
          </w:p>
        </w:tc>
        <w:tc>
          <w:tcPr>
            <w:tcW w:w="3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Redeemable convertible preferred stock</w:t>
            </w: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2,587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8,148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common shares outstanding, diluted</w:t>
            </w:r>
          </w:p>
        </w:tc>
        <w:tc>
          <w:tcPr>
            <w:tcW w:w="3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11,596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9,268</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Net income (loss) per share:</w:t>
            </w:r>
          </w:p>
        </w:tc>
        <w:tc>
          <w:tcPr>
            <w:tcW w:w="3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0.36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240" w:type="dxa"/>
            <w:vAlign w:val="bottom"/>
            <w:vMerge w:val="continue"/>
          </w:tcPr>
          <w:p>
            <w:pPr>
              <w:spacing w:after="0"/>
              <w:rPr>
                <w:sz w:val="15"/>
                <w:szCs w:val="15"/>
                <w:color w:val="auto"/>
              </w:rPr>
            </w:pPr>
          </w:p>
        </w:tc>
        <w:tc>
          <w:tcPr>
            <w:tcW w:w="3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0.25</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(6.45)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60" w:type="dxa"/>
            <w:vAlign w:val="bottom"/>
          </w:tcPr>
          <w:p>
            <w:pPr>
              <w:jc w:val="right"/>
              <w:ind w:right="2274"/>
              <w:spacing w:after="0"/>
              <w:rPr>
                <w:sz w:val="20"/>
                <w:szCs w:val="20"/>
                <w:color w:val="auto"/>
              </w:rPr>
            </w:pPr>
            <w:r>
              <w:rPr>
                <w:rFonts w:ascii="Arial" w:cs="Arial" w:eastAsia="Arial" w:hAnsi="Arial"/>
                <w:sz w:val="13"/>
                <w:szCs w:val="13"/>
                <w:color w:val="auto"/>
              </w:rPr>
              <w:t>59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SPS COMMERCE,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The following outstanding options, warrants and redeemable convertible preferred stock were excluded from the computation of diluted net income (loss) per share for the periods indicated because they were anti-dilutive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94"/>
              </w:rPr>
              <w:t>Year Ended December 31,</w:t>
            </w:r>
          </w:p>
        </w:tc>
        <w:tc>
          <w:tcPr>
            <w:tcW w:w="320" w:type="dxa"/>
            <w:vAlign w:val="bottom"/>
            <w:tcBorders>
              <w:bottom w:val="single" w:sz="8" w:color="auto"/>
            </w:tcBorders>
          </w:tcPr>
          <w:p>
            <w:pPr>
              <w:spacing w:after="0"/>
              <w:rPr>
                <w:sz w:val="10"/>
                <w:szCs w:val="10"/>
                <w:color w:val="auto"/>
              </w:rPr>
            </w:pPr>
          </w:p>
        </w:tc>
      </w:tr>
      <w:tr>
        <w:trPr>
          <w:trHeight w:val="98"/>
        </w:trPr>
        <w:tc>
          <w:tcPr>
            <w:tcW w:w="802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2009</w:t>
            </w:r>
          </w:p>
        </w:tc>
        <w:tc>
          <w:tcPr>
            <w:tcW w:w="5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2008</w:t>
            </w:r>
          </w:p>
        </w:tc>
      </w:tr>
      <w:tr>
        <w:trPr>
          <w:trHeight w:val="178"/>
        </w:trPr>
        <w:tc>
          <w:tcPr>
            <w:tcW w:w="8020" w:type="dxa"/>
            <w:vAlign w:val="bottom"/>
          </w:tcPr>
          <w:p>
            <w:pPr>
              <w:spacing w:after="0"/>
              <w:rPr>
                <w:sz w:val="20"/>
                <w:szCs w:val="20"/>
                <w:color w:val="auto"/>
              </w:rPr>
            </w:pPr>
            <w:r>
              <w:rPr>
                <w:rFonts w:ascii="Arial" w:cs="Arial" w:eastAsia="Arial" w:hAnsi="Arial"/>
                <w:sz w:val="13"/>
                <w:szCs w:val="13"/>
                <w:color w:val="auto"/>
              </w:rPr>
              <w:t>Options and warrants to purchase common and preferred stock</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50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3"/>
                <w:szCs w:val="13"/>
                <w:color w:val="auto"/>
                <w:w w:val="79"/>
              </w:rPr>
              <w:t>1,256</w:t>
            </w:r>
          </w:p>
        </w:tc>
      </w:tr>
      <w:tr>
        <w:trPr>
          <w:trHeight w:val="165"/>
        </w:trPr>
        <w:tc>
          <w:tcPr>
            <w:tcW w:w="8020" w:type="dxa"/>
            <w:vAlign w:val="bottom"/>
          </w:tcPr>
          <w:p>
            <w:pPr>
              <w:spacing w:after="0"/>
              <w:rPr>
                <w:sz w:val="20"/>
                <w:szCs w:val="20"/>
                <w:color w:val="auto"/>
              </w:rPr>
            </w:pPr>
            <w:r>
              <w:rPr>
                <w:rFonts w:ascii="Arial" w:cs="Arial" w:eastAsia="Arial" w:hAnsi="Arial"/>
                <w:sz w:val="13"/>
                <w:szCs w:val="13"/>
                <w:color w:val="auto"/>
              </w:rPr>
              <w:t>Redeemable convertible preferred stock</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0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w w:val="79"/>
              </w:rPr>
              <w:t>8,165</w:t>
            </w:r>
          </w:p>
        </w:tc>
      </w:tr>
    </w:tbl>
    <w:p>
      <w:pPr>
        <w:spacing w:after="0" w:line="15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J —</w:t>
      </w:r>
      <w:r>
        <w:rPr>
          <w:sz w:val="20"/>
          <w:szCs w:val="20"/>
          <w:color w:val="auto"/>
        </w:rPr>
        <w:tab/>
      </w:r>
      <w:r>
        <w:rPr>
          <w:rFonts w:ascii="Arial" w:cs="Arial" w:eastAsia="Arial" w:hAnsi="Arial"/>
          <w:sz w:val="11"/>
          <w:szCs w:val="11"/>
          <w:b w:val="1"/>
          <w:bCs w:val="1"/>
          <w:color w:val="auto"/>
        </w:rPr>
        <w:t>Employee Benefit Plan</w:t>
      </w:r>
    </w:p>
    <w:p>
      <w:pPr>
        <w:spacing w:after="0" w:line="100" w:lineRule="exact"/>
        <w:rPr>
          <w:sz w:val="20"/>
          <w:szCs w:val="20"/>
          <w:color w:val="auto"/>
        </w:rPr>
      </w:pPr>
    </w:p>
    <w:p>
      <w:pPr>
        <w:ind w:left="680" w:right="1140" w:firstLine="399"/>
        <w:spacing w:after="0" w:line="320" w:lineRule="auto"/>
        <w:rPr>
          <w:sz w:val="20"/>
          <w:szCs w:val="20"/>
          <w:color w:val="auto"/>
        </w:rPr>
      </w:pPr>
      <w:r>
        <w:rPr>
          <w:rFonts w:ascii="Arial" w:cs="Arial" w:eastAsia="Arial" w:hAnsi="Arial"/>
          <w:sz w:val="12"/>
          <w:szCs w:val="12"/>
          <w:color w:val="auto"/>
        </w:rPr>
        <w:t>We sponsor a 401(k) retirement savings plan whereby employees are allowed to contribute up to 100% of their salaries and the company will match 25% up to the first 6%. Our matching contributions to the plan, which vest immediately, were $241,000, $219,000 and $172,000, respectively for the years ended December 31, 2010, 2009 and 2008.</w:t>
      </w:r>
    </w:p>
    <w:p>
      <w:pPr>
        <w:spacing w:after="0" w:line="11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K —</w:t>
      </w:r>
      <w:r>
        <w:rPr>
          <w:sz w:val="20"/>
          <w:szCs w:val="20"/>
          <w:color w:val="auto"/>
        </w:rPr>
        <w:tab/>
      </w:r>
      <w:r>
        <w:rPr>
          <w:rFonts w:ascii="Arial" w:cs="Arial" w:eastAsia="Arial" w:hAnsi="Arial"/>
          <w:sz w:val="11"/>
          <w:szCs w:val="11"/>
          <w:b w:val="1"/>
          <w:bCs w:val="1"/>
          <w:color w:val="auto"/>
        </w:rPr>
        <w:t>Guarantees</w:t>
      </w:r>
    </w:p>
    <w:p>
      <w:pPr>
        <w:spacing w:after="0" w:line="100" w:lineRule="exact"/>
        <w:rPr>
          <w:sz w:val="20"/>
          <w:szCs w:val="20"/>
          <w:color w:val="auto"/>
        </w:rPr>
      </w:pPr>
    </w:p>
    <w:p>
      <w:pPr>
        <w:ind w:left="680" w:right="1080" w:firstLine="399"/>
        <w:spacing w:after="0" w:line="264" w:lineRule="auto"/>
        <w:rPr>
          <w:sz w:val="20"/>
          <w:szCs w:val="20"/>
          <w:color w:val="auto"/>
        </w:rPr>
      </w:pPr>
      <w:r>
        <w:rPr>
          <w:rFonts w:ascii="Arial" w:cs="Arial" w:eastAsia="Arial" w:hAnsi="Arial"/>
          <w:sz w:val="13"/>
          <w:szCs w:val="13"/>
          <w:color w:val="auto"/>
        </w:rPr>
        <w:t>We provide limited guarantees to certain customers through service level agreements. These service level agreements are defined in the master agreements with the customer and performance is measured on a monthly basis for the life of the contract. Service level agreements require us to perform at specified levels which would include, but are not limited to, document processing times, data center availability, customer support and issue resolution.</w:t>
      </w:r>
    </w:p>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L —</w:t>
      </w:r>
      <w:r>
        <w:rPr>
          <w:sz w:val="20"/>
          <w:szCs w:val="20"/>
          <w:color w:val="auto"/>
        </w:rPr>
        <w:tab/>
      </w:r>
      <w:r>
        <w:rPr>
          <w:rFonts w:ascii="Arial" w:cs="Arial" w:eastAsia="Arial" w:hAnsi="Arial"/>
          <w:sz w:val="12"/>
          <w:szCs w:val="12"/>
          <w:b w:val="1"/>
          <w:bCs w:val="1"/>
          <w:color w:val="auto"/>
        </w:rPr>
        <w:t>Selected Quarterly Financial Data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selected unaudited quarterly statements of operations data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010</w:t>
            </w:r>
          </w:p>
        </w:tc>
        <w:tc>
          <w:tcPr>
            <w:tcW w:w="29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0"/>
                <w:szCs w:val="10"/>
                <w:b w:val="1"/>
                <w:bCs w:val="1"/>
                <w:color w:val="auto"/>
              </w:rPr>
              <w:t>For the Three Months Ended</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2980" w:type="dxa"/>
            <w:vAlign w:val="bottom"/>
          </w:tcPr>
          <w:p>
            <w:pPr>
              <w:spacing w:after="0"/>
              <w:rPr>
                <w:sz w:val="9"/>
                <w:szCs w:val="9"/>
                <w:color w:val="auto"/>
              </w:rPr>
            </w:pPr>
          </w:p>
        </w:tc>
        <w:tc>
          <w:tcPr>
            <w:tcW w:w="1020" w:type="dxa"/>
            <w:vAlign w:val="bottom"/>
            <w:gridSpan w:val="4"/>
          </w:tcPr>
          <w:p>
            <w:pPr>
              <w:jc w:val="right"/>
              <w:ind w:right="540"/>
              <w:spacing w:after="0" w:line="108" w:lineRule="exact"/>
              <w:rPr>
                <w:sz w:val="20"/>
                <w:szCs w:val="20"/>
                <w:color w:val="auto"/>
              </w:rPr>
            </w:pPr>
            <w:r>
              <w:rPr>
                <w:rFonts w:ascii="Arial" w:cs="Arial" w:eastAsia="Arial" w:hAnsi="Arial"/>
                <w:sz w:val="10"/>
                <w:szCs w:val="10"/>
                <w:b w:val="1"/>
                <w:bCs w:val="1"/>
                <w:color w:val="auto"/>
              </w:rPr>
              <w:t>Mar 31</w:t>
            </w:r>
          </w:p>
        </w:tc>
        <w:tc>
          <w:tcPr>
            <w:tcW w:w="1000" w:type="dxa"/>
            <w:vAlign w:val="bottom"/>
            <w:gridSpan w:val="4"/>
          </w:tcPr>
          <w:p>
            <w:pPr>
              <w:ind w:left="160"/>
              <w:spacing w:after="0" w:line="108" w:lineRule="exact"/>
              <w:rPr>
                <w:sz w:val="20"/>
                <w:szCs w:val="20"/>
                <w:color w:val="auto"/>
              </w:rPr>
            </w:pPr>
            <w:r>
              <w:rPr>
                <w:rFonts w:ascii="Arial" w:cs="Arial" w:eastAsia="Arial" w:hAnsi="Arial"/>
                <w:sz w:val="10"/>
                <w:szCs w:val="10"/>
                <w:b w:val="1"/>
                <w:bCs w:val="1"/>
                <w:color w:val="auto"/>
              </w:rPr>
              <w:t>Jun 30</w:t>
            </w:r>
          </w:p>
        </w:tc>
        <w:tc>
          <w:tcPr>
            <w:tcW w:w="980" w:type="dxa"/>
            <w:vAlign w:val="bottom"/>
            <w:gridSpan w:val="4"/>
          </w:tcPr>
          <w:p>
            <w:pPr>
              <w:jc w:val="right"/>
              <w:ind w:right="540"/>
              <w:spacing w:after="0" w:line="108" w:lineRule="exact"/>
              <w:rPr>
                <w:sz w:val="20"/>
                <w:szCs w:val="20"/>
                <w:color w:val="auto"/>
              </w:rPr>
            </w:pPr>
            <w:r>
              <w:rPr>
                <w:rFonts w:ascii="Arial" w:cs="Arial" w:eastAsia="Arial" w:hAnsi="Arial"/>
                <w:sz w:val="10"/>
                <w:szCs w:val="10"/>
                <w:b w:val="1"/>
                <w:bCs w:val="1"/>
                <w:color w:val="auto"/>
              </w:rPr>
              <w:t>Sep 30</w:t>
            </w:r>
          </w:p>
        </w:tc>
        <w:tc>
          <w:tcPr>
            <w:tcW w:w="100" w:type="dxa"/>
            <w:vAlign w:val="bottom"/>
          </w:tcPr>
          <w:p>
            <w:pPr>
              <w:spacing w:after="0"/>
              <w:rPr>
                <w:sz w:val="9"/>
                <w:szCs w:val="9"/>
                <w:color w:val="auto"/>
              </w:rPr>
            </w:pPr>
          </w:p>
        </w:tc>
        <w:tc>
          <w:tcPr>
            <w:tcW w:w="48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Dec 31</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390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   10,243</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   10,944</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6"/>
              </w:rPr>
              <w:t>$   11,491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11,919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3900" w:type="dxa"/>
            <w:vAlign w:val="bottom"/>
            <w:gridSpan w:val="4"/>
          </w:tcPr>
          <w:p>
            <w:pPr>
              <w:jc w:val="right"/>
              <w:ind w:right="300"/>
              <w:spacing w:after="0"/>
              <w:rPr>
                <w:sz w:val="20"/>
                <w:szCs w:val="20"/>
                <w:color w:val="auto"/>
              </w:rPr>
            </w:pPr>
            <w:r>
              <w:rPr>
                <w:rFonts w:ascii="Arial" w:cs="Arial" w:eastAsia="Arial" w:hAnsi="Arial"/>
                <w:sz w:val="13"/>
                <w:szCs w:val="13"/>
                <w:color w:val="auto"/>
              </w:rPr>
              <w:t>7,262</w:t>
            </w:r>
          </w:p>
        </w:tc>
        <w:tc>
          <w:tcPr>
            <w:tcW w:w="1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7,843</w:t>
            </w:r>
          </w:p>
        </w:tc>
        <w:tc>
          <w:tcPr>
            <w:tcW w:w="2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8,280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90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1,047</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679</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868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3900" w:type="dxa"/>
            <w:vAlign w:val="bottom"/>
            <w:gridSpan w:val="4"/>
          </w:tcPr>
          <w:p>
            <w:pPr>
              <w:jc w:val="right"/>
              <w:ind w:right="300"/>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638</w:t>
            </w:r>
          </w:p>
        </w:tc>
        <w:tc>
          <w:tcPr>
            <w:tcW w:w="200" w:type="dxa"/>
            <w:vAlign w:val="bottom"/>
          </w:tcPr>
          <w:p>
            <w:pPr>
              <w:spacing w:after="0"/>
              <w:rPr>
                <w:sz w:val="13"/>
                <w:szCs w:val="13"/>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3"/>
                <w:szCs w:val="13"/>
                <w:color w:val="auto"/>
              </w:rPr>
              <w:t>886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390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0.05</w:t>
            </w:r>
          </w:p>
        </w:tc>
        <w:tc>
          <w:tcPr>
            <w:tcW w:w="2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0.07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680" w:type="dxa"/>
            <w:vAlign w:val="bottom"/>
          </w:tcPr>
          <w:p>
            <w:pPr>
              <w:spacing w:after="0"/>
              <w:rPr>
                <w:sz w:val="24"/>
                <w:szCs w:val="24"/>
                <w:color w:val="auto"/>
              </w:rPr>
            </w:pPr>
          </w:p>
        </w:tc>
        <w:tc>
          <w:tcPr>
            <w:tcW w:w="3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2009</w:t>
            </w:r>
          </w:p>
        </w:tc>
        <w:tc>
          <w:tcPr>
            <w:tcW w:w="2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0"/>
                <w:szCs w:val="10"/>
                <w:b w:val="1"/>
                <w:bCs w:val="1"/>
                <w:color w:val="auto"/>
                <w:w w:val="95"/>
              </w:rPr>
              <w:t>For the Three Months Ended</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2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3"/>
          </w:tcPr>
          <w:p>
            <w:pPr>
              <w:jc w:val="right"/>
              <w:ind w:right="200"/>
              <w:spacing w:after="0" w:line="108" w:lineRule="exact"/>
              <w:rPr>
                <w:sz w:val="20"/>
                <w:szCs w:val="20"/>
                <w:color w:val="auto"/>
              </w:rPr>
            </w:pPr>
            <w:r>
              <w:rPr>
                <w:rFonts w:ascii="Arial" w:cs="Arial" w:eastAsia="Arial" w:hAnsi="Arial"/>
                <w:sz w:val="10"/>
                <w:szCs w:val="10"/>
                <w:b w:val="1"/>
                <w:bCs w:val="1"/>
                <w:color w:val="auto"/>
              </w:rPr>
              <w:t>Mar 31</w:t>
            </w:r>
          </w:p>
        </w:tc>
        <w:tc>
          <w:tcPr>
            <w:tcW w:w="300" w:type="dxa"/>
            <w:vAlign w:val="bottom"/>
          </w:tcPr>
          <w:p>
            <w:pPr>
              <w:spacing w:after="0"/>
              <w:rPr>
                <w:sz w:val="9"/>
                <w:szCs w:val="9"/>
                <w:color w:val="auto"/>
              </w:rPr>
            </w:pPr>
          </w:p>
        </w:tc>
        <w:tc>
          <w:tcPr>
            <w:tcW w:w="700" w:type="dxa"/>
            <w:vAlign w:val="bottom"/>
            <w:gridSpan w:val="3"/>
          </w:tcPr>
          <w:p>
            <w:pPr>
              <w:ind w:left="100"/>
              <w:spacing w:after="0" w:line="108" w:lineRule="exact"/>
              <w:rPr>
                <w:sz w:val="20"/>
                <w:szCs w:val="20"/>
                <w:color w:val="auto"/>
              </w:rPr>
            </w:pPr>
            <w:r>
              <w:rPr>
                <w:rFonts w:ascii="Arial" w:cs="Arial" w:eastAsia="Arial" w:hAnsi="Arial"/>
                <w:sz w:val="10"/>
                <w:szCs w:val="10"/>
                <w:b w:val="1"/>
                <w:bCs w:val="1"/>
                <w:color w:val="auto"/>
              </w:rPr>
              <w:t>Jun 30</w:t>
            </w:r>
          </w:p>
        </w:tc>
        <w:tc>
          <w:tcPr>
            <w:tcW w:w="180" w:type="dxa"/>
            <w:vAlign w:val="bottom"/>
          </w:tcPr>
          <w:p>
            <w:pPr>
              <w:spacing w:after="0"/>
              <w:rPr>
                <w:sz w:val="9"/>
                <w:szCs w:val="9"/>
                <w:color w:val="auto"/>
              </w:rPr>
            </w:pPr>
          </w:p>
        </w:tc>
        <w:tc>
          <w:tcPr>
            <w:tcW w:w="800" w:type="dxa"/>
            <w:vAlign w:val="bottom"/>
            <w:gridSpan w:val="3"/>
          </w:tcPr>
          <w:p>
            <w:pPr>
              <w:jc w:val="right"/>
              <w:ind w:right="400"/>
              <w:spacing w:after="0" w:line="108" w:lineRule="exact"/>
              <w:rPr>
                <w:sz w:val="20"/>
                <w:szCs w:val="20"/>
                <w:color w:val="auto"/>
              </w:rPr>
            </w:pPr>
            <w:r>
              <w:rPr>
                <w:rFonts w:ascii="Arial" w:cs="Arial" w:eastAsia="Arial" w:hAnsi="Arial"/>
                <w:sz w:val="10"/>
                <w:szCs w:val="10"/>
                <w:b w:val="1"/>
                <w:bCs w:val="1"/>
                <w:color w:val="auto"/>
              </w:rPr>
              <w:t>Sep 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ind w:left="20"/>
              <w:spacing w:after="0" w:line="108" w:lineRule="exact"/>
              <w:rPr>
                <w:sz w:val="20"/>
                <w:szCs w:val="20"/>
                <w:color w:val="auto"/>
              </w:rPr>
            </w:pPr>
            <w:r>
              <w:rPr>
                <w:rFonts w:ascii="Arial" w:cs="Arial" w:eastAsia="Arial" w:hAnsi="Arial"/>
                <w:sz w:val="10"/>
                <w:szCs w:val="10"/>
                <w:b w:val="1"/>
                <w:bCs w:val="1"/>
                <w:color w:val="auto"/>
              </w:rPr>
              <w:t>Dec 31</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4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  8,531</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  9,600</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  9,634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4000" w:type="dxa"/>
            <w:vAlign w:val="bottom"/>
            <w:gridSpan w:val="5"/>
          </w:tcPr>
          <w:p>
            <w:pPr>
              <w:jc w:val="right"/>
              <w:ind w:right="100"/>
              <w:spacing w:after="0"/>
              <w:rPr>
                <w:sz w:val="20"/>
                <w:szCs w:val="20"/>
                <w:color w:val="auto"/>
              </w:rPr>
            </w:pPr>
            <w:r>
              <w:rPr>
                <w:rFonts w:ascii="Arial" w:cs="Arial" w:eastAsia="Arial" w:hAnsi="Arial"/>
                <w:sz w:val="13"/>
                <w:szCs w:val="13"/>
                <w:color w:val="auto"/>
              </w:rPr>
              <w:t>5,694</w:t>
            </w:r>
          </w:p>
        </w:tc>
        <w:tc>
          <w:tcPr>
            <w:tcW w:w="1000" w:type="dxa"/>
            <w:vAlign w:val="bottom"/>
            <w:gridSpan w:val="4"/>
          </w:tcPr>
          <w:p>
            <w:pPr>
              <w:jc w:val="right"/>
              <w:ind w:right="200"/>
              <w:spacing w:after="0"/>
              <w:rPr>
                <w:sz w:val="20"/>
                <w:szCs w:val="20"/>
                <w:color w:val="auto"/>
              </w:rPr>
            </w:pPr>
            <w:r>
              <w:rPr>
                <w:rFonts w:ascii="Arial" w:cs="Arial" w:eastAsia="Arial" w:hAnsi="Arial"/>
                <w:sz w:val="13"/>
                <w:szCs w:val="13"/>
                <w:color w:val="auto"/>
              </w:rPr>
              <w:t>6,704</w:t>
            </w:r>
          </w:p>
        </w:tc>
        <w:tc>
          <w:tcPr>
            <w:tcW w:w="980" w:type="dxa"/>
            <w:vAlign w:val="bottom"/>
            <w:gridSpan w:val="4"/>
          </w:tcPr>
          <w:p>
            <w:pPr>
              <w:jc w:val="right"/>
              <w:ind w:right="300"/>
              <w:spacing w:after="0"/>
              <w:rPr>
                <w:sz w:val="20"/>
                <w:szCs w:val="20"/>
                <w:color w:val="auto"/>
              </w:rPr>
            </w:pPr>
            <w:r>
              <w:rPr>
                <w:rFonts w:ascii="Arial" w:cs="Arial" w:eastAsia="Arial" w:hAnsi="Arial"/>
                <w:sz w:val="13"/>
                <w:szCs w:val="13"/>
                <w:color w:val="auto"/>
              </w:rPr>
              <w:t>6,625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400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(77)</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734</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4000" w:type="dxa"/>
            <w:vAlign w:val="bottom"/>
            <w:gridSpan w:val="5"/>
          </w:tcPr>
          <w:p>
            <w:pPr>
              <w:jc w:val="right"/>
              <w:ind w:right="60"/>
              <w:spacing w:after="0"/>
              <w:rPr>
                <w:sz w:val="20"/>
                <w:szCs w:val="20"/>
                <w:color w:val="auto"/>
              </w:rPr>
            </w:pPr>
            <w:r>
              <w:rPr>
                <w:rFonts w:ascii="Arial" w:cs="Arial" w:eastAsia="Arial" w:hAnsi="Arial"/>
                <w:sz w:val="13"/>
                <w:szCs w:val="13"/>
                <w:color w:val="auto"/>
              </w:rPr>
              <w:t>(54)</w:t>
            </w:r>
          </w:p>
        </w:tc>
        <w:tc>
          <w:tcPr>
            <w:tcW w:w="1000" w:type="dxa"/>
            <w:vAlign w:val="bottom"/>
            <w:gridSpan w:val="4"/>
          </w:tcPr>
          <w:p>
            <w:pPr>
              <w:jc w:val="right"/>
              <w:ind w:right="200"/>
              <w:spacing w:after="0"/>
              <w:rPr>
                <w:sz w:val="20"/>
                <w:szCs w:val="20"/>
                <w:color w:val="auto"/>
              </w:rPr>
            </w:pPr>
            <w:r>
              <w:rPr>
                <w:rFonts w:ascii="Arial" w:cs="Arial" w:eastAsia="Arial" w:hAnsi="Arial"/>
                <w:sz w:val="13"/>
                <w:szCs w:val="13"/>
                <w:color w:val="auto"/>
              </w:rPr>
              <w:t>657</w:t>
            </w:r>
          </w:p>
        </w:tc>
        <w:tc>
          <w:tcPr>
            <w:tcW w:w="980" w:type="dxa"/>
            <w:vAlign w:val="bottom"/>
            <w:gridSpan w:val="4"/>
          </w:tcPr>
          <w:p>
            <w:pPr>
              <w:jc w:val="right"/>
              <w:ind w:right="300"/>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400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(0.16)</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0.07</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80" w:type="dxa"/>
            <w:vAlign w:val="bottom"/>
          </w:tcPr>
          <w:p>
            <w:pPr>
              <w:jc w:val="right"/>
              <w:ind w:right="1174"/>
              <w:spacing w:after="0"/>
              <w:rPr>
                <w:sz w:val="20"/>
                <w:szCs w:val="20"/>
                <w:color w:val="auto"/>
              </w:rPr>
            </w:pPr>
            <w:r>
              <w:rPr>
                <w:rFonts w:ascii="Arial" w:cs="Arial" w:eastAsia="Arial" w:hAnsi="Arial"/>
                <w:sz w:val="13"/>
                <w:szCs w:val="13"/>
                <w:color w:val="auto"/>
              </w:rPr>
              <w:t>60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evaluated the effectiveness of the design and operation of our disclosure controls and procedures as of December 31, 2010,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2010, our disclosure controls and procedures were effective.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There were no changes in our internal control over financial reporting during the most recent fiscal quarter ended December 31, 2010 that have materially affected, or are reasonably likely to materially affect, our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2011 Proxy Statement under the caption “Item 1 — Election of Directors,” which will be filed no later than 120 days after the end of the fiscal year covered by this Annual Report on Form 10-K, and is incorporated herein by reference.</w:t>
      </w:r>
    </w:p>
    <w:p>
      <w:pPr>
        <w:spacing w:after="0" w:line="5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information required by this item under Item 405 of Regulation S-K is incorporated herein by reference to the section titled “Section 16(a) Beneficial Ownership Reporting Compliance” of our 2011 Proxy Statement, which will be filed no later than 120 days after the end of the fiscal year covered by this Annual Report on Form 10-K. The information required by this item under Item 407(d)(4) and (d)(5) of Regulation S-K is incorporated herein by reference to the section titled “Information Regarding the Board of Directors and Corporate Governance — Board Committees — Audit Committee” of our 2011 Proxy Statement, which will be filed no later than 120 days after the end of the fiscal year covered by this Annual Report on Form 10-K.</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adopted a code of business conduct applicable to our directors, officers (including our principal executive officer and principal financial officer) and employees. The Code of Business Conduct is available on our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 xml:space="preserve">website at </w:t>
      </w:r>
      <w:r>
        <w:rPr>
          <w:rFonts w:ascii="Arial" w:cs="Arial" w:eastAsia="Arial" w:hAnsi="Arial"/>
          <w:sz w:val="13"/>
          <w:szCs w:val="13"/>
          <w:i w:val="1"/>
          <w:iCs w:val="1"/>
          <w:color w:val="auto"/>
        </w:rPr>
        <w:t>www.spscommerce.com</w:t>
      </w:r>
      <w:r>
        <w:rPr>
          <w:rFonts w:ascii="Arial" w:cs="Arial" w:eastAsia="Arial" w:hAnsi="Arial"/>
          <w:sz w:val="13"/>
          <w:szCs w:val="13"/>
          <w:color w:val="auto"/>
        </w:rPr>
        <w:t xml:space="preserve"> under the Investor Relations section. We plan to post on our website at the address described above any future amendments or waivers of our Code of Conduct.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Information related to security ownership required by this item is incorporated herein by reference to the sections titled “Executive Compensation,” and “Certain Relationships and Related Transactions — Compensation Committee Interlocks and Insider Participation” of our 2011 Proxy Statement, which will be filed no later than 120 days after the end of the fiscal year covered by this Annual Report on Form 10-K.</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Information related to security ownership required by this item is incorporated herein by reference to the section titled “Security Ownership” of our 2011 Proxy Statement, which will be filed no later than 120 days after the end of the fiscal year covered by this Annual Report on Form 10-K. Information related to our equity compensation plans required by this item is incorporated herein by reference to the section titled “Executive Compensation — Outstanding Equity Awards” of our 2011 Proxy Statement, which will be filed no later than 120 days after the end of the fiscal year covered by this Annual Report on Form 10-K.</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Information required by this item is incorporated herein by reference to the sections titled “Certain Relationships and Related Transactions,” and “Information Regarding the Board of Directors and Corporate Governance — Director Independence” of our 2011 Proxy Statement, which will be filed no later than 120 days after the end of the fiscal year covered by this Annual Report on Form 10-K.</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Information required by this item is incorporated herein by reference to the section titled “Audit Committee Report and Payment of Fees to Our Independent Auditor” of our 2011 Proxy Statement, which will be filed no later than 120 days after the end of the fiscal year covered by this Annual Report on Form 10-K.</w:t>
      </w:r>
    </w:p>
    <w:p>
      <w:pPr>
        <w:spacing w:after="0" w:line="21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documents are filed as a part of this Annual Report on Form 10-K:</w:t>
      </w:r>
    </w:p>
    <w:p>
      <w:pPr>
        <w:spacing w:after="0" w:line="96" w:lineRule="exact"/>
        <w:rPr>
          <w:sz w:val="20"/>
          <w:szCs w:val="20"/>
          <w:color w:val="auto"/>
        </w:rPr>
      </w:pPr>
    </w:p>
    <w:p>
      <w:pPr>
        <w:ind w:left="1640" w:hanging="171"/>
        <w:spacing w:after="0"/>
        <w:tabs>
          <w:tab w:leader="none" w:pos="1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Financial Statements: The financial statements filed as a part of this report are listed in Part II, Item 8.</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Financial Statement Schedules: The schedules are either not applicable or the required information is presented in the consolidated financial statements or notes thereto.</w:t>
      </w:r>
    </w:p>
    <w:p>
      <w:pPr>
        <w:spacing w:after="0" w:line="107" w:lineRule="exact"/>
        <w:rPr>
          <w:rFonts w:ascii="Arial" w:cs="Arial" w:eastAsia="Arial" w:hAnsi="Arial"/>
          <w:sz w:val="12"/>
          <w:szCs w:val="12"/>
          <w:color w:val="auto"/>
        </w:rPr>
      </w:pPr>
    </w:p>
    <w:p>
      <w:pPr>
        <w:ind w:left="1080" w:right="40" w:firstLine="389"/>
        <w:spacing w:after="0" w:line="276" w:lineRule="auto"/>
        <w:tabs>
          <w:tab w:leader="none" w:pos="1641" w:val="left"/>
        </w:tabs>
        <w:numPr>
          <w:ilvl w:val="0"/>
          <w:numId w:val="27"/>
        </w:numPr>
        <w:rPr>
          <w:rFonts w:ascii="Arial" w:cs="Arial" w:eastAsia="Arial" w:hAnsi="Arial"/>
          <w:sz w:val="13"/>
          <w:szCs w:val="13"/>
          <w:color w:val="auto"/>
        </w:rPr>
      </w:pPr>
      <w:r>
        <w:rPr>
          <w:rFonts w:ascii="Arial" w:cs="Arial" w:eastAsia="Arial" w:hAnsi="Arial"/>
          <w:sz w:val="13"/>
          <w:szCs w:val="13"/>
          <w:color w:val="auto"/>
        </w:rPr>
        <w:t>Exhibits: The exhibits incorporated by reference or filed as a part of this Annual Report on Form 10-K are listed in the Exhibit Index immediately following the signatures to this report.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3, 2011</w:t>
      </w: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SPS COMMERCE,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Archie C. Black</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89" w:lineRule="exact"/>
        <w:rPr>
          <w:sz w:val="20"/>
          <w:szCs w:val="20"/>
          <w:color w:val="auto"/>
        </w:rPr>
      </w:pPr>
    </w:p>
    <w:p>
      <w:pPr>
        <w:ind w:left="680" w:right="800" w:firstLine="399"/>
        <w:spacing w:after="0" w:line="257" w:lineRule="auto"/>
        <w:rPr>
          <w:sz w:val="20"/>
          <w:szCs w:val="20"/>
          <w:color w:val="auto"/>
        </w:rPr>
      </w:pPr>
      <w:r>
        <w:rPr>
          <w:rFonts w:ascii="Arial" w:cs="Arial" w:eastAsia="Arial" w:hAnsi="Arial"/>
          <w:sz w:val="13"/>
          <w:szCs w:val="13"/>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March 3, 2011.</w:t>
      </w:r>
    </w:p>
    <w:p>
      <w:pPr>
        <w:spacing w:after="0" w:line="73"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Signature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ARCHIE C. BLACK</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2"/>
              </w:rPr>
              <w:t>Chief Executive Officer, President and Director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Archie C. Black</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i w:val="1"/>
                <w:iCs w:val="1"/>
                <w:color w:val="auto"/>
                <w:w w:val="94"/>
              </w:rPr>
              <w:t>(principal executive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KIMBERLY K. NELSON</w:t>
            </w:r>
          </w:p>
        </w:tc>
        <w:tc>
          <w:tcPr>
            <w:tcW w:w="6680" w:type="dxa"/>
            <w:vAlign w:val="bottom"/>
          </w:tcPr>
          <w:p>
            <w:pPr>
              <w:jc w:val="center"/>
              <w:ind w:right="434"/>
              <w:spacing w:after="0"/>
              <w:rPr>
                <w:sz w:val="20"/>
                <w:szCs w:val="20"/>
                <w:color w:val="auto"/>
              </w:rPr>
            </w:pPr>
            <w:r>
              <w:rPr>
                <w:rFonts w:ascii="Arial" w:cs="Arial" w:eastAsia="Arial" w:hAnsi="Arial"/>
                <w:sz w:val="13"/>
                <w:szCs w:val="13"/>
                <w:i w:val="1"/>
                <w:iCs w:val="1"/>
                <w:color w:val="auto"/>
                <w:w w:val="92"/>
              </w:rPr>
              <w:t>Executive Vice President and Chief Financial Officer</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Kimberly K. Nelson</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i w:val="1"/>
                <w:iCs w:val="1"/>
                <w:color w:val="auto"/>
                <w:w w:val="95"/>
              </w:rPr>
              <w:t>(principal financial and accounting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MICHAEL B. GORMAN</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Michael B. Gorman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MARTIN J. LEESTMA</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Martin J. Leestma</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PHILIP E. SORAN</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Philip E. Soran</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GEORGE H. SPENCER, III</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George H. Spencer, III</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SVEN A. WEHRWEIN</w:t>
            </w:r>
          </w:p>
        </w:tc>
        <w:tc>
          <w:tcPr>
            <w:tcW w:w="6680" w:type="dxa"/>
            <w:vAlign w:val="bottom"/>
          </w:tcPr>
          <w:p>
            <w:pPr>
              <w:jc w:val="center"/>
              <w:ind w:right="414"/>
              <w:spacing w:after="0"/>
              <w:rPr>
                <w:sz w:val="20"/>
                <w:szCs w:val="20"/>
                <w:color w:val="auto"/>
              </w:rPr>
            </w:pPr>
            <w:r>
              <w:rPr>
                <w:rFonts w:ascii="Arial" w:cs="Arial" w:eastAsia="Arial" w:hAnsi="Arial"/>
                <w:sz w:val="13"/>
                <w:szCs w:val="13"/>
                <w:i w:val="1"/>
                <w:iCs w:val="1"/>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Sven A. Wehrwein</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jc w:val="right"/>
              <w:ind w:right="5654"/>
              <w:spacing w:after="0"/>
              <w:rPr>
                <w:sz w:val="20"/>
                <w:szCs w:val="20"/>
                <w:color w:val="auto"/>
              </w:rPr>
            </w:pPr>
            <w:r>
              <w:rPr>
                <w:rFonts w:ascii="Arial" w:cs="Arial" w:eastAsia="Arial" w:hAnsi="Arial"/>
                <w:sz w:val="13"/>
                <w:szCs w:val="13"/>
                <w:color w:val="auto"/>
              </w:rPr>
              <w:t>63</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EXHIBIT 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jc w:val="right"/>
              <w:ind w:right="437"/>
              <w:spacing w:after="0"/>
              <w:rPr>
                <w:sz w:val="20"/>
                <w:szCs w:val="20"/>
                <w:color w:val="auto"/>
              </w:rPr>
            </w:pPr>
            <w:r>
              <w:rPr>
                <w:rFonts w:ascii="Arial" w:cs="Arial" w:eastAsia="Arial" w:hAnsi="Arial"/>
                <w:sz w:val="10"/>
                <w:szCs w:val="10"/>
                <w:b w:val="1"/>
                <w:bCs w:val="1"/>
                <w:color w:val="auto"/>
              </w:rPr>
              <w:t>Incorporated By Reference</w:t>
            </w:r>
          </w:p>
        </w:tc>
        <w:tc>
          <w:tcPr>
            <w:tcW w:w="8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20" w:type="dxa"/>
            <w:vAlign w:val="bottom"/>
            <w:vMerge w:val="restart"/>
          </w:tcPr>
          <w:p>
            <w:pPr>
              <w:ind w:left="1020"/>
              <w:spacing w:after="0"/>
              <w:rPr>
                <w:sz w:val="20"/>
                <w:szCs w:val="20"/>
                <w:color w:val="auto"/>
              </w:rPr>
            </w:pPr>
            <w:r>
              <w:rPr>
                <w:rFonts w:ascii="Arial" w:cs="Arial" w:eastAsia="Arial" w:hAnsi="Arial"/>
                <w:sz w:val="10"/>
                <w:szCs w:val="10"/>
                <w:b w:val="1"/>
                <w:bCs w:val="1"/>
                <w:color w:val="auto"/>
              </w:rPr>
              <w:t>Exhibit</w:t>
            </w:r>
          </w:p>
        </w:tc>
        <w:tc>
          <w:tcPr>
            <w:tcW w:w="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vMerge w:val="restart"/>
          </w:tcPr>
          <w:p>
            <w:pPr>
              <w:jc w:val="right"/>
              <w:ind w:right="436"/>
              <w:spacing w:after="0"/>
              <w:rPr>
                <w:sz w:val="20"/>
                <w:szCs w:val="20"/>
                <w:color w:val="auto"/>
              </w:rPr>
            </w:pPr>
            <w:r>
              <w:rPr>
                <w:rFonts w:ascii="Arial" w:cs="Arial" w:eastAsia="Arial" w:hAnsi="Arial"/>
                <w:sz w:val="10"/>
                <w:szCs w:val="10"/>
                <w:b w:val="1"/>
                <w:bCs w:val="1"/>
                <w:color w:val="auto"/>
              </w:rPr>
              <w:t>File</w:t>
            </w:r>
          </w:p>
        </w:tc>
        <w:tc>
          <w:tcPr>
            <w:tcW w:w="1160" w:type="dxa"/>
            <w:vAlign w:val="bottom"/>
          </w:tcPr>
          <w:p>
            <w:pPr>
              <w:jc w:val="right"/>
              <w:ind w:right="277"/>
              <w:spacing w:after="0" w:line="81" w:lineRule="exact"/>
              <w:rPr>
                <w:sz w:val="20"/>
                <w:szCs w:val="20"/>
                <w:color w:val="auto"/>
              </w:rPr>
            </w:pPr>
            <w:r>
              <w:rPr>
                <w:rFonts w:ascii="Arial" w:cs="Arial" w:eastAsia="Arial" w:hAnsi="Arial"/>
                <w:sz w:val="9"/>
                <w:szCs w:val="9"/>
                <w:b w:val="1"/>
                <w:bCs w:val="1"/>
                <w:color w:val="auto"/>
              </w:rPr>
              <w:t>Date of</w:t>
            </w:r>
          </w:p>
        </w:tc>
        <w:tc>
          <w:tcPr>
            <w:tcW w:w="102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Exhibit</w:t>
            </w:r>
          </w:p>
        </w:tc>
        <w:tc>
          <w:tcPr>
            <w:tcW w:w="160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Filed</w:t>
            </w:r>
          </w:p>
        </w:tc>
        <w:tc>
          <w:tcPr>
            <w:tcW w:w="0" w:type="dxa"/>
            <w:vAlign w:val="bottom"/>
          </w:tcPr>
          <w:p>
            <w:pPr>
              <w:spacing w:after="0"/>
              <w:rPr>
                <w:sz w:val="1"/>
                <w:szCs w:val="1"/>
                <w:color w:val="auto"/>
              </w:rPr>
            </w:pPr>
          </w:p>
        </w:tc>
      </w:tr>
      <w:tr>
        <w:trPr>
          <w:trHeight w:val="108"/>
        </w:trPr>
        <w:tc>
          <w:tcPr>
            <w:tcW w:w="1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340" w:type="dxa"/>
            <w:vAlign w:val="bottom"/>
            <w:vMerge w:val="restart"/>
          </w:tcPr>
          <w:p>
            <w:pPr>
              <w:ind w:left="1500"/>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Description</w:t>
            </w:r>
          </w:p>
        </w:tc>
        <w:tc>
          <w:tcPr>
            <w:tcW w:w="280" w:type="dxa"/>
            <w:vAlign w:val="bottom"/>
          </w:tcPr>
          <w:p>
            <w:pPr>
              <w:spacing w:after="0"/>
              <w:rPr>
                <w:sz w:val="9"/>
                <w:szCs w:val="9"/>
                <w:color w:val="auto"/>
              </w:rPr>
            </w:pPr>
          </w:p>
        </w:tc>
        <w:tc>
          <w:tcPr>
            <w:tcW w:w="6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Form</w:t>
            </w:r>
          </w:p>
        </w:tc>
        <w:tc>
          <w:tcPr>
            <w:tcW w:w="1220" w:type="dxa"/>
            <w:vAlign w:val="bottom"/>
            <w:vMerge w:val="continue"/>
          </w:tcPr>
          <w:p>
            <w:pPr>
              <w:spacing w:after="0"/>
              <w:rPr>
                <w:sz w:val="9"/>
                <w:szCs w:val="9"/>
                <w:color w:val="auto"/>
              </w:rPr>
            </w:pPr>
          </w:p>
        </w:tc>
        <w:tc>
          <w:tcPr>
            <w:tcW w:w="1160" w:type="dxa"/>
            <w:vAlign w:val="bottom"/>
          </w:tcPr>
          <w:p>
            <w:pPr>
              <w:jc w:val="right"/>
              <w:ind w:right="337"/>
              <w:spacing w:after="0" w:line="108" w:lineRule="exact"/>
              <w:rPr>
                <w:sz w:val="20"/>
                <w:szCs w:val="20"/>
                <w:color w:val="auto"/>
              </w:rPr>
            </w:pPr>
            <w:r>
              <w:rPr>
                <w:rFonts w:ascii="Arial" w:cs="Arial" w:eastAsia="Arial" w:hAnsi="Arial"/>
                <w:sz w:val="10"/>
                <w:szCs w:val="10"/>
                <w:b w:val="1"/>
                <w:bCs w:val="1"/>
                <w:color w:val="auto"/>
              </w:rPr>
              <w:t>First</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180"/>
              <w:spacing w:after="0"/>
              <w:rPr>
                <w:sz w:val="20"/>
                <w:szCs w:val="20"/>
                <w:color w:val="auto"/>
              </w:rPr>
            </w:pPr>
            <w:r>
              <w:rPr>
                <w:rFonts w:ascii="Arial" w:cs="Arial" w:eastAsia="Arial" w:hAnsi="Arial"/>
                <w:sz w:val="10"/>
                <w:szCs w:val="10"/>
                <w:b w:val="1"/>
                <w:bCs w:val="1"/>
                <w:color w:val="auto"/>
              </w:rPr>
              <w:t>Number</w:t>
            </w:r>
          </w:p>
        </w:tc>
        <w:tc>
          <w:tcPr>
            <w:tcW w:w="46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20" w:type="dxa"/>
            <w:vAlign w:val="bottom"/>
          </w:tcPr>
          <w:p>
            <w:pPr>
              <w:jc w:val="right"/>
              <w:ind w:right="156"/>
              <w:spacing w:after="0"/>
              <w:rPr>
                <w:sz w:val="20"/>
                <w:szCs w:val="20"/>
                <w:color w:val="auto"/>
              </w:rPr>
            </w:pPr>
            <w:r>
              <w:rPr>
                <w:rFonts w:ascii="Arial" w:cs="Arial" w:eastAsia="Arial" w:hAnsi="Arial"/>
                <w:sz w:val="10"/>
                <w:szCs w:val="10"/>
                <w:b w:val="1"/>
                <w:bCs w:val="1"/>
                <w:color w:val="auto"/>
              </w:rPr>
              <w:t>Number</w:t>
            </w:r>
          </w:p>
        </w:tc>
        <w:tc>
          <w:tcPr>
            <w:tcW w:w="1160" w:type="dxa"/>
            <w:vAlign w:val="bottom"/>
          </w:tcPr>
          <w:p>
            <w:pPr>
              <w:jc w:val="right"/>
              <w:ind w:right="177"/>
              <w:spacing w:after="0"/>
              <w:rPr>
                <w:sz w:val="20"/>
                <w:szCs w:val="20"/>
                <w:color w:val="auto"/>
              </w:rPr>
            </w:pPr>
            <w:r>
              <w:rPr>
                <w:rFonts w:ascii="Arial" w:cs="Arial" w:eastAsia="Arial" w:hAnsi="Arial"/>
                <w:sz w:val="10"/>
                <w:szCs w:val="10"/>
                <w:b w:val="1"/>
                <w:bCs w:val="1"/>
                <w:color w:val="auto"/>
              </w:rPr>
              <w:t>Filing</w:t>
            </w:r>
          </w:p>
        </w:tc>
        <w:tc>
          <w:tcPr>
            <w:tcW w:w="1020" w:type="dxa"/>
            <w:vAlign w:val="bottom"/>
            <w:gridSpan w:val="2"/>
          </w:tcPr>
          <w:p>
            <w:pPr>
              <w:ind w:left="540"/>
              <w:spacing w:after="0"/>
              <w:rPr>
                <w:sz w:val="20"/>
                <w:szCs w:val="20"/>
                <w:color w:val="auto"/>
              </w:rPr>
            </w:pPr>
            <w:r>
              <w:rPr>
                <w:rFonts w:ascii="Arial" w:cs="Arial" w:eastAsia="Arial" w:hAnsi="Arial"/>
                <w:sz w:val="10"/>
                <w:szCs w:val="10"/>
                <w:b w:val="1"/>
                <w:bCs w:val="1"/>
                <w:color w:val="auto"/>
              </w:rPr>
              <w:t>Number</w:t>
            </w:r>
          </w:p>
        </w:tc>
        <w:tc>
          <w:tcPr>
            <w:tcW w:w="1600" w:type="dxa"/>
            <w:vAlign w:val="bottom"/>
          </w:tcPr>
          <w:p>
            <w:pPr>
              <w:ind w:left="460"/>
              <w:spacing w:after="0"/>
              <w:rPr>
                <w:sz w:val="20"/>
                <w:szCs w:val="20"/>
                <w:color w:val="auto"/>
              </w:rPr>
            </w:pPr>
            <w:r>
              <w:rPr>
                <w:rFonts w:ascii="Arial" w:cs="Arial" w:eastAsia="Arial" w:hAnsi="Arial"/>
                <w:sz w:val="10"/>
                <w:szCs w:val="10"/>
                <w:b w:val="1"/>
                <w:bCs w:val="1"/>
                <w:color w:val="auto"/>
              </w:rPr>
              <w:t>Herewith</w:t>
            </w:r>
          </w:p>
        </w:tc>
        <w:tc>
          <w:tcPr>
            <w:tcW w:w="0" w:type="dxa"/>
            <w:vAlign w:val="bottom"/>
          </w:tcPr>
          <w:p>
            <w:pPr>
              <w:spacing w:after="0"/>
              <w:rPr>
                <w:sz w:val="1"/>
                <w:szCs w:val="1"/>
                <w:color w:val="auto"/>
              </w:rPr>
            </w:pPr>
          </w:p>
        </w:tc>
      </w:tr>
      <w:tr>
        <w:trPr>
          <w:trHeight w:val="197"/>
        </w:trPr>
        <w:tc>
          <w:tcPr>
            <w:tcW w:w="1720" w:type="dxa"/>
            <w:vAlign w:val="bottom"/>
          </w:tcPr>
          <w:p>
            <w:pPr>
              <w:ind w:left="680"/>
              <w:spacing w:after="0"/>
              <w:rPr>
                <w:sz w:val="20"/>
                <w:szCs w:val="20"/>
                <w:color w:val="auto"/>
              </w:rPr>
            </w:pPr>
            <w:r>
              <w:rPr>
                <w:rFonts w:ascii="Arial" w:cs="Arial" w:eastAsia="Arial" w:hAnsi="Arial"/>
                <w:sz w:val="13"/>
                <w:szCs w:val="13"/>
                <w:color w:val="auto"/>
              </w:rPr>
              <w:t>3.1</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Amended and Restated Certificate of Incorporation</w:t>
            </w:r>
          </w:p>
        </w:tc>
        <w:tc>
          <w:tcPr>
            <w:tcW w:w="2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04/13/2010</w:t>
            </w:r>
          </w:p>
        </w:tc>
        <w:tc>
          <w:tcPr>
            <w:tcW w:w="840" w:type="dxa"/>
            <w:vAlign w:val="bottom"/>
          </w:tcPr>
          <w:p>
            <w:pPr>
              <w:ind w:left="24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3.2</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Amended and Restated Bylaws</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4.1</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Registration rights agreement dated April 10, 2007</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4.2</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w:t>
            </w:r>
          </w:p>
        </w:tc>
        <w:tc>
          <w:tcPr>
            <w:tcW w:w="460" w:type="dxa"/>
            <w:vAlign w:val="bottom"/>
          </w:tcPr>
          <w:p>
            <w:pPr>
              <w:ind w:left="180"/>
              <w:spacing w:after="0"/>
              <w:rPr>
                <w:sz w:val="20"/>
                <w:szCs w:val="20"/>
                <w:color w:val="auto"/>
              </w:rPr>
            </w:pPr>
            <w:r>
              <w:rPr>
                <w:rFonts w:ascii="Arial" w:cs="Arial" w:eastAsia="Arial" w:hAnsi="Arial"/>
                <w:sz w:val="13"/>
                <w:szCs w:val="13"/>
                <w:color w:val="auto"/>
                <w:w w:val="89"/>
              </w:rPr>
              <w:t>1999</w:t>
            </w:r>
          </w:p>
        </w:tc>
        <w:tc>
          <w:tcPr>
            <w:tcW w:w="3340" w:type="dxa"/>
            <w:vAlign w:val="bottom"/>
          </w:tcPr>
          <w:p>
            <w:pPr>
              <w:ind w:left="20"/>
              <w:spacing w:after="0"/>
              <w:rPr>
                <w:sz w:val="20"/>
                <w:szCs w:val="20"/>
                <w:color w:val="auto"/>
              </w:rPr>
            </w:pPr>
            <w:r>
              <w:rPr>
                <w:rFonts w:ascii="Arial" w:cs="Arial" w:eastAsia="Arial" w:hAnsi="Arial"/>
                <w:sz w:val="13"/>
                <w:szCs w:val="13"/>
                <w:color w:val="auto"/>
              </w:rPr>
              <w:t>Equity Incentive Plan**</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10.2</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Form of Option Agreement under 1999 Equity Incentive Plan**</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10.2</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10.3</w:t>
            </w: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2001</w:t>
            </w:r>
          </w:p>
        </w:tc>
        <w:tc>
          <w:tcPr>
            <w:tcW w:w="3340" w:type="dxa"/>
            <w:vAlign w:val="bottom"/>
          </w:tcPr>
          <w:p>
            <w:pPr>
              <w:ind w:left="20"/>
              <w:spacing w:after="0"/>
              <w:rPr>
                <w:sz w:val="20"/>
                <w:szCs w:val="20"/>
                <w:color w:val="auto"/>
              </w:rPr>
            </w:pPr>
            <w:r>
              <w:rPr>
                <w:rFonts w:ascii="Arial" w:cs="Arial" w:eastAsia="Arial" w:hAnsi="Arial"/>
                <w:sz w:val="13"/>
                <w:szCs w:val="13"/>
                <w:color w:val="auto"/>
              </w:rPr>
              <w:t>Stock Option Plan**</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10.3</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10.4</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Form of Incentive Stock Option Agreement under 2001 Stock</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10.4</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Option Plan**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10.5</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w w:val="97"/>
              </w:rPr>
              <w:t>Form of Non-Statutory Stock Option Agreement (Director) under</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2001</w:t>
            </w:r>
          </w:p>
        </w:tc>
        <w:tc>
          <w:tcPr>
            <w:tcW w:w="3340" w:type="dxa"/>
            <w:vAlign w:val="bottom"/>
          </w:tcPr>
          <w:p>
            <w:pPr>
              <w:ind w:left="20"/>
              <w:spacing w:after="0"/>
              <w:rPr>
                <w:sz w:val="20"/>
                <w:szCs w:val="20"/>
                <w:color w:val="auto"/>
              </w:rPr>
            </w:pPr>
            <w:r>
              <w:rPr>
                <w:rFonts w:ascii="Arial" w:cs="Arial" w:eastAsia="Arial" w:hAnsi="Arial"/>
                <w:sz w:val="13"/>
                <w:szCs w:val="13"/>
                <w:color w:val="auto"/>
              </w:rPr>
              <w:t>Stock Option Plan**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10.6</w:t>
            </w: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2010</w:t>
            </w:r>
          </w:p>
        </w:tc>
        <w:tc>
          <w:tcPr>
            <w:tcW w:w="3340" w:type="dxa"/>
            <w:vAlign w:val="bottom"/>
          </w:tcPr>
          <w:p>
            <w:pPr>
              <w:ind w:left="20"/>
              <w:spacing w:after="0"/>
              <w:rPr>
                <w:sz w:val="20"/>
                <w:szCs w:val="20"/>
                <w:color w:val="auto"/>
              </w:rPr>
            </w:pPr>
            <w:r>
              <w:rPr>
                <w:rFonts w:ascii="Arial" w:cs="Arial" w:eastAsia="Arial" w:hAnsi="Arial"/>
                <w:sz w:val="13"/>
                <w:szCs w:val="13"/>
                <w:color w:val="auto"/>
              </w:rPr>
              <w:t>Equity Incentive Plan**</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10.6</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10.7</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Form of Incentive Stock Option Agreement under 2010 Equity</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10.7</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Incentive Plan**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10.8</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w w:val="94"/>
              </w:rPr>
              <w:t>Form of Non-Statutory Stock Option Agreement (Employee) under</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10.8</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2010</w:t>
            </w:r>
          </w:p>
        </w:tc>
        <w:tc>
          <w:tcPr>
            <w:tcW w:w="3340" w:type="dxa"/>
            <w:vAlign w:val="bottom"/>
          </w:tcPr>
          <w:p>
            <w:pPr>
              <w:ind w:left="20"/>
              <w:spacing w:after="0"/>
              <w:rPr>
                <w:sz w:val="20"/>
                <w:szCs w:val="20"/>
                <w:color w:val="auto"/>
              </w:rPr>
            </w:pPr>
            <w:r>
              <w:rPr>
                <w:rFonts w:ascii="Arial" w:cs="Arial" w:eastAsia="Arial" w:hAnsi="Arial"/>
                <w:sz w:val="13"/>
                <w:szCs w:val="13"/>
                <w:color w:val="auto"/>
              </w:rPr>
              <w:t>Equity Incentive Plan**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10.9</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w w:val="97"/>
              </w:rPr>
              <w:t>Form of Non-Statutory Stock Option Agreement (Director) under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2010</w:t>
            </w:r>
          </w:p>
        </w:tc>
        <w:tc>
          <w:tcPr>
            <w:tcW w:w="3340" w:type="dxa"/>
            <w:vAlign w:val="bottom"/>
          </w:tcPr>
          <w:p>
            <w:pPr>
              <w:ind w:left="20"/>
              <w:spacing w:after="0"/>
              <w:rPr>
                <w:sz w:val="20"/>
                <w:szCs w:val="20"/>
                <w:color w:val="auto"/>
              </w:rPr>
            </w:pPr>
            <w:r>
              <w:rPr>
                <w:rFonts w:ascii="Arial" w:cs="Arial" w:eastAsia="Arial" w:hAnsi="Arial"/>
                <w:sz w:val="13"/>
                <w:szCs w:val="13"/>
                <w:color w:val="auto"/>
              </w:rPr>
              <w:t>Equity Incentive Plan**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10.10</w:t>
            </w: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2002</w:t>
            </w:r>
          </w:p>
        </w:tc>
        <w:tc>
          <w:tcPr>
            <w:tcW w:w="3340" w:type="dxa"/>
            <w:vAlign w:val="bottom"/>
          </w:tcPr>
          <w:p>
            <w:pPr>
              <w:ind w:left="20"/>
              <w:spacing w:after="0"/>
              <w:rPr>
                <w:sz w:val="20"/>
                <w:szCs w:val="20"/>
                <w:color w:val="auto"/>
              </w:rPr>
            </w:pPr>
            <w:r>
              <w:rPr>
                <w:rFonts w:ascii="Arial" w:cs="Arial" w:eastAsia="Arial" w:hAnsi="Arial"/>
                <w:sz w:val="13"/>
                <w:szCs w:val="13"/>
                <w:color w:val="auto"/>
                <w:w w:val="92"/>
              </w:rPr>
              <w:t>Management Incentive Agreement between the Company and</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10.14</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Archie C. Black**</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10.11</w:t>
            </w:r>
          </w:p>
        </w:tc>
        <w:tc>
          <w:tcPr>
            <w:tcW w:w="460" w:type="dxa"/>
            <w:vAlign w:val="bottom"/>
          </w:tcPr>
          <w:p>
            <w:pPr>
              <w:ind w:left="180"/>
              <w:spacing w:after="0"/>
              <w:rPr>
                <w:sz w:val="20"/>
                <w:szCs w:val="20"/>
                <w:color w:val="auto"/>
              </w:rPr>
            </w:pPr>
            <w:r>
              <w:rPr>
                <w:rFonts w:ascii="Arial" w:cs="Arial" w:eastAsia="Arial" w:hAnsi="Arial"/>
                <w:sz w:val="13"/>
                <w:szCs w:val="13"/>
                <w:color w:val="auto"/>
                <w:w w:val="89"/>
              </w:rPr>
              <w:t>2002</w:t>
            </w:r>
          </w:p>
        </w:tc>
        <w:tc>
          <w:tcPr>
            <w:tcW w:w="3340" w:type="dxa"/>
            <w:vAlign w:val="bottom"/>
          </w:tcPr>
          <w:p>
            <w:pPr>
              <w:ind w:left="20"/>
              <w:spacing w:after="0"/>
              <w:rPr>
                <w:sz w:val="20"/>
                <w:szCs w:val="20"/>
                <w:color w:val="auto"/>
              </w:rPr>
            </w:pPr>
            <w:r>
              <w:rPr>
                <w:rFonts w:ascii="Arial" w:cs="Arial" w:eastAsia="Arial" w:hAnsi="Arial"/>
                <w:sz w:val="13"/>
                <w:szCs w:val="13"/>
                <w:color w:val="auto"/>
                <w:w w:val="92"/>
              </w:rPr>
              <w:t>Management Incentive Agreement between the Company and</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10.15</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James J. Frome**</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10.12</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Non-Employee Director Compensation Policy**</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02/12/2010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10.16</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10.13</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w w:val="95"/>
              </w:rPr>
              <w:t>Form of Indemnification Agreement for Steve A. Cobb, Michael B.</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10.17</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Gorman, and George H. Spencer, III</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10.14</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w w:val="97"/>
              </w:rPr>
              <w:t>Form of Indemnification Agreement for Martin J. Leestma, Philip</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10.18</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E. Soran and Sven A. Wehrwein</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10.15</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Form of Indemnification Agreement for Archie C. Black**</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01/11/2010</w:t>
            </w:r>
          </w:p>
        </w:tc>
        <w:tc>
          <w:tcPr>
            <w:tcW w:w="840" w:type="dxa"/>
            <w:vAlign w:val="bottom"/>
          </w:tcPr>
          <w:p>
            <w:pPr>
              <w:ind w:left="240"/>
              <w:spacing w:after="0"/>
              <w:rPr>
                <w:sz w:val="20"/>
                <w:szCs w:val="20"/>
                <w:color w:val="auto"/>
              </w:rPr>
            </w:pPr>
            <w:r>
              <w:rPr>
                <w:rFonts w:ascii="Arial" w:cs="Arial" w:eastAsia="Arial" w:hAnsi="Arial"/>
                <w:sz w:val="13"/>
                <w:szCs w:val="13"/>
                <w:color w:val="auto"/>
              </w:rPr>
              <w:t>10.19</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20" w:type="dxa"/>
            <w:vAlign w:val="bottom"/>
          </w:tcPr>
          <w:p>
            <w:pPr>
              <w:ind w:left="680"/>
              <w:spacing w:after="0"/>
              <w:rPr>
                <w:sz w:val="20"/>
                <w:szCs w:val="20"/>
                <w:color w:val="auto"/>
              </w:rPr>
            </w:pPr>
            <w:r>
              <w:rPr>
                <w:rFonts w:ascii="Arial" w:cs="Arial" w:eastAsia="Arial" w:hAnsi="Arial"/>
                <w:sz w:val="13"/>
                <w:szCs w:val="13"/>
                <w:color w:val="auto"/>
              </w:rPr>
              <w:t>10.16</w:t>
            </w: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Employment Agreement between the Company and Archie C.</w:t>
            </w:r>
          </w:p>
        </w:tc>
        <w:tc>
          <w:tcPr>
            <w:tcW w:w="2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76"/>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297"/>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10.20</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3800" w:type="dxa"/>
            <w:vAlign w:val="bottom"/>
            <w:gridSpan w:val="2"/>
          </w:tcPr>
          <w:p>
            <w:pPr>
              <w:ind w:left="180"/>
              <w:spacing w:after="0"/>
              <w:rPr>
                <w:sz w:val="20"/>
                <w:szCs w:val="20"/>
                <w:color w:val="auto"/>
              </w:rPr>
            </w:pPr>
            <w:r>
              <w:rPr>
                <w:rFonts w:ascii="Arial" w:cs="Arial" w:eastAsia="Arial" w:hAnsi="Arial"/>
                <w:sz w:val="13"/>
                <w:szCs w:val="13"/>
                <w:color w:val="auto"/>
              </w:rPr>
              <w:t>Black**</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64</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-3329305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-3329305</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-3329305</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-3329305</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-3329305</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0"/>
                <w:szCs w:val="10"/>
                <w:b w:val="1"/>
                <w:bCs w:val="1"/>
                <w:color w:val="auto"/>
              </w:rPr>
              <w:t>Incorporated By Reference</w:t>
            </w:r>
          </w:p>
        </w:tc>
        <w:tc>
          <w:tcPr>
            <w:tcW w:w="8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Exhibit</w:t>
            </w:r>
          </w:p>
        </w:tc>
        <w:tc>
          <w:tcPr>
            <w:tcW w:w="4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vMerge w:val="restart"/>
          </w:tcPr>
          <w:p>
            <w:pPr>
              <w:jc w:val="right"/>
              <w:ind w:right="442"/>
              <w:spacing w:after="0"/>
              <w:rPr>
                <w:sz w:val="20"/>
                <w:szCs w:val="20"/>
                <w:color w:val="auto"/>
              </w:rPr>
            </w:pPr>
            <w:r>
              <w:rPr>
                <w:rFonts w:ascii="Arial" w:cs="Arial" w:eastAsia="Arial" w:hAnsi="Arial"/>
                <w:sz w:val="10"/>
                <w:szCs w:val="10"/>
                <w:b w:val="1"/>
                <w:bCs w:val="1"/>
                <w:color w:val="auto"/>
              </w:rPr>
              <w:t>File</w:t>
            </w:r>
          </w:p>
        </w:tc>
        <w:tc>
          <w:tcPr>
            <w:tcW w:w="1160" w:type="dxa"/>
            <w:vAlign w:val="bottom"/>
          </w:tcPr>
          <w:p>
            <w:pPr>
              <w:jc w:val="right"/>
              <w:ind w:right="283"/>
              <w:spacing w:after="0" w:line="81" w:lineRule="exact"/>
              <w:rPr>
                <w:sz w:val="20"/>
                <w:szCs w:val="20"/>
                <w:color w:val="auto"/>
              </w:rPr>
            </w:pPr>
            <w:r>
              <w:rPr>
                <w:rFonts w:ascii="Arial" w:cs="Arial" w:eastAsia="Arial" w:hAnsi="Arial"/>
                <w:sz w:val="9"/>
                <w:szCs w:val="9"/>
                <w:b w:val="1"/>
                <w:bCs w:val="1"/>
                <w:color w:val="auto"/>
              </w:rPr>
              <w:t>Date of</w:t>
            </w:r>
          </w:p>
        </w:tc>
        <w:tc>
          <w:tcPr>
            <w:tcW w:w="102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Exhibit</w:t>
            </w:r>
          </w:p>
        </w:tc>
        <w:tc>
          <w:tcPr>
            <w:tcW w:w="86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Filed</w:t>
            </w:r>
          </w:p>
        </w:tc>
        <w:tc>
          <w:tcPr>
            <w:tcW w:w="0" w:type="dxa"/>
            <w:vAlign w:val="bottom"/>
          </w:tcPr>
          <w:p>
            <w:pPr>
              <w:spacing w:after="0"/>
              <w:rPr>
                <w:sz w:val="1"/>
                <w:szCs w:val="1"/>
                <w:color w:val="auto"/>
              </w:rPr>
            </w:pPr>
          </w:p>
        </w:tc>
      </w:tr>
      <w:tr>
        <w:trPr>
          <w:trHeight w:val="108"/>
        </w:trPr>
        <w:tc>
          <w:tcPr>
            <w:tcW w:w="1040" w:type="dxa"/>
            <w:vAlign w:val="bottom"/>
            <w:vMerge w:val="continue"/>
          </w:tcPr>
          <w:p>
            <w:pPr>
              <w:spacing w:after="0"/>
              <w:rPr>
                <w:sz w:val="9"/>
                <w:szCs w:val="9"/>
                <w:color w:val="auto"/>
              </w:rPr>
            </w:pPr>
          </w:p>
        </w:tc>
        <w:tc>
          <w:tcPr>
            <w:tcW w:w="4080" w:type="dxa"/>
            <w:vAlign w:val="bottom"/>
            <w:vMerge w:val="restart"/>
          </w:tcPr>
          <w:p>
            <w:pPr>
              <w:ind w:left="1960"/>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Description</w:t>
            </w:r>
          </w:p>
        </w:tc>
        <w:tc>
          <w:tcPr>
            <w:tcW w:w="66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Form</w:t>
            </w:r>
          </w:p>
        </w:tc>
        <w:tc>
          <w:tcPr>
            <w:tcW w:w="1220" w:type="dxa"/>
            <w:vAlign w:val="bottom"/>
            <w:vMerge w:val="continue"/>
          </w:tcPr>
          <w:p>
            <w:pPr>
              <w:spacing w:after="0"/>
              <w:rPr>
                <w:sz w:val="9"/>
                <w:szCs w:val="9"/>
                <w:color w:val="auto"/>
              </w:rPr>
            </w:pPr>
          </w:p>
        </w:tc>
        <w:tc>
          <w:tcPr>
            <w:tcW w:w="1160" w:type="dxa"/>
            <w:vAlign w:val="bottom"/>
          </w:tcPr>
          <w:p>
            <w:pPr>
              <w:jc w:val="right"/>
              <w:ind w:right="343"/>
              <w:spacing w:after="0" w:line="108" w:lineRule="exact"/>
              <w:rPr>
                <w:sz w:val="20"/>
                <w:szCs w:val="20"/>
                <w:color w:val="auto"/>
              </w:rPr>
            </w:pPr>
            <w:r>
              <w:rPr>
                <w:rFonts w:ascii="Arial" w:cs="Arial" w:eastAsia="Arial" w:hAnsi="Arial"/>
                <w:sz w:val="10"/>
                <w:szCs w:val="10"/>
                <w:b w:val="1"/>
                <w:bCs w:val="1"/>
                <w:color w:val="auto"/>
              </w:rPr>
              <w:t>First</w:t>
            </w:r>
          </w:p>
        </w:tc>
        <w:tc>
          <w:tcPr>
            <w:tcW w:w="10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500"/>
              <w:spacing w:after="0"/>
              <w:rPr>
                <w:sz w:val="20"/>
                <w:szCs w:val="20"/>
                <w:color w:val="auto"/>
              </w:rPr>
            </w:pPr>
            <w:r>
              <w:rPr>
                <w:rFonts w:ascii="Arial" w:cs="Arial" w:eastAsia="Arial" w:hAnsi="Arial"/>
                <w:sz w:val="10"/>
                <w:szCs w:val="10"/>
                <w:b w:val="1"/>
                <w:bCs w:val="1"/>
                <w:color w:val="auto"/>
              </w:rPr>
              <w:t>Number</w:t>
            </w:r>
          </w:p>
        </w:tc>
        <w:tc>
          <w:tcPr>
            <w:tcW w:w="40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20" w:type="dxa"/>
            <w:vAlign w:val="bottom"/>
          </w:tcPr>
          <w:p>
            <w:pPr>
              <w:jc w:val="right"/>
              <w:ind w:right="162"/>
              <w:spacing w:after="0"/>
              <w:rPr>
                <w:sz w:val="20"/>
                <w:szCs w:val="20"/>
                <w:color w:val="auto"/>
              </w:rPr>
            </w:pPr>
            <w:r>
              <w:rPr>
                <w:rFonts w:ascii="Arial" w:cs="Arial" w:eastAsia="Arial" w:hAnsi="Arial"/>
                <w:sz w:val="10"/>
                <w:szCs w:val="10"/>
                <w:b w:val="1"/>
                <w:bCs w:val="1"/>
                <w:color w:val="auto"/>
              </w:rPr>
              <w:t>Number</w:t>
            </w:r>
          </w:p>
        </w:tc>
        <w:tc>
          <w:tcPr>
            <w:tcW w:w="1160" w:type="dxa"/>
            <w:vAlign w:val="bottom"/>
          </w:tcPr>
          <w:p>
            <w:pPr>
              <w:jc w:val="right"/>
              <w:ind w:right="183"/>
              <w:spacing w:after="0"/>
              <w:rPr>
                <w:sz w:val="20"/>
                <w:szCs w:val="20"/>
                <w:color w:val="auto"/>
              </w:rPr>
            </w:pPr>
            <w:r>
              <w:rPr>
                <w:rFonts w:ascii="Arial" w:cs="Arial" w:eastAsia="Arial" w:hAnsi="Arial"/>
                <w:sz w:val="10"/>
                <w:szCs w:val="10"/>
                <w:b w:val="1"/>
                <w:bCs w:val="1"/>
                <w:color w:val="auto"/>
              </w:rPr>
              <w:t>Filing</w:t>
            </w:r>
          </w:p>
        </w:tc>
        <w:tc>
          <w:tcPr>
            <w:tcW w:w="1020" w:type="dxa"/>
            <w:vAlign w:val="bottom"/>
            <w:gridSpan w:val="2"/>
          </w:tcPr>
          <w:p>
            <w:pPr>
              <w:ind w:left="540"/>
              <w:spacing w:after="0"/>
              <w:rPr>
                <w:sz w:val="20"/>
                <w:szCs w:val="20"/>
                <w:color w:val="auto"/>
              </w:rPr>
            </w:pPr>
            <w:r>
              <w:rPr>
                <w:rFonts w:ascii="Arial" w:cs="Arial" w:eastAsia="Arial" w:hAnsi="Arial"/>
                <w:sz w:val="10"/>
                <w:szCs w:val="10"/>
                <w:b w:val="1"/>
                <w:bCs w:val="1"/>
                <w:color w:val="auto"/>
              </w:rPr>
              <w:t>Number</w:t>
            </w:r>
          </w:p>
        </w:tc>
        <w:tc>
          <w:tcPr>
            <w:tcW w:w="860" w:type="dxa"/>
            <w:vAlign w:val="bottom"/>
          </w:tcPr>
          <w:p>
            <w:pPr>
              <w:ind w:left="460"/>
              <w:spacing w:after="0"/>
              <w:rPr>
                <w:sz w:val="20"/>
                <w:szCs w:val="20"/>
                <w:color w:val="auto"/>
              </w:rPr>
            </w:pPr>
            <w:r>
              <w:rPr>
                <w:rFonts w:ascii="Arial" w:cs="Arial" w:eastAsia="Arial" w:hAnsi="Arial"/>
                <w:sz w:val="10"/>
                <w:szCs w:val="10"/>
                <w:b w:val="1"/>
                <w:bCs w:val="1"/>
                <w:color w:val="auto"/>
                <w:w w:val="89"/>
              </w:rPr>
              <w:t>Herewith</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20"/>
                <w:szCs w:val="20"/>
                <w:color w:val="auto"/>
              </w:rPr>
            </w:pPr>
            <w:r>
              <w:rPr>
                <w:rFonts w:ascii="Arial" w:cs="Arial" w:eastAsia="Arial" w:hAnsi="Arial"/>
                <w:sz w:val="13"/>
                <w:szCs w:val="13"/>
                <w:color w:val="auto"/>
              </w:rPr>
              <w:t>10.17</w:t>
            </w:r>
          </w:p>
        </w:tc>
        <w:tc>
          <w:tcPr>
            <w:tcW w:w="4080" w:type="dxa"/>
            <w:vAlign w:val="bottom"/>
          </w:tcPr>
          <w:p>
            <w:pPr>
              <w:ind w:left="180"/>
              <w:spacing w:after="0"/>
              <w:rPr>
                <w:sz w:val="20"/>
                <w:szCs w:val="20"/>
                <w:color w:val="auto"/>
              </w:rPr>
            </w:pPr>
            <w:r>
              <w:rPr>
                <w:rFonts w:ascii="Arial" w:cs="Arial" w:eastAsia="Arial" w:hAnsi="Arial"/>
                <w:sz w:val="13"/>
                <w:szCs w:val="13"/>
                <w:color w:val="auto"/>
              </w:rPr>
              <w:t>Form of At-will Confidentiality Agreement Regarding Certain</w:t>
            </w: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82"/>
              <w:spacing w:after="0"/>
              <w:rPr>
                <w:sz w:val="20"/>
                <w:szCs w:val="20"/>
                <w:color w:val="auto"/>
              </w:rPr>
            </w:pPr>
            <w:r>
              <w:rPr>
                <w:rFonts w:ascii="Arial" w:cs="Arial" w:eastAsia="Arial" w:hAnsi="Arial"/>
                <w:sz w:val="13"/>
                <w:szCs w:val="13"/>
                <w:color w:val="auto"/>
              </w:rPr>
              <w:t>333-163476</w:t>
            </w:r>
          </w:p>
        </w:tc>
        <w:tc>
          <w:tcPr>
            <w:tcW w:w="1160" w:type="dxa"/>
            <w:vAlign w:val="bottom"/>
          </w:tcPr>
          <w:p>
            <w:pPr>
              <w:jc w:val="right"/>
              <w:ind w:right="303"/>
              <w:spacing w:after="0"/>
              <w:rPr>
                <w:sz w:val="20"/>
                <w:szCs w:val="20"/>
                <w:color w:val="auto"/>
              </w:rPr>
            </w:pPr>
            <w:r>
              <w:rPr>
                <w:rFonts w:ascii="Arial" w:cs="Arial" w:eastAsia="Arial" w:hAnsi="Arial"/>
                <w:sz w:val="13"/>
                <w:szCs w:val="13"/>
                <w:color w:val="auto"/>
              </w:rPr>
              <w:t>03/05/2010</w:t>
            </w:r>
          </w:p>
        </w:tc>
        <w:tc>
          <w:tcPr>
            <w:tcW w:w="840" w:type="dxa"/>
            <w:vAlign w:val="bottom"/>
          </w:tcPr>
          <w:p>
            <w:pPr>
              <w:ind w:left="240"/>
              <w:spacing w:after="0"/>
              <w:rPr>
                <w:sz w:val="20"/>
                <w:szCs w:val="20"/>
                <w:color w:val="auto"/>
              </w:rPr>
            </w:pPr>
            <w:r>
              <w:rPr>
                <w:rFonts w:ascii="Arial" w:cs="Arial" w:eastAsia="Arial" w:hAnsi="Arial"/>
                <w:sz w:val="13"/>
                <w:szCs w:val="13"/>
                <w:color w:val="auto"/>
              </w:rPr>
              <w:t>10.21</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Terms and Conditions of Employment for Kimberly K. Nelson,</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James J. Frome, Michael J. Gray and David J. Novak, Jr.**</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21.1</w:t>
            </w:r>
          </w:p>
        </w:tc>
        <w:tc>
          <w:tcPr>
            <w:tcW w:w="4080" w:type="dxa"/>
            <w:vAlign w:val="bottom"/>
          </w:tcPr>
          <w:p>
            <w:pPr>
              <w:ind w:left="180"/>
              <w:spacing w:after="0"/>
              <w:rPr>
                <w:sz w:val="20"/>
                <w:szCs w:val="20"/>
                <w:color w:val="auto"/>
              </w:rPr>
            </w:pPr>
            <w:r>
              <w:rPr>
                <w:rFonts w:ascii="Arial" w:cs="Arial" w:eastAsia="Arial" w:hAnsi="Arial"/>
                <w:sz w:val="13"/>
                <w:szCs w:val="13"/>
                <w:color w:val="auto"/>
              </w:rPr>
              <w:t>Subsidiaries of the registrant</w:t>
            </w:r>
          </w:p>
        </w:tc>
        <w:tc>
          <w:tcPr>
            <w:tcW w:w="660" w:type="dxa"/>
            <w:vAlign w:val="bottom"/>
          </w:tcPr>
          <w:p>
            <w:pPr>
              <w:spacing w:after="0"/>
              <w:rPr>
                <w:sz w:val="20"/>
                <w:szCs w:val="20"/>
                <w:color w:val="auto"/>
              </w:rPr>
            </w:pPr>
            <w:r>
              <w:rPr>
                <w:rFonts w:ascii="Arial" w:cs="Arial" w:eastAsia="Arial" w:hAnsi="Arial"/>
                <w:sz w:val="13"/>
                <w:szCs w:val="13"/>
                <w:color w:val="auto"/>
              </w:rPr>
              <w:t>S-1/A</w:t>
            </w:r>
          </w:p>
        </w:tc>
        <w:tc>
          <w:tcPr>
            <w:tcW w:w="1220" w:type="dxa"/>
            <w:vAlign w:val="bottom"/>
          </w:tcPr>
          <w:p>
            <w:pPr>
              <w:jc w:val="right"/>
              <w:ind w:right="382"/>
              <w:spacing w:after="0"/>
              <w:rPr>
                <w:sz w:val="20"/>
                <w:szCs w:val="20"/>
                <w:color w:val="auto"/>
              </w:rPr>
            </w:pPr>
            <w:r>
              <w:rPr>
                <w:rFonts w:ascii="Arial" w:cs="Arial" w:eastAsia="Arial" w:hAnsi="Arial"/>
                <w:sz w:val="13"/>
                <w:szCs w:val="13"/>
                <w:color w:val="auto"/>
              </w:rPr>
              <w:t>333-170544</w:t>
            </w:r>
          </w:p>
        </w:tc>
        <w:tc>
          <w:tcPr>
            <w:tcW w:w="1160" w:type="dxa"/>
            <w:vAlign w:val="bottom"/>
          </w:tcPr>
          <w:p>
            <w:pPr>
              <w:jc w:val="right"/>
              <w:ind w:right="303"/>
              <w:spacing w:after="0"/>
              <w:rPr>
                <w:sz w:val="20"/>
                <w:szCs w:val="20"/>
                <w:color w:val="auto"/>
              </w:rPr>
            </w:pPr>
            <w:r>
              <w:rPr>
                <w:rFonts w:ascii="Arial" w:cs="Arial" w:eastAsia="Arial" w:hAnsi="Arial"/>
                <w:sz w:val="13"/>
                <w:szCs w:val="13"/>
                <w:color w:val="auto"/>
              </w:rPr>
              <w:t>11/30/2010</w:t>
            </w:r>
          </w:p>
        </w:tc>
        <w:tc>
          <w:tcPr>
            <w:tcW w:w="840" w:type="dxa"/>
            <w:vAlign w:val="bottom"/>
          </w:tcPr>
          <w:p>
            <w:pPr>
              <w:ind w:left="240"/>
              <w:spacing w:after="0"/>
              <w:rPr>
                <w:sz w:val="20"/>
                <w:szCs w:val="20"/>
                <w:color w:val="auto"/>
              </w:rPr>
            </w:pPr>
            <w:r>
              <w:rPr>
                <w:rFonts w:ascii="Arial" w:cs="Arial" w:eastAsia="Arial" w:hAnsi="Arial"/>
                <w:sz w:val="13"/>
                <w:szCs w:val="13"/>
                <w:color w:val="auto"/>
              </w:rPr>
              <w:t>21.1</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23.1</w:t>
            </w:r>
          </w:p>
        </w:tc>
        <w:tc>
          <w:tcPr>
            <w:tcW w:w="4080" w:type="dxa"/>
            <w:vAlign w:val="bottom"/>
          </w:tcPr>
          <w:p>
            <w:pPr>
              <w:ind w:left="180"/>
              <w:spacing w:after="0"/>
              <w:rPr>
                <w:sz w:val="20"/>
                <w:szCs w:val="20"/>
                <w:color w:val="auto"/>
              </w:rPr>
            </w:pPr>
            <w:r>
              <w:rPr>
                <w:rFonts w:ascii="Arial" w:cs="Arial" w:eastAsia="Arial" w:hAnsi="Arial"/>
                <w:sz w:val="13"/>
                <w:szCs w:val="13"/>
                <w:color w:val="auto"/>
              </w:rPr>
              <w:t>Consent of Grant Thornton LLP</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24.1</w:t>
            </w:r>
          </w:p>
        </w:tc>
        <w:tc>
          <w:tcPr>
            <w:tcW w:w="4080" w:type="dxa"/>
            <w:vAlign w:val="bottom"/>
          </w:tcPr>
          <w:p>
            <w:pPr>
              <w:ind w:left="180"/>
              <w:spacing w:after="0"/>
              <w:rPr>
                <w:sz w:val="20"/>
                <w:szCs w:val="20"/>
                <w:color w:val="auto"/>
              </w:rPr>
            </w:pPr>
            <w:r>
              <w:rPr>
                <w:rFonts w:ascii="Arial" w:cs="Arial" w:eastAsia="Arial" w:hAnsi="Arial"/>
                <w:sz w:val="13"/>
                <w:szCs w:val="13"/>
                <w:color w:val="auto"/>
              </w:rPr>
              <w:t>Power of Attorney (included on signature page)</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31.1</w:t>
            </w:r>
          </w:p>
        </w:tc>
        <w:tc>
          <w:tcPr>
            <w:tcW w:w="4080" w:type="dxa"/>
            <w:vAlign w:val="bottom"/>
          </w:tcPr>
          <w:p>
            <w:pPr>
              <w:ind w:left="180"/>
              <w:spacing w:after="0"/>
              <w:rPr>
                <w:sz w:val="20"/>
                <w:szCs w:val="20"/>
                <w:color w:val="auto"/>
              </w:rPr>
            </w:pPr>
            <w:r>
              <w:rPr>
                <w:rFonts w:ascii="Arial" w:cs="Arial" w:eastAsia="Arial" w:hAnsi="Arial"/>
                <w:sz w:val="13"/>
                <w:szCs w:val="13"/>
                <w:color w:val="auto"/>
              </w:rPr>
              <w:t>Certification of Principal Executive Officer pursuant to</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Rules 13a-14(a) under the Securities Exchange Act of 1934, as</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amended</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31.2</w:t>
            </w:r>
          </w:p>
        </w:tc>
        <w:tc>
          <w:tcPr>
            <w:tcW w:w="4080" w:type="dxa"/>
            <w:vAlign w:val="bottom"/>
          </w:tcPr>
          <w:p>
            <w:pPr>
              <w:ind w:left="180"/>
              <w:spacing w:after="0"/>
              <w:rPr>
                <w:sz w:val="20"/>
                <w:szCs w:val="20"/>
                <w:color w:val="auto"/>
              </w:rPr>
            </w:pPr>
            <w:r>
              <w:rPr>
                <w:rFonts w:ascii="Arial" w:cs="Arial" w:eastAsia="Arial" w:hAnsi="Arial"/>
                <w:sz w:val="13"/>
                <w:szCs w:val="13"/>
                <w:color w:val="auto"/>
              </w:rPr>
              <w:t>Certification of Principal Financial Officer pursuant to</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Rules 13a-14(a) under the Securities Exchange Act of 1934, as</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amended</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32.1</w:t>
            </w:r>
          </w:p>
        </w:tc>
        <w:tc>
          <w:tcPr>
            <w:tcW w:w="4080" w:type="dxa"/>
            <w:vAlign w:val="bottom"/>
          </w:tcPr>
          <w:p>
            <w:pPr>
              <w:ind w:left="180"/>
              <w:spacing w:after="0"/>
              <w:rPr>
                <w:sz w:val="20"/>
                <w:szCs w:val="20"/>
                <w:color w:val="auto"/>
              </w:rPr>
            </w:pPr>
            <w:r>
              <w:rPr>
                <w:rFonts w:ascii="Arial" w:cs="Arial" w:eastAsia="Arial" w:hAnsi="Arial"/>
                <w:sz w:val="13"/>
                <w:szCs w:val="13"/>
                <w:color w:val="auto"/>
              </w:rPr>
              <w:t>Certification of Chief Executive Officer and Chief Financial Officer</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7"/>
        </w:trPr>
        <w:tc>
          <w:tcPr>
            <w:tcW w:w="1040" w:type="dxa"/>
            <w:vAlign w:val="bottom"/>
          </w:tcPr>
          <w:p>
            <w:pPr>
              <w:spacing w:after="0"/>
              <w:rPr>
                <w:sz w:val="13"/>
                <w:szCs w:val="13"/>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w w:val="97"/>
              </w:rPr>
              <w:t>pursuant to 18 U.S.C. Sec. 1350, as adopted pursuant to Section 906</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080" w:type="dxa"/>
            <w:vAlign w:val="bottom"/>
          </w:tcPr>
          <w:p>
            <w:pPr>
              <w:ind w:left="180"/>
              <w:spacing w:after="0"/>
              <w:rPr>
                <w:sz w:val="20"/>
                <w:szCs w:val="20"/>
                <w:color w:val="auto"/>
              </w:rPr>
            </w:pPr>
            <w:r>
              <w:rPr>
                <w:rFonts w:ascii="Arial" w:cs="Arial" w:eastAsia="Arial" w:hAnsi="Arial"/>
                <w:sz w:val="13"/>
                <w:szCs w:val="13"/>
                <w:color w:val="auto"/>
              </w:rPr>
              <w:t>of the Sarbanes-Oxley Act of 2002</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-1527810</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-1527810</wp:posOffset>
            </wp:positionV>
            <wp:extent cx="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-1527810</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-1527810</wp:posOffset>
            </wp:positionV>
            <wp:extent cx="63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-1527810</wp:posOffset>
            </wp:positionV>
            <wp:extent cx="63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or arrangement.</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720"/>
          </w:cols>
          <w:pgMar w:left="220" w:top="343" w:right="95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b w:val="1"/>
          <w:bCs w:val="1"/>
          <w:color w:val="auto"/>
        </w:rPr>
        <w:t>Exhibit 10.9</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SPS COMMERCE, INC.</w:t>
      </w:r>
    </w:p>
    <w:p>
      <w:pPr>
        <w:spacing w:after="0" w:line="86" w:lineRule="exact"/>
        <w:rPr>
          <w:sz w:val="20"/>
          <w:szCs w:val="20"/>
          <w:color w:val="auto"/>
        </w:rPr>
      </w:pPr>
    </w:p>
    <w:p>
      <w:pPr>
        <w:ind w:left="4600"/>
        <w:spacing w:after="0"/>
        <w:rPr>
          <w:sz w:val="20"/>
          <w:szCs w:val="20"/>
          <w:color w:val="auto"/>
        </w:rPr>
      </w:pPr>
      <w:r>
        <w:rPr>
          <w:rFonts w:ascii="Arial" w:cs="Arial" w:eastAsia="Arial" w:hAnsi="Arial"/>
          <w:sz w:val="13"/>
          <w:szCs w:val="13"/>
          <w:b w:val="1"/>
          <w:bCs w:val="1"/>
          <w:u w:val="single" w:color="auto"/>
          <w:color w:val="auto"/>
        </w:rPr>
        <w:t>Non-Statutory Stock Option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2010 Equity Incentive Plan (Director)</w:t>
      </w:r>
    </w:p>
    <w:p>
      <w:pPr>
        <w:spacing w:after="0" w:line="79" w:lineRule="exact"/>
        <w:rPr>
          <w:sz w:val="20"/>
          <w:szCs w:val="20"/>
          <w:color w:val="auto"/>
        </w:rPr>
      </w:pPr>
    </w:p>
    <w:p>
      <w:pPr>
        <w:ind w:right="160" w:firstLine="164"/>
        <w:spacing w:after="0" w:line="371" w:lineRule="auto"/>
        <w:rPr>
          <w:sz w:val="20"/>
          <w:szCs w:val="20"/>
          <w:color w:val="auto"/>
        </w:rPr>
      </w:pPr>
      <w:r>
        <w:rPr>
          <w:rFonts w:ascii="Arial" w:cs="Arial" w:eastAsia="Arial" w:hAnsi="Arial"/>
          <w:sz w:val="11"/>
          <w:szCs w:val="11"/>
          <w:color w:val="auto"/>
        </w:rPr>
        <w:t>SPS Commerce, Inc. (the “Company”), pursuant to its 2010 Equity Incentive Plan (the “Plan”), hereby grants an Option to purchase shares of the Company’s common stock to you, the Optionee named below. The terms and conditions of the Option Award are set forth in this Agreement, consisting of this cover page and the Option Terms and Conditions on the following pages, and in the Plan document which is attached.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20"/>
                <w:szCs w:val="20"/>
                <w:color w:val="auto"/>
              </w:rPr>
            </w:pPr>
            <w:r>
              <w:rPr>
                <w:rFonts w:ascii="Arial" w:cs="Arial" w:eastAsia="Arial" w:hAnsi="Arial"/>
                <w:sz w:val="13"/>
                <w:szCs w:val="13"/>
                <w:color w:val="auto"/>
                <w:w w:val="94"/>
              </w:rPr>
              <w:t>Name of Optionee: **[</w:t>
            </w:r>
          </w:p>
        </w:tc>
        <w:tc>
          <w:tcPr>
            <w:tcW w:w="540" w:type="dxa"/>
            <w:vAlign w:val="bottom"/>
            <w:tcBorders>
              <w:bottom w:val="single" w:sz="8" w:color="auto"/>
            </w:tcBorders>
            <w:gridSpan w:val="3"/>
          </w:tcPr>
          <w:p>
            <w:pPr>
              <w:spacing w:after="0"/>
              <w:rPr>
                <w:sz w:val="13"/>
                <w:szCs w:val="13"/>
                <w:color w:val="auto"/>
              </w:rPr>
            </w:pPr>
          </w:p>
        </w:tc>
        <w:tc>
          <w:tcPr>
            <w:tcW w:w="760" w:type="dxa"/>
            <w:vAlign w:val="bottom"/>
            <w:tcBorders>
              <w:bottom w:val="single" w:sz="8" w:color="auto"/>
            </w:tcBorders>
            <w:gridSpan w:val="3"/>
          </w:tcPr>
          <w:p>
            <w:pPr>
              <w:spacing w:after="0"/>
              <w:rPr>
                <w:sz w:val="13"/>
                <w:szCs w:val="13"/>
                <w:color w:val="auto"/>
              </w:rPr>
            </w:pPr>
          </w:p>
        </w:tc>
        <w:tc>
          <w:tcPr>
            <w:tcW w:w="1740" w:type="dxa"/>
            <w:vAlign w:val="bottom"/>
          </w:tcPr>
          <w:p>
            <w:pPr>
              <w:jc w:val="right"/>
              <w:ind w:right="1651"/>
              <w:spacing w:after="0"/>
              <w:rPr>
                <w:sz w:val="20"/>
                <w:szCs w:val="20"/>
                <w:color w:val="auto"/>
              </w:rPr>
            </w:pPr>
            <w:r>
              <w:rPr>
                <w:rFonts w:ascii="Arial" w:cs="Arial" w:eastAsia="Arial" w:hAnsi="Arial"/>
                <w:sz w:val="10"/>
                <w:szCs w:val="10"/>
                <w:color w:val="auto"/>
                <w:w w:val="70"/>
              </w:rPr>
              <w:t>]</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95"/>
        </w:trPr>
        <w:tc>
          <w:tcPr>
            <w:tcW w:w="1440" w:type="dxa"/>
            <w:vAlign w:val="bottom"/>
            <w:gridSpan w:val="2"/>
          </w:tcPr>
          <w:p>
            <w:pPr>
              <w:spacing w:after="0"/>
              <w:rPr>
                <w:sz w:val="20"/>
                <w:szCs w:val="20"/>
                <w:color w:val="auto"/>
              </w:rPr>
            </w:pPr>
            <w:r>
              <w:rPr>
                <w:rFonts w:ascii="Arial" w:cs="Arial" w:eastAsia="Arial" w:hAnsi="Arial"/>
                <w:sz w:val="13"/>
                <w:szCs w:val="13"/>
                <w:color w:val="auto"/>
                <w:w w:val="92"/>
              </w:rPr>
              <w:t>No. of Shares Covered: **[</w:t>
            </w:r>
          </w:p>
        </w:tc>
        <w:tc>
          <w:tcPr>
            <w:tcW w:w="320" w:type="dxa"/>
            <w:vAlign w:val="bottom"/>
            <w:tcBorders>
              <w:bottom w:val="single" w:sz="8" w:color="auto"/>
            </w:tcBorders>
            <w:gridSpan w:val="2"/>
          </w:tcPr>
          <w:p>
            <w:pPr>
              <w:spacing w:after="0"/>
              <w:rPr>
                <w:sz w:val="24"/>
                <w:szCs w:val="24"/>
                <w:color w:val="auto"/>
              </w:rPr>
            </w:pPr>
          </w:p>
        </w:tc>
        <w:tc>
          <w:tcPr>
            <w:tcW w:w="160" w:type="dxa"/>
            <w:vAlign w:val="bottom"/>
          </w:tcPr>
          <w:p>
            <w:pPr>
              <w:jc w:val="right"/>
              <w:ind w:right="71"/>
              <w:spacing w:after="0"/>
              <w:rPr>
                <w:sz w:val="20"/>
                <w:szCs w:val="20"/>
                <w:color w:val="auto"/>
              </w:rPr>
            </w:pPr>
            <w:r>
              <w:rPr>
                <w:rFonts w:ascii="Arial" w:cs="Arial" w:eastAsia="Arial" w:hAnsi="Arial"/>
                <w:sz w:val="10"/>
                <w:szCs w:val="10"/>
                <w:color w:val="auto"/>
                <w:w w:val="70"/>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ind w:left="1700"/>
              <w:spacing w:after="0"/>
              <w:rPr>
                <w:sz w:val="20"/>
                <w:szCs w:val="20"/>
                <w:color w:val="auto"/>
              </w:rPr>
            </w:pPr>
            <w:r>
              <w:rPr>
                <w:rFonts w:ascii="Arial" w:cs="Arial" w:eastAsia="Arial" w:hAnsi="Arial"/>
                <w:sz w:val="13"/>
                <w:szCs w:val="13"/>
                <w:color w:val="auto"/>
                <w:w w:val="95"/>
              </w:rPr>
              <w:t>Date of Grant:</w:t>
            </w:r>
          </w:p>
        </w:tc>
        <w:tc>
          <w:tcPr>
            <w:tcW w:w="640" w:type="dxa"/>
            <w:vAlign w:val="bottom"/>
            <w:tcBorders>
              <w:bottom w:val="single" w:sz="8" w:color="auto"/>
            </w:tcBorders>
            <w:gridSpan w:val="2"/>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 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95"/>
        </w:trPr>
        <w:tc>
          <w:tcPr>
            <w:tcW w:w="1600" w:type="dxa"/>
            <w:vAlign w:val="bottom"/>
            <w:gridSpan w:val="3"/>
          </w:tcPr>
          <w:p>
            <w:pPr>
              <w:spacing w:after="0"/>
              <w:rPr>
                <w:sz w:val="20"/>
                <w:szCs w:val="20"/>
                <w:color w:val="auto"/>
              </w:rPr>
            </w:pPr>
            <w:r>
              <w:rPr>
                <w:rFonts w:ascii="Arial" w:cs="Arial" w:eastAsia="Arial" w:hAnsi="Arial"/>
                <w:sz w:val="13"/>
                <w:szCs w:val="13"/>
                <w:color w:val="auto"/>
                <w:w w:val="91"/>
              </w:rPr>
              <w:t>Exercise Price Per Share: $**[</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gridSpan w:val="2"/>
          </w:tcPr>
          <w:p>
            <w:pPr>
              <w:ind w:left="1700"/>
              <w:spacing w:after="0"/>
              <w:rPr>
                <w:sz w:val="20"/>
                <w:szCs w:val="20"/>
                <w:color w:val="auto"/>
              </w:rPr>
            </w:pPr>
            <w:r>
              <w:rPr>
                <w:rFonts w:ascii="Arial" w:cs="Arial" w:eastAsia="Arial" w:hAnsi="Arial"/>
                <w:sz w:val="13"/>
                <w:szCs w:val="13"/>
                <w:color w:val="auto"/>
                <w:w w:val="95"/>
              </w:rPr>
              <w:t>Expiration Date:</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 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323"/>
        </w:trPr>
        <w:tc>
          <w:tcPr>
            <w:tcW w:w="1760" w:type="dxa"/>
            <w:vAlign w:val="bottom"/>
            <w:gridSpan w:val="4"/>
          </w:tcPr>
          <w:p>
            <w:pPr>
              <w:spacing w:after="0"/>
              <w:rPr>
                <w:sz w:val="20"/>
                <w:szCs w:val="20"/>
                <w:color w:val="auto"/>
              </w:rPr>
            </w:pPr>
            <w:r>
              <w:rPr>
                <w:rFonts w:ascii="Arial" w:cs="Arial" w:eastAsia="Arial" w:hAnsi="Arial"/>
                <w:sz w:val="13"/>
                <w:szCs w:val="13"/>
                <w:color w:val="auto"/>
                <w:w w:val="94"/>
              </w:rPr>
              <w:t>Vesting and Exercise Schedule: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07"/>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jc w:val="center"/>
              <w:ind w:right="194"/>
              <w:spacing w:after="0"/>
              <w:rPr>
                <w:sz w:val="20"/>
                <w:szCs w:val="20"/>
                <w:color w:val="auto"/>
              </w:rPr>
            </w:pPr>
            <w:r>
              <w:rPr>
                <w:rFonts w:ascii="Arial" w:cs="Arial" w:eastAsia="Arial" w:hAnsi="Arial"/>
                <w:sz w:val="13"/>
                <w:szCs w:val="13"/>
                <w:color w:val="auto"/>
                <w:w w:val="90"/>
              </w:rPr>
              <w:t>Portion of Shares as to Which</w:t>
            </w:r>
          </w:p>
        </w:tc>
      </w:tr>
      <w:tr>
        <w:trPr>
          <w:trHeight w:val="137"/>
        </w:trPr>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0" w:type="dxa"/>
            <w:vAlign w:val="bottom"/>
            <w:gridSpan w:val="2"/>
          </w:tcPr>
          <w:p>
            <w:pPr>
              <w:jc w:val="right"/>
              <w:ind w:right="1651"/>
              <w:spacing w:after="0" w:line="137" w:lineRule="exact"/>
              <w:rPr>
                <w:sz w:val="20"/>
                <w:szCs w:val="20"/>
                <w:color w:val="auto"/>
              </w:rPr>
            </w:pPr>
            <w:r>
              <w:rPr>
                <w:rFonts w:ascii="Arial" w:cs="Arial" w:eastAsia="Arial" w:hAnsi="Arial"/>
                <w:sz w:val="13"/>
                <w:szCs w:val="13"/>
                <w:color w:val="auto"/>
                <w:w w:val="82"/>
              </w:rPr>
              <w:t>Dates</w:t>
            </w: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5"/>
          </w:tcPr>
          <w:p>
            <w:pPr>
              <w:jc w:val="center"/>
              <w:spacing w:after="0" w:line="137" w:lineRule="exact"/>
              <w:rPr>
                <w:sz w:val="20"/>
                <w:szCs w:val="20"/>
                <w:color w:val="auto"/>
              </w:rPr>
            </w:pPr>
            <w:r>
              <w:rPr>
                <w:rFonts w:ascii="Arial" w:cs="Arial" w:eastAsia="Arial" w:hAnsi="Arial"/>
                <w:sz w:val="13"/>
                <w:szCs w:val="13"/>
                <w:color w:val="auto"/>
                <w:w w:val="89"/>
              </w:rPr>
              <w:t>Option Becomes Vested and Exercisable</w:t>
            </w: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Borders>
              <w:left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By signing below, you agree to all of the terms and conditions contained in this Agreement and in the Plan document, a copy of which is attached. You acknowledge that you have reviewed these documents and that they set forth the entire agreement between you and the Company regarding your right to purchase shares of the Company’s common stock pursuant to this Option.</w:t>
      </w:r>
    </w:p>
    <w:p>
      <w:pPr>
        <w:spacing w:after="0" w:line="128" w:lineRule="exact"/>
        <w:rPr>
          <w:sz w:val="20"/>
          <w:szCs w:val="20"/>
          <w:color w:val="auto"/>
        </w:rPr>
      </w:pPr>
    </w:p>
    <w:p>
      <w:pPr>
        <w:spacing w:after="0"/>
        <w:tabs>
          <w:tab w:leader="none" w:pos="6240" w:val="left"/>
        </w:tabs>
        <w:rPr>
          <w:sz w:val="20"/>
          <w:szCs w:val="20"/>
          <w:color w:val="auto"/>
        </w:rPr>
      </w:pPr>
      <w:r>
        <w:rPr>
          <w:rFonts w:ascii="Arial" w:cs="Arial" w:eastAsia="Arial" w:hAnsi="Arial"/>
          <w:sz w:val="13"/>
          <w:szCs w:val="13"/>
          <w:color w:val="auto"/>
        </w:rPr>
        <w:t>OPTIONEE:</w:t>
      </w:r>
      <w:r>
        <w:rPr>
          <w:sz w:val="20"/>
          <w:szCs w:val="20"/>
          <w:color w:val="auto"/>
        </w:rPr>
        <w:tab/>
      </w:r>
      <w:r>
        <w:rPr>
          <w:rFonts w:ascii="Arial" w:cs="Arial" w:eastAsia="Arial" w:hAnsi="Arial"/>
          <w:sz w:val="13"/>
          <w:szCs w:val="13"/>
          <w:color w:val="auto"/>
        </w:rPr>
        <w:t>SPS COMMERCE, INC.</w:t>
      </w:r>
    </w:p>
    <w:p>
      <w:pPr>
        <w:spacing w:after="0" w:line="165"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77862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6350"/>
                    </a:xfrm>
                    <a:prstGeom prst="rect">
                      <a:avLst/>
                    </a:prstGeom>
                    <a:noFill/>
                  </pic:spPr>
                </pic:pic>
              </a:graphicData>
            </a:graphic>
          </wp:anchor>
        </w:drawing>
      </w:r>
    </w:p>
    <w:p>
      <w:pPr>
        <w:spacing w:after="0" w:line="145"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254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4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b w:val="1"/>
          <w:bCs w:val="1"/>
          <w:color w:val="auto"/>
        </w:rPr>
        <w:t>SPS Commerce,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2010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Non-Statutory Stock Option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Option Terms and Conditions</w:t>
      </w:r>
      <w:r>
        <w:rPr>
          <w:rFonts w:ascii="Arial" w:cs="Arial" w:eastAsia="Arial" w:hAnsi="Arial"/>
          <w:sz w:val="11"/>
          <w:szCs w:val="11"/>
          <w:u w:val="single" w:color="auto"/>
          <w:color w:val="auto"/>
        </w:rPr>
        <w:t>*</w:t>
      </w:r>
    </w:p>
    <w:p>
      <w:pPr>
        <w:spacing w:after="0" w:line="86" w:lineRule="exact"/>
        <w:rPr>
          <w:sz w:val="20"/>
          <w:szCs w:val="20"/>
          <w:color w:val="auto"/>
        </w:rPr>
      </w:pPr>
    </w:p>
    <w:p>
      <w:pPr>
        <w:ind w:left="461" w:hanging="461"/>
        <w:spacing w:after="0"/>
        <w:tabs>
          <w:tab w:leader="none" w:pos="46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Non-Qualified Stock Option</w:t>
      </w:r>
      <w:r>
        <w:rPr>
          <w:rFonts w:ascii="Arial" w:cs="Arial" w:eastAsia="Arial" w:hAnsi="Arial"/>
          <w:sz w:val="13"/>
          <w:szCs w:val="13"/>
          <w:color w:val="auto"/>
        </w:rPr>
        <w:t>. This Option 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not</w:t>
      </w:r>
      <w:r>
        <w:rPr>
          <w:rFonts w:ascii="Arial" w:cs="Arial" w:eastAsia="Arial" w:hAnsi="Arial"/>
          <w:sz w:val="13"/>
          <w:szCs w:val="13"/>
          <w:b w:val="1"/>
          <w:bCs w:val="1"/>
          <w:color w:val="auto"/>
        </w:rPr>
        <w:t xml:space="preserve"> </w:t>
      </w:r>
      <w:r>
        <w:rPr>
          <w:rFonts w:ascii="Arial" w:cs="Arial" w:eastAsia="Arial" w:hAnsi="Arial"/>
          <w:sz w:val="13"/>
          <w:szCs w:val="13"/>
          <w:color w:val="auto"/>
        </w:rPr>
        <w:t>intended to be an “incentive stock option” within the meaning of Section 422 of the Internal Revenue Code and will be interpreted accordingly.</w:t>
      </w:r>
    </w:p>
    <w:p>
      <w:pPr>
        <w:spacing w:after="0" w:line="96" w:lineRule="exact"/>
        <w:rPr>
          <w:rFonts w:ascii="Arial" w:cs="Arial" w:eastAsia="Arial" w:hAnsi="Arial"/>
          <w:sz w:val="13"/>
          <w:szCs w:val="13"/>
          <w:color w:val="auto"/>
        </w:rPr>
      </w:pPr>
    </w:p>
    <w:p>
      <w:pPr>
        <w:ind w:left="461" w:right="100" w:hanging="461"/>
        <w:spacing w:after="0" w:line="262" w:lineRule="auto"/>
        <w:tabs>
          <w:tab w:leader="none" w:pos="46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Vesting and Exercise Schedule</w:t>
      </w:r>
      <w:r>
        <w:rPr>
          <w:rFonts w:ascii="Arial" w:cs="Arial" w:eastAsia="Arial" w:hAnsi="Arial"/>
          <w:sz w:val="13"/>
          <w:szCs w:val="13"/>
          <w:color w:val="auto"/>
        </w:rPr>
        <w:t>. This Option will vest and become exercisable as to the number of Shares and on the dates specified in the Vesting and Exercise Schedule on the cover page to this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so long as your Service to the Company does not end.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68" w:lineRule="exact"/>
        <w:rPr>
          <w:rFonts w:ascii="Arial" w:cs="Arial" w:eastAsia="Arial" w:hAnsi="Arial"/>
          <w:sz w:val="13"/>
          <w:szCs w:val="13"/>
          <w:color w:val="auto"/>
        </w:rPr>
      </w:pPr>
    </w:p>
    <w:p>
      <w:pPr>
        <w:ind w:left="461" w:right="520"/>
        <w:spacing w:after="0" w:line="276" w:lineRule="auto"/>
        <w:rPr>
          <w:rFonts w:ascii="Arial" w:cs="Arial" w:eastAsia="Arial" w:hAnsi="Arial"/>
          <w:sz w:val="13"/>
          <w:szCs w:val="13"/>
          <w:color w:val="auto"/>
        </w:rPr>
      </w:pPr>
      <w:r>
        <w:rPr>
          <w:rFonts w:ascii="Arial" w:cs="Arial" w:eastAsia="Arial" w:hAnsi="Arial"/>
          <w:sz w:val="13"/>
          <w:szCs w:val="13"/>
          <w:color w:val="auto"/>
        </w:rPr>
        <w:t>Notwithstanding the foregoing, if and to the extent this Option is continued, assumed or replaced in connection with a Change in Control that constitutes a Corporate Transaction, then this Option shall immediately become exercisable in full and shall remain exercisable for one year following the Change in Control.</w:t>
      </w:r>
    </w:p>
    <w:p>
      <w:pPr>
        <w:spacing w:after="0" w:line="59" w:lineRule="exact"/>
        <w:rPr>
          <w:rFonts w:ascii="Arial" w:cs="Arial" w:eastAsia="Arial" w:hAnsi="Arial"/>
          <w:sz w:val="13"/>
          <w:szCs w:val="13"/>
          <w:color w:val="auto"/>
        </w:rPr>
      </w:pPr>
    </w:p>
    <w:p>
      <w:pPr>
        <w:ind w:left="461" w:right="160"/>
        <w:spacing w:after="0" w:line="276" w:lineRule="auto"/>
        <w:rPr>
          <w:rFonts w:ascii="Arial" w:cs="Arial" w:eastAsia="Arial" w:hAnsi="Arial"/>
          <w:sz w:val="13"/>
          <w:szCs w:val="13"/>
          <w:color w:val="auto"/>
        </w:rPr>
      </w:pPr>
      <w:r>
        <w:rPr>
          <w:rFonts w:ascii="Arial" w:cs="Arial" w:eastAsia="Arial" w:hAnsi="Arial"/>
          <w:sz w:val="13"/>
          <w:szCs w:val="13"/>
          <w:color w:val="auto"/>
        </w:rPr>
        <w:t>In addition, vesting and exercisability of this Option may be accelerated during the term of the Option under the circumstances described in Section 12(c) of the Plan, and at the discretion of the Committee in accordance with Section 3(b)(2) of the Plan.</w:t>
      </w:r>
    </w:p>
    <w:p>
      <w:pPr>
        <w:spacing w:after="0" w:line="55" w:lineRule="exact"/>
        <w:rPr>
          <w:rFonts w:ascii="Arial" w:cs="Arial" w:eastAsia="Arial" w:hAnsi="Arial"/>
          <w:sz w:val="13"/>
          <w:szCs w:val="13"/>
          <w:color w:val="auto"/>
        </w:rPr>
      </w:pPr>
    </w:p>
    <w:p>
      <w:pPr>
        <w:ind w:left="461" w:hanging="461"/>
        <w:spacing w:after="0"/>
        <w:tabs>
          <w:tab w:leader="none" w:pos="46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Expiration</w:t>
      </w:r>
      <w:r>
        <w:rPr>
          <w:rFonts w:ascii="Arial" w:cs="Arial" w:eastAsia="Arial" w:hAnsi="Arial"/>
          <w:sz w:val="13"/>
          <w:szCs w:val="13"/>
          <w:color w:val="auto"/>
        </w:rPr>
        <w:t>. This Option will expire and will no longer be exercisable at 5:00 p.m. Central Time on the earliest of:</w:t>
      </w:r>
    </w:p>
    <w:p>
      <w:pPr>
        <w:spacing w:after="0" w:line="90" w:lineRule="exact"/>
        <w:rPr>
          <w:rFonts w:ascii="Arial" w:cs="Arial" w:eastAsia="Arial" w:hAnsi="Arial"/>
          <w:sz w:val="13"/>
          <w:szCs w:val="13"/>
          <w:color w:val="auto"/>
        </w:rPr>
      </w:pPr>
    </w:p>
    <w:p>
      <w:pPr>
        <w:ind w:left="901" w:hanging="449"/>
        <w:spacing w:after="0"/>
        <w:tabs>
          <w:tab w:leader="none" w:pos="901"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expiration date specified on the cover page of this Agreement;</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9"/>
        </w:numPr>
        <w:rPr>
          <w:rFonts w:ascii="Arial" w:cs="Arial" w:eastAsia="Arial" w:hAnsi="Arial"/>
          <w:sz w:val="13"/>
          <w:szCs w:val="13"/>
          <w:color w:val="auto"/>
        </w:rPr>
      </w:pPr>
      <w:r>
        <w:rPr>
          <w:rFonts w:ascii="Arial" w:cs="Arial" w:eastAsia="Arial" w:hAnsi="Arial"/>
          <w:sz w:val="13"/>
          <w:szCs w:val="13"/>
          <w:color w:val="auto"/>
        </w:rPr>
        <w:t>Upon your termination of Service for Cause;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9"/>
        </w:numPr>
        <w:rPr>
          <w:rFonts w:ascii="Arial" w:cs="Arial" w:eastAsia="Arial" w:hAnsi="Arial"/>
          <w:sz w:val="12"/>
          <w:szCs w:val="12"/>
          <w:color w:val="auto"/>
        </w:rPr>
      </w:pPr>
      <w:r>
        <w:rPr>
          <w:rFonts w:ascii="Arial" w:cs="Arial" w:eastAsia="Arial" w:hAnsi="Arial"/>
          <w:sz w:val="12"/>
          <w:szCs w:val="12"/>
          <w:color w:val="auto"/>
        </w:rPr>
        <w:t>Upon the expiration of any applicable period specified in Section 6(e) of the Plan or Section 2 of this Agreement during which this Option may be exercised after your termination of Service; or</w:t>
      </w:r>
    </w:p>
    <w:p>
      <w:pPr>
        <w:spacing w:after="0" w:line="107" w:lineRule="exact"/>
        <w:rPr>
          <w:rFonts w:ascii="Arial" w:cs="Arial" w:eastAsia="Arial" w:hAnsi="Arial"/>
          <w:sz w:val="12"/>
          <w:szCs w:val="12"/>
          <w:color w:val="auto"/>
        </w:rPr>
      </w:pPr>
    </w:p>
    <w:p>
      <w:pPr>
        <w:ind w:left="901" w:hanging="449"/>
        <w:spacing w:after="0"/>
        <w:tabs>
          <w:tab w:leader="none" w:pos="901"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date (if any) fixed for termination or surrender of this Option pursuant to Sections 12(b)(3), (c) or (d) of the Plan.</w:t>
      </w:r>
    </w:p>
    <w:p>
      <w:pPr>
        <w:spacing w:after="0" w:line="82" w:lineRule="exact"/>
        <w:rPr>
          <w:rFonts w:ascii="Arial" w:cs="Arial" w:eastAsia="Arial" w:hAnsi="Arial"/>
          <w:sz w:val="13"/>
          <w:szCs w:val="13"/>
          <w:color w:val="auto"/>
        </w:rPr>
      </w:pPr>
    </w:p>
    <w:p>
      <w:pPr>
        <w:ind w:left="461" w:right="60" w:hanging="461"/>
        <w:spacing w:after="0" w:line="283" w:lineRule="auto"/>
        <w:tabs>
          <w:tab w:leader="none" w:pos="46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Service Requirement</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otherwise provided in Section 6(e) of the Plan or Section 2 of this Agreement, this Option may be exercised only while you continue to provide Service to the Company or any</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 and only if you have continuously provided such Service since the date this Option was granted.</w:t>
      </w:r>
    </w:p>
    <w:p>
      <w:pPr>
        <w:spacing w:after="0" w:line="50" w:lineRule="exact"/>
        <w:rPr>
          <w:rFonts w:ascii="Arial" w:cs="Arial" w:eastAsia="Arial" w:hAnsi="Arial"/>
          <w:sz w:val="13"/>
          <w:szCs w:val="13"/>
          <w:color w:val="auto"/>
        </w:rPr>
      </w:pPr>
    </w:p>
    <w:p>
      <w:pPr>
        <w:ind w:left="461" w:hanging="461"/>
        <w:spacing w:after="0" w:line="267" w:lineRule="auto"/>
        <w:tabs>
          <w:tab w:leader="none" w:pos="461" w:val="left"/>
        </w:tabs>
        <w:numPr>
          <w:ilvl w:val="0"/>
          <w:numId w:val="29"/>
        </w:numPr>
        <w:rPr>
          <w:rFonts w:ascii="Arial" w:cs="Arial" w:eastAsia="Arial" w:hAnsi="Arial"/>
          <w:sz w:val="13"/>
          <w:szCs w:val="13"/>
          <w:color w:val="auto"/>
        </w:rPr>
      </w:pPr>
      <w:r>
        <w:rPr>
          <w:rFonts w:ascii="Arial" w:cs="Arial" w:eastAsia="Arial" w:hAnsi="Arial"/>
          <w:sz w:val="13"/>
          <w:szCs w:val="13"/>
          <w:b w:val="1"/>
          <w:bCs w:val="1"/>
          <w:u w:val="single" w:color="auto"/>
          <w:color w:val="auto"/>
        </w:rPr>
        <w:t>Exercise of Option</w:t>
      </w:r>
      <w:r>
        <w:rPr>
          <w:rFonts w:ascii="Arial" w:cs="Arial" w:eastAsia="Arial" w:hAnsi="Arial"/>
          <w:sz w:val="13"/>
          <w:szCs w:val="13"/>
          <w:color w:val="auto"/>
        </w:rPr>
        <w:t>. Subject to Section 4, the vested and exercisable portion of this Option may be exercised at any time during the Option term by delivering a written notice of exercise to the Company at its</w:t>
      </w:r>
      <w:r>
        <w:rPr>
          <w:rFonts w:ascii="Arial" w:cs="Arial" w:eastAsia="Arial" w:hAnsi="Arial"/>
          <w:sz w:val="13"/>
          <w:szCs w:val="13"/>
          <w:b w:val="1"/>
          <w:bCs w:val="1"/>
          <w:color w:val="auto"/>
        </w:rPr>
        <w:t xml:space="preserve"> </w:t>
      </w:r>
      <w:r>
        <w:rPr>
          <w:rFonts w:ascii="Arial" w:cs="Arial" w:eastAsia="Arial" w:hAnsi="Arial"/>
          <w:sz w:val="13"/>
          <w:szCs w:val="13"/>
          <w:color w:val="auto"/>
        </w:rPr>
        <w:t>principal executive office, and by providing for payment of the exercise price of the Shares being acquired and any related withholding taxes. The notice of exercise, in the form attached to this Agreement, shall be provided to the Company’s Chief Financial Officer.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131064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2" w:lineRule="exact"/>
        <w:rPr>
          <w:sz w:val="20"/>
          <w:szCs w:val="20"/>
          <w:color w:val="auto"/>
        </w:rPr>
      </w:pPr>
    </w:p>
    <w:p>
      <w:pPr>
        <w:ind w:left="461" w:hanging="461"/>
        <w:spacing w:after="0"/>
        <w:tabs>
          <w:tab w:leader="none" w:pos="461" w:val="left"/>
        </w:tabs>
        <w:numPr>
          <w:ilvl w:val="0"/>
          <w:numId w:val="30"/>
        </w:numPr>
        <w:rPr>
          <w:rFonts w:ascii="Arial" w:cs="Arial" w:eastAsia="Arial" w:hAnsi="Arial"/>
          <w:sz w:val="11"/>
          <w:szCs w:val="11"/>
          <w:color w:val="auto"/>
        </w:rPr>
      </w:pPr>
      <w:r>
        <w:rPr>
          <w:rFonts w:ascii="Arial" w:cs="Arial" w:eastAsia="Arial" w:hAnsi="Arial"/>
          <w:sz w:val="13"/>
          <w:szCs w:val="13"/>
          <w:color w:val="auto"/>
        </w:rPr>
        <w:t>Unless the context indicates otherwise, terms that are not defined in this Agreement shall have the meaning set forth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68" w:name="page69"/>
    <w:bookmarkEnd w:id="68"/>
    <w:p>
      <w:pPr>
        <w:ind w:left="461" w:right="240"/>
        <w:spacing w:after="0" w:line="276" w:lineRule="auto"/>
        <w:rPr>
          <w:sz w:val="20"/>
          <w:szCs w:val="20"/>
          <w:color w:val="auto"/>
        </w:rPr>
      </w:pPr>
      <w:r>
        <w:rPr>
          <w:rFonts w:ascii="Arial" w:cs="Arial" w:eastAsia="Arial" w:hAnsi="Arial"/>
          <w:sz w:val="13"/>
          <w:szCs w:val="13"/>
          <w:color w:val="auto"/>
        </w:rPr>
        <w:t>shall state the number of Shares to be purchased, and shall be signed by the person exercising the Option. If you are not the person exercising the Option, the person submitting the notice also must submit appropriate proof of his/her right to exercise the Option.</w:t>
      </w:r>
    </w:p>
    <w:p>
      <w:pPr>
        <w:spacing w:after="0" w:line="55" w:lineRule="exact"/>
        <w:rPr>
          <w:sz w:val="20"/>
          <w:szCs w:val="20"/>
          <w:color w:val="auto"/>
        </w:rPr>
      </w:pPr>
    </w:p>
    <w:p>
      <w:pPr>
        <w:ind w:left="461" w:hanging="461"/>
        <w:spacing w:after="0"/>
        <w:tabs>
          <w:tab w:leader="none" w:pos="461" w:val="left"/>
        </w:tabs>
        <w:numPr>
          <w:ilvl w:val="0"/>
          <w:numId w:val="31"/>
        </w:numPr>
        <w:rPr>
          <w:rFonts w:ascii="Arial" w:cs="Arial" w:eastAsia="Arial" w:hAnsi="Arial"/>
          <w:sz w:val="11"/>
          <w:szCs w:val="11"/>
          <w:color w:val="auto"/>
        </w:rPr>
      </w:pPr>
      <w:r>
        <w:rPr>
          <w:rFonts w:ascii="Arial" w:cs="Arial" w:eastAsia="Arial" w:hAnsi="Arial"/>
          <w:sz w:val="11"/>
          <w:szCs w:val="11"/>
          <w:b w:val="1"/>
          <w:bCs w:val="1"/>
          <w:u w:val="single" w:color="auto"/>
          <w:color w:val="auto"/>
        </w:rPr>
        <w:t>Payment of Exercise Price</w:t>
      </w:r>
      <w:r>
        <w:rPr>
          <w:rFonts w:ascii="Arial" w:cs="Arial" w:eastAsia="Arial" w:hAnsi="Arial"/>
          <w:sz w:val="11"/>
          <w:szCs w:val="11"/>
          <w:color w:val="auto"/>
        </w:rPr>
        <w:t>. When you submit your notice of exercise, you must include payment of the exercise price of the Shares being purchased through one or a combination of the following methods:</w:t>
      </w:r>
    </w:p>
    <w:p>
      <w:pPr>
        <w:spacing w:after="0" w:line="113" w:lineRule="exact"/>
        <w:rPr>
          <w:rFonts w:ascii="Arial" w:cs="Arial" w:eastAsia="Arial" w:hAnsi="Arial"/>
          <w:sz w:val="11"/>
          <w:szCs w:val="11"/>
          <w:color w:val="auto"/>
        </w:rPr>
      </w:pPr>
    </w:p>
    <w:p>
      <w:pPr>
        <w:ind w:left="901" w:hanging="449"/>
        <w:spacing w:after="0"/>
        <w:tabs>
          <w:tab w:leader="none" w:pos="901" w:val="left"/>
        </w:tabs>
        <w:numPr>
          <w:ilvl w:val="1"/>
          <w:numId w:val="31"/>
        </w:numPr>
        <w:rPr>
          <w:rFonts w:ascii="Arial" w:cs="Arial" w:eastAsia="Arial" w:hAnsi="Arial"/>
          <w:sz w:val="13"/>
          <w:szCs w:val="13"/>
          <w:color w:val="auto"/>
        </w:rPr>
      </w:pPr>
      <w:r>
        <w:rPr>
          <w:rFonts w:ascii="Arial" w:cs="Arial" w:eastAsia="Arial" w:hAnsi="Arial"/>
          <w:sz w:val="13"/>
          <w:szCs w:val="13"/>
          <w:color w:val="auto"/>
        </w:rPr>
        <w:t>Cash (including personal check, cashier’s check or money order);</w:t>
      </w:r>
    </w:p>
    <w:p>
      <w:pPr>
        <w:spacing w:after="0" w:line="96" w:lineRule="exact"/>
        <w:rPr>
          <w:rFonts w:ascii="Arial" w:cs="Arial" w:eastAsia="Arial" w:hAnsi="Arial"/>
          <w:sz w:val="13"/>
          <w:szCs w:val="13"/>
          <w:color w:val="auto"/>
        </w:rPr>
      </w:pPr>
    </w:p>
    <w:p>
      <w:pPr>
        <w:ind w:left="901" w:hanging="449"/>
        <w:spacing w:after="0" w:line="276" w:lineRule="auto"/>
        <w:tabs>
          <w:tab w:leader="none" w:pos="901" w:val="left"/>
        </w:tabs>
        <w:numPr>
          <w:ilvl w:val="1"/>
          <w:numId w:val="31"/>
        </w:numPr>
        <w:rPr>
          <w:rFonts w:ascii="Arial" w:cs="Arial" w:eastAsia="Arial" w:hAnsi="Arial"/>
          <w:sz w:val="13"/>
          <w:szCs w:val="13"/>
          <w:color w:val="auto"/>
        </w:rPr>
      </w:pPr>
      <w:r>
        <w:rPr>
          <w:rFonts w:ascii="Arial" w:cs="Arial" w:eastAsia="Arial" w:hAnsi="Arial"/>
          <w:sz w:val="13"/>
          <w:szCs w:val="13"/>
          <w:color w:val="auto"/>
        </w:rPr>
        <w:t>To the extent permitted by the Committee, by means of a broker-assisted cashless exercise in which you irrevocably instruct your broker to deliver proceeds of a sale of all or a portion of the Shares to be issued pursuant to the exercise to the Company in payment of the exercise price of such Shares; or</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31"/>
        </w:numPr>
        <w:rPr>
          <w:rFonts w:ascii="Arial" w:cs="Arial" w:eastAsia="Arial" w:hAnsi="Arial"/>
          <w:sz w:val="13"/>
          <w:szCs w:val="13"/>
          <w:color w:val="auto"/>
        </w:rPr>
      </w:pPr>
      <w:r>
        <w:rPr>
          <w:rFonts w:ascii="Arial" w:cs="Arial" w:eastAsia="Arial" w:hAnsi="Arial"/>
          <w:sz w:val="13"/>
          <w:szCs w:val="13"/>
          <w:color w:val="auto"/>
        </w:rPr>
        <w:t>By delivery to the Company of Shares (by actual delivery or attestation of ownership in a form approved by the Company) already owned by you that are not subject to any security interest and that have an aggregate Fair Market Value on the date of exercise equal to the exercise price of the Shares being purchased; or</w:t>
      </w:r>
    </w:p>
    <w:p>
      <w:pPr>
        <w:spacing w:after="0" w:line="59" w:lineRule="exact"/>
        <w:rPr>
          <w:rFonts w:ascii="Arial" w:cs="Arial" w:eastAsia="Arial" w:hAnsi="Arial"/>
          <w:sz w:val="13"/>
          <w:szCs w:val="13"/>
          <w:color w:val="auto"/>
        </w:rPr>
      </w:pPr>
    </w:p>
    <w:p>
      <w:pPr>
        <w:ind w:left="901" w:hanging="449"/>
        <w:spacing w:after="0" w:line="276" w:lineRule="auto"/>
        <w:tabs>
          <w:tab w:leader="none" w:pos="901" w:val="left"/>
        </w:tabs>
        <w:numPr>
          <w:ilvl w:val="1"/>
          <w:numId w:val="31"/>
        </w:numPr>
        <w:rPr>
          <w:rFonts w:ascii="Arial" w:cs="Arial" w:eastAsia="Arial" w:hAnsi="Arial"/>
          <w:sz w:val="13"/>
          <w:szCs w:val="13"/>
          <w:color w:val="auto"/>
        </w:rPr>
      </w:pPr>
      <w:r>
        <w:rPr>
          <w:rFonts w:ascii="Arial" w:cs="Arial" w:eastAsia="Arial" w:hAnsi="Arial"/>
          <w:sz w:val="13"/>
          <w:szCs w:val="13"/>
          <w:color w:val="auto"/>
        </w:rPr>
        <w:t>By authorizing the Company to retain, from the total number of Shares as to which the Option is being exercised, that number of Shares having a Fair Market Value on the date of exercise equal to the exercise price for the total number of Shares as to which the Option is being exercised.</w:t>
      </w:r>
    </w:p>
    <w:p>
      <w:pPr>
        <w:spacing w:after="0" w:line="49" w:lineRule="exact"/>
        <w:rPr>
          <w:sz w:val="20"/>
          <w:szCs w:val="20"/>
          <w:color w:val="auto"/>
        </w:rPr>
      </w:pPr>
    </w:p>
    <w:p>
      <w:pPr>
        <w:ind w:left="461" w:right="40"/>
        <w:spacing w:after="0" w:line="276" w:lineRule="auto"/>
        <w:rPr>
          <w:sz w:val="20"/>
          <w:szCs w:val="20"/>
          <w:color w:val="auto"/>
        </w:rPr>
      </w:pPr>
      <w:r>
        <w:rPr>
          <w:rFonts w:ascii="Arial" w:cs="Arial" w:eastAsia="Arial" w:hAnsi="Arial"/>
          <w:sz w:val="13"/>
          <w:szCs w:val="13"/>
          <w:color w:val="auto"/>
        </w:rPr>
        <w:t>However, if the Committee determines, in any given circumstance, that payment of the exercise price with Shares or by authorizing the Company to retain Shares is undesirable for any reason, you will not be permitted to pay any portion of the exercise price in that manner.</w:t>
      </w:r>
    </w:p>
    <w:p>
      <w:pPr>
        <w:spacing w:after="0" w:line="55" w:lineRule="exact"/>
        <w:rPr>
          <w:sz w:val="20"/>
          <w:szCs w:val="20"/>
          <w:color w:val="auto"/>
        </w:rPr>
      </w:pPr>
    </w:p>
    <w:p>
      <w:pPr>
        <w:ind w:left="461" w:hanging="461"/>
        <w:spacing w:after="0" w:line="286" w:lineRule="auto"/>
        <w:tabs>
          <w:tab w:leader="none" w:pos="461" w:val="left"/>
        </w:tabs>
        <w:numPr>
          <w:ilvl w:val="0"/>
          <w:numId w:val="32"/>
        </w:numPr>
        <w:rPr>
          <w:rFonts w:ascii="Arial" w:cs="Arial" w:eastAsia="Arial" w:hAnsi="Arial"/>
          <w:sz w:val="12"/>
          <w:szCs w:val="12"/>
          <w:color w:val="auto"/>
        </w:rPr>
      </w:pPr>
      <w:r>
        <w:rPr>
          <w:rFonts w:ascii="Arial" w:cs="Arial" w:eastAsia="Arial" w:hAnsi="Arial"/>
          <w:sz w:val="12"/>
          <w:szCs w:val="12"/>
          <w:b w:val="1"/>
          <w:bCs w:val="1"/>
          <w:u w:val="single" w:color="auto"/>
          <w:color w:val="auto"/>
        </w:rPr>
        <w:t>Withholding Taxes</w:t>
      </w:r>
      <w:r>
        <w:rPr>
          <w:rFonts w:ascii="Arial" w:cs="Arial" w:eastAsia="Arial" w:hAnsi="Arial"/>
          <w:sz w:val="12"/>
          <w:szCs w:val="12"/>
          <w:color w:val="auto"/>
        </w:rPr>
        <w:t>. You may not exercise this Option in whole or in part unless you make arrangements acceptable to the Company for payment of any federal, state, local or foreign withholding taxes that</w:t>
      </w:r>
      <w:r>
        <w:rPr>
          <w:rFonts w:ascii="Arial" w:cs="Arial" w:eastAsia="Arial" w:hAnsi="Arial"/>
          <w:sz w:val="12"/>
          <w:szCs w:val="12"/>
          <w:b w:val="1"/>
          <w:bCs w:val="1"/>
          <w:color w:val="auto"/>
        </w:rPr>
        <w:t xml:space="preserve"> </w:t>
      </w:r>
      <w:r>
        <w:rPr>
          <w:rFonts w:ascii="Arial" w:cs="Arial" w:eastAsia="Arial" w:hAnsi="Arial"/>
          <w:sz w:val="12"/>
          <w:szCs w:val="12"/>
          <w:color w:val="auto"/>
        </w:rPr>
        <w:t>may be due as a result of the exercise of this Option. You hereby authorize the Company (or any Affiliate) to withhold from payroll or other amounts payable to you any sums required to satisfy such withholding tax obligations, and otherwise agree to satisfy such obligations in accordance with the provisions of Section 14 of the Plan. If you wish to satisfy some or all of such withholding tax obligations by delivering Shares you already own or by having the Company retain a portion of the Shares being acquired upon exercise of the Option, you must make such a request which shall be subject to approval by the Company. Delivery of Shares upon exercise of this Option is subject to the satisfaction of applicable withholding tax obligations.</w:t>
      </w:r>
    </w:p>
    <w:p>
      <w:pPr>
        <w:spacing w:after="0" w:line="52" w:lineRule="exact"/>
        <w:rPr>
          <w:rFonts w:ascii="Arial" w:cs="Arial" w:eastAsia="Arial" w:hAnsi="Arial"/>
          <w:sz w:val="12"/>
          <w:szCs w:val="12"/>
          <w:color w:val="auto"/>
        </w:rPr>
      </w:pPr>
    </w:p>
    <w:p>
      <w:pPr>
        <w:ind w:left="461" w:right="40" w:hanging="461"/>
        <w:spacing w:after="0" w:line="325" w:lineRule="auto"/>
        <w:tabs>
          <w:tab w:leader="none" w:pos="461" w:val="left"/>
        </w:tabs>
        <w:numPr>
          <w:ilvl w:val="0"/>
          <w:numId w:val="32"/>
        </w:numPr>
        <w:rPr>
          <w:rFonts w:ascii="Arial" w:cs="Arial" w:eastAsia="Arial" w:hAnsi="Arial"/>
          <w:sz w:val="11"/>
          <w:szCs w:val="11"/>
          <w:color w:val="auto"/>
        </w:rPr>
      </w:pPr>
      <w:r>
        <w:rPr>
          <w:rFonts w:ascii="Arial" w:cs="Arial" w:eastAsia="Arial" w:hAnsi="Arial"/>
          <w:sz w:val="11"/>
          <w:szCs w:val="11"/>
          <w:b w:val="1"/>
          <w:bCs w:val="1"/>
          <w:u w:val="single" w:color="auto"/>
          <w:color w:val="auto"/>
        </w:rPr>
        <w:t>Delivery of Shares</w:t>
      </w:r>
      <w:r>
        <w:rPr>
          <w:rFonts w:ascii="Arial" w:cs="Arial" w:eastAsia="Arial" w:hAnsi="Arial"/>
          <w:sz w:val="11"/>
          <w:szCs w:val="11"/>
          <w:b w:val="1"/>
          <w:bCs w:val="1"/>
          <w:color w:val="auto"/>
        </w:rPr>
        <w:t xml:space="preserve">. </w:t>
      </w:r>
      <w:r>
        <w:rPr>
          <w:rFonts w:ascii="Arial" w:cs="Arial" w:eastAsia="Arial" w:hAnsi="Arial"/>
          <w:sz w:val="11"/>
          <w:szCs w:val="11"/>
          <w:color w:val="auto"/>
        </w:rPr>
        <w:t>As soon as practicable after the Company receives the notice and exercise price provided for above, and has determined that all conditions to exercise, including Sections 7 and 9 of this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have been satisfied, it shall deliver to the person exercising the Option, in the name of such person, the Shares being purchased, as evidenced by issuance of a stock certificate or certificates, electronic delivery of such Shares to a brokerage account designated by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20" w:right="319" w:bottom="1440" w:gutter="0" w:footer="0" w:header="0"/>
        </w:sectPr>
      </w:pPr>
    </w:p>
    <w:bookmarkStart w:id="69" w:name="page70"/>
    <w:bookmarkEnd w:id="69"/>
    <w:p>
      <w:pPr>
        <w:ind w:left="461" w:right="40" w:hanging="461"/>
        <w:spacing w:after="0" w:line="283"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Compliance with Laws</w:t>
      </w:r>
      <w:r>
        <w:rPr>
          <w:rFonts w:ascii="Arial" w:cs="Arial" w:eastAsia="Arial" w:hAnsi="Arial"/>
          <w:sz w:val="13"/>
          <w:szCs w:val="13"/>
          <w:color w:val="auto"/>
        </w:rPr>
        <w:t>. This Option may be exercised only if the issuance of Shares upon such exercise complies with all applicable legal requirements, including compliance with the provisions of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federal and state securities laws.</w:t>
      </w:r>
    </w:p>
    <w:p>
      <w:pPr>
        <w:spacing w:after="0" w:line="50" w:lineRule="exact"/>
        <w:rPr>
          <w:rFonts w:ascii="Arial" w:cs="Arial" w:eastAsia="Arial" w:hAnsi="Arial"/>
          <w:sz w:val="13"/>
          <w:szCs w:val="13"/>
          <w:color w:val="auto"/>
        </w:rPr>
      </w:pPr>
    </w:p>
    <w:p>
      <w:pPr>
        <w:ind w:left="461" w:hanging="461"/>
        <w:spacing w:after="0" w:line="258"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Transfer of Option</w:t>
      </w:r>
      <w:r>
        <w:rPr>
          <w:rFonts w:ascii="Arial" w:cs="Arial" w:eastAsia="Arial" w:hAnsi="Arial"/>
          <w:sz w:val="13"/>
          <w:szCs w:val="13"/>
          <w:color w:val="auto"/>
        </w:rPr>
        <w:t>. During your lifetime, only you (or your guardian or legal representative in the event of legal incapacity) may exercise this Option except in the case of a transfer described below. You may</w:t>
      </w:r>
      <w:r>
        <w:rPr>
          <w:rFonts w:ascii="Arial" w:cs="Arial" w:eastAsia="Arial" w:hAnsi="Arial"/>
          <w:sz w:val="13"/>
          <w:szCs w:val="13"/>
          <w:b w:val="1"/>
          <w:bCs w:val="1"/>
          <w:color w:val="auto"/>
        </w:rPr>
        <w:t xml:space="preserve"> </w:t>
      </w:r>
      <w:r>
        <w:rPr>
          <w:rFonts w:ascii="Arial" w:cs="Arial" w:eastAsia="Arial" w:hAnsi="Arial"/>
          <w:sz w:val="13"/>
          <w:szCs w:val="13"/>
          <w:color w:val="auto"/>
        </w:rPr>
        <w:t>not assign or transfer this Option except (i) for a transfer upon your death in accordance with your will, by the laws of descent and distribution or pursuant to a beneficiary designation submitted in accordance with Section 6(d) of the Plan, (ii) pursuant to a qualified domestic relations order, or (iii) with the prior written approval of the Company, by gift, in a form accepted by the Company, to a permitted transferred under General Instruction A(5) to Form S-8 under the Securities Act. The Option held by any such transferee will continue to be subject to the same terms and conditions that were applicable to the Option immediately prior to its transfer and may be exercised by such transferee as and to the extent that the Option has become exercisable and has not terminated in accordance with the provisions of the Plan and this Agreement.</w:t>
      </w:r>
    </w:p>
    <w:p>
      <w:pPr>
        <w:spacing w:after="0" w:line="67" w:lineRule="exact"/>
        <w:rPr>
          <w:rFonts w:ascii="Arial" w:cs="Arial" w:eastAsia="Arial" w:hAnsi="Arial"/>
          <w:sz w:val="13"/>
          <w:szCs w:val="13"/>
          <w:color w:val="auto"/>
        </w:rPr>
      </w:pPr>
    </w:p>
    <w:p>
      <w:pPr>
        <w:jc w:val="both"/>
        <w:ind w:left="461" w:right="100" w:hanging="461"/>
        <w:spacing w:after="0" w:line="291" w:lineRule="auto"/>
        <w:tabs>
          <w:tab w:leader="none" w:pos="461" w:val="left"/>
        </w:tabs>
        <w:numPr>
          <w:ilvl w:val="0"/>
          <w:numId w:val="33"/>
        </w:numPr>
        <w:rPr>
          <w:rFonts w:ascii="Arial" w:cs="Arial" w:eastAsia="Arial" w:hAnsi="Arial"/>
          <w:sz w:val="12"/>
          <w:szCs w:val="12"/>
          <w:color w:val="auto"/>
        </w:rPr>
      </w:pPr>
      <w:r>
        <w:rPr>
          <w:rFonts w:ascii="Arial" w:cs="Arial" w:eastAsia="Arial" w:hAnsi="Arial"/>
          <w:sz w:val="12"/>
          <w:szCs w:val="12"/>
          <w:b w:val="1"/>
          <w:bCs w:val="1"/>
          <w:u w:val="single" w:color="auto"/>
          <w:color w:val="auto"/>
        </w:rPr>
        <w:t>No Stockholder Rights Before Exercise</w:t>
      </w:r>
      <w:r>
        <w:rPr>
          <w:rFonts w:ascii="Arial" w:cs="Arial" w:eastAsia="Arial" w:hAnsi="Arial"/>
          <w:sz w:val="12"/>
          <w:szCs w:val="12"/>
          <w:color w:val="auto"/>
        </w:rPr>
        <w:t>. Neither you nor any permitted transferee of this Option will have any of the rights of a stockholder of the Company with respect to any Shares subject to this Option</w:t>
      </w:r>
      <w:r>
        <w:rPr>
          <w:rFonts w:ascii="Arial" w:cs="Arial" w:eastAsia="Arial" w:hAnsi="Arial"/>
          <w:sz w:val="12"/>
          <w:szCs w:val="12"/>
          <w:b w:val="1"/>
          <w:bCs w:val="1"/>
          <w:color w:val="auto"/>
        </w:rPr>
        <w:t xml:space="preserve"> </w:t>
      </w:r>
      <w:r>
        <w:rPr>
          <w:rFonts w:ascii="Arial" w:cs="Arial" w:eastAsia="Arial" w:hAnsi="Arial"/>
          <w:sz w:val="12"/>
          <w:szCs w:val="12"/>
          <w:color w:val="auto"/>
        </w:rPr>
        <w:t>until a certificate evidencing such Shares has been issued, electronic delivery of such Shares has been made to your designated brokerage account, or an appropriate book entry in the Company’s stock register has been made. No adjustments shall be made for dividends or other rights if the applicable record date occurs before your stock certificate has been issued, electronic delivery of your Shares has been made to your designated brokerage account, or an appropriate book entry in the Company’s stock register has been made, except as otherwise described in the Plan.</w:t>
      </w:r>
    </w:p>
    <w:p>
      <w:pPr>
        <w:spacing w:after="0" w:line="48" w:lineRule="exact"/>
        <w:rPr>
          <w:rFonts w:ascii="Arial" w:cs="Arial" w:eastAsia="Arial" w:hAnsi="Arial"/>
          <w:sz w:val="12"/>
          <w:szCs w:val="12"/>
          <w:color w:val="auto"/>
        </w:rPr>
      </w:pPr>
    </w:p>
    <w:p>
      <w:pPr>
        <w:ind w:left="461" w:right="80" w:hanging="461"/>
        <w:spacing w:after="0" w:line="283"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Plan Document</w:t>
      </w:r>
      <w:r>
        <w:rPr>
          <w:rFonts w:ascii="Arial" w:cs="Arial" w:eastAsia="Arial" w:hAnsi="Arial"/>
          <w:sz w:val="13"/>
          <w:szCs w:val="13"/>
          <w:color w:val="auto"/>
        </w:rPr>
        <w:t>. This Agreement and Option are subject to all the provisions of the Plan, and to all interpretations, rules and regulations which may, from time to time, be adopted and promulgated</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Committee pursuant to the Plan. If there is any conflict between the provisions of this Agreement and the Plan, the provisions of the Plan will govern.</w:t>
      </w:r>
    </w:p>
    <w:p>
      <w:pPr>
        <w:spacing w:after="0" w:line="50" w:lineRule="exact"/>
        <w:rPr>
          <w:rFonts w:ascii="Arial" w:cs="Arial" w:eastAsia="Arial" w:hAnsi="Arial"/>
          <w:sz w:val="13"/>
          <w:szCs w:val="13"/>
          <w:color w:val="auto"/>
        </w:rPr>
      </w:pPr>
    </w:p>
    <w:p>
      <w:pPr>
        <w:ind w:left="461" w:hanging="461"/>
        <w:spacing w:after="0"/>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Choice of Law</w:t>
      </w:r>
      <w:r>
        <w:rPr>
          <w:rFonts w:ascii="Arial" w:cs="Arial" w:eastAsia="Arial" w:hAnsi="Arial"/>
          <w:sz w:val="13"/>
          <w:szCs w:val="13"/>
          <w:color w:val="auto"/>
        </w:rPr>
        <w:t>. This Agreement will be interpreted and enforced under the laws of the state of Delaware (without regard to its conflicts or choice of law principles).</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Binding Effect</w:t>
      </w:r>
      <w:r>
        <w:rPr>
          <w:rFonts w:ascii="Arial" w:cs="Arial" w:eastAsia="Arial" w:hAnsi="Arial"/>
          <w:sz w:val="13"/>
          <w:szCs w:val="13"/>
          <w:color w:val="auto"/>
        </w:rPr>
        <w:t>. This Agreement will be binding in all respects on your heirs, representatives, successors and assigns , and on the successors and assigns of the Company.</w:t>
      </w:r>
    </w:p>
    <w:p>
      <w:pPr>
        <w:spacing w:after="0" w:line="96" w:lineRule="exact"/>
        <w:rPr>
          <w:rFonts w:ascii="Arial" w:cs="Arial" w:eastAsia="Arial" w:hAnsi="Arial"/>
          <w:sz w:val="13"/>
          <w:szCs w:val="13"/>
          <w:color w:val="auto"/>
        </w:rPr>
      </w:pPr>
    </w:p>
    <w:p>
      <w:pPr>
        <w:ind w:left="461" w:right="160" w:hanging="461"/>
        <w:spacing w:after="0" w:line="283"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Agreements</w:t>
      </w:r>
      <w:r>
        <w:rPr>
          <w:rFonts w:ascii="Arial" w:cs="Arial" w:eastAsia="Arial" w:hAnsi="Arial"/>
          <w:sz w:val="13"/>
          <w:szCs w:val="13"/>
          <w:b w:val="1"/>
          <w:bCs w:val="1"/>
          <w:color w:val="auto"/>
        </w:rPr>
        <w:t xml:space="preserve">. </w:t>
      </w:r>
      <w:r>
        <w:rPr>
          <w:rFonts w:ascii="Arial" w:cs="Arial" w:eastAsia="Arial" w:hAnsi="Arial"/>
          <w:sz w:val="13"/>
          <w:szCs w:val="13"/>
          <w:color w:val="auto"/>
        </w:rPr>
        <w:t>You agree that in connection with the exercise of this Option, you will execute such documents as may be necessary to become a party to any stockholder, voting or similar agreements as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may require.</w:t>
      </w:r>
    </w:p>
    <w:p>
      <w:pPr>
        <w:spacing w:after="0" w:line="50" w:lineRule="exact"/>
        <w:rPr>
          <w:rFonts w:ascii="Arial" w:cs="Arial" w:eastAsia="Arial" w:hAnsi="Arial"/>
          <w:sz w:val="13"/>
          <w:szCs w:val="13"/>
          <w:color w:val="auto"/>
        </w:rPr>
      </w:pPr>
    </w:p>
    <w:p>
      <w:pPr>
        <w:ind w:left="461" w:right="60" w:hanging="461"/>
        <w:spacing w:after="0" w:line="267" w:lineRule="auto"/>
        <w:tabs>
          <w:tab w:leader="none" w:pos="461" w:val="left"/>
        </w:tabs>
        <w:numPr>
          <w:ilvl w:val="0"/>
          <w:numId w:val="33"/>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Restrictive Legends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may place a legend or legends on any certificate representing Shares issued upon the exercise of this Option summarizing transfer and other restrictions to which the Shares</w:t>
      </w:r>
      <w:r>
        <w:rPr>
          <w:rFonts w:ascii="Arial" w:cs="Arial" w:eastAsia="Arial" w:hAnsi="Arial"/>
          <w:sz w:val="13"/>
          <w:szCs w:val="13"/>
          <w:b w:val="1"/>
          <w:bCs w:val="1"/>
          <w:color w:val="auto"/>
        </w:rPr>
        <w:t xml:space="preserve"> </w:t>
      </w:r>
      <w:r>
        <w:rPr>
          <w:rFonts w:ascii="Arial" w:cs="Arial" w:eastAsia="Arial" w:hAnsi="Arial"/>
          <w:sz w:val="13"/>
          <w:szCs w:val="13"/>
          <w:color w:val="auto"/>
        </w:rPr>
        <w:t>may be subject under applicable securities laws, other provisions of this Agreement, or other agreements contemplated by Section 15 of this Agreement. You agree that in order to ensure compliance with the restrictions referred to in this Agreement, the Company may issue appropriate “stop transfer” instructions to its transfer agent.</w:t>
      </w:r>
    </w:p>
    <w:p>
      <w:pPr>
        <w:spacing w:after="0" w:line="5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By signing the cover page of this Agreement, you agree to all the terms and conditions described above and in the Plan document.</w:t>
      </w:r>
    </w:p>
    <w:p>
      <w:pPr>
        <w:sectPr>
          <w:pgSz w:w="11900" w:h="16838" w:orient="portrait"/>
          <w:cols w:equalWidth="0" w:num="1">
            <w:col w:w="11461"/>
          </w:cols>
          <w:pgMar w:left="219" w:top="795"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23.1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3"/>
          <w:szCs w:val="13"/>
          <w:color w:val="auto"/>
        </w:rPr>
        <w:t>We have issued our report dated March 3, 2011, with respect to the consolidated financial statements included in the Annual Report of SPS Commerce, Inc. on Form 10-K for the year ended December 31, 2010. We hereby consent to the incorporation by reference of said report in the Registration Statements of SPS Commerce, Inc. on Forms S-8 (File Nos. 333-172073, effective February 4, 2011, 333-167315, effective June 4, 2010 and 333-167314, effective June 4, 2010).</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March 3, 2011</w:t>
      </w:r>
    </w:p>
    <w:p>
      <w:pPr>
        <w:sectPr>
          <w:pgSz w:w="11900" w:h="16838" w:orient="portrait"/>
          <w:cols w:equalWidth="0" w:num="1">
            <w:col w:w="11460"/>
          </w:cols>
          <w:pgMar w:left="220" w:top="127"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b w:val="1"/>
          <w:bCs w:val="1"/>
          <w:color w:val="auto"/>
        </w:rPr>
        <w:t>Exhibit 31.1</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Archie C. Black, certify that:</w:t>
      </w:r>
    </w:p>
    <w:p>
      <w:pPr>
        <w:spacing w:after="0" w:line="86" w:lineRule="exact"/>
        <w:rPr>
          <w:sz w:val="20"/>
          <w:szCs w:val="20"/>
          <w:color w:val="auto"/>
        </w:rPr>
      </w:pPr>
    </w:p>
    <w:p>
      <w:pPr>
        <w:ind w:left="461" w:hanging="461"/>
        <w:spacing w:after="0"/>
        <w:tabs>
          <w:tab w:leader="none" w:pos="4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SPS Commerce, Inc.;</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80" w:hanging="461"/>
        <w:spacing w:after="0" w:line="276" w:lineRule="auto"/>
        <w:tabs>
          <w:tab w:leader="none" w:pos="4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80" w:hanging="449"/>
        <w:spacing w:after="0" w:line="276" w:lineRule="auto"/>
        <w:tabs>
          <w:tab w:leader="none" w:pos="901" w:val="left"/>
        </w:tabs>
        <w:numPr>
          <w:ilvl w:val="1"/>
          <w:numId w:val="3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460" w:hanging="461"/>
        <w:spacing w:after="0" w:line="276" w:lineRule="auto"/>
        <w:tabs>
          <w:tab w:leader="none" w:pos="4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3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ARCHIE C. BLACK</w:t>
            </w:r>
          </w:p>
        </w:tc>
      </w:tr>
      <w:tr>
        <w:trPr>
          <w:trHeight w:val="149"/>
        </w:trPr>
        <w:tc>
          <w:tcPr>
            <w:tcW w:w="5640" w:type="dxa"/>
            <w:vAlign w:val="bottom"/>
          </w:tcPr>
          <w:p>
            <w:pPr>
              <w:spacing w:after="0"/>
              <w:rPr>
                <w:sz w:val="12"/>
                <w:szCs w:val="12"/>
                <w:color w:val="auto"/>
              </w:rPr>
            </w:pPr>
          </w:p>
        </w:tc>
        <w:tc>
          <w:tcPr>
            <w:tcW w:w="4000" w:type="dxa"/>
            <w:vAlign w:val="bottom"/>
          </w:tcPr>
          <w:p>
            <w:pPr>
              <w:jc w:val="center"/>
              <w:spacing w:after="0"/>
              <w:rPr>
                <w:sz w:val="20"/>
                <w:szCs w:val="20"/>
                <w:color w:val="auto"/>
              </w:rPr>
            </w:pPr>
            <w:r>
              <w:rPr>
                <w:rFonts w:ascii="Arial" w:cs="Arial" w:eastAsia="Arial" w:hAnsi="Arial"/>
                <w:sz w:val="13"/>
                <w:szCs w:val="13"/>
                <w:color w:val="auto"/>
                <w:w w:val="94"/>
              </w:rPr>
              <w:t>Archie C. Black</w:t>
            </w:r>
          </w:p>
        </w:tc>
      </w:t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March 3, 2011</w:t>
            </w:r>
          </w:p>
        </w:tc>
        <w:tc>
          <w:tcPr>
            <w:tcW w:w="4000" w:type="dxa"/>
            <w:vAlign w:val="bottom"/>
          </w:tcPr>
          <w:p>
            <w:pPr>
              <w:jc w:val="center"/>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ectPr>
          <w:pgSz w:w="11900" w:h="16838" w:orient="portrait"/>
          <w:cols w:equalWidth="0" w:num="1">
            <w:col w:w="11461"/>
          </w:cols>
          <w:pgMar w:left="219" w:top="127"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31.2</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Kimberly K. Nelson, certify that:</w:t>
      </w:r>
    </w:p>
    <w:p>
      <w:pPr>
        <w:spacing w:after="0" w:line="86" w:lineRule="exact"/>
        <w:rPr>
          <w:sz w:val="20"/>
          <w:szCs w:val="20"/>
          <w:color w:val="auto"/>
        </w:rPr>
      </w:pPr>
    </w:p>
    <w:p>
      <w:pPr>
        <w:ind w:left="461" w:hanging="461"/>
        <w:spacing w:after="0"/>
        <w:tabs>
          <w:tab w:leader="none" w:pos="4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SPS Commerce, Inc.;</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80" w:hanging="461"/>
        <w:spacing w:after="0" w:line="276" w:lineRule="auto"/>
        <w:tabs>
          <w:tab w:leader="none" w:pos="4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40" w:hanging="449"/>
        <w:spacing w:after="0" w:line="320" w:lineRule="auto"/>
        <w:tabs>
          <w:tab w:leader="none" w:pos="901"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80" w:hanging="449"/>
        <w:spacing w:after="0" w:line="276" w:lineRule="auto"/>
        <w:tabs>
          <w:tab w:leader="none" w:pos="901" w:val="left"/>
        </w:tabs>
        <w:numPr>
          <w:ilvl w:val="1"/>
          <w:numId w:val="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3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460" w:hanging="461"/>
        <w:spacing w:after="0" w:line="276" w:lineRule="auto"/>
        <w:tabs>
          <w:tab w:leader="none" w:pos="4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640" w:type="dxa"/>
            <w:vAlign w:val="bottom"/>
          </w:tcPr>
          <w:p>
            <w:pPr>
              <w:spacing w:after="0"/>
              <w:rPr>
                <w:sz w:val="14"/>
                <w:szCs w:val="1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KIMBERLY K. NELSON</w:t>
            </w:r>
          </w:p>
        </w:tc>
      </w:tr>
      <w:tr>
        <w:trPr>
          <w:trHeight w:val="149"/>
        </w:trPr>
        <w:tc>
          <w:tcPr>
            <w:tcW w:w="5640" w:type="dxa"/>
            <w:vAlign w:val="bottom"/>
          </w:tcPr>
          <w:p>
            <w:pPr>
              <w:spacing w:after="0"/>
              <w:rPr>
                <w:sz w:val="12"/>
                <w:szCs w:val="12"/>
                <w:color w:val="auto"/>
              </w:rPr>
            </w:pPr>
          </w:p>
        </w:tc>
        <w:tc>
          <w:tcPr>
            <w:tcW w:w="4000" w:type="dxa"/>
            <w:vAlign w:val="bottom"/>
          </w:tcPr>
          <w:p>
            <w:pPr>
              <w:jc w:val="center"/>
              <w:spacing w:after="0"/>
              <w:rPr>
                <w:sz w:val="20"/>
                <w:szCs w:val="20"/>
                <w:color w:val="auto"/>
              </w:rPr>
            </w:pPr>
            <w:r>
              <w:rPr>
                <w:rFonts w:ascii="Arial" w:cs="Arial" w:eastAsia="Arial" w:hAnsi="Arial"/>
                <w:sz w:val="13"/>
                <w:szCs w:val="13"/>
                <w:color w:val="auto"/>
                <w:w w:val="95"/>
              </w:rPr>
              <w:t>Kimberly K. Nelson</w:t>
            </w:r>
          </w:p>
        </w:tc>
      </w:t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March 3, 2011</w:t>
            </w:r>
          </w:p>
        </w:tc>
        <w:tc>
          <w:tcPr>
            <w:tcW w:w="4000" w:type="dxa"/>
            <w:vAlign w:val="bottom"/>
          </w:tcPr>
          <w:p>
            <w:pPr>
              <w:jc w:val="center"/>
              <w:spacing w:after="0"/>
              <w:rPr>
                <w:sz w:val="20"/>
                <w:szCs w:val="20"/>
                <w:color w:val="auto"/>
              </w:rPr>
            </w:pPr>
            <w:r>
              <w:rPr>
                <w:rFonts w:ascii="Arial" w:cs="Arial" w:eastAsia="Arial" w:hAnsi="Arial"/>
                <w:sz w:val="13"/>
                <w:szCs w:val="13"/>
                <w:i w:val="1"/>
                <w:iCs w:val="1"/>
                <w:color w:val="auto"/>
                <w:w w:val="92"/>
              </w:rPr>
              <w:t>Executive Vice President and Chief Financial Officer</w:t>
            </w:r>
          </w:p>
        </w:tc>
      </w:tr>
    </w:tbl>
    <w:p>
      <w:pPr>
        <w:sectPr>
          <w:pgSz w:w="11900" w:h="16838" w:orient="portrait"/>
          <w:cols w:equalWidth="0" w:num="1">
            <w:col w:w="11461"/>
          </w:cols>
          <w:pgMar w:left="219" w:top="127" w:right="219" w:bottom="1440" w:gutter="0" w:footer="0" w:header="0"/>
        </w:sectPr>
      </w:pPr>
    </w:p>
    <w:bookmarkStart w:id="73" w:name="page74"/>
    <w:bookmarkEnd w:id="73"/>
    <w:p>
      <w:pPr>
        <w:ind w:left="10800"/>
        <w:spacing w:after="0"/>
        <w:rPr>
          <w:sz w:val="20"/>
          <w:szCs w:val="20"/>
          <w:color w:val="auto"/>
        </w:rPr>
      </w:pPr>
      <w:r>
        <w:rPr>
          <w:rFonts w:ascii="Arial" w:cs="Arial" w:eastAsia="Arial" w:hAnsi="Arial"/>
          <w:sz w:val="11"/>
          <w:szCs w:val="11"/>
          <w:b w:val="1"/>
          <w:bCs w:val="1"/>
          <w:color w:val="auto"/>
        </w:rPr>
        <w:t>Exhibit 32.1</w:t>
      </w:r>
    </w:p>
    <w:p>
      <w:pPr>
        <w:spacing w:after="0" w:line="113"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Pursuant to Section 906 of the Sarbanes-Oxley Act of 2002,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SPS Commerce, Inc.</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March 3, 2011</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Archie C. Black</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Kimberly K. Nelson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i w:val="1"/>
          <w:iCs w:val="1"/>
          <w:color w:val="auto"/>
        </w:rPr>
        <w:t>Executive Vice President and Chief Financial Officer</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decimal"/>
      <w:start w:val="4"/>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lvl w:ilvl="1">
      <w:lvlJc w:val="left"/>
      <w:lvlText w:val="(%2)"/>
      <w:numFmt w:val="lowerLetter"/>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6"/>
    </w:lvl>
    <w:lvl w:ilvl="1">
      <w:lvlJc w:val="left"/>
      <w:lvlText w:val="(%2)"/>
      <w:numFmt w:val="lowerLetter"/>
      <w:start w:val="1"/>
    </w:lvl>
  </w:abstractNum>
  <w:abstractNum w:abstractNumId="31">
    <w:nsid w:val="3006C83E"/>
    <w:multiLevelType w:val="hybridMultilevel"/>
    <w:lvl w:ilvl="0">
      <w:lvlJc w:val="left"/>
      <w:lvlText w:val="%1."/>
      <w:numFmt w:val="decimal"/>
      <w:start w:val="7"/>
    </w:lvl>
  </w:abstractNum>
  <w:abstractNum w:abstractNumId="32">
    <w:nsid w:val="614FD4A1"/>
    <w:multiLevelType w:val="hybridMultilevel"/>
    <w:lvl w:ilvl="0">
      <w:lvlJc w:val="left"/>
      <w:lvlText w:val="%1."/>
      <w:numFmt w:val="decimal"/>
      <w:start w:val="9"/>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2019-12-10T19:00:27Z</dcterms:created>
  <dcterms:modified xsi:type="dcterms:W3CDTF">2019-12-10T19:00:27Z</dcterms:modified>
</cp:coreProperties>
</file>