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700" w:space="340"/>
            <w:col w:w="6000" w:space="720"/>
            <w:col w:w="1780" w:space="720"/>
            <w:col w:w="160"/>
          </w:cols>
          <w:pgMar w:left="240" w:top="336"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620" w:space="420"/>
            <w:col w:w="160" w:space="80"/>
            <w:col w:w="5760" w:space="720"/>
            <w:col w:w="2060" w:space="440"/>
            <w:col w:w="16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8180" w:space="160"/>
            <w:col w:w="280" w:space="80"/>
            <w:col w:w="160" w:space="180"/>
            <w:col w:w="2380"/>
          </w:cols>
          <w:pgMar w:left="240" w:top="336" w:right="239" w:bottom="1440" w:gutter="0" w:footer="0" w:header="0"/>
          <w:type w:val="continuous"/>
        </w:sectPr>
      </w:pPr>
    </w:p>
    <w:p>
      <w:pPr>
        <w:spacing w:after="0" w:line="16" w:lineRule="exact"/>
        <w:rPr>
          <w:sz w:val="20"/>
          <w:szCs w:val="20"/>
          <w:color w:val="auto"/>
        </w:rPr>
      </w:pPr>
    </w:p>
    <w:p>
      <w:pPr>
        <w:spacing w:after="0" w:line="196" w:lineRule="exact"/>
        <w:tabs>
          <w:tab w:leader="none" w:pos="10420" w:val="left"/>
        </w:tabs>
        <w:rPr>
          <w:sz w:val="20"/>
          <w:szCs w:val="20"/>
          <w:color w:val="auto"/>
        </w:rPr>
      </w:pPr>
      <w:r>
        <w:rPr>
          <w:rFonts w:ascii="Arial" w:cs="Arial" w:eastAsia="Arial" w:hAnsi="Arial"/>
          <w:sz w:val="17"/>
          <w:szCs w:val="17"/>
          <w:color w:val="auto"/>
        </w:rPr>
        <w:t xml:space="preserve">Indicate by check mark whether the registrant is an “emerging growth company” (as defined in Section 2(a)(19)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common stock, par value $0.001 per share, outstanding at April 24, 2017 was 17,192,634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30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7340" w:type="dxa"/>
            <w:vAlign w:val="bottom"/>
            <w:gridSpan w:val="9"/>
          </w:tcPr>
          <w:p>
            <w:pPr>
              <w:spacing w:after="0"/>
              <w:rPr>
                <w:sz w:val="23"/>
                <w:szCs w:val="23"/>
                <w:color w:val="auto"/>
              </w:rPr>
            </w:pPr>
          </w:p>
        </w:tc>
        <w:tc>
          <w:tcPr>
            <w:tcW w:w="820" w:type="dxa"/>
            <w:vAlign w:val="bottom"/>
          </w:tcPr>
          <w:p>
            <w:pPr>
              <w:spacing w:after="0"/>
              <w:rPr>
                <w:sz w:val="23"/>
                <w:szCs w:val="23"/>
                <w:color w:val="auto"/>
              </w:rPr>
            </w:pPr>
          </w:p>
        </w:tc>
      </w:tr>
      <w:tr>
        <w:trPr>
          <w:trHeight w:val="304"/>
        </w:trPr>
        <w:tc>
          <w:tcPr>
            <w:tcW w:w="960" w:type="dxa"/>
            <w:vAlign w:val="bottom"/>
            <w:tcBorders>
              <w:bottom w:val="single" w:sz="8" w:color="0000EE"/>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1560" w:type="dxa"/>
            <w:vAlign w:val="bottom"/>
            <w:tcBorders>
              <w:bottom w:val="single" w:sz="8" w:color="0000EE"/>
            </w:tcBorders>
            <w:gridSpan w:val="6"/>
          </w:tcPr>
          <w:p>
            <w:pPr>
              <w:ind w:left="60"/>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7900" w:type="dxa"/>
            <w:vAlign w:val="bottom"/>
            <w:gridSpan w:val="12"/>
          </w:tcPr>
          <w:p>
            <w:pPr>
              <w:spacing w:after="0"/>
              <w:rPr>
                <w:sz w:val="24"/>
                <w:szCs w:val="24"/>
                <w:color w:val="auto"/>
              </w:rPr>
            </w:pPr>
          </w:p>
        </w:tc>
        <w:tc>
          <w:tcPr>
            <w:tcW w:w="820" w:type="dxa"/>
            <w:vAlign w:val="bottom"/>
          </w:tcPr>
          <w:p>
            <w:pPr>
              <w:spacing w:after="0"/>
              <w:rPr>
                <w:sz w:val="24"/>
                <w:szCs w:val="24"/>
                <w:color w:val="auto"/>
              </w:rPr>
            </w:pPr>
          </w:p>
        </w:tc>
      </w:tr>
      <w:tr>
        <w:trPr>
          <w:trHeight w:val="304"/>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Balance Sheets as of March 31, 2017 (unaudited) and December 31, 2016</w:t>
              </w:r>
            </w:hyperlink>
          </w:p>
        </w:tc>
        <w:tc>
          <w:tcPr>
            <w:tcW w:w="230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60" w:type="dxa"/>
            <w:vAlign w:val="bottom"/>
            <w:gridSpan w:val="18"/>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Comprehensive Income (Loss) for the three months ended March 31, 2017 and 2016</w:t>
              </w:r>
            </w:hyperlink>
          </w:p>
        </w:tc>
        <w:tc>
          <w:tcPr>
            <w:tcW w:w="8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8120" w:type="dxa"/>
            <w:vAlign w:val="bottom"/>
            <w:tcBorders>
              <w:top w:val="single" w:sz="8" w:color="0000EE"/>
            </w:tcBorders>
            <w:gridSpan w:val="15"/>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04"/>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60" w:type="dxa"/>
            <w:vAlign w:val="bottom"/>
            <w:gridSpan w:val="18"/>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Cash Flows for the three months ended March 31, 2017 and 2016 (unaudited)</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3580" w:type="dxa"/>
            <w:vAlign w:val="bottom"/>
            <w:tcBorders>
              <w:top w:val="single" w:sz="8" w:color="0000EE"/>
            </w:tcBorders>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960" w:type="dxa"/>
            <w:vAlign w:val="bottom"/>
            <w:tcBorders>
              <w:bottom w:val="single" w:sz="8" w:color="0000EE"/>
            </w:tcBorders>
            <w:gridSpan w:val="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520" w:type="dxa"/>
            <w:vAlign w:val="bottom"/>
            <w:tcBorders>
              <w:bottom w:val="single" w:sz="8" w:color="0000EE"/>
            </w:tcBorders>
            <w:gridSpan w:val="14"/>
          </w:tcPr>
          <w:p>
            <w:pPr>
              <w:ind w:left="60"/>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94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960" w:type="dxa"/>
            <w:vAlign w:val="bottom"/>
            <w:tcBorders>
              <w:bottom w:val="single" w:sz="8" w:color="0000EE"/>
            </w:tcBorders>
            <w:gridSpan w:val="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4420" w:type="dxa"/>
            <w:vAlign w:val="bottom"/>
            <w:tcBorders>
              <w:bottom w:val="single" w:sz="8" w:color="0000EE"/>
            </w:tcBorders>
            <w:gridSpan w:val="12"/>
          </w:tcPr>
          <w:p>
            <w:pPr>
              <w:ind w:left="60"/>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5040" w:type="dxa"/>
            <w:vAlign w:val="bottom"/>
            <w:gridSpan w:val="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960" w:type="dxa"/>
            <w:vAlign w:val="bottom"/>
            <w:tcBorders>
              <w:bottom w:val="single" w:sz="8" w:color="0000EE"/>
            </w:tcBorders>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1840" w:type="dxa"/>
            <w:vAlign w:val="bottom"/>
            <w:tcBorders>
              <w:bottom w:val="single" w:sz="8" w:color="0000EE"/>
            </w:tcBorders>
            <w:gridSpan w:val="8"/>
          </w:tcPr>
          <w:p>
            <w:pPr>
              <w:ind w:left="60"/>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762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27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764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r>
      <w:tr>
        <w:trPr>
          <w:trHeight w:val="304"/>
        </w:trPr>
        <w:tc>
          <w:tcPr>
            <w:tcW w:w="96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9460" w:type="dxa"/>
            <w:vAlign w:val="bottom"/>
            <w:gridSpan w:val="18"/>
          </w:tcPr>
          <w:p>
            <w:pPr>
              <w:ind w:left="60"/>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960" w:type="dxa"/>
            <w:vAlign w:val="bottom"/>
            <w:tcBorders>
              <w:top w:val="single" w:sz="8" w:color="0000EE"/>
            </w:tcBorders>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1380" w:type="dxa"/>
            <w:vAlign w:val="bottom"/>
            <w:tcBorders>
              <w:top w:val="single" w:sz="8" w:color="0000EE"/>
            </w:tcBorders>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808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6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9460" w:type="dxa"/>
            <w:vAlign w:val="bottom"/>
            <w:gridSpan w:val="18"/>
          </w:tcPr>
          <w:p>
            <w:pPr>
              <w:ind w:left="60"/>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960" w:type="dxa"/>
            <w:vAlign w:val="bottom"/>
            <w:tcBorders>
              <w:top w:val="single" w:sz="8" w:color="0000EE"/>
              <w:bottom w:val="single" w:sz="8" w:color="0000EE"/>
            </w:tcBorders>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2380" w:type="dxa"/>
            <w:vAlign w:val="bottom"/>
            <w:tcBorders>
              <w:top w:val="single" w:sz="8" w:color="0000EE"/>
              <w:bottom w:val="single" w:sz="8" w:color="0000EE"/>
            </w:tcBorders>
            <w:gridSpan w:val="10"/>
          </w:tcPr>
          <w:p>
            <w:pPr>
              <w:ind w:left="60"/>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tcPr>
          <w:p>
            <w:pPr>
              <w:spacing w:after="0"/>
              <w:rPr>
                <w:sz w:val="24"/>
                <w:szCs w:val="24"/>
                <w:color w:val="auto"/>
              </w:rPr>
            </w:pPr>
          </w:p>
        </w:tc>
        <w:tc>
          <w:tcPr>
            <w:tcW w:w="506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960" w:type="dxa"/>
            <w:vAlign w:val="bottom"/>
            <w:tcBorders>
              <w:bottom w:val="single" w:sz="8" w:color="0000EE"/>
            </w:tcBorders>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1840" w:type="dxa"/>
            <w:vAlign w:val="bottom"/>
            <w:tcBorders>
              <w:bottom w:val="single" w:sz="8" w:color="0000EE"/>
            </w:tcBorders>
            <w:gridSpan w:val="8"/>
          </w:tcPr>
          <w:p>
            <w:pPr>
              <w:ind w:left="60"/>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762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96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5.</w:t>
              </w:r>
            </w:hyperlink>
          </w:p>
        </w:tc>
        <w:tc>
          <w:tcPr>
            <w:tcW w:w="9460" w:type="dxa"/>
            <w:vAlign w:val="bottom"/>
            <w:gridSpan w:val="18"/>
          </w:tcPr>
          <w:p>
            <w:pPr>
              <w:ind w:left="60"/>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960" w:type="dxa"/>
            <w:vAlign w:val="bottom"/>
            <w:tcBorders>
              <w:top w:val="single" w:sz="8" w:color="0000EE"/>
            </w:tcBorders>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1360" w:type="dxa"/>
            <w:vAlign w:val="bottom"/>
            <w:tcBorders>
              <w:top w:val="single" w:sz="8" w:color="0000EE"/>
            </w:tcBorders>
            <w:gridSpan w:val="4"/>
          </w:tcPr>
          <w:p>
            <w:pPr>
              <w:ind w:left="60"/>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10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96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Signatures</w:t>
              </w:r>
            </w:hyperlink>
          </w:p>
        </w:tc>
        <w:tc>
          <w:tcPr>
            <w:tcW w:w="6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85"/>
        </w:trPr>
        <w:tc>
          <w:tcPr>
            <w:tcW w:w="8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gridSpan w:val="13"/>
          </w:tcPr>
          <w:p>
            <w:pPr>
              <w:ind w:left="4700"/>
              <w:spacing w:after="0"/>
              <w:rPr>
                <w:sz w:val="20"/>
                <w:szCs w:val="20"/>
                <w:color w:val="auto"/>
              </w:rPr>
            </w:pPr>
            <w:r>
              <w:rPr>
                <w:rFonts w:ascii="Arial" w:cs="Arial" w:eastAsia="Arial" w:hAnsi="Arial"/>
                <w:sz w:val="18"/>
                <w:szCs w:val="18"/>
                <w:color w:val="auto"/>
              </w:rPr>
              <w:t>2</w:t>
            </w: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and “SPS” refer to SPS Commerce, Inc.</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2016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8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480" w:type="dxa"/>
            <w:vAlign w:val="bottom"/>
          </w:tcPr>
          <w:p>
            <w:pPr>
              <w:jc w:val="center"/>
              <w:ind w:left="1150"/>
              <w:spacing w:after="0"/>
              <w:rPr>
                <w:sz w:val="20"/>
                <w:szCs w:val="20"/>
                <w:color w:val="auto"/>
              </w:rPr>
            </w:pPr>
            <w:r>
              <w:rPr>
                <w:rFonts w:ascii="Arial" w:cs="Arial" w:eastAsia="Arial" w:hAnsi="Arial"/>
                <w:sz w:val="18"/>
                <w:szCs w:val="18"/>
                <w:b w:val="1"/>
                <w:bCs w:val="1"/>
                <w:color w:val="auto"/>
              </w:rPr>
              <w:t>PART I. – FINANCIAL INFORMATION</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300" w:type="dxa"/>
            <w:vAlign w:val="bottom"/>
            <w:gridSpan w:val="2"/>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8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SPS COMMERCE, INC.</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8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80" w:type="dxa"/>
            <w:vAlign w:val="bottom"/>
          </w:tcPr>
          <w:p>
            <w:pPr>
              <w:jc w:val="center"/>
              <w:ind w:left="1130"/>
              <w:spacing w:after="0"/>
              <w:rPr>
                <w:sz w:val="20"/>
                <w:szCs w:val="20"/>
                <w:color w:val="auto"/>
              </w:rPr>
            </w:pPr>
            <w:r>
              <w:rPr>
                <w:rFonts w:ascii="Arial" w:cs="Arial" w:eastAsia="Arial" w:hAnsi="Arial"/>
                <w:sz w:val="18"/>
                <w:szCs w:val="18"/>
                <w:color w:val="auto"/>
                <w:w w:val="89"/>
              </w:rPr>
              <w:t>(Unaudited; in thousands, except share amounts)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80" w:type="dxa"/>
            <w:vAlign w:val="bottom"/>
            <w:shd w:val="clear" w:color="auto" w:fill="CCEEFF"/>
          </w:tcPr>
          <w:p>
            <w:pPr>
              <w:jc w:val="center"/>
              <w:ind w:right="1090"/>
              <w:spacing w:after="0" w:line="196" w:lineRule="exact"/>
              <w:rPr>
                <w:sz w:val="20"/>
                <w:szCs w:val="20"/>
                <w:color w:val="auto"/>
              </w:rPr>
            </w:pPr>
            <w:r>
              <w:rPr>
                <w:rFonts w:ascii="Arial" w:cs="Arial" w:eastAsia="Arial" w:hAnsi="Arial"/>
                <w:sz w:val="18"/>
                <w:szCs w:val="18"/>
                <w:b w:val="1"/>
                <w:bCs w:val="1"/>
                <w:color w:val="auto"/>
                <w:w w:val="91"/>
              </w:rPr>
              <w:t>ASSETS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128,707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ind w:left="340"/>
              <w:spacing w:after="0"/>
              <w:rPr>
                <w:sz w:val="20"/>
                <w:szCs w:val="20"/>
                <w:color w:val="auto"/>
              </w:rPr>
            </w:pPr>
            <w:r>
              <w:rPr>
                <w:rFonts w:ascii="Arial" w:cs="Arial" w:eastAsia="Arial" w:hAnsi="Arial"/>
                <w:sz w:val="18"/>
                <w:szCs w:val="18"/>
                <w:color w:val="auto"/>
              </w:rPr>
              <w:t>Short-term marketable securities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25,550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 for doubtful accounts of $597 and $515, respectively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ind w:left="340"/>
              <w:spacing w:after="0"/>
              <w:rPr>
                <w:sz w:val="20"/>
                <w:szCs w:val="20"/>
                <w:color w:val="auto"/>
              </w:rPr>
            </w:pPr>
            <w:r>
              <w:rPr>
                <w:rFonts w:ascii="Arial" w:cs="Arial" w:eastAsia="Arial" w:hAnsi="Arial"/>
                <w:sz w:val="18"/>
                <w:szCs w:val="18"/>
                <w:color w:val="auto"/>
              </w:rPr>
              <w:t>Deferred costs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20,908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3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204,840</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50,289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19,389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MARKETABLE SECURITIES, non-current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ind w:left="340"/>
              <w:spacing w:after="0"/>
              <w:rPr>
                <w:sz w:val="20"/>
                <w:szCs w:val="20"/>
                <w:color w:val="auto"/>
              </w:rPr>
            </w:pPr>
            <w:r>
              <w:rPr>
                <w:rFonts w:ascii="Arial" w:cs="Arial" w:eastAsia="Arial" w:hAnsi="Arial"/>
                <w:sz w:val="18"/>
                <w:szCs w:val="18"/>
                <w:color w:val="auto"/>
              </w:rPr>
              <w:t>Deferred costs, non-current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6,051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 asset, non-current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28,408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3"/>
          </w:tcPr>
          <w:p>
            <w:pPr>
              <w:ind w:left="340"/>
              <w:spacing w:after="0"/>
              <w:rPr>
                <w:sz w:val="20"/>
                <w:szCs w:val="20"/>
                <w:color w:val="auto"/>
              </w:rPr>
            </w:pPr>
            <w:r>
              <w:rPr>
                <w:rFonts w:ascii="Arial" w:cs="Arial" w:eastAsia="Arial" w:hAnsi="Arial"/>
                <w:sz w:val="18"/>
                <w:szCs w:val="18"/>
                <w:color w:val="auto"/>
              </w:rPr>
              <w:t>Other non-current assets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327,918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80" w:type="dxa"/>
            <w:vAlign w:val="bottom"/>
            <w:vMerge w:val="restart"/>
          </w:tcPr>
          <w:p>
            <w:pPr>
              <w:jc w:val="center"/>
              <w:ind w:right="1090"/>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3,580</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15,803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3"/>
          </w:tcPr>
          <w:p>
            <w:pPr>
              <w:ind w:left="340"/>
              <w:spacing w:after="0"/>
              <w:rPr>
                <w:sz w:val="20"/>
                <w:szCs w:val="20"/>
                <w:color w:val="auto"/>
              </w:rPr>
            </w:pPr>
            <w:r>
              <w:rPr>
                <w:rFonts w:ascii="Arial" w:cs="Arial" w:eastAsia="Arial" w:hAnsi="Arial"/>
                <w:sz w:val="18"/>
                <w:szCs w:val="18"/>
                <w:color w:val="auto"/>
              </w:rPr>
              <w:t>Deferred rent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37,618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 non-current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ind w:left="340"/>
              <w:spacing w:after="0"/>
              <w:rPr>
                <w:sz w:val="20"/>
                <w:szCs w:val="20"/>
                <w:color w:val="auto"/>
              </w:rPr>
            </w:pPr>
            <w:r>
              <w:rPr>
                <w:rFonts w:ascii="Arial" w:cs="Arial" w:eastAsia="Arial" w:hAnsi="Arial"/>
                <w:sz w:val="18"/>
                <w:szCs w:val="18"/>
                <w:color w:val="auto"/>
              </w:rPr>
              <w:t>Deferred rent, non-current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 liability, non-current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54,512</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4"/>
              </w:rPr>
              <w:t>Common stock, $0.001 par value; 55,000,000 shares authorized; 17,200,526 and 17,081,145 shares issued and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outstanding, respectively</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289,652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(14,490)</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0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273,406</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327,918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46"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51,932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45,599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17,330</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34,602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30,718</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17,079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5,105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31,226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29,404</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340"/>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0.17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17,154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17,393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17,029</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Unrealized gain on investments (net of tax of ($5) and $47)</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of gain on investments into earnings (net of tax of ($9) and $0)</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2,971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earn-out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w:t>
            </w: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(2,189)</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r>
      <w:tr>
        <w:trPr>
          <w:trHeight w:val="216"/>
        </w:trPr>
        <w:tc>
          <w:tcPr>
            <w:tcW w:w="20" w:type="dxa"/>
            <w:vAlign w:val="bottom"/>
          </w:tcPr>
          <w:p>
            <w:pPr>
              <w:spacing w:after="0"/>
              <w:rPr>
                <w:sz w:val="18"/>
                <w:szCs w:val="18"/>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Other current and non-current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r>
      <w:tr>
        <w:trPr>
          <w:trHeight w:val="216"/>
        </w:trPr>
        <w:tc>
          <w:tcPr>
            <w:tcW w:w="20" w:type="dxa"/>
            <w:vAlign w:val="bottom"/>
          </w:tcPr>
          <w:p>
            <w:pPr>
              <w:spacing w:after="0"/>
              <w:rPr>
                <w:sz w:val="18"/>
                <w:szCs w:val="18"/>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3,019</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30"/>
        </w:trPr>
        <w:tc>
          <w:tcPr>
            <w:tcW w:w="20" w:type="dxa"/>
            <w:vAlign w:val="bottom"/>
          </w:tcPr>
          <w:p>
            <w:pPr>
              <w:spacing w:after="0"/>
              <w:rPr>
                <w:sz w:val="20"/>
                <w:szCs w:val="20"/>
                <w:color w:val="auto"/>
              </w:rPr>
            </w:pPr>
          </w:p>
        </w:tc>
        <w:tc>
          <w:tcPr>
            <w:tcW w:w="960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(2,116)</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(2,495)</w:t>
            </w: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Maturities of 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businesses and intangible assets, net of cash acquired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(17,942)</w:t>
            </w:r>
          </w:p>
        </w:tc>
      </w:tr>
      <w:tr>
        <w:trPr>
          <w:trHeight w:val="230"/>
        </w:trPr>
        <w:tc>
          <w:tcPr>
            <w:tcW w:w="20" w:type="dxa"/>
            <w:vAlign w:val="bottom"/>
          </w:tcPr>
          <w:p>
            <w:pPr>
              <w:spacing w:after="0"/>
              <w:rPr>
                <w:sz w:val="20"/>
                <w:szCs w:val="20"/>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(20,053)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Net proceeds from exercise of options to purchase common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benefits from exercise of options to purchase 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w:t>
            </w:r>
          </w:p>
        </w:tc>
      </w:tr>
      <w:tr>
        <w:trPr>
          <w:trHeight w:val="230"/>
        </w:trPr>
        <w:tc>
          <w:tcPr>
            <w:tcW w:w="20" w:type="dxa"/>
            <w:vAlign w:val="bottom"/>
          </w:tcPr>
          <w:p>
            <w:pPr>
              <w:spacing w:after="0"/>
              <w:rPr>
                <w:sz w:val="20"/>
                <w:szCs w:val="20"/>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(10,649)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115,877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121,538</w:t>
            </w: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128,707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110,889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intercompany accounts and transactions have been eliminated in the condensed consolidated financial statements, which have been prepared in conformity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U.S. generally accepted accounting principles (“GAAP”) for interim financial information and with the instructions to Form 10-Q and Rule 10-01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 S-X. Accordingly, these condensed consolidated financial statements do not include all of the information and notes required by GAAP. We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all normal recurring adjustments considered necessary to give a fair statement of our financial position, results of operations and cash flows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interim periods shown. Operating results for these interim periods are not necessarily indicative of the results to be expected for the full year.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condensed consolidated balance sheet data was derived from our audited financial statements at that date. For further information,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and accompanying notes for the year ended December 31, 2016 included in our Annual Report on Form 10-K as filed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Securities and Exchange Commission on February 27, 2017.</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During the three months ended March 31, 2017, there were no material changes in our significant accounting policies. See Note A to the consolidated financial statements included in our Annual Report on Form 10-K for the year ended December 31, 2016, as filed with the Securities and Exchange Commission on February 27, 2017, for additional information regarding our significant accounting policies.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In March 2016, the Financial Accounting Standards Board (“FASB”) issued ASU 2016-09,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(“ASU 2016-09”). The new guidance requires excess tax benefits and tax deficiencies to be recorded in the income statement when the awards</w:t>
      </w:r>
      <w:r>
        <w:rPr>
          <w:rFonts w:ascii="Arial" w:cs="Arial" w:eastAsia="Arial" w:hAnsi="Arial"/>
          <w:sz w:val="17"/>
          <w:szCs w:val="17"/>
          <w:i w:val="1"/>
          <w:iCs w:val="1"/>
          <w:color w:val="auto"/>
        </w:rPr>
        <w:t xml:space="preserve"> </w:t>
      </w:r>
      <w:r>
        <w:rPr>
          <w:rFonts w:ascii="Arial" w:cs="Arial" w:eastAsia="Arial" w:hAnsi="Arial"/>
          <w:sz w:val="17"/>
          <w:szCs w:val="17"/>
          <w:color w:val="auto"/>
        </w:rPr>
        <w:t>vest or are settled and provides an accounting policy election to account for forfeitures as they occur. In addition, cash flows related to excess tax benefits will no longer be separately classified as a financing activity apart from other income tax cash flows within operating activities. The standard also allows entities to repurchase more of an employee’s shares for tax withholding purposes without triggering liability accounting and clarifies that all cash payments made on an employee’s behalf for withheld shares should be presented as a financing activity on the statements of cash flows. The standard is effective for fiscal years, and interim periods within those fiscal years, beginning after December 15, 2016, with early adoption permitted.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adopted ASU 2016-09 during the three months ended March 31, 2017. The impact to our consolidated balance sheet as of January 1, 2017 was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$16.3 million increase in deferred income tax assets, non-current and a corresponding $16.3 million decrease in accumulated deficit. This impact results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cumulative-effect adjustment for previously unrecognized excess tax benefits using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modified retrospective method required by the new standard. We elected to adopt the changes in cash flow statement presentation prospectively to be consistent with the prospective transition for the treatment of excess tax benefits in the income statement. Accordingly, we no longer classify excess tax benefits as a financing activity subsequent to January 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In May 2014, the FASB issued Accounting Standards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requires an entity to recognize the amount of revenue to which it expects to be entitled for the transfer of promised goods or services to customers in an amount that reflects the consideration to which the entity expects to be entitled in exchange for those goods or services. This guidance will replace most existing revenue recognition guidance in GAAP when it becomes effective. These new requirements are effective for annual reporting periods beginning after December 15, 2017, and interim periods within those annual periods. We do not believe the new revenue recognition standard will materially impact our recognition of the primary fees received from customers for our cloud-based supply chain solutions. We believe the adoption of the new standard could impact our accounting for certain upfront set-up fees and the periods over which the related revenues are recognized, as well as the timing of cost recognition for sales commissions and other contract acquisition costs. We are currently evaluating implementation methods and the extent of the impact that implementation of this standard will have on our consolidated financial statements upon adoption</w:t>
      </w:r>
    </w:p>
    <w:p>
      <w:pPr>
        <w:spacing w:after="0" w:line="182"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will supersede the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 We believe the adoption of the new lease accounting standard will materially impact our consolidated financial statements by increasing our non-current assets and non-current liabilities on our consolidated balance sheets in order to record the right of use assets and related lease liabilities for our existing operating leases. We are in the process of determining the financial statement impact and are currently unable to estimate the impact on our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Instruments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invest primarily in money market funds,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marketable securities. Investments with remaining maturities of more than one year from the balance sheet date are classified as marketable securities, non-current. Short-term marketable securities and marketable securities, non-current, are also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16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fixed income investments are carried at fair value and unrealized gains and losses on these investments are included in other comprehensive income (loss) in the condensed consolidated statements of comprehensive income (loss). Realized gains or losses are included in other income (expense) in the condensed consolidated statements of comprehensive income (loss). When a determination has been made that an other-than-temporary decline in fair value has occurred, the amount of the decline that is related to a credit loss is realized and is included in other income (expense), net in the condensed consolidated statements of comprehensive income (loss).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and marketable securities, consisted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80" w:type="dxa"/>
            <w:vAlign w:val="bottom"/>
          </w:tcPr>
          <w:p>
            <w:pPr>
              <w:spacing w:after="0"/>
              <w:rPr>
                <w:sz w:val="10"/>
                <w:szCs w:val="10"/>
                <w:color w:val="auto"/>
              </w:rPr>
            </w:pPr>
          </w:p>
        </w:tc>
        <w:tc>
          <w:tcPr>
            <w:tcW w:w="8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Amortized</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 (Losses)</w:t>
            </w:r>
          </w:p>
        </w:tc>
        <w:tc>
          <w:tcPr>
            <w:tcW w:w="2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3"/>
              </w:rPr>
              <w:t>(Dollars in thousands)</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80,310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80,310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15,681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15,561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7,489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108,475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108,363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80" w:type="dxa"/>
            <w:vAlign w:val="bottom"/>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$105,860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Due within two years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108,363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80" w:type="dxa"/>
            <w:vAlign w:val="bottom"/>
          </w:tcPr>
          <w:p>
            <w:pPr>
              <w:spacing w:after="0"/>
              <w:rPr>
                <w:sz w:val="10"/>
                <w:szCs w:val="10"/>
                <w:color w:val="auto"/>
              </w:rPr>
            </w:pPr>
          </w:p>
        </w:tc>
        <w:tc>
          <w:tcPr>
            <w:tcW w:w="8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Amortized</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 (Losses)</w:t>
            </w:r>
          </w:p>
        </w:tc>
        <w:tc>
          <w:tcPr>
            <w:tcW w:w="2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3"/>
              </w:rPr>
              <w:t>(Dollars in thousands)</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75,375</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75,375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15,681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15,585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4,977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7,489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agency obligations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106,019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105,946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98,452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Due within two years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105,946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We do not believe any of the unrealized losses represent an other-than-temporary impairment based on our valuation of available evidence as of March 31, 2017. We expect to receive the full principal and interest on all of these cash equivalents and marketable securities.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5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900" w:right="60" w:hanging="325"/>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Measurements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equivalents held in money market funds are measured at fair value using level 1 inputs.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2 Measurements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available-for-sale U.S. treasury securities, U.S. agency obligations, commercial paper and corporate debt securities are measured at fair value using level 2 inputs. We obtain the fair values of our level 2 available-for-sale securities from a professional pricing service.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tables present information about our financial assets that are measured at fair value on a recurring basis and indicates the fair value hierarchy of the valuation techniques utilized to determine such fair value: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March 31, 2017</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color w:val="auto"/>
                <w:w w:val="92"/>
              </w:rPr>
              <w:t>(Dollars in thousands)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3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$80,310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80,310</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Corporate bonds</w:t>
            </w:r>
          </w:p>
        </w:tc>
        <w:tc>
          <w:tcPr>
            <w:tcW w:w="2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15,561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15,561</w:t>
            </w:r>
          </w:p>
        </w:tc>
      </w:tr>
      <w:tr>
        <w:trPr>
          <w:trHeight w:val="216"/>
        </w:trPr>
        <w:tc>
          <w:tcPr>
            <w:tcW w:w="4760" w:type="dxa"/>
            <w:vAlign w:val="bottom"/>
          </w:tcPr>
          <w:p>
            <w:pPr>
              <w:ind w:left="720"/>
              <w:spacing w:after="0"/>
              <w:rPr>
                <w:sz w:val="20"/>
                <w:szCs w:val="20"/>
                <w:color w:val="auto"/>
              </w:rPr>
            </w:pPr>
            <w:r>
              <w:rPr>
                <w:rFonts w:ascii="Arial" w:cs="Arial" w:eastAsia="Arial" w:hAnsi="Arial"/>
                <w:sz w:val="18"/>
                <w:szCs w:val="18"/>
                <w:color w:val="auto"/>
              </w:rPr>
              <w:t>Commerical paper</w:t>
            </w:r>
          </w:p>
        </w:tc>
        <w:tc>
          <w:tcPr>
            <w:tcW w:w="23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4,995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4,995</w:t>
            </w: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treasury securities</w:t>
            </w:r>
          </w:p>
        </w:tc>
        <w:tc>
          <w:tcPr>
            <w:tcW w:w="2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7,497</w:t>
            </w:r>
          </w:p>
        </w:tc>
      </w:tr>
      <w:tr>
        <w:trPr>
          <w:trHeight w:val="223"/>
        </w:trPr>
        <w:tc>
          <w:tcPr>
            <w:tcW w:w="4760" w:type="dxa"/>
            <w:vAlign w:val="bottom"/>
          </w:tcPr>
          <w:p>
            <w:pPr>
              <w:ind w:left="108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80,310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28,053</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108,363</w:t>
            </w:r>
          </w:p>
        </w:tc>
        <w:tc>
          <w:tcPr>
            <w:tcW w:w="6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December 31, 2016</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color w:val="auto"/>
                <w:w w:val="92"/>
              </w:rPr>
              <w:t>(Dollars in thousands)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3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75,375</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Corporate bonds</w:t>
            </w:r>
          </w:p>
        </w:tc>
        <w:tc>
          <w:tcPr>
            <w:tcW w:w="2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15,585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15,585</w:t>
            </w:r>
          </w:p>
        </w:tc>
      </w:tr>
      <w:tr>
        <w:trPr>
          <w:trHeight w:val="216"/>
        </w:trPr>
        <w:tc>
          <w:tcPr>
            <w:tcW w:w="4760" w:type="dxa"/>
            <w:vAlign w:val="bottom"/>
          </w:tcPr>
          <w:p>
            <w:pPr>
              <w:ind w:left="720"/>
              <w:spacing w:after="0"/>
              <w:rPr>
                <w:sz w:val="20"/>
                <w:szCs w:val="20"/>
                <w:color w:val="auto"/>
              </w:rPr>
            </w:pPr>
            <w:r>
              <w:rPr>
                <w:rFonts w:ascii="Arial" w:cs="Arial" w:eastAsia="Arial" w:hAnsi="Arial"/>
                <w:sz w:val="18"/>
                <w:szCs w:val="18"/>
                <w:color w:val="auto"/>
              </w:rPr>
              <w:t>Commerical paper</w:t>
            </w:r>
          </w:p>
        </w:tc>
        <w:tc>
          <w:tcPr>
            <w:tcW w:w="23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4,987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4,987</w:t>
            </w: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treasury securities</w:t>
            </w:r>
          </w:p>
        </w:tc>
        <w:tc>
          <w:tcPr>
            <w:tcW w:w="2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7,499</w:t>
            </w:r>
          </w:p>
        </w:tc>
      </w:tr>
      <w:tr>
        <w:trPr>
          <w:trHeight w:val="216"/>
        </w:trPr>
        <w:tc>
          <w:tcPr>
            <w:tcW w:w="4760" w:type="dxa"/>
            <w:vAlign w:val="bottom"/>
          </w:tcPr>
          <w:p>
            <w:pPr>
              <w:ind w:left="720"/>
              <w:spacing w:after="0"/>
              <w:rPr>
                <w:sz w:val="20"/>
                <w:szCs w:val="20"/>
                <w:color w:val="auto"/>
              </w:rPr>
            </w:pPr>
            <w:r>
              <w:rPr>
                <w:rFonts w:ascii="Arial" w:cs="Arial" w:eastAsia="Arial" w:hAnsi="Arial"/>
                <w:sz w:val="18"/>
                <w:szCs w:val="18"/>
                <w:color w:val="auto"/>
              </w:rPr>
              <w:t>U.S. agency obligations</w:t>
            </w:r>
          </w:p>
        </w:tc>
        <w:tc>
          <w:tcPr>
            <w:tcW w:w="2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2,500</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r>
      <w:tr>
        <w:trPr>
          <w:trHeight w:val="27"/>
        </w:trPr>
        <w:tc>
          <w:tcPr>
            <w:tcW w:w="47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w:t>
            </w:r>
          </w:p>
        </w:tc>
        <w:tc>
          <w:tcPr>
            <w:tcW w:w="3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30,571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105,946</w:t>
            </w:r>
          </w:p>
        </w:tc>
      </w:tr>
      <w:tr>
        <w:trPr>
          <w:trHeight w:val="20"/>
        </w:trPr>
        <w:tc>
          <w:tcPr>
            <w:tcW w:w="4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60" w:firstLine="456"/>
        <w:spacing w:after="0" w:line="277" w:lineRule="auto"/>
        <w:rPr>
          <w:sz w:val="20"/>
          <w:szCs w:val="20"/>
          <w:color w:val="auto"/>
        </w:rPr>
      </w:pPr>
      <w:r>
        <w:rPr>
          <w:rFonts w:ascii="Arial" w:cs="Arial" w:eastAsia="Arial" w:hAnsi="Arial"/>
          <w:sz w:val="18"/>
          <w:szCs w:val="18"/>
          <w:color w:val="auto"/>
        </w:rPr>
        <w:t>We classify our cash and cash equivalents and marketable securities within Level 1 or Level 2 because we use quoted market prices or alternative pricing sources and models utilizing market observable inputs to determine their fair value.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Goodwill and Intangible Assets,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months ended March 31, 2017 and 2016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spacing w:after="0" w:line="142" w:lineRule="exact"/>
              <w:rPr>
                <w:sz w:val="20"/>
                <w:szCs w:val="20"/>
                <w:color w:val="auto"/>
              </w:rPr>
            </w:pPr>
            <w:r>
              <w:rPr>
                <w:rFonts w:ascii="Arial" w:cs="Arial" w:eastAsia="Arial" w:hAnsi="Arial"/>
                <w:sz w:val="14"/>
                <w:szCs w:val="14"/>
                <w:color w:val="auto"/>
                <w:w w:val="91"/>
              </w:rPr>
              <w:t>(Dollars in thousands)</w:t>
            </w:r>
          </w:p>
        </w:tc>
        <w:tc>
          <w:tcPr>
            <w:tcW w:w="6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49,777</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Goodwill acquired during the period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0" w:type="dxa"/>
            <w:vAlign w:val="bottom"/>
            <w:shd w:val="clear" w:color="auto" w:fill="CCEEFF"/>
          </w:tcPr>
          <w:p>
            <w:pPr>
              <w:spacing w:after="0"/>
              <w:rPr>
                <w:sz w:val="18"/>
                <w:szCs w:val="18"/>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Balances, March 31</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50,289</w:t>
            </w:r>
          </w:p>
        </w:tc>
        <w:tc>
          <w:tcPr>
            <w:tcW w:w="6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Intangible assets subject to amortization primarily include subscriber relationships, non-competition agreements and acquired technology and are amortized over their respective useful lives (ranging from 1 to 9 years).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left="136"/>
              <w:spacing w:after="0"/>
              <w:rPr>
                <w:sz w:val="20"/>
                <w:szCs w:val="20"/>
                <w:color w:val="auto"/>
              </w:rPr>
            </w:pPr>
            <w:r>
              <w:rPr>
                <w:rFonts w:ascii="Arial" w:cs="Arial" w:eastAsia="Arial" w:hAnsi="Arial"/>
                <w:sz w:val="14"/>
                <w:szCs w:val="14"/>
                <w:b w:val="1"/>
                <w:bCs w:val="1"/>
                <w:color w:val="auto"/>
                <w:w w:val="94"/>
              </w:rPr>
              <w:t>March 31, 2017</w:t>
            </w: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Carrying Amount</w:t>
            </w: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300" w:type="dxa"/>
            <w:vAlign w:val="bottom"/>
          </w:tcPr>
          <w:p>
            <w:pPr>
              <w:spacing w:after="0"/>
              <w:rPr>
                <w:sz w:val="10"/>
                <w:szCs w:val="10"/>
                <w:color w:val="auto"/>
              </w:rPr>
            </w:pPr>
          </w:p>
        </w:tc>
        <w:tc>
          <w:tcPr>
            <w:tcW w:w="1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Foreign Currency</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Translation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left="156"/>
              <w:spacing w:after="0" w:line="142" w:lineRule="exact"/>
              <w:rPr>
                <w:sz w:val="20"/>
                <w:szCs w:val="20"/>
                <w:color w:val="auto"/>
              </w:rPr>
            </w:pPr>
            <w:r>
              <w:rPr>
                <w:rFonts w:ascii="Arial" w:cs="Arial" w:eastAsia="Arial" w:hAnsi="Arial"/>
                <w:sz w:val="14"/>
                <w:szCs w:val="14"/>
                <w:color w:val="auto"/>
                <w:w w:val="93"/>
              </w:rPr>
              <w:t>(Dollars in thousands)</w:t>
            </w:r>
          </w:p>
        </w:tc>
        <w:tc>
          <w:tcPr>
            <w:tcW w:w="9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34,350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(16,633)</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$17,904</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2,499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(1,910)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38,980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(19,807</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left="156"/>
              <w:spacing w:after="0"/>
              <w:rPr>
                <w:sz w:val="20"/>
                <w:szCs w:val="20"/>
                <w:color w:val="auto"/>
              </w:rPr>
            </w:pPr>
            <w:r>
              <w:rPr>
                <w:rFonts w:ascii="Arial" w:cs="Arial" w:eastAsia="Arial" w:hAnsi="Arial"/>
                <w:sz w:val="14"/>
                <w:szCs w:val="14"/>
                <w:b w:val="1"/>
                <w:bCs w:val="1"/>
                <w:color w:val="auto"/>
                <w:w w:val="91"/>
              </w:rPr>
              <w:t>December 31, 2016</w:t>
            </w: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Carrying Amount</w:t>
            </w: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300" w:type="dxa"/>
            <w:vAlign w:val="bottom"/>
          </w:tcPr>
          <w:p>
            <w:pPr>
              <w:spacing w:after="0"/>
              <w:rPr>
                <w:sz w:val="10"/>
                <w:szCs w:val="10"/>
                <w:color w:val="auto"/>
              </w:rPr>
            </w:pPr>
          </w:p>
        </w:tc>
        <w:tc>
          <w:tcPr>
            <w:tcW w:w="1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Foreign Currency</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Translation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left="156"/>
              <w:spacing w:after="0" w:line="142" w:lineRule="exact"/>
              <w:rPr>
                <w:sz w:val="20"/>
                <w:szCs w:val="20"/>
                <w:color w:val="auto"/>
              </w:rPr>
            </w:pPr>
            <w:r>
              <w:rPr>
                <w:rFonts w:ascii="Arial" w:cs="Arial" w:eastAsia="Arial" w:hAnsi="Arial"/>
                <w:sz w:val="14"/>
                <w:szCs w:val="14"/>
                <w:color w:val="auto"/>
                <w:w w:val="93"/>
              </w:rPr>
              <w:t>(Dollars in thousands)</w:t>
            </w:r>
          </w:p>
        </w:tc>
        <w:tc>
          <w:tcPr>
            <w:tcW w:w="9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33,736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(15,708)</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$18,323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2,234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(1,818)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38,059</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(18,646</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19,788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intangible assets included on our consolidated balance sheets is as follows:</w:t>
      </w:r>
    </w:p>
    <w:p>
      <w:pPr>
        <w:spacing w:after="0" w:line="225"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Total amortization expense for intangible assets during the three months ended March 31, 2017 and 2016 was $1.2 million and $1.2 million, respectively. The estimated annual amortization expense related to intangible assets subject to amortization for the next five years is as follows:</w:t>
      </w:r>
    </w:p>
    <w:p>
      <w:pPr>
        <w:spacing w:after="0" w:line="147"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580" w:type="dxa"/>
            <w:vAlign w:val="bottom"/>
          </w:tcPr>
          <w:p>
            <w:pPr>
              <w:spacing w:after="0"/>
              <w:rPr>
                <w:sz w:val="14"/>
                <w:szCs w:val="14"/>
                <w:color w:val="auto"/>
              </w:rPr>
            </w:pPr>
          </w:p>
        </w:tc>
        <w:tc>
          <w:tcPr>
            <w:tcW w:w="5180" w:type="dxa"/>
            <w:vAlign w:val="bottom"/>
            <w:gridSpan w:val="4"/>
          </w:tcPr>
          <w:p>
            <w:pPr>
              <w:ind w:left="3840"/>
              <w:spacing w:after="0"/>
              <w:rPr>
                <w:sz w:val="20"/>
                <w:szCs w:val="20"/>
                <w:color w:val="auto"/>
              </w:rPr>
            </w:pPr>
            <w:r>
              <w:rPr>
                <w:rFonts w:ascii="Arial" w:cs="Arial" w:eastAsia="Arial" w:hAnsi="Arial"/>
                <w:sz w:val="14"/>
                <w:szCs w:val="14"/>
                <w:color w:val="auto"/>
                <w:w w:val="96"/>
              </w:rPr>
              <w:t>(Dollars in thousands)</w:t>
            </w: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3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2018</w:t>
            </w:r>
          </w:p>
        </w:tc>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2020</w:t>
            </w:r>
          </w:p>
        </w:tc>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Thereafter</w:t>
            </w:r>
          </w:p>
        </w:tc>
        <w:tc>
          <w:tcPr>
            <w:tcW w:w="38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840" w:type="dxa"/>
            <w:vAlign w:val="bottom"/>
            <w:vMerge w:val="restart"/>
          </w:tcPr>
          <w:p>
            <w:pPr>
              <w:jc w:val="right"/>
              <w:ind w:right="2376"/>
              <w:spacing w:after="0"/>
              <w:rPr>
                <w:sz w:val="20"/>
                <w:szCs w:val="20"/>
                <w:color w:val="auto"/>
              </w:rPr>
            </w:pPr>
            <w:r>
              <w:rPr>
                <w:rFonts w:ascii="Arial" w:cs="Arial" w:eastAsia="Arial" w:hAnsi="Arial"/>
                <w:sz w:val="18"/>
                <w:szCs w:val="18"/>
                <w:color w:val="auto"/>
              </w:rPr>
              <w:t>11</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8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2017, our future minimum payments under operating leases were as follows: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3860" w:type="dxa"/>
            <w:vAlign w:val="bottom"/>
            <w:gridSpan w:val="4"/>
          </w:tcPr>
          <w:p>
            <w:pPr>
              <w:ind w:left="2520"/>
              <w:spacing w:after="0"/>
              <w:rPr>
                <w:sz w:val="20"/>
                <w:szCs w:val="20"/>
                <w:color w:val="auto"/>
              </w:rPr>
            </w:pPr>
            <w:r>
              <w:rPr>
                <w:rFonts w:ascii="Arial" w:cs="Arial" w:eastAsia="Arial" w:hAnsi="Arial"/>
                <w:sz w:val="14"/>
                <w:szCs w:val="14"/>
                <w:color w:val="auto"/>
                <w:w w:val="96"/>
              </w:rPr>
              <w:t>(Dollars in thousands)</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2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2018</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3,128</w:t>
            </w:r>
          </w:p>
        </w:tc>
        <w:tc>
          <w:tcPr>
            <w:tcW w:w="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2020</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1,814</w:t>
            </w:r>
          </w:p>
        </w:tc>
        <w:tc>
          <w:tcPr>
            <w:tcW w:w="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60" w:type="dxa"/>
            <w:vAlign w:val="bottom"/>
            <w:shd w:val="clear" w:color="auto" w:fill="CCEEFF"/>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Thereafter</w:t>
            </w:r>
          </w:p>
        </w:tc>
        <w:tc>
          <w:tcPr>
            <w:tcW w:w="25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6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6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restricted stock units and performance share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February 2017, 1,024,868 additional shares were reserved for future issuance under our 2010 Equity Incentive Plan. As of March 31, 2017, there were approximately 4.5 million shares available for grant under approved equity compensation plans.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recorded stock-based compensation expense of $2.3 million and $1.9 million for the three months ended March 31, 2017 and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expense was allocated as follows:</w:t>
      </w:r>
    </w:p>
    <w:p>
      <w:pPr>
        <w:spacing w:after="0" w:line="229"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Three Months Ended</w:t>
      </w:r>
    </w:p>
    <w:p>
      <w:pPr>
        <w:jc w:val="center"/>
        <w:ind w:left="70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ind w:right="33"/>
              <w:spacing w:after="0" w:line="142" w:lineRule="exact"/>
              <w:rPr>
                <w:sz w:val="20"/>
                <w:szCs w:val="20"/>
                <w:color w:val="auto"/>
              </w:rPr>
            </w:pPr>
            <w:r>
              <w:rPr>
                <w:rFonts w:ascii="Arial" w:cs="Arial" w:eastAsia="Arial" w:hAnsi="Arial"/>
                <w:sz w:val="14"/>
                <w:szCs w:val="14"/>
                <w:color w:val="auto"/>
                <w:w w:val="93"/>
              </w:rPr>
              <w:t>(Dollars in thousands)</w:t>
            </w:r>
          </w:p>
        </w:tc>
        <w:tc>
          <w:tcPr>
            <w:tcW w:w="6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ind w:left="7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1,103</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60" w:type="dxa"/>
            <w:vAlign w:val="bottom"/>
            <w:shd w:val="clear" w:color="auto" w:fill="CCEEFF"/>
          </w:tcPr>
          <w:p>
            <w:pPr>
              <w:spacing w:after="0"/>
              <w:rPr>
                <w:sz w:val="18"/>
                <w:szCs w:val="18"/>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2,300</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6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As of March 31, 2017, there was approximately $23.4 million of unrecognized stock-based compensation expense under our equity compensation plans, which is expected to be recognized on a straight-line basis over a weighted average period of 3.0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15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color w:val="auto"/>
              </w:rPr>
              <w:t>($/share)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1,016,012</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147,848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(54,564)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(5,267)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2017</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1,104,029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Of the total outstanding options at March 31, 2017, 630,995 were exercisable with a weighted average exercise price of $42.11 per share. The total outstanding options had a weighted average remaining contractual life of 4.73 years.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three months of 2017 was $55.70 and this was estimated on the date of grant using the Black-Scholes option pricing model with the following weighted-average assumptions: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3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8"/>
                <w:szCs w:val="18"/>
                <w:color w:val="auto"/>
              </w:rPr>
              <w:t>1.88%</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February 2017, our executive officers were granted performance share unit (“PSU”) awards with vesting contingent on successful attainment of pre-determined revenue targets over the course of a three-year performance period (fiscal years 2017 – 2019). During the three months ended March 31, 2017, expense of $169,000 was recognized for PSU awards.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for our restricted stock units and PSUs was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78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0"/>
              </w:rPr>
              <w:t>Restricted Stock</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Units</w:t>
            </w:r>
          </w:p>
        </w:tc>
        <w:tc>
          <w:tcPr>
            <w:tcW w:w="18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Grant Date Fair Value</w:t>
            </w: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($/share)</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189,042</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Granted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203,680</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and common stock issued</w:t>
            </w:r>
          </w:p>
        </w:tc>
        <w:tc>
          <w:tcPr>
            <w:tcW w:w="27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(64,818)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280" w:type="dxa"/>
            <w:vAlign w:val="bottom"/>
          </w:tcPr>
          <w:p>
            <w:pPr>
              <w:spacing w:after="0"/>
              <w:rPr>
                <w:sz w:val="19"/>
                <w:szCs w:val="19"/>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(2,052)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2017</w:t>
            </w:r>
          </w:p>
        </w:tc>
        <w:tc>
          <w:tcPr>
            <w:tcW w:w="128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325,852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number of restricted stock units outstanding at March 31, 2017 included 4,316 units that have vested, but for which shares of common stock have not yet been issued pursuant to the terms of the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20" w:type="dxa"/>
            <w:vAlign w:val="bottom"/>
            <w:gridSpan w:val="3"/>
          </w:tcPr>
          <w:p>
            <w:pPr>
              <w:jc w:val="center"/>
              <w:ind w:left="696"/>
              <w:spacing w:after="0"/>
              <w:rPr>
                <w:sz w:val="20"/>
                <w:szCs w:val="20"/>
                <w:color w:val="auto"/>
              </w:rPr>
            </w:pPr>
            <w:r>
              <w:rPr>
                <w:rFonts w:ascii="Arial" w:cs="Arial" w:eastAsia="Arial" w:hAnsi="Arial"/>
                <w:sz w:val="14"/>
                <w:szCs w:val="14"/>
                <w:b w:val="1"/>
                <w:bCs w:val="1"/>
                <w:color w:val="auto"/>
                <w:w w:val="90"/>
              </w:rPr>
              <w:t>Restricted Stock</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Awards</w:t>
            </w:r>
          </w:p>
        </w:tc>
        <w:tc>
          <w:tcPr>
            <w:tcW w:w="1900" w:type="dxa"/>
            <w:vAlign w:val="bottom"/>
            <w:gridSpan w:val="4"/>
          </w:tcPr>
          <w:p>
            <w:pPr>
              <w:jc w:val="center"/>
              <w:ind w:left="319"/>
              <w:spacing w:after="0"/>
              <w:rPr>
                <w:sz w:val="20"/>
                <w:szCs w:val="20"/>
                <w:color w:val="auto"/>
              </w:rPr>
            </w:pPr>
            <w:r>
              <w:rPr>
                <w:rFonts w:ascii="Arial" w:cs="Arial" w:eastAsia="Arial" w:hAnsi="Arial"/>
                <w:sz w:val="14"/>
                <w:szCs w:val="14"/>
                <w:b w:val="1"/>
                <w:bCs w:val="1"/>
                <w:color w:val="auto"/>
                <w:w w:val="96"/>
              </w:rPr>
              <w:t>Grant Date Fair Value</w:t>
            </w: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color w:val="auto"/>
                <w:w w:val="89"/>
              </w:rPr>
              <w:t>($/share)</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795"/>
              <w:spacing w:after="0"/>
              <w:rPr>
                <w:sz w:val="20"/>
                <w:szCs w:val="20"/>
                <w:color w:val="auto"/>
              </w:rPr>
            </w:pPr>
            <w:r>
              <w:rPr>
                <w:rFonts w:ascii="Arial" w:cs="Arial" w:eastAsia="Arial" w:hAnsi="Arial"/>
                <w:sz w:val="18"/>
                <w:szCs w:val="18"/>
                <w:color w:val="auto"/>
                <w:w w:val="88"/>
              </w:rPr>
              <w:t>52.28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Restricted common stock issued</w:t>
            </w:r>
          </w:p>
        </w:tc>
        <w:tc>
          <w:tcPr>
            <w:tcW w:w="13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left="755"/>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28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795"/>
              <w:spacing w:after="0"/>
              <w:rPr>
                <w:sz w:val="20"/>
                <w:szCs w:val="20"/>
                <w:color w:val="auto"/>
              </w:rPr>
            </w:pPr>
            <w:r>
              <w:rPr>
                <w:rFonts w:ascii="Arial" w:cs="Arial" w:eastAsia="Arial" w:hAnsi="Arial"/>
                <w:sz w:val="18"/>
                <w:szCs w:val="18"/>
                <w:color w:val="auto"/>
                <w:w w:val="88"/>
              </w:rPr>
              <w:t>52.28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300" w:type="dxa"/>
            <w:vAlign w:val="bottom"/>
          </w:tcPr>
          <w:p>
            <w:pPr>
              <w:spacing w:after="0"/>
              <w:rPr>
                <w:sz w:val="19"/>
                <w:szCs w:val="19"/>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left="755"/>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2017</w:t>
            </w:r>
          </w:p>
        </w:tc>
        <w:tc>
          <w:tcPr>
            <w:tcW w:w="1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755"/>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respectively. A total of 1.1 million shares of common stock are reserved for issuance under the plan.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offering period that began on January 1, 2017, we withheld approximately $616,000 from employees participating in the plan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the three months ended March 31, 2017, we recorded approximately $138,000 of stock-based compensation expense associated with the employee stock purchase plan. The fair value was estimated based on the market price of our common stock at the beginning of the offering period using the Black-Scholes option pricing model with the following assumptions: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3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8"/>
                <w:szCs w:val="18"/>
                <w:color w:val="auto"/>
              </w:rPr>
              <w:t>0.62%</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 Additionally, under ASU 2016-09, excess tax benefits generated upon settlement or exercise of stock awards are now recognized as a reduction to income tax expense as a discrete tax item in the quarter that the event occurs creating potentially significant fluctuation in tax expense by quarter and by year. Our provisions for income taxes included current federal, foreign and state income tax expense, as well as deferred tax expense.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we do not have any unrecognized tax benefits nor any accrued interest or tax penalties.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Net Income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89"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Three Months Ended</w:t>
      </w:r>
    </w:p>
    <w:p>
      <w:pPr>
        <w:jc w:val="center"/>
        <w:ind w:left="69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2,971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basic</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17,154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Options to purchase common stock</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700"/>
              <w:spacing w:after="0"/>
              <w:rPr>
                <w:sz w:val="20"/>
                <w:szCs w:val="20"/>
                <w:color w:val="auto"/>
              </w:rPr>
            </w:pPr>
            <w:r>
              <w:rPr>
                <w:rFonts w:ascii="Arial" w:cs="Arial" w:eastAsia="Arial" w:hAnsi="Arial"/>
                <w:sz w:val="18"/>
                <w:szCs w:val="18"/>
                <w:color w:val="auto"/>
              </w:rPr>
              <w:t>Restricted stock units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Employee stock purchase plan</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diluted</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17,393</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700"/>
              <w:spacing w:after="0"/>
              <w:rPr>
                <w:sz w:val="20"/>
                <w:szCs w:val="20"/>
                <w:color w:val="auto"/>
              </w:rPr>
            </w:pPr>
            <w:r>
              <w:rPr>
                <w:rFonts w:ascii="Arial" w:cs="Arial" w:eastAsia="Arial" w:hAnsi="Arial"/>
                <w:sz w:val="18"/>
                <w:szCs w:val="18"/>
                <w:color w:val="auto"/>
              </w:rPr>
              <w:t>Basic</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effect of approximately 269,000 and 325,000 outstanding potential common shares was excluded from the calculation of diluted net income per share for the three months ended March 31, 2017 and 2016, respectively, as they were anti-dilutive.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suppliers, retailers, distributors and logistics firms orchestrate the sourcing, set up of new vendors and items, and fulfillment of the products that customers buy from retailers and suppliers. We derive the majority of our revenues from thousands of monthly recurring subscriptions from businesses that utilize our solutions.</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For the three months ended March 31, 2017, our revenues were $51.9 million, an increase of 14% from the comparable period in 2016, and represented our 65</w:t>
      </w:r>
      <w:r>
        <w:rPr>
          <w:rFonts w:ascii="Arial" w:cs="Arial" w:eastAsia="Arial" w:hAnsi="Arial"/>
          <w:sz w:val="14"/>
          <w:szCs w:val="14"/>
          <w:color w:val="auto"/>
        </w:rPr>
        <w:t>th</w:t>
      </w:r>
      <w:r>
        <w:rPr>
          <w:rFonts w:ascii="Arial" w:cs="Arial" w:eastAsia="Arial" w:hAnsi="Arial"/>
          <w:sz w:val="17"/>
          <w:szCs w:val="17"/>
          <w:color w:val="auto"/>
        </w:rPr>
        <w:t xml:space="preserve"> consecutive quarter of increased revenues. Total operating expenses increased 6% for the same period in 2017 from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three months ended March 31, 2017,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2016 as filed with the Securities and Exchange Commission on February 27, 2017.</w:t>
      </w:r>
    </w:p>
    <w:p>
      <w:pPr>
        <w:spacing w:after="0" w:line="15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7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U.S. generally accepted accounting principles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purchased intangible assets are the most critical to aid in fully understanding and evaluating our financial condition and results of operations.</w:t>
      </w:r>
    </w:p>
    <w:p>
      <w:pPr>
        <w:spacing w:after="0" w:line="154"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During the three months ended March 31, 2017, there were no changes in our significant accounting policies or estimates. See Note A to our condensed consolidated financial statements included in this Quarterly Report on Form 10-Q and in our Annual Report on Form 10-K for the year ended December 31, 2016, as filed with the Securities and Exchange Commission on February 27, 2017, for additional information regarding our accounting policies.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gridSpan w:val="8"/>
          </w:tcPr>
          <w:p>
            <w:pPr>
              <w:jc w:val="right"/>
              <w:ind w:right="11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4"/>
                <w:szCs w:val="14"/>
                <w:color w:val="auto"/>
              </w:rPr>
            </w:pPr>
          </w:p>
        </w:tc>
        <w:tc>
          <w:tcPr>
            <w:tcW w:w="15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93"/>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92"/>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51,932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45,599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$6,333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revenues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17,330</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14,881</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32.6</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2,449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34,602</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30,718</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3,884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17,079</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15,889</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1,190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5,105</w:t>
            </w: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5,069</w:t>
            </w: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36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7,827</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7,285</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542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1,215</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1,161</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54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31,226</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29,404</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1,822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3,376</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1,314</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4"/>
                <w:szCs w:val="24"/>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2,062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46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(353)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8"/>
                <w:szCs w:val="18"/>
                <w:color w:val="auto"/>
              </w:rPr>
              <w:t>(307)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1,755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172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1,927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Compared to Three Months Ended March 31, 2016</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March 31, 2017 increased $6.3 million, or 14%, to $51.9 million from $45.6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2016. The increase in revenues resulted from two primary factors: an increase in recurring revenue customers and the increase in annualized average recurring revenues per recurring revenue customer, which we also refer to as wallet share.</w:t>
      </w:r>
    </w:p>
    <w:p>
      <w:pPr>
        <w:spacing w:after="0" w:line="87"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5% to 25,001 at March 31, 2017 from 23,817 at March 31, 2016.</w:t>
      </w:r>
    </w:p>
    <w:p>
      <w:pPr>
        <w:spacing w:after="0" w:line="130" w:lineRule="exact"/>
        <w:rPr>
          <w:rFonts w:ascii="Arial" w:cs="Arial" w:eastAsia="Arial" w:hAnsi="Arial"/>
          <w:sz w:val="18"/>
          <w:szCs w:val="18"/>
          <w:color w:val="auto"/>
        </w:rPr>
      </w:pPr>
    </w:p>
    <w:p>
      <w:pPr>
        <w:jc w:val="both"/>
        <w:ind w:left="900" w:right="60" w:hanging="325"/>
        <w:spacing w:after="0" w:line="28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Annualized average recurring revenues per recurring revenue customer, or wallet share, increased 9% to $7.7 million for the three months ended March 31, 2017 from $7.1 million for the same period in 2016. This increase in wallet share was primarily attributable to increased fees resulting from increased usage of our solutions by our recurring revenue customers and growth in larger customers.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Recurring revenues from recurring revenue customers accounted for 92% of our total revenues, respectively, for the three months ended March 31, 2017, compared to 91% for the same period in 2016. We anticipate that the number of recurring revenue customers and wallet share will continue to increase as we increase the number of solutions we offer and increase the penetration of those solutions across our customer base.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March 31, 2017 increased $2.4 million, or 16%, to $17.3 million from $14.9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same period in 2016. The increase in cost of revenues for the three-month period in 2017 was primarily due to an increase in personnel-related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 million, driven by increased headcount and an increase of $640,000 in consulting costs. Compared to the same period in 2016,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 increased by $172,000 and occupancy costs increased by $79,000. Additionally, as we continued to invest in the infrastructure supporting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platform, costs for software and cloud-based subscriptions increased by $393,000 and depreciation expense increased by $122,000 compared to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in 2016. As a percentage of revenues, costs of revenues were 33% for the three months ended March 31, 2017, compared to 33% for the same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2016. Going forward, we anticipate that costs of revenues will increase in absolute dollars as we continue to expand our business.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three months ended March 31, 2017 increased $1.2 million, or 7%, to</w:t>
      </w:r>
    </w:p>
    <w:p>
      <w:pPr>
        <w:spacing w:after="0" w:line="35"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auto"/>
        </w:rPr>
        <w:t>$17.1 million from $15.9 million for the same period in 2016. The increase in sales and marketing expenses for the three-month period in 2017 was primarily due to increased headcount, which resulted in an increase of $714,000 in personnel-related costs, as well as an increase of $457,000 in variable compensation of earned by sales personnel and referral partners from new business compared to the same period in 2016. As a percentage of revenues, sales and marketing expenses were 33% for the three months ended March 31, 2017, compared to 35% for the same period in 2016. As we expand our business, we will continue to add resources to our sales and marketing efforts over time, and we expect that these expenses will continue to increase in absolute dollars.</w:t>
      </w:r>
    </w:p>
    <w:p>
      <w:pPr>
        <w:spacing w:after="0" w:line="163"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three months ended March 31, 2017 remained flat at $5.1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expenses of $5.1 million for the same period in 2016. During the three-month period in 2017, costs of software subscriptions increased by $210,000 and personnel costs increased by $177,000, but these increased costs were offset by an increase of $380,000 in the amount of internal labor capitalized for internal-use software development, which reduced the current period expense by that amount. As a percentage of revenues, research and development expenses were 10% for the three months ended March 31, 2017 compared to 11% for the same period in 2016. As we enhance and expand our solutions and applications, we expect that research and development expenses will continue to increase in absolute dollars.</w:t>
      </w:r>
    </w:p>
    <w:p>
      <w:pPr>
        <w:spacing w:after="0" w:line="165"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for the three months ended March 31, 2017 increased $542,000, or 7%, to</w:t>
      </w:r>
      <w:r>
        <w:rPr>
          <w:rFonts w:ascii="Arial" w:cs="Arial" w:eastAsia="Arial" w:hAnsi="Arial"/>
          <w:sz w:val="17"/>
          <w:szCs w:val="17"/>
          <w:i w:val="1"/>
          <w:iCs w:val="1"/>
          <w:color w:val="auto"/>
        </w:rPr>
        <w:t xml:space="preserve"> </w:t>
      </w:r>
      <w:r>
        <w:rPr>
          <w:rFonts w:ascii="Arial" w:cs="Arial" w:eastAsia="Arial" w:hAnsi="Arial"/>
          <w:sz w:val="17"/>
          <w:szCs w:val="17"/>
          <w:color w:val="auto"/>
        </w:rPr>
        <w:t>$7.8 million from $7.3 million for the same period in 2016. The increase in general and administrative expenses for the three-month period in 2017 was due to headcount growth, which resulted in an increase of $261,000 in personnel-related costs and an increase of $247,000 in stock based compensation expense compared to the same period in 2016. Additionally, costs of software subscriptions increased by $289,000, while legal, audit and tax fees decreased by $149,000 compared to the same period in 2016. As a percentage of revenues, general and administrative expenses were 15% for the three months ended March 31, 2017 compared to 16% for the same period in 2016. Going forward, we expect that general and administrative expenses will continue to increase in absolute dollars as we expand our business.</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for the three months ended March 31, 2016 included $365,000 for an adjustment of the fair value of the Toolbox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earn-out liability due to the change in the stock price from date of acquisition through March 31, 2016. As that contingent consideration arrangement was settled in 2016, there is no comparable income for the three months ended March 31, 2017.</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income tax expense of $536,000 for the three months ended March 31, 2017 compared to income tax expense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$708,000 for three months ended March 31, 2016. The decrease in income tax expense for the three-month period in 2017 was primarily due increased pretax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book income, offset by discrete tax benefits from the adoption of ASU 2016-09 relating to stock-based compensation. Under ASU 2016-09, excess tax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benefits generated upon the settlement or exercise of stock awards are no longer recognized as additional paid-in capital but are instead recognized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to income tax expense. As a result of recording these excess tax benefits in income tax expense, we expect that our annual effective income tax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be more volatile than it has been historically.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the fair value adjustment for the Toolbox Solutions share-based earn-out liability. The following table provides a reconciliation of net income to Adjusted EBITDA:</w:t>
      </w:r>
    </w:p>
    <w:p>
      <w:pPr>
        <w:spacing w:after="0" w:line="206"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Three Months Ended</w:t>
      </w:r>
    </w:p>
    <w:p>
      <w:pPr>
        <w:jc w:val="center"/>
        <w:ind w:left="69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gridSpan w:val="5"/>
          </w:tcPr>
          <w:p>
            <w:pPr>
              <w:jc w:val="right"/>
              <w:ind w:right="32"/>
              <w:spacing w:after="0" w:line="142" w:lineRule="exact"/>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$ 2,971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2,300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$ 8,522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which is also a non-GAAP measure of financial performance, consists of net income plus stock-based compensation expense, amortization expense related to intangible assets and – for the three months ended March 31, 2016 – other income related to the adjustment of the fair value of the Toolbox Solutions share-based earn-out liability. Non-GAAP income per share is non-GAAP income divided by the weighted average number of shares of common stock outstanding during each period.</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Additionally, pursuant to recent Compliance and Disclosure Interpretations published by the U.S. Securities and Exchange Commission in May 2016 related to the use of non-GAAP financial measures, we now include an adjustment to non-GAAP income to reflect the income tax effects of the adjustments to GAAP net income, as discussed above. To quantify these tax effects, we recalculate income tax expense excluding the direct book and tax effects of the specific items constituting the non-GAAP adjustments. The difference between this recalculated income tax expense and GAAP income tax expense is presented as the income tax effect of the non-GAAP adjustments. The following table provides a reconciliation of net income to non-GAAP income per share (the prior period information has been revised to reflect the income tax effects of non-GAAP adjustments):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Three Months Ended</w:t>
      </w:r>
    </w:p>
    <w:p>
      <w:pPr>
        <w:jc w:val="center"/>
        <w:ind w:left="6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5"/>
          </w:tcPr>
          <w:p>
            <w:pPr>
              <w:jc w:val="right"/>
              <w:ind w:right="52"/>
              <w:spacing w:after="0" w:line="123" w:lineRule="exact"/>
              <w:rPr>
                <w:sz w:val="20"/>
                <w:szCs w:val="20"/>
                <w:color w:val="auto"/>
              </w:rPr>
            </w:pPr>
            <w:r>
              <w:rPr>
                <w:rFonts w:ascii="Arial" w:cs="Arial" w:eastAsia="Arial" w:hAnsi="Arial"/>
                <w:sz w:val="14"/>
                <w:szCs w:val="14"/>
                <w:color w:val="auto"/>
                <w:w w:val="94"/>
              </w:rPr>
              <w:t>(Dollars 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effects of adjustments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Non-GAAP income</w:t>
            </w:r>
          </w:p>
        </w:tc>
        <w:tc>
          <w:tcPr>
            <w:tcW w:w="1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Basic</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rPr>
                <w:sz w:val="20"/>
                <w:szCs w:val="20"/>
                <w:color w:val="auto"/>
              </w:rPr>
            </w:pPr>
            <w:r>
              <w:rPr>
                <w:rFonts w:ascii="Arial" w:cs="Arial" w:eastAsia="Arial" w:hAnsi="Arial"/>
                <w:sz w:val="18"/>
                <w:szCs w:val="18"/>
                <w:color w:val="auto"/>
              </w:rPr>
              <w:t>Non-GAAP income per share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20"/>
                <w:szCs w:val="20"/>
                <w:color w:val="auto"/>
              </w:rPr>
            </w:pP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March 31, 2017, our principal sources of liquidity were cash, cash equivalents and marketable securities of $156.8 million and accounts receivable, net of allowance for doubtful accounts, of $22.7 million.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Net cash provided by operating activities was $10.4 million and $6.9 million for the three months ended March 31, 2017 and 2016, respectively. The increase in operating cash flows as compared to the same period in 2016 was primarily due to increased net income along with increases in deferred revenue and accrued expenses, partially offset by an increase in deferred costs, a decrease in accrued compensation and the timing of payments for accounts payable.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Net cash provided by investing activities was $706,000 for the three months ended March 31, 2017 compared to net cash used in investing activities of $20.1 million for the three months ended March 31, 2016. The increase in net cash flows from investing activities from period to period was primarily due to the fact that we used cash for the acquisition of Toolbox Solutions for $17.9 million in the first quarter of 2016 and did not have a similar acquisition in 2017. For the three months ended March 31, 2017 and 2016, we had capital expenditures of $1.3 million and $2.1 million, respectively. Our capital expenditures are for supporting our business growth and existing customer base, as well as for our internal use such as equipment for our employees.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Net cash provided by financing activities was $1.0 million and $2.1 million for the three months ended March 31, 2017 and 2016, respectively, related to the exercise of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fluctuations in foreign currency exchange rates. We maintain approximately 10% of our total cash and cash equivalents outside of the United States in foreign currencies, primarily in Australian and Canadian dollars. We believe that a significant change in foreign currency exchange rates or an inability to access these funds would not affect our ability to meet our operational needs.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sales and marketing resources needed to further penetrate our market and gain acceptance of new solutions and applications that we may develop;</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believe our cash, cash equivalents,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three months ended March 31, 2017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and Commercial Commitment Summary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and commercial commitments as of March 31, 2017 are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color w:val="auto"/>
                <w:w w:val="92"/>
              </w:rPr>
              <w:t>Payments Due By Period (in thousands)</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jc w:val="center"/>
              <w:ind w:right="140"/>
              <w:spacing w:after="0" w:line="123" w:lineRule="exact"/>
              <w:rPr>
                <w:sz w:val="20"/>
                <w:szCs w:val="20"/>
                <w:color w:val="auto"/>
              </w:rPr>
            </w:pPr>
            <w:r>
              <w:rPr>
                <w:rFonts w:ascii="Arial" w:cs="Arial" w:eastAsia="Arial" w:hAnsi="Arial"/>
                <w:sz w:val="14"/>
                <w:szCs w:val="14"/>
                <w:color w:val="auto"/>
                <w:w w:val="88"/>
              </w:rPr>
              <w:t>Less Than</w:t>
            </w:r>
          </w:p>
        </w:tc>
        <w:tc>
          <w:tcPr>
            <w:tcW w:w="640" w:type="dxa"/>
            <w:vAlign w:val="bottom"/>
            <w:gridSpan w:val="2"/>
          </w:tcPr>
          <w:p>
            <w:pPr>
              <w:jc w:val="right"/>
              <w:ind w:right="128"/>
              <w:spacing w:after="0" w:line="123"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0"/>
                <w:szCs w:val="10"/>
                <w:color w:val="auto"/>
              </w:rPr>
            </w:pPr>
          </w:p>
        </w:tc>
        <w:tc>
          <w:tcPr>
            <w:tcW w:w="620" w:type="dxa"/>
            <w:vAlign w:val="bottom"/>
            <w:gridSpan w:val="2"/>
          </w:tcPr>
          <w:p>
            <w:pPr>
              <w:jc w:val="right"/>
              <w:ind w:right="108"/>
              <w:spacing w:after="0" w:line="123"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color w:val="auto"/>
                <w:w w:val="94"/>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Contractual Obligations</w:t>
            </w:r>
          </w:p>
        </w:tc>
        <w:tc>
          <w:tcPr>
            <w:tcW w:w="272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Total</w:t>
            </w:r>
          </w:p>
        </w:tc>
        <w:tc>
          <w:tcPr>
            <w:tcW w:w="1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1 Year</w:t>
            </w:r>
          </w:p>
        </w:tc>
        <w:tc>
          <w:tcPr>
            <w:tcW w:w="14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color w:val="auto"/>
                <w:w w:val="86"/>
              </w:rPr>
              <w:t>3 Years</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auto"/>
              </w:rPr>
              <w:t>5 Years</w:t>
            </w:r>
          </w:p>
        </w:tc>
        <w:tc>
          <w:tcPr>
            <w:tcW w:w="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5 Years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$12,806</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6"/>
              </w:rPr>
              <w:t>$ 3,224</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$6,382</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$2,199</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8"/>
              </w:rPr>
              <w:t>$  1,001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and marketable securities), we believe there is no material risk exposure. We do not enter into investments for trading or speculative purposes.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outstanding debt as of March 31, 2017. Therefore, we do not have any material risk to interest rate fluctuations.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have revenue, expenses, assets and liabilities that are denominated in currencies other than the U.S. dollar, primarily the Australian and Canadian dollars. As we expand internationally, our results of operations and cash flows will be impacted by foreign currency fluctuations. We have not used any forward contracts or currency borrowings to hedge our exposure to foreign currency exchange risk, although we may do so in the future.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2017 that have materially affected, or are reasonably likely to materially affect, our internal control over financial reporting.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2016 as filed with the Securities and Exchange Commission on February 27, 2017.</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April 28, 2017</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Exhibit</w:t>
      </w:r>
    </w:p>
    <w:p>
      <w:pPr>
        <w:ind w:left="20"/>
        <w:spacing w:after="0"/>
        <w:tabs>
          <w:tab w:leader="none" w:pos="900" w:val="left"/>
        </w:tabs>
        <w:rPr>
          <w:sz w:val="20"/>
          <w:szCs w:val="20"/>
          <w:color w:val="auto"/>
        </w:rPr>
      </w:pPr>
      <w:r>
        <w:rPr>
          <w:rFonts w:ascii="Arial" w:cs="Arial" w:eastAsia="Arial" w:hAnsi="Arial"/>
          <w:sz w:val="14"/>
          <w:szCs w:val="14"/>
          <w:i w:val="1"/>
          <w:iCs w:val="1"/>
          <w:u w:val="single" w:color="auto"/>
          <w:color w:val="auto"/>
        </w:rPr>
        <w:t>Number</w:t>
      </w:r>
      <w:r>
        <w:rPr>
          <w:sz w:val="20"/>
          <w:szCs w:val="20"/>
          <w:color w:val="auto"/>
        </w:rPr>
        <w:tab/>
      </w:r>
      <w:r>
        <w:rPr>
          <w:rFonts w:ascii="Arial" w:cs="Arial" w:eastAsia="Arial" w:hAnsi="Arial"/>
          <w:sz w:val="14"/>
          <w:szCs w:val="14"/>
          <w:i w:val="1"/>
          <w:i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5080</wp:posOffset>
            </wp:positionV>
            <wp:extent cx="6663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81"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Incorporation (incorporated by reference to Exhibit 4.1 to our Registration Statement on Form S-3 (File No. 333-182097) filed with the Commission on September 13, 2012).</w:t>
      </w:r>
    </w:p>
    <w:p>
      <w:pPr>
        <w:spacing w:after="0" w:line="62" w:lineRule="exact"/>
        <w:rPr>
          <w:sz w:val="20"/>
          <w:szCs w:val="20"/>
          <w:color w:val="auto"/>
        </w:rPr>
      </w:pPr>
    </w:p>
    <w:p>
      <w:pPr>
        <w:ind w:left="920" w:right="40" w:hanging="737"/>
        <w:spacing w:after="0" w:line="277"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(incorporated by reference to Exhibit 3.2 to our Registration Statement on Form S-1/A (File No. 333-163476) filed with the Commission on March 5, 2010).</w:t>
      </w:r>
    </w:p>
    <w:p>
      <w:pPr>
        <w:spacing w:after="0" w:line="62" w:lineRule="exact"/>
        <w:rPr>
          <w:sz w:val="20"/>
          <w:szCs w:val="20"/>
          <w:color w:val="auto"/>
        </w:rPr>
      </w:pPr>
    </w:p>
    <w:p>
      <w:pPr>
        <w:ind w:left="920" w:right="140" w:hanging="827"/>
        <w:spacing w:after="0" w:line="277"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Performance Stock Unit Agreement under the Company’s 2010 Equity Incentive Plan (incorporated by reference to Exhibit 99.1 to our Current Report filed on Form 8-K (File No. 001-34702) filed on February 14, 2017). **</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Restricted Stock Unit Agreement, as amended, under the Company’s 2010 Equity Incentive Plan (incorporated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99.1 to our Current Report filed on Form 8-K (File No. 001-34702) filed on February 14, 2017). **</w:t>
      </w:r>
    </w:p>
    <w:p>
      <w:pPr>
        <w:spacing w:after="0" w:line="10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Rules 13a-14(a) under the Securities Exchange Act of 1934, as amended (filed herewith).</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Rules 13a-14(a) under the Securities Exchange Act of 1934, as amended (filed herewith).</w:t>
      </w:r>
    </w:p>
    <w:p>
      <w:pPr>
        <w:spacing w:after="0" w:line="117" w:lineRule="exact"/>
        <w:rPr>
          <w:sz w:val="20"/>
          <w:szCs w:val="20"/>
          <w:color w:val="auto"/>
        </w:rPr>
      </w:pPr>
    </w:p>
    <w:p>
      <w:pPr>
        <w:ind w:left="920" w:right="160" w:hanging="827"/>
        <w:spacing w:after="0" w:line="277"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pursuant to 18 U.S.C. Sec. 1350, as adopted pursuant to Section 906 of the Sarbanes-Oxley Act of 2002 (filed herewith).</w:t>
      </w:r>
    </w:p>
    <w:p>
      <w:pPr>
        <w:spacing w:after="0" w:line="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 (filed herewith).</w:t>
      </w:r>
    </w:p>
    <w:p>
      <w:pPr>
        <w:spacing w:after="0" w:line="25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March 31, 2017,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2019-12-29T06:41:15Z</dcterms:created>
  <dcterms:modified xsi:type="dcterms:W3CDTF">2019-12-29T06:41:15Z</dcterms:modified>
</cp:coreProperties>
</file>