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w:t>
      </w:r>
    </w:p>
    <w:p>
      <w:pPr>
        <w:spacing w:after="0" w:line="27"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77" w:lineRule="exact"/>
        <w:rPr>
          <w:sz w:val="24"/>
          <w:szCs w:val="24"/>
          <w:color w:val="auto"/>
        </w:rPr>
      </w:pPr>
    </w:p>
    <w:p>
      <w:pPr>
        <w:ind w:left="1140" w:hanging="565"/>
        <w:spacing w:after="0"/>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w:t>
      </w:r>
    </w:p>
    <w:p>
      <w:pPr>
        <w:spacing w:after="0" w:line="27"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3080" w:type="dxa"/>
            <w:vAlign w:val="bottom"/>
          </w:tcPr>
          <w:p>
            <w:pPr>
              <w:ind w:left="720"/>
              <w:spacing w:after="0"/>
              <w:rPr>
                <w:sz w:val="20"/>
                <w:szCs w:val="20"/>
                <w:color w:val="auto"/>
              </w:rPr>
            </w:pPr>
            <w:r>
              <w:rPr>
                <w:rFonts w:ascii="Arial" w:cs="Arial" w:eastAsia="Arial" w:hAnsi="Arial"/>
                <w:sz w:val="18"/>
                <w:szCs w:val="18"/>
                <w:b w:val="1"/>
                <w:bCs w:val="1"/>
                <w:color w:val="auto"/>
                <w:w w:val="90"/>
              </w:rPr>
              <w:t>For the Transition Period from</w:t>
            </w:r>
          </w:p>
        </w:tc>
        <w:tc>
          <w:tcPr>
            <w:tcW w:w="3860" w:type="dxa"/>
            <w:vAlign w:val="bottom"/>
          </w:tcPr>
          <w:p>
            <w:pPr>
              <w:ind w:left="740"/>
              <w:spacing w:after="0"/>
              <w:rPr>
                <w:sz w:val="20"/>
                <w:szCs w:val="20"/>
                <w:color w:val="auto"/>
              </w:rPr>
            </w:pPr>
            <w:r>
              <w:rPr>
                <w:rFonts w:ascii="Arial" w:cs="Arial" w:eastAsia="Arial" w:hAnsi="Arial"/>
                <w:sz w:val="18"/>
                <w:szCs w:val="18"/>
                <w:b w:val="1"/>
                <w:bCs w:val="1"/>
                <w:color w:val="auto"/>
              </w:rPr>
              <w:t>to</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6"/>
        </w:trPr>
        <w:tc>
          <w:tcPr>
            <w:tcW w:w="3080" w:type="dxa"/>
            <w:vAlign w:val="bottom"/>
          </w:tcPr>
          <w:p>
            <w:pPr>
              <w:spacing w:after="0"/>
              <w:rPr>
                <w:sz w:val="22"/>
                <w:szCs w:val="22"/>
                <w:color w:val="auto"/>
              </w:rPr>
            </w:pPr>
          </w:p>
        </w:tc>
        <w:tc>
          <w:tcPr>
            <w:tcW w:w="3860" w:type="dxa"/>
            <w:vAlign w:val="bottom"/>
          </w:tcPr>
          <w:p>
            <w:pPr>
              <w:jc w:val="center"/>
              <w:ind w:left="399"/>
              <w:spacing w:after="0"/>
              <w:rPr>
                <w:sz w:val="20"/>
                <w:szCs w:val="20"/>
                <w:color w:val="auto"/>
              </w:rPr>
            </w:pPr>
            <w:r>
              <w:rPr>
                <w:rFonts w:ascii="Arial" w:cs="Arial" w:eastAsia="Arial" w:hAnsi="Arial"/>
                <w:sz w:val="18"/>
                <w:szCs w:val="18"/>
                <w:b w:val="1"/>
                <w:bCs w:val="1"/>
                <w:color w:val="auto"/>
                <w:w w:val="88"/>
              </w:rPr>
              <w:t>Commission file number 001-34702</w:t>
            </w: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532"/>
        </w:trPr>
        <w:tc>
          <w:tcPr>
            <w:tcW w:w="8300" w:type="dxa"/>
            <w:vAlign w:val="bottom"/>
            <w:gridSpan w:val="3"/>
          </w:tcPr>
          <w:p>
            <w:pPr>
              <w:jc w:val="center"/>
              <w:ind w:left="2125"/>
              <w:spacing w:after="0"/>
              <w:rPr>
                <w:sz w:val="20"/>
                <w:szCs w:val="20"/>
                <w:color w:val="auto"/>
              </w:rPr>
            </w:pPr>
            <w:r>
              <w:rPr>
                <w:rFonts w:ascii="Arial" w:cs="Arial" w:eastAsia="Arial" w:hAnsi="Arial"/>
                <w:sz w:val="43"/>
                <w:szCs w:val="43"/>
                <w:b w:val="1"/>
                <w:bCs w:val="1"/>
                <w:color w:val="auto"/>
              </w:rPr>
              <w:t>SPS COMMERCE, INC.</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2"/>
        </w:trPr>
        <w:tc>
          <w:tcPr>
            <w:tcW w:w="3080" w:type="dxa"/>
            <w:vAlign w:val="bottom"/>
          </w:tcPr>
          <w:p>
            <w:pPr>
              <w:spacing w:after="0"/>
              <w:rPr>
                <w:sz w:val="14"/>
                <w:szCs w:val="14"/>
                <w:color w:val="auto"/>
              </w:rPr>
            </w:pPr>
          </w:p>
        </w:tc>
        <w:tc>
          <w:tcPr>
            <w:tcW w:w="3860" w:type="dxa"/>
            <w:vAlign w:val="bottom"/>
          </w:tcPr>
          <w:p>
            <w:pPr>
              <w:jc w:val="center"/>
              <w:ind w:left="419"/>
              <w:spacing w:after="0"/>
              <w:rPr>
                <w:sz w:val="20"/>
                <w:szCs w:val="20"/>
                <w:color w:val="auto"/>
              </w:rPr>
            </w:pPr>
            <w:r>
              <w:rPr>
                <w:rFonts w:ascii="Arial" w:cs="Arial" w:eastAsia="Arial" w:hAnsi="Arial"/>
                <w:sz w:val="14"/>
                <w:szCs w:val="14"/>
                <w:i w:val="1"/>
                <w:iCs w:val="1"/>
                <w:color w:val="auto"/>
                <w:w w:val="87"/>
              </w:rPr>
              <w:t>(Exact Name of Registrant as Specified in its Charter)</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73"/>
        </w:trPr>
        <w:tc>
          <w:tcPr>
            <w:tcW w:w="3080" w:type="dxa"/>
            <w:vAlign w:val="bottom"/>
          </w:tcPr>
          <w:p>
            <w:pPr>
              <w:jc w:val="center"/>
              <w:ind w:left="1685"/>
              <w:spacing w:after="0"/>
              <w:rPr>
                <w:sz w:val="20"/>
                <w:szCs w:val="20"/>
                <w:color w:val="auto"/>
              </w:rPr>
            </w:pPr>
            <w:r>
              <w:rPr>
                <w:rFonts w:ascii="Arial" w:cs="Arial" w:eastAsia="Arial" w:hAnsi="Arial"/>
                <w:sz w:val="18"/>
                <w:szCs w:val="18"/>
                <w:b w:val="1"/>
                <w:bCs w:val="1"/>
                <w:color w:val="auto"/>
                <w:w w:val="88"/>
              </w:rPr>
              <w:t>Delaware</w:t>
            </w:r>
          </w:p>
        </w:tc>
        <w:tc>
          <w:tcPr>
            <w:tcW w:w="3860" w:type="dxa"/>
            <w:vAlign w:val="bottom"/>
          </w:tcPr>
          <w:p>
            <w:pPr>
              <w:spacing w:after="0"/>
              <w:rPr>
                <w:sz w:val="23"/>
                <w:szCs w:val="23"/>
                <w:color w:val="auto"/>
              </w:rPr>
            </w:pPr>
          </w:p>
        </w:tc>
        <w:tc>
          <w:tcPr>
            <w:tcW w:w="1720" w:type="dxa"/>
            <w:vAlign w:val="bottom"/>
            <w:gridSpan w:val="2"/>
          </w:tcPr>
          <w:p>
            <w:pPr>
              <w:jc w:val="center"/>
              <w:ind w:left="702"/>
              <w:spacing w:after="0"/>
              <w:rPr>
                <w:sz w:val="20"/>
                <w:szCs w:val="20"/>
                <w:color w:val="auto"/>
              </w:rPr>
            </w:pPr>
            <w:r>
              <w:rPr>
                <w:rFonts w:ascii="Arial" w:cs="Arial" w:eastAsia="Arial" w:hAnsi="Arial"/>
                <w:sz w:val="18"/>
                <w:szCs w:val="18"/>
                <w:b w:val="1"/>
                <w:bCs w:val="1"/>
                <w:color w:val="auto"/>
                <w:w w:val="89"/>
              </w:rPr>
              <w:t>41-2015127</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49"/>
        </w:trPr>
        <w:tc>
          <w:tcPr>
            <w:tcW w:w="6940" w:type="dxa"/>
            <w:vAlign w:val="bottom"/>
            <w:gridSpan w:val="2"/>
          </w:tcPr>
          <w:p>
            <w:pPr>
              <w:jc w:val="center"/>
              <w:ind w:right="1999"/>
              <w:spacing w:after="0" w:line="149" w:lineRule="exact"/>
              <w:rPr>
                <w:sz w:val="20"/>
                <w:szCs w:val="20"/>
                <w:color w:val="auto"/>
              </w:rPr>
            </w:pPr>
            <w:r>
              <w:rPr>
                <w:rFonts w:ascii="Arial" w:cs="Arial" w:eastAsia="Arial" w:hAnsi="Arial"/>
                <w:sz w:val="14"/>
                <w:szCs w:val="14"/>
                <w:i w:val="1"/>
                <w:iCs w:val="1"/>
                <w:color w:val="auto"/>
                <w:w w:val="88"/>
              </w:rPr>
              <w:t>(State or Other Jurisdiction of</w:t>
            </w:r>
          </w:p>
        </w:tc>
        <w:tc>
          <w:tcPr>
            <w:tcW w:w="1720" w:type="dxa"/>
            <w:vAlign w:val="bottom"/>
            <w:gridSpan w:val="2"/>
          </w:tcPr>
          <w:p>
            <w:pPr>
              <w:jc w:val="center"/>
              <w:ind w:left="702"/>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2"/>
        </w:trPr>
        <w:tc>
          <w:tcPr>
            <w:tcW w:w="6940" w:type="dxa"/>
            <w:vAlign w:val="bottom"/>
            <w:gridSpan w:val="2"/>
          </w:tcPr>
          <w:p>
            <w:pPr>
              <w:jc w:val="center"/>
              <w:ind w:right="1999"/>
              <w:spacing w:after="0"/>
              <w:rPr>
                <w:sz w:val="20"/>
                <w:szCs w:val="20"/>
                <w:color w:val="auto"/>
              </w:rPr>
            </w:pPr>
            <w:r>
              <w:rPr>
                <w:rFonts w:ascii="Arial" w:cs="Arial" w:eastAsia="Arial" w:hAnsi="Arial"/>
                <w:sz w:val="14"/>
                <w:szCs w:val="14"/>
                <w:i w:val="1"/>
                <w:iCs w:val="1"/>
                <w:color w:val="auto"/>
                <w:w w:val="91"/>
              </w:rPr>
              <w:t>Incorporation or Organization)</w:t>
            </w:r>
          </w:p>
        </w:tc>
        <w:tc>
          <w:tcPr>
            <w:tcW w:w="2000" w:type="dxa"/>
            <w:vAlign w:val="bottom"/>
            <w:gridSpan w:val="3"/>
          </w:tcPr>
          <w:p>
            <w:pPr>
              <w:jc w:val="center"/>
              <w:ind w:left="442"/>
              <w:spacing w:after="0"/>
              <w:rPr>
                <w:sz w:val="20"/>
                <w:szCs w:val="20"/>
                <w:color w:val="auto"/>
              </w:rPr>
            </w:pPr>
            <w:r>
              <w:rPr>
                <w:rFonts w:ascii="Arial" w:cs="Arial" w:eastAsia="Arial" w:hAnsi="Arial"/>
                <w:sz w:val="14"/>
                <w:szCs w:val="14"/>
                <w:i w:val="1"/>
                <w:iCs w:val="1"/>
                <w:color w:val="auto"/>
                <w:w w:val="91"/>
              </w:rPr>
              <w:t>Identification No.)</w:t>
            </w:r>
          </w:p>
        </w:tc>
        <w:tc>
          <w:tcPr>
            <w:tcW w:w="600" w:type="dxa"/>
            <w:vAlign w:val="bottom"/>
          </w:tcPr>
          <w:p>
            <w:pPr>
              <w:spacing w:after="0"/>
              <w:rPr>
                <w:sz w:val="14"/>
                <w:szCs w:val="14"/>
                <w:color w:val="auto"/>
              </w:rPr>
            </w:pPr>
          </w:p>
        </w:tc>
      </w:tr>
      <w:tr>
        <w:trPr>
          <w:trHeight w:val="287"/>
        </w:trPr>
        <w:tc>
          <w:tcPr>
            <w:tcW w:w="8300" w:type="dxa"/>
            <w:vAlign w:val="bottom"/>
            <w:gridSpan w:val="3"/>
          </w:tcPr>
          <w:p>
            <w:pPr>
              <w:jc w:val="center"/>
              <w:ind w:left="2105"/>
              <w:spacing w:after="0"/>
              <w:rPr>
                <w:sz w:val="20"/>
                <w:szCs w:val="20"/>
                <w:color w:val="auto"/>
              </w:rPr>
            </w:pPr>
            <w:r>
              <w:rPr>
                <w:rFonts w:ascii="Arial" w:cs="Arial" w:eastAsia="Arial" w:hAnsi="Arial"/>
                <w:sz w:val="18"/>
                <w:szCs w:val="18"/>
                <w:b w:val="1"/>
                <w:bCs w:val="1"/>
                <w:color w:val="auto"/>
                <w:w w:val="88"/>
              </w:rPr>
              <w:t>333 South Seventh Street, Suite 1000, Minneapolis, MN 55402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2"/>
        </w:trPr>
        <w:tc>
          <w:tcPr>
            <w:tcW w:w="3080" w:type="dxa"/>
            <w:vAlign w:val="bottom"/>
          </w:tcPr>
          <w:p>
            <w:pPr>
              <w:spacing w:after="0"/>
              <w:rPr>
                <w:sz w:val="14"/>
                <w:szCs w:val="14"/>
                <w:color w:val="auto"/>
              </w:rPr>
            </w:pPr>
          </w:p>
        </w:tc>
        <w:tc>
          <w:tcPr>
            <w:tcW w:w="3860" w:type="dxa"/>
            <w:vAlign w:val="bottom"/>
          </w:tcPr>
          <w:p>
            <w:pPr>
              <w:jc w:val="center"/>
              <w:ind w:left="399"/>
              <w:spacing w:after="0"/>
              <w:rPr>
                <w:sz w:val="20"/>
                <w:szCs w:val="20"/>
                <w:color w:val="auto"/>
              </w:rPr>
            </w:pPr>
            <w:r>
              <w:rPr>
                <w:rFonts w:ascii="Arial" w:cs="Arial" w:eastAsia="Arial" w:hAnsi="Arial"/>
                <w:sz w:val="14"/>
                <w:szCs w:val="14"/>
                <w:i w:val="1"/>
                <w:iCs w:val="1"/>
                <w:color w:val="auto"/>
                <w:w w:val="89"/>
              </w:rPr>
              <w:t>(Address of Principal Executive Offices, Including Zip Code)</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73"/>
        </w:trPr>
        <w:tc>
          <w:tcPr>
            <w:tcW w:w="3080" w:type="dxa"/>
            <w:vAlign w:val="bottom"/>
          </w:tcPr>
          <w:p>
            <w:pPr>
              <w:spacing w:after="0"/>
              <w:rPr>
                <w:sz w:val="23"/>
                <w:szCs w:val="23"/>
                <w:color w:val="auto"/>
              </w:rPr>
            </w:pPr>
          </w:p>
        </w:tc>
        <w:tc>
          <w:tcPr>
            <w:tcW w:w="3860" w:type="dxa"/>
            <w:vAlign w:val="bottom"/>
          </w:tcPr>
          <w:p>
            <w:pPr>
              <w:jc w:val="center"/>
              <w:ind w:left="399"/>
              <w:spacing w:after="0"/>
              <w:rPr>
                <w:sz w:val="20"/>
                <w:szCs w:val="20"/>
                <w:color w:val="auto"/>
              </w:rPr>
            </w:pPr>
            <w:r>
              <w:rPr>
                <w:rFonts w:ascii="Arial" w:cs="Arial" w:eastAsia="Arial" w:hAnsi="Arial"/>
                <w:sz w:val="18"/>
                <w:szCs w:val="18"/>
                <w:b w:val="1"/>
                <w:bCs w:val="1"/>
                <w:color w:val="auto"/>
                <w:w w:val="89"/>
              </w:rPr>
              <w:t>(612) 435-9400</w:t>
            </w: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72"/>
        </w:trPr>
        <w:tc>
          <w:tcPr>
            <w:tcW w:w="3080" w:type="dxa"/>
            <w:vAlign w:val="bottom"/>
          </w:tcPr>
          <w:p>
            <w:pPr>
              <w:spacing w:after="0"/>
              <w:rPr>
                <w:sz w:val="14"/>
                <w:szCs w:val="14"/>
                <w:color w:val="auto"/>
              </w:rPr>
            </w:pPr>
          </w:p>
        </w:tc>
        <w:tc>
          <w:tcPr>
            <w:tcW w:w="3860" w:type="dxa"/>
            <w:vAlign w:val="bottom"/>
          </w:tcPr>
          <w:p>
            <w:pPr>
              <w:jc w:val="center"/>
              <w:ind w:left="419"/>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82"/>
        </w:trPr>
        <w:tc>
          <w:tcPr>
            <w:tcW w:w="3080" w:type="dxa"/>
            <w:vAlign w:val="bottom"/>
          </w:tcPr>
          <w:p>
            <w:pPr>
              <w:spacing w:after="0"/>
              <w:rPr>
                <w:sz w:val="24"/>
                <w:szCs w:val="24"/>
                <w:color w:val="auto"/>
              </w:rPr>
            </w:pPr>
          </w:p>
        </w:tc>
        <w:tc>
          <w:tcPr>
            <w:tcW w:w="5220" w:type="dxa"/>
            <w:vAlign w:val="bottom"/>
            <w:gridSpan w:val="2"/>
          </w:tcPr>
          <w:p>
            <w:pPr>
              <w:jc w:val="center"/>
              <w:ind w:right="80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1"/>
        </w:trPr>
        <w:tc>
          <w:tcPr>
            <w:tcW w:w="30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color w:val="auto"/>
                <w:w w:val="90"/>
              </w:rPr>
              <w:t>The Nasdaq Stock Market LLC</w:t>
            </w:r>
          </w:p>
        </w:tc>
      </w:tr>
      <w:tr>
        <w:trPr>
          <w:trHeight w:val="227"/>
        </w:trPr>
        <w:tc>
          <w:tcPr>
            <w:tcW w:w="6940" w:type="dxa"/>
            <w:vAlign w:val="bottom"/>
            <w:gridSpan w:val="2"/>
          </w:tcPr>
          <w:p>
            <w:pPr>
              <w:jc w:val="center"/>
              <w:ind w:right="1939"/>
              <w:spacing w:after="0"/>
              <w:rPr>
                <w:sz w:val="20"/>
                <w:szCs w:val="20"/>
                <w:color w:val="auto"/>
              </w:rPr>
            </w:pPr>
            <w:r>
              <w:rPr>
                <w:rFonts w:ascii="Arial" w:cs="Arial" w:eastAsia="Arial" w:hAnsi="Arial"/>
                <w:sz w:val="18"/>
                <w:szCs w:val="18"/>
                <w:color w:val="auto"/>
                <w:w w:val="86"/>
              </w:rPr>
              <w:t>Common stock, par value $0.001 per share</w:t>
            </w:r>
          </w:p>
        </w:tc>
        <w:tc>
          <w:tcPr>
            <w:tcW w:w="2600" w:type="dxa"/>
            <w:vAlign w:val="bottom"/>
            <w:gridSpan w:val="4"/>
          </w:tcPr>
          <w:p>
            <w:pPr>
              <w:jc w:val="center"/>
              <w:spacing w:after="0"/>
              <w:rPr>
                <w:sz w:val="20"/>
                <w:szCs w:val="20"/>
                <w:color w:val="auto"/>
              </w:rPr>
            </w:pPr>
            <w:r>
              <w:rPr>
                <w:rFonts w:ascii="Arial" w:cs="Arial" w:eastAsia="Arial" w:hAnsi="Arial"/>
                <w:sz w:val="18"/>
                <w:szCs w:val="18"/>
                <w:color w:val="auto"/>
                <w:w w:val="90"/>
              </w:rPr>
              <w:t>(Nasdaq Global Market)</w:t>
            </w:r>
          </w:p>
        </w:tc>
      </w:tr>
      <w:tr>
        <w:trPr>
          <w:trHeight w:val="172"/>
        </w:trPr>
        <w:tc>
          <w:tcPr>
            <w:tcW w:w="3080" w:type="dxa"/>
            <w:vAlign w:val="bottom"/>
          </w:tcPr>
          <w:p>
            <w:pPr>
              <w:jc w:val="center"/>
              <w:ind w:left="1725"/>
              <w:spacing w:after="0"/>
              <w:rPr>
                <w:sz w:val="20"/>
                <w:szCs w:val="20"/>
                <w:color w:val="auto"/>
              </w:rPr>
            </w:pPr>
            <w:r>
              <w:rPr>
                <w:rFonts w:ascii="Arial" w:cs="Arial" w:eastAsia="Arial" w:hAnsi="Arial"/>
                <w:sz w:val="14"/>
                <w:szCs w:val="14"/>
                <w:i w:val="1"/>
                <w:iCs w:val="1"/>
                <w:color w:val="auto"/>
                <w:w w:val="87"/>
              </w:rPr>
              <w:t>(Title of each class)</w:t>
            </w:r>
          </w:p>
        </w:tc>
        <w:tc>
          <w:tcPr>
            <w:tcW w:w="386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i w:val="1"/>
                <w:iCs w:val="1"/>
                <w:color w:val="auto"/>
                <w:w w:val="86"/>
              </w:rPr>
              <w:t>(Name of each exchange on which registered)</w:t>
            </w:r>
          </w:p>
        </w:tc>
      </w:tr>
      <w:tr>
        <w:trPr>
          <w:trHeight w:val="270"/>
        </w:trPr>
        <w:tc>
          <w:tcPr>
            <w:tcW w:w="3080" w:type="dxa"/>
            <w:vAlign w:val="bottom"/>
          </w:tcPr>
          <w:p>
            <w:pPr>
              <w:spacing w:after="0"/>
              <w:rPr>
                <w:sz w:val="23"/>
                <w:szCs w:val="23"/>
                <w:color w:val="auto"/>
              </w:rPr>
            </w:pPr>
          </w:p>
        </w:tc>
        <w:tc>
          <w:tcPr>
            <w:tcW w:w="5220" w:type="dxa"/>
            <w:vAlign w:val="bottom"/>
            <w:gridSpan w:val="2"/>
          </w:tcPr>
          <w:p>
            <w:pPr>
              <w:jc w:val="center"/>
              <w:ind w:right="78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28"/>
        </w:trPr>
        <w:tc>
          <w:tcPr>
            <w:tcW w:w="3080" w:type="dxa"/>
            <w:vAlign w:val="bottom"/>
          </w:tcPr>
          <w:p>
            <w:pPr>
              <w:spacing w:after="0"/>
              <w:rPr>
                <w:sz w:val="19"/>
                <w:szCs w:val="19"/>
                <w:color w:val="auto"/>
              </w:rPr>
            </w:pPr>
          </w:p>
        </w:tc>
        <w:tc>
          <w:tcPr>
            <w:tcW w:w="3860" w:type="dxa"/>
            <w:vAlign w:val="bottom"/>
          </w:tcPr>
          <w:p>
            <w:pPr>
              <w:jc w:val="center"/>
              <w:ind w:left="399"/>
              <w:spacing w:after="0"/>
              <w:rPr>
                <w:sz w:val="20"/>
                <w:szCs w:val="20"/>
                <w:color w:val="auto"/>
              </w:rPr>
            </w:pPr>
            <w:r>
              <w:rPr>
                <w:rFonts w:ascii="Arial" w:cs="Arial" w:eastAsia="Arial" w:hAnsi="Arial"/>
                <w:sz w:val="18"/>
                <w:szCs w:val="18"/>
                <w:b w:val="1"/>
                <w:bCs w:val="1"/>
                <w:color w:val="auto"/>
                <w:w w:val="84"/>
              </w:rPr>
              <w:t>None</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7"/>
        </w:trPr>
        <w:tc>
          <w:tcPr>
            <w:tcW w:w="8300" w:type="dxa"/>
            <w:vAlign w:val="bottom"/>
            <w:gridSpan w:val="3"/>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60" w:type="dxa"/>
            <w:vAlign w:val="bottom"/>
          </w:tcPr>
          <w:p>
            <w:pPr>
              <w:ind w:left="10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297"/>
        </w:trPr>
        <w:tc>
          <w:tcPr>
            <w:tcW w:w="8300" w:type="dxa"/>
            <w:vAlign w:val="bottom"/>
            <w:gridSpan w:val="3"/>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No</w:t>
            </w:r>
          </w:p>
        </w:tc>
        <w:tc>
          <w:tcPr>
            <w:tcW w:w="6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5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60"/>
        <w:spacing w:after="0" w:line="18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53" w:lineRule="exact"/>
        <w:rPr>
          <w:sz w:val="24"/>
          <w:szCs w:val="24"/>
          <w:color w:val="auto"/>
        </w:rPr>
      </w:pPr>
    </w:p>
    <w:p>
      <w:pPr>
        <w:sectPr>
          <w:pgSz w:w="11900" w:h="16838" w:orient="portrait"/>
          <w:cols w:equalWidth="0" w:num="7">
            <w:col w:w="1660" w:space="80"/>
            <w:col w:w="1340" w:space="720"/>
            <w:col w:w="1220" w:space="80"/>
            <w:col w:w="160" w:space="440"/>
            <w:col w:w="3260" w:space="200"/>
            <w:col w:w="2020" w:space="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8440" w:space="160"/>
            <w:col w:w="260" w:space="80"/>
            <w:col w:w="160" w:space="180"/>
            <w:col w:w="2140"/>
          </w:cols>
          <w:pgMar w:left="240" w:top="230" w:right="239" w:bottom="1440" w:gutter="0" w:footer="0" w:header="0"/>
          <w:type w:val="continuous"/>
        </w:sectPr>
      </w:pPr>
    </w:p>
    <w:p>
      <w:pPr>
        <w:jc w:val="both"/>
        <w:ind w:right="340" w:firstLine="456"/>
        <w:spacing w:after="0" w:line="259" w:lineRule="auto"/>
        <w:rPr>
          <w:sz w:val="20"/>
          <w:szCs w:val="20"/>
          <w:color w:val="auto"/>
        </w:rPr>
      </w:pPr>
      <w:r>
        <w:rPr>
          <w:rFonts w:ascii="Arial" w:cs="Arial" w:eastAsia="Arial" w:hAnsi="Arial"/>
          <w:sz w:val="18"/>
          <w:szCs w:val="18"/>
          <w:color w:val="auto"/>
        </w:rPr>
        <w:t>As of June 30, 2013, the last business day of the registrant’s most recently completed second fiscal quarter, the aggregate market value of shares of the registrant’s common stock held by non-affiliates of the registrant (based upon the closing sale price of $55.00 per share on the Nasdaq Global Market on such date) was approximately $827.4 million.</w:t>
      </w:r>
    </w:p>
    <w:p>
      <w:pPr>
        <w:spacing w:after="0" w:line="5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par value $0.001 per share, outstanding as of February 5, 2014 was 16,136,234 shares.</w:t>
      </w:r>
    </w:p>
    <w:p>
      <w:pPr>
        <w:spacing w:after="0" w:line="10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Portions of the Company’s definitive Proxy Statement for the Annual Meeting of Stockholders to be held on May 15, 2014 (the “2014 Proxy Statement”), which is expected to be filed within 120 days after the end of the fiscal year covered by this Annual Report on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6"/>
              </w:rPr>
              <w:t>SPS COMMERCE,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8"/>
          </w:tcPr>
          <w:p>
            <w:pPr>
              <w:jc w:val="center"/>
              <w:ind w:right="388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40" w:type="dxa"/>
            <w:vAlign w:val="bottom"/>
            <w:gridSpan w:val="7"/>
          </w:tcPr>
          <w:p>
            <w:pPr>
              <w:jc w:val="center"/>
              <w:ind w:right="460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vMerge w:val="restart"/>
          </w:tcPr>
          <w:p>
            <w:pPr>
              <w:jc w:val="center"/>
              <w:ind w:right="4960"/>
              <w:spacing w:after="0"/>
              <w:rPr>
                <w:sz w:val="20"/>
                <w:szCs w:val="20"/>
                <w:color w:val="auto"/>
              </w:rPr>
            </w:pPr>
            <w:r>
              <w:rPr>
                <w:rFonts w:ascii="Arial" w:cs="Arial" w:eastAsia="Arial" w:hAnsi="Arial"/>
                <w:sz w:val="18"/>
                <w:szCs w:val="18"/>
                <w:b w:val="1"/>
                <w:bCs w:val="1"/>
                <w:color w:val="auto"/>
                <w:w w:val="98"/>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78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84"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400" w:type="dxa"/>
            <w:vAlign w:val="bottom"/>
            <w:gridSpan w:val="18"/>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9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04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80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4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4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8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10040" w:type="dxa"/>
            <w:vAlign w:val="bottom"/>
            <w:gridSpan w:val="20"/>
          </w:tcPr>
          <w:p>
            <w:pPr>
              <w:spacing w:after="0" w:line="184" w:lineRule="exact"/>
              <w:rPr>
                <w:rFonts w:ascii="Arial" w:cs="Arial" w:eastAsia="Arial" w:hAnsi="Arial"/>
                <w:sz w:val="18"/>
                <w:szCs w:val="18"/>
                <w:color w:val="0000EE"/>
              </w:rPr>
            </w:pPr>
            <w:hyperlink w:anchor="page24">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04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7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Financial Statements and Supplementary Data</w:t>
              </w:r>
            </w:hyperlink>
          </w:p>
        </w:tc>
        <w:tc>
          <w:tcPr>
            <w:tcW w:w="67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Changes in and Disagreements With Accountants on Accounting and Financial Disclosure</w:t>
              </w:r>
            </w:hyperlink>
          </w:p>
        </w:tc>
        <w:tc>
          <w:tcPr>
            <w:tcW w:w="36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68">
              <w:r>
                <w:rPr>
                  <w:rFonts w:ascii="Arial" w:cs="Arial" w:eastAsia="Arial" w:hAnsi="Arial"/>
                  <w:sz w:val="18"/>
                  <w:szCs w:val="18"/>
                  <w:color w:val="0000EE"/>
                  <w:w w:val="86"/>
                </w:rPr>
                <w:t>Controls and Procedures</w:t>
              </w:r>
            </w:hyperlink>
          </w:p>
        </w:tc>
        <w:tc>
          <w:tcPr>
            <w:tcW w:w="83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04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6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10040" w:type="dxa"/>
            <w:vAlign w:val="bottom"/>
            <w:gridSpan w:val="20"/>
          </w:tcPr>
          <w:p>
            <w:pPr>
              <w:spacing w:after="0" w:line="184" w:lineRule="exact"/>
              <w:rPr>
                <w:rFonts w:ascii="Arial" w:cs="Arial" w:eastAsia="Arial" w:hAnsi="Arial"/>
                <w:sz w:val="18"/>
                <w:szCs w:val="18"/>
                <w:color w:val="0000EE"/>
              </w:rPr>
            </w:pPr>
            <w:hyperlink w:anchor="page69">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60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04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Principal Accounting Fees and Services</w:t>
              </w:r>
            </w:hyperlink>
          </w:p>
        </w:tc>
        <w:tc>
          <w:tcPr>
            <w:tcW w:w="47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6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1"/>
          </w:tcPr>
          <w:p>
            <w:pPr>
              <w:spacing w:after="0" w:line="184"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Exhibits, Financial Statement Schedules</w:t>
              </w:r>
            </w:hyperlink>
          </w:p>
        </w:tc>
        <w:tc>
          <w:tcPr>
            <w:tcW w:w="7200" w:type="dxa"/>
            <w:vAlign w:val="bottom"/>
            <w:gridSpan w:val="9"/>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71">
              <w:r>
                <w:rPr>
                  <w:rFonts w:ascii="Arial" w:cs="Arial" w:eastAsia="Arial" w:hAnsi="Arial"/>
                  <w:sz w:val="18"/>
                  <w:szCs w:val="18"/>
                  <w:b w:val="1"/>
                  <w:bCs w:val="1"/>
                  <w:color w:val="0000EE"/>
                  <w:w w:val="94"/>
                </w:rPr>
                <w:t>SIGNATURES</w:t>
              </w:r>
            </w:hyperlink>
          </w:p>
        </w:tc>
        <w:tc>
          <w:tcPr>
            <w:tcW w:w="99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This Annual Report on Form 10-K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this Annual Report on Form 10-K. Readers are cautioned not to place undue reliance on these forward-looking statements, which speak only as of the date of this report.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that advise interested parties of the risks and factors that may affect our business.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leading provider of cloud-based supply chain management solutions, providing prewired, proven integrations and comprehensive retail performance analytics to thousands of customers worldwide. We provide our solutions through the SPS Commerce platform, a cloud-based services suite that improves the way suppliers, retailers, distributors and other customers place, manage and fulfill orders. Implementing and maintaining supply chain management capabilities is resource intensive and not a core competency for most businesses. The SPS Commerce platform eliminates the need for on-premise software and support staff, which enables our supplier customers to focus their resources on their core business. The SPS Commerce platform enables retailers and suppliers to shorten supply cycle times, optimize inventory levels and sell-through, reduce costs and ensure suppliers satisfy exacting retailer requirements. As of December 31, 2013, we had approximately 19,700 customers with contracts to pay us monthly fees, which we refer to as recurring revenue customers. We have also generated revenues by providing our cloud-based supply chain management solutions to an additional 35,000 organizations that, together with our recurring revenue customers, we refer to as our customers. Once connected to our platform, our customers often require integrations to new organizations that represent an expansion of our platform and new sources of revenues for us.</w:t>
      </w:r>
    </w:p>
    <w:p>
      <w:pPr>
        <w:spacing w:after="0" w:line="12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a provider of cloud services, we enable our customers to easily interact with their trading partners around the world without the local implementation and servicing of software that traditional on-premise solutions require. Our delivery model also enables us to offer functionality, integration, analytics and reliability with less cost and risk than traditional solutions.</w:t>
      </w:r>
    </w:p>
    <w:p>
      <w:pPr>
        <w:spacing w:after="0" w:line="14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For 2013, 2012 and 2011, we generated revenues of $104.4 million, $77.1 million and $58.0 million, respectively. Our fiscal quarter ended December 31, 2013 represented our 52</w:t>
      </w:r>
      <w:r>
        <w:rPr>
          <w:rFonts w:ascii="Arial" w:cs="Arial" w:eastAsia="Arial" w:hAnsi="Arial"/>
          <w:sz w:val="11"/>
          <w:szCs w:val="11"/>
          <w:color w:val="auto"/>
        </w:rPr>
        <w:t>nd</w:t>
      </w:r>
      <w:r>
        <w:rPr>
          <w:rFonts w:ascii="Arial" w:cs="Arial" w:eastAsia="Arial" w:hAnsi="Arial"/>
          <w:sz w:val="18"/>
          <w:szCs w:val="18"/>
          <w:color w:val="auto"/>
        </w:rPr>
        <w:t xml:space="preserve"> consecutive quarter of increased revenues. Recurring revenues from recurring revenue customers accounted for 89%, 88% and 85% of our total revenues for 2013, 2012 and 2011, respectively. Our revenues are not concentrated with any customer, as our largest customer represented 2% or less of total revenues for 2013, 2012 and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Today’s Retail Landscape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One of the driving factors in the retail industry today is the rising influence of e-commerce and the digital shopping experience. The retail industry is in the midst of a transformation, as retailers, suppliers and the many companies that facilitate transactions in the industry reshape how they do business and adapt to omni-channel retailing.</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Supply Chain Management Industry Background</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supply chain management industry enables thousands of retailers around the world to transact and grow their relationships with tens of thousands of suppliers. Additional participants in this market include distributors, third-party logistics providers, manufacturers, fulfillment and warehousing providers and sourcing companies. Supply chain management involves communicating data about the goods themselves, data related to the exchange of goods among these trading partners, and information about the many thousands of companies who are members of the supply chain community. At every stage of the supply chain there are inefficient, labor-intensive processes between trading partners with significant documentation requirements, such as the counting, sorting and verifying of goods before shipment, while in transit and upon delivery. Supply chain management solutions must address trading partners’ needs for integration, collaboration, connectivity, visibility and data analytics to improve the speed, accuracy and efficiency with which goods are ordered and supplied.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industry initially focused on automating and streamlining the transaction processes between retailers and suppliers, and others in the supply chain, ensuring orders were placed accurately and quickly, and that goods were delivered on time and meeting the retailer’s requirements. As the pace of change in retailing has accelerated with the emergence of e-commerce, today’s supply chain solutions need to also encompass a growing set of valuable capabilities that draw on this foundational transaction information, and add value beyond the supply chain management function within retailers and suppliers. In today’s rapidly changing omni-channel retail market, where retailers and suppliers are increasingly focused on electronic commerce and brick-and-mortar commerce as a continuum, supply chain information has a role across the entire enterprise. Demand planning and forecasting groups need visibility from the front of the store all the way back to the factory to ensure supply meets demand. Sourcing operations require access to thousands of new items to drive their e-commerce growth and ensure physical stores have the items consumers will find compelling and engaging.</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familiarity and acceptance of cloud-based services continues to accelerate, we believe companies, both large and small, will continue to turn to cloud-based services similar to ours for their supply chain integration needs, as opposed to traditional on-premise software deployment.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Omni-Channel Foundation — Transaction Automation Between Retailers and Suppliers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Retailers impose specific work-flow rules and standards on their trading partners for electronically communicating their supply chain information. These “rule books” include specific business processes for suppliers to exchange data and documentation requirements such as invoices, purchase orders and advance shipping notices. Rule books can be hundreds of pages, and retailers frequently have multiple rule books for international requirements or specific fulfillment models. Suppliers working with multiple retailers need to accommodate different rule books for each retailer. These rule books are not standardized between retailers, but vary based on a retailer’s size, industry and technological capabilities. The responsibility for creating information “maps,” which are integration connections between the retailer and the supplier that comply with the retailer’s rule books, resides primarily with the supplier. The cost of noncompliance can be refusal of delivered goods, fines and ultimately a termination of the supplier’s relationship with the retailer. The complexity of retailers’ requirements and consequences of noncompliance create growing demand for specialized supply chain management automation solutions.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Traditional Supply Chain Management Solutions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Traditional supply chain management solutions, which range from non-automated paper or fax solutions to electronic solutions, implemented using on-premise licensed software, tend to focus primarily on transaction automation. On-premise licensed software provides connectivity between only one organization and its trading partners and typically requires significant time and technical expertise to configure, deploy and maintain. These software providers primarily link retailers and suppliers through the Electronic Data Interchange (EDI) protocol that enables the structured electronic transmission of data between organizations. Because of set-up and maintenance costs, technical complexity and a growing volume of requirements from retailers, the traditional software model is not well suited for many suppliers, especially those small and medium in size.</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Additionally, the traditional approach to supply chain automation involves a system architecture made up of many point-to-point connections between retailers and their suppliers. These collections of connections are inherently error prone and can be difficult to adapt to changing requirements and market circumstances. For instance, if there is a broad trend in the market (such as the growing popularity of mobile commerce) that many members of a retailing segment would like to adapt to, a supplier would be faced with a series of enhancements, on a one-by-one basis, to the collection of connections they have with their retailers. Traditional approaches do not have the inherent, or architectural, capabilities to enable the flexibility and adaptability to embrace the ongoing change that omni-channel retailing requires.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Moving Beyond Transactions — Insight and Data Analysis Powering Intelligent Decision Making</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Transaction automation is a first step toward addressing the complexities in the supply chain ecosystem, but is only the necessary first step in providing omni-channel retail success. As the number and geographic dispersion of trading partners has grown, it has never been more important for retailers and suppliers to have precise, timely insight into demand and supply, by item and by location. As a result, trading partners need a solution that effectively consolidates, distills and provides sell-through information to managers and decision-makers who can use the information to drive efficiency, revenue growth and profitability. The abundance of data produced by these processes, including data for fulfillment, sales and inventory levels, is often inaccessible to trading partners for analysis. The data and related analytics are essential for optimizing the inventory and fulfillment process and will continue to drive demand for supply chain management solutions.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Cloud Services Provide Flexibility, Adaptability and a Key Source of Information Across the Supply Chain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Cloud services are well suited for providing supply chain management solutions because they inherently enable rapid provisioning of capabilities and offer robust and reliable integration with retailer and supplier systems. Cloud services are able to continue utilizing standard connectivity protocols, such as EDI, but also are able to support the growing use of standard internet protocols that retailers require, such as XML, in addition to enabling API-based integration. These cloud services connect suppliers and retailers more efficiently than traditional on-premise software solutions by leveraging the integrations created for a single supplier across all participating suppliers.</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Cloud services enable an organization to connect across the supply chain ecosystem, addressing increased retailer demands, globalization and increased complexity affecting the supply chain. In addition, cloud services can integrate supply chain management applications with organizations’ existing enterprise resource planning systems.</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Cloud services and API-based service integration provide retailers and suppliers with access to new and powerful capabilities quickly, often integrated with analytics to enable rapid service innovation and responsiveness as the retailing landscape continues to respond to omni-channel advancements.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operate one of the largest trading partner integration networks through a cloud-based services suite that improves the way suppliers, retailers, distributors and other trading partners manage and fulfill orders, manage sell-through performance and source new items. More than 55,000 customers across more than 50 countries have used our platform to improve the performance of their trading relationships. Our platform fundamentally changes how organizations use electronic communication to manage their supply chains by replacing the collection of traditional, custom-built, point-to-point integrations with a “hub-and-spoke” model whereby a single integration to our platform enables an organization to connect seamlessly to the entire SPS Commerce network of trading partners.</w:t>
      </w:r>
    </w:p>
    <w:p>
      <w:pPr>
        <w:spacing w:after="0" w:line="14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From that single connection, a member of our network can make use of the full suite of our solutions, from transaction automation, to the analysis and optimization of item sell-through performance, to sourcing new items, new retailing relationships or providers of logistics and other services. This represents a fundamental change to transaction automation and enables inherent adaptability and flexibility not possible with traditional supply chain management system architectures.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platform is comprised of a set of coupled cloud services that deliver value as stand-alone offerings, but also provide complementary value when used collectively. Our transaction service combines integrations that comply with numerous rule books for retailers and distributors with whom we and our customers have done business. By maintaining current integrations with retailers, our platform obviates the need for suppliers to continually stay up-to-date with the rule book changes required by retailers. Moreover, by leveraging a cloud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services model, we eliminate or greatly reduce the burden on suppliers to support and maintain an on-premise software application, thereby reducing ongoing operating costs. As the transaction hub for trading partners, we also are able to provide increased performance visibility and data analytics capabilities for retailers and suppliers across their supply chains, each of which is difficult to gain from traditional, point-to-point integration solutions.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solutions are enabled through the SPS Commerce cloud services platform:</w:t>
      </w:r>
    </w:p>
    <w:p>
      <w:pPr>
        <w:spacing w:after="0" w:line="90" w:lineRule="exact"/>
        <w:rPr>
          <w:sz w:val="20"/>
          <w:szCs w:val="20"/>
          <w:color w:val="auto"/>
        </w:rPr>
      </w:pPr>
    </w:p>
    <w:p>
      <w:pPr>
        <w:ind w:left="660" w:right="12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Integration. </w:t>
      </w:r>
      <w:r>
        <w:rPr>
          <w:rFonts w:ascii="Arial" w:cs="Arial" w:eastAsia="Arial" w:hAnsi="Arial"/>
          <w:sz w:val="18"/>
          <w:szCs w:val="18"/>
          <w:color w:val="auto"/>
        </w:rPr>
        <w:t>Our Trading Partner Integration solution provides transaction automation and replaces or augments an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trading partner electronic communication infrastructure, enabling suppliers to comply with retailers’ rule books and allowing for the electronic exchange of information among numerous trading partners through various protocols.</w:t>
      </w:r>
    </w:p>
    <w:p>
      <w:pPr>
        <w:spacing w:after="0" w:line="59" w:lineRule="exact"/>
        <w:rPr>
          <w:rFonts w:ascii="Arial" w:cs="Arial" w:eastAsia="Arial" w:hAnsi="Arial"/>
          <w:sz w:val="18"/>
          <w:szCs w:val="18"/>
          <w:color w:val="auto"/>
        </w:rPr>
      </w:pPr>
    </w:p>
    <w:p>
      <w:pPr>
        <w:ind w:left="660" w:right="300" w:hanging="206"/>
        <w:spacing w:after="0" w:line="33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Trading Partner Enablement. </w:t>
      </w:r>
      <w:r>
        <w:rPr>
          <w:rFonts w:ascii="Arial" w:cs="Arial" w:eastAsia="Arial" w:hAnsi="Arial"/>
          <w:sz w:val="16"/>
          <w:szCs w:val="16"/>
          <w:color w:val="auto"/>
        </w:rPr>
        <w:t>Our Trading Partner Enablement solution helps organizations, from large to small retailers and suppliers to emerging</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of value added products and services, to establish trading partner relationships with new trading partners to expand their businesses.</w:t>
      </w:r>
    </w:p>
    <w:p>
      <w:pPr>
        <w:spacing w:after="0" w:line="4" w:lineRule="exact"/>
        <w:rPr>
          <w:rFonts w:ascii="Arial" w:cs="Arial" w:eastAsia="Arial" w:hAnsi="Arial"/>
          <w:sz w:val="16"/>
          <w:szCs w:val="16"/>
          <w:color w:val="auto"/>
        </w:rPr>
      </w:pPr>
    </w:p>
    <w:p>
      <w:pPr>
        <w:ind w:left="660" w:right="60" w:hanging="206"/>
        <w:spacing w:after="0" w:line="30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Trading Partner Intelligence. </w:t>
      </w:r>
      <w:r>
        <w:rPr>
          <w:rFonts w:ascii="Arial" w:cs="Arial" w:eastAsia="Arial" w:hAnsi="Arial"/>
          <w:sz w:val="16"/>
          <w:szCs w:val="16"/>
          <w:color w:val="auto"/>
        </w:rPr>
        <w:t>Our Trading Partner Intelligence solution consists of data analytics applications that enable our customers to improve</w:t>
      </w:r>
      <w:r>
        <w:rPr>
          <w:rFonts w:ascii="Arial" w:cs="Arial" w:eastAsia="Arial" w:hAnsi="Arial"/>
          <w:sz w:val="16"/>
          <w:szCs w:val="16"/>
          <w:i w:val="1"/>
          <w:iCs w:val="1"/>
          <w:color w:val="auto"/>
        </w:rPr>
        <w:t xml:space="preserve"> </w:t>
      </w:r>
      <w:r>
        <w:rPr>
          <w:rFonts w:ascii="Arial" w:cs="Arial" w:eastAsia="Arial" w:hAnsi="Arial"/>
          <w:sz w:val="16"/>
          <w:szCs w:val="16"/>
          <w:color w:val="auto"/>
        </w:rPr>
        <w:t>their visibility across, and analysis of, 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25" w:lineRule="exact"/>
        <w:rPr>
          <w:rFonts w:ascii="Arial" w:cs="Arial" w:eastAsia="Arial" w:hAnsi="Arial"/>
          <w:sz w:val="16"/>
          <w:szCs w:val="16"/>
          <w:color w:val="auto"/>
        </w:rPr>
      </w:pPr>
    </w:p>
    <w:p>
      <w:pPr>
        <w:ind w:left="660" w:right="60" w:hanging="206"/>
        <w:spacing w:after="0" w:line="33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Trading Partner Community</w:t>
      </w:r>
      <w:r>
        <w:rPr>
          <w:rFonts w:ascii="Arial" w:cs="Arial" w:eastAsia="Arial" w:hAnsi="Arial"/>
          <w:sz w:val="16"/>
          <w:szCs w:val="16"/>
          <w:color w:val="auto"/>
        </w:rPr>
        <w:t>. Through Retail Universe, our social network for the retail industry, retailers can source providers of new items, suppliers</w:t>
      </w:r>
      <w:r>
        <w:rPr>
          <w:rFonts w:ascii="Arial" w:cs="Arial" w:eastAsia="Arial" w:hAnsi="Arial"/>
          <w:sz w:val="16"/>
          <w:szCs w:val="16"/>
          <w:i w:val="1"/>
          <w:iCs w:val="1"/>
          <w:color w:val="auto"/>
        </w:rPr>
        <w:t xml:space="preserve"> </w:t>
      </w:r>
      <w:r>
        <w:rPr>
          <w:rFonts w:ascii="Arial" w:cs="Arial" w:eastAsia="Arial" w:hAnsi="Arial"/>
          <w:sz w:val="16"/>
          <w:szCs w:val="16"/>
          <w:color w:val="auto"/>
        </w:rPr>
        <w:t>can connect with new retailers, and the broader retailing community can make connections to expand their business networks and grow.</w:t>
      </w:r>
    </w:p>
    <w:p>
      <w:pPr>
        <w:spacing w:after="0" w:line="4"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Other Trading Partner Solutions. </w:t>
      </w:r>
      <w:r>
        <w:rPr>
          <w:rFonts w:ascii="Arial" w:cs="Arial" w:eastAsia="Arial" w:hAnsi="Arial"/>
          <w:sz w:val="18"/>
          <w:szCs w:val="18"/>
          <w:color w:val="auto"/>
        </w:rPr>
        <w:t>We provide a number of peripheral solutions such as barcode labeling and our scan and pack application,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helps trading partners process information to streamline the picking and packaging process.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Sales Sources</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As one of the largest cloud services for supply chain management, the trading partner relationships that we enable among our retailer, supplier and fulfillment customers naturally lead to new customer acquisition opportunities.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“Network Effect”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Once connected to our network, trading partners can exchange electronic supply chain information with each other. Through our platform, we have helped over 55,000 customers to improve the performance of their trading partner relationships. The value of our platform increases with the number of trading partners connected to the platform. The addition of each new customer to our platform enables that new customer to communicate with our existing customers and enables our existing customers to do business with the new customer. Additionally, through Retail Universe, our community now has a social network focused on facilitating connections and business interactions among retailers and suppliers. This “network effect” of adding an additional customer to our platform creates a significant opportunity for existing customers to realize incremental sales by working with our new trading partners and vice versa. As a result of this increased volume of activity amongst our network participants, we earn additional revenues from these participants.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Trading Partner Enablement. </w:t>
      </w:r>
      <w:r>
        <w:rPr>
          <w:rFonts w:ascii="Arial" w:cs="Arial" w:eastAsia="Arial" w:hAnsi="Arial"/>
          <w:sz w:val="18"/>
          <w:szCs w:val="18"/>
          <w:color w:val="auto"/>
        </w:rPr>
        <w:t>As retailers and suppliers reshape how they do business in an omni-channel landscape, they need to bring new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to their trading partner networks. For instance, a supplier may wish to collaborate with their retailers around point-of-sale analytics data, or a retailer may decide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to change the workflow or protocol by which it interacts with its suppliers. In each case, the supplier and retailer may engage us to work with its trading partner base to enable the new capability. Performing these programs on behalf of retailers and suppliers often generates supplier sales leads for us.</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Referrals from Trading Partners. </w:t>
      </w:r>
      <w:r>
        <w:rPr>
          <w:rFonts w:ascii="Arial" w:cs="Arial" w:eastAsia="Arial" w:hAnsi="Arial"/>
          <w:sz w:val="18"/>
          <w:szCs w:val="18"/>
          <w:color w:val="auto"/>
        </w:rPr>
        <w:t>We also receive sales leads from our customers seeking to communicate electronically with their trading partners.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a supplier may refer to us its third-party logistics provider or manufacturer which is not in our network.</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Channel Partners. </w:t>
      </w:r>
      <w:r>
        <w:rPr>
          <w:rFonts w:ascii="Arial" w:cs="Arial" w:eastAsia="Arial" w:hAnsi="Arial"/>
          <w:sz w:val="18"/>
          <w:szCs w:val="18"/>
          <w:color w:val="auto"/>
        </w:rPr>
        <w:t>In addition to the customer acquisition sources identified above, we market and sell our solutions through a variety of channel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software providers, resellers, system integrators and logistics partners. For example, software partners such as NetSuite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 For example, we have a contractual relationship with a leading global logistics provider where we private label our solutions, which are in turn sold as that company’s branded solution.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Sales Force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sell our solutions through a direct sales force which is organized as follows:</w:t>
      </w:r>
    </w:p>
    <w:p>
      <w:pPr>
        <w:spacing w:after="0" w:line="90"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Retailer Sales.  </w:t>
      </w:r>
      <w:r>
        <w:rPr>
          <w:rFonts w:ascii="Arial" w:cs="Arial" w:eastAsia="Arial" w:hAnsi="Arial"/>
          <w:sz w:val="18"/>
          <w:szCs w:val="18"/>
          <w:color w:val="auto"/>
        </w:rPr>
        <w:t>We employ a team of sales professionals who focus on selling our cloud services suite to retailers and distributors.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Supplier Sales.  </w:t>
      </w:r>
      <w:r>
        <w:rPr>
          <w:rFonts w:ascii="Arial" w:cs="Arial" w:eastAsia="Arial" w:hAnsi="Arial"/>
          <w:sz w:val="18"/>
          <w:szCs w:val="18"/>
          <w:color w:val="auto"/>
        </w:rPr>
        <w:t>We employ a team of supplier sales representatives focused on selling our cloud services suite to suppliers.</w:t>
      </w:r>
    </w:p>
    <w:p>
      <w:pPr>
        <w:spacing w:after="0" w:line="9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Asia Pacific Sales</w:t>
      </w:r>
      <w:r>
        <w:rPr>
          <w:rFonts w:ascii="Arial" w:cs="Arial" w:eastAsia="Arial" w:hAnsi="Arial"/>
          <w:sz w:val="18"/>
          <w:szCs w:val="18"/>
          <w:color w:val="auto"/>
        </w:rPr>
        <w:t>. We maintain sales offices in China, Hong Kong and Australia focused on selling our cloud services suite to retailers, suppliers,</w:t>
      </w:r>
      <w:r>
        <w:rPr>
          <w:rFonts w:ascii="Arial" w:cs="Arial" w:eastAsia="Arial" w:hAnsi="Arial"/>
          <w:sz w:val="18"/>
          <w:szCs w:val="18"/>
          <w:i w:val="1"/>
          <w:iCs w:val="1"/>
          <w:color w:val="auto"/>
        </w:rPr>
        <w:t xml:space="preserve"> </w:t>
      </w:r>
      <w:r>
        <w:rPr>
          <w:rFonts w:ascii="Arial" w:cs="Arial" w:eastAsia="Arial" w:hAnsi="Arial"/>
          <w:sz w:val="18"/>
          <w:szCs w:val="18"/>
          <w:color w:val="auto"/>
        </w:rPr>
        <w:t>factories and third party logistics providers.</w:t>
      </w:r>
    </w:p>
    <w:p>
      <w:pPr>
        <w:spacing w:after="0" w:line="50"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Business Development Efforts. </w:t>
      </w:r>
      <w:r>
        <w:rPr>
          <w:rFonts w:ascii="Arial" w:cs="Arial" w:eastAsia="Arial" w:hAnsi="Arial"/>
          <w:sz w:val="18"/>
          <w:szCs w:val="18"/>
          <w:color w:val="auto"/>
        </w:rPr>
        <w:t>Our business development organization is tasked with finding new sources of revenue and development of new</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opportunities through channel partners and other areas that present opportunity for growth.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objective is to be the leading global provider of supply chain management solutions. Key elements of our strategy include:</w:t>
      </w:r>
    </w:p>
    <w:p>
      <w:pPr>
        <w:spacing w:after="0" w:line="90" w:lineRule="exact"/>
        <w:rPr>
          <w:sz w:val="20"/>
          <w:szCs w:val="20"/>
          <w:color w:val="auto"/>
        </w:rPr>
      </w:pPr>
    </w:p>
    <w:p>
      <w:pPr>
        <w:ind w:left="660" w:right="100" w:hanging="206"/>
        <w:spacing w:after="0" w:line="29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Further Penetrate Our Current Market. </w:t>
      </w:r>
      <w:r>
        <w:rPr>
          <w:rFonts w:ascii="Arial" w:cs="Arial" w:eastAsia="Arial" w:hAnsi="Arial"/>
          <w:sz w:val="16"/>
          <w:szCs w:val="16"/>
          <w:color w:val="auto"/>
        </w:rPr>
        <w:t>We believe the global supply chain management market is underpenetrated and, as the retail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continues to respond to the changing requirements of the omni-channel marketplace, and as the supply chain ecosystem becomes more complex 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31" w:lineRule="exact"/>
        <w:rPr>
          <w:rFonts w:ascii="Arial" w:cs="Arial" w:eastAsia="Arial" w:hAnsi="Arial"/>
          <w:sz w:val="16"/>
          <w:szCs w:val="16"/>
          <w:color w:val="auto"/>
        </w:rPr>
      </w:pPr>
    </w:p>
    <w:p>
      <w:pPr>
        <w:ind w:left="660" w:right="40" w:hanging="206"/>
        <w:spacing w:after="0" w:line="29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Increase Revenues from Our Customer Base. </w:t>
      </w:r>
      <w:r>
        <w:rPr>
          <w:rFonts w:ascii="Arial" w:cs="Arial" w:eastAsia="Arial" w:hAnsi="Arial"/>
          <w:sz w:val="16"/>
          <w:szCs w:val="16"/>
          <w:color w:val="auto"/>
        </w:rPr>
        <w:t>We believe our overall customer satisfaction is strong and will lead our customers to further expand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use of the solutions they have currently purchased as well as purchase additional services to continue improving the performance of their trading partner relationships, generating additional revenues for us. We also expect to introduce new solutions to sell to our customers. We believe our position as the incumbent supply chain management solution provider to our customers, our integration into our recurring revenue customers’ business systems and the modular nature of our platform are conducive to deploying additional solutions with customers.</w:t>
      </w:r>
    </w:p>
    <w:p>
      <w:pPr>
        <w:spacing w:after="0" w:line="34" w:lineRule="exact"/>
        <w:rPr>
          <w:rFonts w:ascii="Arial" w:cs="Arial" w:eastAsia="Arial" w:hAnsi="Arial"/>
          <w:sz w:val="16"/>
          <w:szCs w:val="16"/>
          <w:color w:val="auto"/>
        </w:rPr>
      </w:pPr>
    </w:p>
    <w:p>
      <w:pPr>
        <w:ind w:left="660" w:right="160" w:hanging="206"/>
        <w:spacing w:after="0" w:line="33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Our Distribution Channels. </w:t>
      </w:r>
      <w:r>
        <w:rPr>
          <w:rFonts w:ascii="Arial" w:cs="Arial" w:eastAsia="Arial" w:hAnsi="Arial"/>
          <w:sz w:val="16"/>
          <w:szCs w:val="16"/>
          <w:color w:val="auto"/>
        </w:rPr>
        <w:t>We intend to grow our business by expanding our network of direct sales representatives to gain new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We also believe there are valuable opportunities to promote and sell our solutions through collaboration with other providers.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40" w:hanging="206"/>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Expand Our International Presence. </w:t>
      </w:r>
      <w:r>
        <w:rPr>
          <w:rFonts w:ascii="Arial" w:cs="Arial" w:eastAsia="Arial" w:hAnsi="Arial"/>
          <w:sz w:val="18"/>
          <w:szCs w:val="18"/>
          <w:color w:val="auto"/>
        </w:rPr>
        <w:t>We believe our presence in Asia Pacific, as well as Europe, represents a significant competitive advantage. We</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increase our international sales efforts to obtain new supplier and retailer customers around the world. We intend to leverage our current international presence to increase the number of integrations we have with retailers in foreign markets to make our platform more valuable to suppliers based overseas.</w:t>
      </w:r>
    </w:p>
    <w:p>
      <w:pPr>
        <w:spacing w:after="0" w:line="62"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Enhance and Expand Our Platform. </w:t>
      </w:r>
      <w:r>
        <w:rPr>
          <w:rFonts w:ascii="Arial" w:cs="Arial" w:eastAsia="Arial" w:hAnsi="Arial"/>
          <w:sz w:val="18"/>
          <w:szCs w:val="18"/>
          <w:color w:val="auto"/>
        </w:rPr>
        <w:t>We intend to further improve and develop the functionality and features of our platform, including,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developing new solutions and applications.</w:t>
      </w:r>
    </w:p>
    <w:p>
      <w:pPr>
        <w:spacing w:after="0" w:line="50" w:lineRule="exact"/>
        <w:rPr>
          <w:rFonts w:ascii="Arial" w:cs="Arial" w:eastAsia="Arial" w:hAnsi="Arial"/>
          <w:sz w:val="18"/>
          <w:szCs w:val="18"/>
          <w:color w:val="auto"/>
        </w:rPr>
      </w:pPr>
    </w:p>
    <w:p>
      <w:pPr>
        <w:ind w:left="660" w:right="20" w:hanging="206"/>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Selectively Pursue Strategic Acquisitions. </w:t>
      </w:r>
      <w:r>
        <w:rPr>
          <w:rFonts w:ascii="Arial" w:cs="Arial" w:eastAsia="Arial" w:hAnsi="Arial"/>
          <w:sz w:val="16"/>
          <w:szCs w:val="16"/>
          <w:color w:val="auto"/>
        </w:rPr>
        <w:t>The fragmented nature of our market provides opportunity for selective acquisitions. In 2012, we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the assets of Edifice Information Management Systems, Inc., a privately-held information services company specializing in the collection, analysis and distribution of point-of-sale data used by retailers and suppliers to improve their supply chain efficiencies. This acquisition increased our point-of-sale analytic offerings, expanded our base of recurring revenue customers and added suppliers to our network. In 2011, we purchased substantially all of the assets of Direct EDI LLC, a privately-held provider of cloud-based integration solutions for electronic data interchange, which expanded our base of recurring revenue customers. To complement and accelerate our internal growth, we may pursue acquisitions of other supply chain management companies to add customers. We plan to evaluate potential acquisitions of other supply chain management companies primarily based on the number of customers and revenue the acquisition would provide relative to the purchase price. We also may pursue acquisitions that allow us to expand into regions where we do not have a significant presence or to offer new functionalities we do not currently provide. We plan to evaluate potential acquisitions to expand into new regions or offer additional functionalities primarily based on the anticipated growth the acquisition would provide, the purchase price and our ability to integrate and operate the acquired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 and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were an early provider of cloud services to the retail supply chain management industry, launching the first version of our platform in 1997. We use commercially available hardware and a combination of proprietary and commercially available software.</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software we license from third parties is typically licensed to us pursuant to a multi-year or perpetual license that includes a multi-year support services agreement with the third party. Our ability to access upgrades to certain software is conditioned upon our continual maintenance of a support services agreement with the third party between the date of the initial license and the date on which we seek or are required to upgrade the software. Although we believe we could replace the software we currently license from third parties with alternative software, doing so could take time, could result in the temporary unavailability of our platform and increase our costs of operations.</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cloud platform treats all customers as logically separate tenants in a common infrastructure.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research and development efforts focus on improving and enhancing our existing solutions and, from time to time, developing new solutions and applications. Our multi-tenant platform serves all of our customers, which allows us to maintain relatively low research and development expenses and release more frequently compared to traditional on-premise licensed software solutions that support multiple versions.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Operations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host production and back-up servers in third-party data centers located in Minnesota and New Jersey. We operate the infrastructure on which our platform runs in these data centers.</w:t>
      </w:r>
    </w:p>
    <w:p>
      <w:pPr>
        <w:spacing w:after="0" w:line="132"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have internal and third party monitoring software that continually checks our platform and key underlying components at regular intervals for availability and performance, ensuring our platform is available and providing adequate service levels. We have a technology operations team that provides system provisioning, management, maintenance, monitoring and back-up.</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To facilitate high availability, we operate a multi-tiered system configuration with load-balanced web server pools, replicated database servers and fault-tolerant storage devices. Databases leverage third-party features for near real-time replication across sites.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2013, we had approximately 19,700 recurring revenue customers and over 55,000 total customers. Our primary source of revenue is from small- to mid-sized suppliers in the consumer packaged goods industry. We also generate revenues from other members of the supply chain ecosystem, including retailers, distributors, third-party logistics providers and other trading partners. Our revenues are not concentrated with any customer, as our largest customer represented 2% or less of total revenues in 2013, 2012 and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Vendors in the supply chain management industry offer solutions through three delivery methods: on demand or cloud-based, traditional on-premise software and managed services.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market for cloud-based supply chain management solutions is fragmented and rapidly evolving. Cloud service vendors compete directly with each other based on the following:</w:t>
      </w:r>
    </w:p>
    <w:p>
      <w:pPr>
        <w:spacing w:after="0" w:line="51"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pre-built connections to retailers, third-party logistics providers and other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history of establishing and maintaining reliable integration connections with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 of the cloud service vendor in the supply chain management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speed and quality with which the cloud service vendor can integrate its customers to their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functionality of the cloud service solution, such as the ability to integrate the solution with a customer’s business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complementary supply chain management solutions the cloud service vendor offers;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cloud service vendors could create a direct competitor that is able to compete with us more effectively than the numerous, smaller vendors currently offering cloud service supply chain management solutions. Increased competition from cloud service vendors could reduce our market share, revenues and operating margins or otherwise adversely affect our business.</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Cloud service vendors also compete with traditional on-premise software companies and managed service providers. Traditional on-premise software companies focused on supply chain integration management include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Sterling Commerce, GXS Corporation and Seeburger. These companies offer a “do-it-yourself” approach in which customers purchase, install and manage specialized software, hardware and value-added networks for their supply chain integration needs. This approach requires customers to invest in staff to operate and maintain the software. Traditional on-premise software companies use a single-tenant approach in which information maps to retailers are built for and used by one supplier, as compared to cloud service solutions that allow multiple customers to share information maps with a retailer.</w:t>
      </w:r>
    </w:p>
    <w:p>
      <w:pPr>
        <w:spacing w:after="0" w:line="11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Managed service providers focused on the supply chain management market include Sterling Commerce and GXS. These companies combine traditional on-premise software, hardware and value-added networks with professional information technology services to manage these resources. Like traditional on-premise software companies, managed service providers use a single-tenant approach.</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Customers of traditional on-premise software companies and managed service providers typically make significant upfront investments in the supply chain management solutions these competitors provide, which can decrease the customers’ willingness to abandon their investments in favor of a cloud service solution. Cloud service supply chain management solutions also are at a relatively early stage of development compared to traditional on-premise software and managed service providers. Cloud service vendors compete with these better established solutions based on total cost of ownership and flexibility. If suppliers do not perceive the benefits of cloud service solutions, or if suppliers are unwilling to abandon their investments in other supply chain management solutions, our business and growth may suffer. In addition, many traditional on-premise software companies and managed service providers have larger customer bases and may be better capitalized than we are, which may provide them with an advantage in developing, marketing or servicing solutions that compete with ours.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Content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rely on a combination of copyright, trademark and trade secret laws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registered the marks Retail Universe, SPSCommerce.net and SPS Commerce in the United States. Additional trademark applications are pending in the United States and certain foreign countries. We do not have any patents but we have pending patent applications. Our trade secrets consist primarily of the software we have developed for our SPSCommerce.net integration center. Our software is also protected under copyright law, but we do not have any registered copyrights.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As of December 31, 2013, we had 771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t>
      </w:r>
      <w:r>
        <w:rPr>
          <w:rFonts w:ascii="Arial" w:cs="Arial" w:eastAsia="Arial" w:hAnsi="Arial"/>
          <w:sz w:val="16"/>
          <w:szCs w:val="16"/>
          <w:i w:val="1"/>
          <w:iCs w:val="1"/>
          <w:color w:val="auto"/>
        </w:rPr>
        <w:t>www.spscommerce.com</w:t>
      </w:r>
      <w:r>
        <w:rPr>
          <w:rFonts w:ascii="Arial" w:cs="Arial" w:eastAsia="Arial" w:hAnsi="Arial"/>
          <w:sz w:val="16"/>
          <w:szCs w:val="16"/>
          <w:color w:val="auto"/>
        </w:rPr>
        <w:t>. Information on our website does not constitute part of this Annual Report on Form 10-K or any other report we file or furnish with the Securities and Exchange Commission (“SEC”). We provide free access to various reports that we file with or furnish to the SEC through our website as soon as reasonably practicable after they have been filed or furnished.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Stockholders may also request copies of these documents from:</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SPS Commerce,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Minneapolis, MN 55402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names, ages and titles of the persons serving as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6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300" w:type="dxa"/>
            <w:vAlign w:val="bottom"/>
          </w:tcPr>
          <w:p>
            <w:pPr>
              <w:spacing w:after="0"/>
              <w:rPr>
                <w:sz w:val="15"/>
                <w:szCs w:val="15"/>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70"/>
              </w:rPr>
              <w:t>Archie</w:t>
            </w:r>
          </w:p>
        </w:tc>
        <w:tc>
          <w:tcPr>
            <w:tcW w:w="4260" w:type="dxa"/>
            <w:vAlign w:val="bottom"/>
          </w:tcPr>
          <w:p>
            <w:pPr>
              <w:ind w:left="140"/>
              <w:spacing w:after="0" w:line="188" w:lineRule="exact"/>
              <w:rPr>
                <w:sz w:val="20"/>
                <w:szCs w:val="20"/>
                <w:color w:val="auto"/>
              </w:rPr>
            </w:pPr>
            <w:r>
              <w:rPr>
                <w:rFonts w:ascii="Arial" w:cs="Arial" w:eastAsia="Arial" w:hAnsi="Arial"/>
                <w:sz w:val="18"/>
                <w:szCs w:val="18"/>
                <w:color w:val="auto"/>
              </w:rPr>
              <w:t>C. Black</w:t>
            </w: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w w:val="78"/>
              </w:rPr>
              <w:t>51</w:t>
            </w:r>
          </w:p>
        </w:tc>
        <w:tc>
          <w:tcPr>
            <w:tcW w:w="320" w:type="dxa"/>
            <w:vAlign w:val="bottom"/>
          </w:tcPr>
          <w:p>
            <w:pPr>
              <w:spacing w:after="0"/>
              <w:rPr>
                <w:sz w:val="16"/>
                <w:szCs w:val="16"/>
                <w:color w:val="auto"/>
              </w:rPr>
            </w:pPr>
          </w:p>
        </w:tc>
        <w:tc>
          <w:tcPr>
            <w:tcW w:w="378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 and President</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46</w:t>
            </w:r>
          </w:p>
        </w:tc>
        <w:tc>
          <w:tcPr>
            <w:tcW w:w="3780" w:type="dxa"/>
            <w:vAlign w:val="bottom"/>
            <w:gridSpan w:val="2"/>
          </w:tcPr>
          <w:p>
            <w:pPr>
              <w:spacing w:after="0"/>
              <w:rPr>
                <w:sz w:val="20"/>
                <w:szCs w:val="20"/>
                <w:color w:val="auto"/>
              </w:rPr>
            </w:pPr>
            <w:r>
              <w:rPr>
                <w:rFonts w:ascii="Arial" w:cs="Arial" w:eastAsia="Arial" w:hAnsi="Arial"/>
                <w:sz w:val="18"/>
                <w:szCs w:val="18"/>
                <w:color w:val="auto"/>
                <w:w w:val="90"/>
              </w:rPr>
              <w:t>Executive Vice President and Chief Financial Officer</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James J. Frome</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49</w:t>
            </w:r>
          </w:p>
        </w:tc>
        <w:tc>
          <w:tcPr>
            <w:tcW w:w="3780" w:type="dxa"/>
            <w:vAlign w:val="bottom"/>
            <w:gridSpan w:val="2"/>
          </w:tcPr>
          <w:p>
            <w:pPr>
              <w:spacing w:after="0"/>
              <w:rPr>
                <w:sz w:val="20"/>
                <w:szCs w:val="20"/>
                <w:color w:val="auto"/>
              </w:rPr>
            </w:pPr>
            <w:r>
              <w:rPr>
                <w:rFonts w:ascii="Arial" w:cs="Arial" w:eastAsia="Arial" w:hAnsi="Arial"/>
                <w:sz w:val="18"/>
                <w:szCs w:val="18"/>
                <w:color w:val="auto"/>
                <w:w w:val="88"/>
              </w:rPr>
              <w:t>Executive Vice President and Chief Operating Officer</w:t>
            </w:r>
          </w:p>
        </w:tc>
      </w:tr>
    </w:tbl>
    <w:p>
      <w:pPr>
        <w:spacing w:after="0" w:line="15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Archie C. Black has served as our President and Chief Executive Officer and a director since 2001. Previously, Mr. Black served as our Senior Vice President and Chief Financial Officer from 1998 to 2001. Prior to joining us, Mr. Black was a Senior Vice President and Chief Financial Officer at Investment Advisors, Inc. in Minneapolis, Minnesota and also spent three years at Price Waterhouse.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Kimberly K. Nelson has served as our Executive Vice President and Chief Financial Officer since November 2007. Prior to joining us, Ms. Nelson served as the Finance Director, Investor Relations for Amazon.com, from June 2005 through November 2007, and as the Finance Director, Worldwide Application for Amazon.com’s Technology group, from April 2003 until June 2005. Ms. Nelson also served as Amazon.com’s Finance Director, Financial Planning and Analysis from December 2000 until April 2003.</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James J. Frome has served as our Executive Vice President and Chief Operating Officer since August 2012. Previously, Mr. Frome served as our Executive Vice President and Chief Strategy Officer, from March 2001 to August 2012, and our Vice President of Marketing, from July 2000 to March 2001. Prior to joining us, Mr. Frome served as a Divisional Vice President of Marketing at Sterling Software, Inc., from 1999 to 2000, and as a Senior Product Manager and Director of Product Management at Information Advantage, Inc., from 1993 to 1999.</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Set forth below and elsewhere in this Annual Report on Form 10-K, and in other documents we file with the Securities and Exchange Commission, are risks and uncertainties that could cause our actual results to differ materially from the results contemplated by the forward-looking statements contained in this Annual Report on Form 10-K and in other written and oral communications from time to time. Our business could be harmed by any of these risks. The trading price of our common stock could decline due to any of these risks. In assessing these risks, you should also refer to the other information contained in this Annual Report on Form 10-K, including our financial statements and related notes.</w:t>
      </w:r>
    </w:p>
    <w:p>
      <w:pPr>
        <w:spacing w:after="0" w:line="197" w:lineRule="exact"/>
        <w:rPr>
          <w:sz w:val="20"/>
          <w:szCs w:val="20"/>
          <w:color w:val="auto"/>
        </w:rPr>
      </w:pPr>
    </w:p>
    <w:p>
      <w:pPr>
        <w:ind w:left="240" w:right="400"/>
        <w:spacing w:after="0" w:line="332" w:lineRule="auto"/>
        <w:rPr>
          <w:sz w:val="20"/>
          <w:szCs w:val="20"/>
          <w:color w:val="auto"/>
        </w:rPr>
      </w:pPr>
      <w:r>
        <w:rPr>
          <w:rFonts w:ascii="Arial" w:cs="Arial" w:eastAsia="Arial" w:hAnsi="Arial"/>
          <w:sz w:val="16"/>
          <w:szCs w:val="16"/>
          <w:b w:val="1"/>
          <w:bCs w:val="1"/>
          <w:i w:val="1"/>
          <w:iCs w:val="1"/>
          <w:color w:val="auto"/>
        </w:rPr>
        <w:t>The market for cloud-based supply chain management solutions is at an early stage of development. If this market does not develop or develops more slowly than we expect, our revenues may decline or fail to grow and we may incur operating losses.</w:t>
      </w:r>
    </w:p>
    <w:p>
      <w:pPr>
        <w:spacing w:after="0" w:line="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derive, and expect to continue to derive, substantially all of our revenues from providing cloud-based supply chain management solutions to suppliers. The market for cloud-based supply chain management solutions is in an early stage of development, and it is uncertain whether these solutions will achieve and sustain high levels of demand and market acceptance. Our success will depend on the willingness of suppliers to accept our cloud-based supply chain management solutions as an alternative to traditional licensed hardware and software solutions.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Some suppliers may be reluctant or unwilling to use our cloud-based supply chain management solutions for a number of reasons, including existing investments in supply chain management technology.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cloud-based supply chain management solutions.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factors that may limit market acceptance of our cloud-based supply chain management solutions include:</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platform;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solutions;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assuage suppliers’ confidentiality concerns about information stored outside of their controlled computing environments.</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suppliers do not perceive the benefits of our cloud-based supply chain management solutions, or if suppliers are unwilling to accept our platform as an alternative to the traditional approach, the market for our solutions might not continue to develop or might develop more slowly than we expect, either of which would significantly adversely affect our revenues and growth prospects.</w:t>
      </w:r>
    </w:p>
    <w:p>
      <w:pPr>
        <w:spacing w:after="0" w:line="221"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We do not have long-term contracts with most of our recurring revenue customers, and our success therefore depends on our ability to maintain a high level of customer satisfaction and a strong reputation in the supply chain management industry.</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contracts with our recurring revenue customers typically allow the customer to cancel the contract for any reason with 30 days prior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their relationship with us on short notice and seek alternative supply chain management solutions. If a significant number of recurring revenue customers seek to terminate their relationship with us, our business, results of operations and financial condition can be adversely affected in a short period of time.</w:t>
      </w:r>
    </w:p>
    <w:p>
      <w:pPr>
        <w:spacing w:after="0" w:line="166"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Economic weakness and uncertainty could adversely affect our revenue, lengthen our sales cycles and make it difficult for us to forecast operating results accurately.</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revenues depend significantly on general economic conditions and the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makes it difficult for us to forecast operating results and to make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prospects and stock price.</w:t>
      </w:r>
    </w:p>
    <w:p>
      <w:pPr>
        <w:spacing w:after="0" w:line="201"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or sell additional solutions, or if our customers do not increase their use of our solutions, our revenue growth and profitability will be adversely affected.</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increase our revenues and achieve and maintain profitability, we must regularly add new customers, sell additional solutions and our customers must increase their use of the solutions for which they currently subscribe. We intend to grow our business by hiring additional sales personnel, developing strategic relationships with resellers, including resellers that incorporate our applications in their offerings, and increasing our marketing activities. If we are unable to hire or retain quality sales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If we fail to sell our new solutions to existing or new customers, we will not generate anticipated revenues from these solutions, our operating results will suffer and we might be unable to grow our revenues or achieve or maintain profitability.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quarterly results of operations may fluctuate in the future, which could result in volatility in our stock price.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quarterly revenues and results of operations have varied in the past and may fluctuate as a result of a variety of factors, including the success of our more recent offerings such as our Trading Partner Intelligence solution. If our quarterly revenues or results of operations fluctuate, the price of our common stock could decline substantially. Fluctuations in our results of operations may be due to a number of factors, including, but not limited to, those listed below and identified throughout this “Risk Factors” section:</w:t>
      </w:r>
    </w:p>
    <w:p>
      <w:pPr>
        <w:spacing w:after="0" w:line="62" w:lineRule="exact"/>
        <w:rPr>
          <w:sz w:val="20"/>
          <w:szCs w:val="20"/>
          <w:color w:val="auto"/>
        </w:rPr>
      </w:pPr>
    </w:p>
    <w:p>
      <w:pPr>
        <w:ind w:left="660" w:right="22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introductions of new solutions or upgrades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economy, in particular as it affects the retail sector;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 and new offerings by existing competitors;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solutions;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payment terms for our solutions.</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Due to the foregoing factors, and the other risks discussed in this Annual Report on Form 10-K, you should not rely on comparisons of our results of operations as an indication of our future performance.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incurred operating losses in the past and may incur operating losses in the future.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began operating our supply chain management solution business in 1997. Throughout most of our history, we have experienced net losses and negative cash flows from operations. As of December 31, 2013, we had an accumulated deficit of $46.8 million. We expect our operating expenses to continue to increase in the future as we expand our operations.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inability to adapt to rapid technological change could impair our ability to remain competitive.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industry in which we compete is characterized by rapid technological change, frequent introductions of new products and evolving industry standards. Our ability to attract new customers and increase revenues from customers will depend in significant part on our ability to anticipate industry standards and to continue to enhance existing solutions or introduce or acquire new solutions on a timely basis to keep pace with technological developments. The success of any enhancement or new solution depends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significant revenues. If any of our competitors implements new technologies before we are able to implement them, those competitors may be able to provide more effective solutions than ours at lower prices. Any delay or failure in the introduction of new or enhanced solutions could adversely affect our business, results of operations and financial condition.</w:t>
      </w:r>
    </w:p>
    <w:p>
      <w:pPr>
        <w:spacing w:after="0" w:line="199"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Technology solutions as complex as ours may contain undetected defects in the hardware, software, infrastructure, third party components or processes that are part of the solutions we provide. If these defects lead to service failures, we could experience delays or lost revenues during the period required to correct the cause of the defects. We cannot be certain that defects will not be found in new solutions or upgraded solutions, resulting in loss of, or delay in, market acceptance, which could have an adverse effect on our business, results of operations and financial condition.</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Because customers use our cloud-based supply chain management solutions for critical business processes, any defect in our solutions, any disruption to our solutions or any error in execution could cause recurring revenue customers to cancel their contracts with us, prevent potential customers from joining our network and harm our reputation. Although most of our contracts with our customers limit our liability to our customers for these defects, disruptions or errors, we nonetheless could be subject to litigation for actual or alleged losses to our customers’ businesses, which may require us to spend significant time and money in litigation or arbitration or to pay significant settlements or damages. We do not currently maintain any warranty reserves. Defending a lawsuit, regardless of its merit, could be costly and divert management’s attention and could cause our business to suffer.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all of the damages and other costs of such a claim. Moreover, we cannot assure you that our current liability insurance coverage will continue to be available to us on acceptable terms or at all. The successful assertion against us of one or more large claims that exceeds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Interruptions or delays from third-party data centers could impair the delivery of our solutions and our business could suffer.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use third-party data centers, located in Minnesota and New Jersey, to conduct our operations. All of our solutions reside on infrastructure that we own and operate in these locations. Our operations depend on the protection of the equipment and information we store in these third-party centers against damage or service interruptions that may be caused by fire, flood, severe storm, power loss, telecommunications failures, unauthorized intrusion, computer viruses and disabling devices, denial of service attacks, natural disasters, war, criminal act, military action, terrorist attack and other similar events beyond our control.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we use.</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cloud-based supply chain management solutions are accessed by a large number of customers at the same time. As we continue to expand the number of our customers and solutions available to our customers, we may not be able to scale our technology to accommodate the increased capacity requirements, which may result in interruptions or delays in service. In addition, the failure of our third-party data centers to meet our capacity requirements could result in interruptions or delays in our solutions or impede our ability to scale our operations. In the event that our data center arrangements are terminated, or there is a lapse of service or damage to such facilities, we could experience interruptions in our solutions as well as delays and additional expense in arranging new facilities and services.</w:t>
      </w:r>
    </w:p>
    <w:p>
      <w:pPr>
        <w:spacing w:after="0" w:line="225" w:lineRule="exact"/>
        <w:rPr>
          <w:sz w:val="20"/>
          <w:szCs w:val="20"/>
          <w:color w:val="auto"/>
        </w:rPr>
      </w:pPr>
    </w:p>
    <w:p>
      <w:pPr>
        <w:ind w:left="240" w:right="560"/>
        <w:spacing w:after="0" w:line="259" w:lineRule="auto"/>
        <w:rPr>
          <w:sz w:val="20"/>
          <w:szCs w:val="20"/>
          <w:color w:val="auto"/>
        </w:rPr>
      </w:pPr>
      <w:r>
        <w:rPr>
          <w:rFonts w:ascii="Arial" w:cs="Arial" w:eastAsia="Arial" w:hAnsi="Arial"/>
          <w:sz w:val="18"/>
          <w:szCs w:val="18"/>
          <w:b w:val="1"/>
          <w:bCs w:val="1"/>
          <w:i w:val="1"/>
          <w:iCs w:val="1"/>
          <w:color w:val="auto"/>
        </w:rPr>
        <w:t>A failure to protect the integrity and security of our customers’ information and access to our customers’ information systems could expose us to litigation, materially damage our reputation and harm our business, and the costs of preventing such a failure could adversely affect our results of operations.</w:t>
      </w:r>
    </w:p>
    <w:p>
      <w:pPr>
        <w:spacing w:after="0" w:line="5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business involves the collection and use of confidential information of our customers and their trading partners. The collection and use of this information sometimes requires our direct access to our customers’ information systems. We cannot assure you that our efforts to protect this confidential information and access will be successful. If any compromise of this information security were to occur, or if we fail to detect and appropriately respond to a significant data security breach, we could be subject to legal claims and government action, experience an adverse effect on our reputation and need to incur significant additional costs to protect against similar information security breaches in the future, each of which could adversely impact our financial condition, results of operations and growth prospects. In addition, because of the critical nature of data security, any perceived breach of our security measures could cause existing or potential customers not to use our solutions and could harm our reputation.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Evolving regulation of the Internet may increase our expenditures related to compliance efforts, which may adversely affect our financial condition.</w:t>
      </w:r>
    </w:p>
    <w:p>
      <w:pPr>
        <w:spacing w:after="0" w:line="12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Internet commerce continues to evolve, increasing regulation by federal, state or foreign agencies becomes more likely. We are particularly sensitive to these risks because the Internet is a critical component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cloud-based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protect our intellectual property and proprietary rights adequately, our business could be adversely affected.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that proprietary technology is essential to establishing and maintaining our leadership position. We seek to protect our intellectual property through trade secrets, copyrights, confidentiality, non-compete and nondisclosure agreements, trademarks, domain names and other measures, some of which afford only limited protection. We do not have any patents or registered copyrights. Despite our efforts to protect our proprietary rights, unauthorized parties may attempt to copy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United States.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19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time-consuming litigation or expensive licenses and our business might be harmed.</w:t>
      </w:r>
    </w:p>
    <w:p>
      <w:pPr>
        <w:spacing w:after="0" w:line="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Internet supply chain management and technology industries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might not prevail in any intellectual property infringement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If our solutions violate any third-party proprietary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operating results. Withdrawal of any of our solutions from the market might harm our business, financial condition and operating results.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we incorporate open source software into our platform.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adversely affect our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third party infrastructure, software and services that could take a significant time to replace or upgrade.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rely on infrastructure, software and services licensed from third parties to offer our cloud-based supply chain management solutions. This infrastructure, software and services, as well as maintenance rights for this infrastructure, software and services,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hardware or software alternatives to the third-party infrastructure, software and services that we currently license. Any such alternatives could be more difficult or costly to replace than the third-party infrastructure, software and services we currently license, and integration of the alternatives into our platform could require significant work and substantial time and resources. Any delays or failures associated with our platform could injure our reputation with customers and potential customers and result in an adverse effect on our business, results of operations and financial condition.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new products and changes to existing products could fail to attract or retain users or generate revenue.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retain, increase and engage our customers and to increase our revenues will depend heavily on our ability to create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engage customers, we may fail to attract or retain customers or to generate sufficient revenues, operating margin, or other value to justify our investments and our business may be adversely affected. In the future, we may invest in new products and initiatives to generate revenue, but there is no guarantee these approaches will be successful. If we are not successful with new approaches to monetization, we may not be able to maintain or grow our revenues as anticipated or recover any associated development costs, and our financial results could be adversely affected.</w:t>
      </w:r>
    </w:p>
    <w:p>
      <w:pPr>
        <w:spacing w:after="0" w:line="199" w:lineRule="exact"/>
        <w:rPr>
          <w:sz w:val="20"/>
          <w:szCs w:val="20"/>
          <w:color w:val="auto"/>
        </w:rPr>
      </w:pPr>
    </w:p>
    <w:p>
      <w:pPr>
        <w:ind w:left="240" w:right="260"/>
        <w:spacing w:after="0" w:line="332" w:lineRule="auto"/>
        <w:rPr>
          <w:sz w:val="20"/>
          <w:szCs w:val="20"/>
          <w:color w:val="auto"/>
        </w:rPr>
      </w:pPr>
      <w:r>
        <w:rPr>
          <w:rFonts w:ascii="Arial" w:cs="Arial" w:eastAsia="Arial" w:hAnsi="Arial"/>
          <w:sz w:val="16"/>
          <w:szCs w:val="16"/>
          <w:b w:val="1"/>
          <w:bCs w:val="1"/>
          <w:i w:val="1"/>
          <w:iCs w:val="1"/>
          <w:color w:val="auto"/>
        </w:rPr>
        <w:t>Our business is dependent on our ability to maintain and scale our technical infrastructure, and any significant disruption in our service could damage our reputation, result in a potential loss of users and engagement, and adversely affect our financial results.</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reputation and ability to attract, retain and serve our customers is dependent upon the reliable performance of our platform and our underlying technical infrastructure. As our user base and the amount and types of information shared on our platform continue to grow, we will need an increasing amount of technical infrastructure, including network capacity and computing power, to continue to satisfy the needs of our users. It is possible that we may fail to effectively scale and grow our technical infrastructure to accommodate these increased demands.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software is highly technical, and if it contains undetected errors, our business could be adversely affected.</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products incorporate software that is highly technical and complex. Our software has contained, and may now or in the future contain, undetected errors, bugs or vulnerabilities. Some errors in our software code may only be discovered after the code has been released. Any defects or errors discovered in our code after release could result in damage to our reputation, loss of customers, loss of revenue or liability for damages, any of which could adversely affect our business and financial results.</w:t>
      </w:r>
    </w:p>
    <w:p>
      <w:pPr>
        <w:spacing w:after="0" w:line="224" w:lineRule="exact"/>
        <w:rPr>
          <w:sz w:val="20"/>
          <w:szCs w:val="20"/>
          <w:color w:val="auto"/>
        </w:rPr>
      </w:pPr>
    </w:p>
    <w:p>
      <w:pPr>
        <w:ind w:left="240" w:right="400"/>
        <w:spacing w:after="0" w:line="259" w:lineRule="auto"/>
        <w:rPr>
          <w:sz w:val="20"/>
          <w:szCs w:val="20"/>
          <w:color w:val="auto"/>
        </w:rPr>
      </w:pPr>
      <w:r>
        <w:rPr>
          <w:rFonts w:ascii="Arial" w:cs="Arial" w:eastAsia="Arial" w:hAnsi="Arial"/>
          <w:sz w:val="18"/>
          <w:szCs w:val="18"/>
          <w:b w:val="1"/>
          <w:bCs w:val="1"/>
          <w:i w:val="1"/>
          <w:iCs w:val="1"/>
          <w:color w:val="auto"/>
        </w:rPr>
        <w:t>Our industry is a prime target for those that seek to steal confidential information and computer malware, viruses, hacking and phishing attacks, and spamming could harm our business and cause us to lose the confidence of our users, which could significantly impact our business and results of operations.</w:t>
      </w:r>
    </w:p>
    <w:p>
      <w:pPr>
        <w:spacing w:after="0" w:line="5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demonstrated by recent material and high-profile data security breaches within the retail industry, computer malware, viruses, and computer hacking and phishing attacks have become more prevalent in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industry, have occurred on our systems in the past, and may occur on our systems in the future. Furthermore, given the interconnected nature of the retail supply chain and our significant presence in the retail industry, we believe that we are a particularly attractive target for such attacks. In addition, our connection to the retail industry could present the opportunity for an attack on our system to serve as a way to obtain access into our user’s systems, which could have a material adverse effect on our financial condition and growth prospectus. Businesses in our industry have experienced material sales declines after discovering data breaches, and our business could be similarly impacted. Reputational value is based in large part on perceptions of subjective qualities. While reputations may take decades to build, any negative incidents can quickly erode trust and confidence, particularly if they result in adverse mainstream and social media publicity, governmental investigations or litigation. Though it is difficult to determine what, if any, harm may directly result from any specific interruption or attack, any failure to maintain performance, reliability, security and availability of our products and technical infrastructure to the satisfaction of our users may harm our reputation, impair our ability to retain existing customers and attract new customers and expose us to legal claims and government action, each of which could have a material adverse impact on our financial condition, results of operations and growth prospects.</w:t>
      </w:r>
    </w:p>
    <w:p>
      <w:pPr>
        <w:spacing w:after="0" w:line="204"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We may pursue acquisitions and our potential inability to successfully integrate newly acquired companies or businesses could adversely affect our financial results.</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may pursue acquisitions of other companies or their businesses in the future. If we complete acquisitions, we face many risks commonly encountered with growth through acquisitions. These risks include:</w:t>
      </w:r>
    </w:p>
    <w:p>
      <w:pPr>
        <w:spacing w:after="0" w:line="5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assimilate the operations and personnel of the acquired company or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dissipating our management resources;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71"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Fully integrating an acquired company or business into our operations may take a significant amount of time. We cannot assure you that we will be successful in overcoming these risks or any other problems encountered with acquisitions. To the extent we do not successfully avoid or overcome the risks or problems related to any acquisitions, including our recent acquisitions of Edifice and Direct EDI,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our U.S. net operating loss carryforwards might be limited.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2013, we had net operating loss carryforwards of $71.3 million for U.S. federal tax purposes. We also had $30.3 million of various state net operating loss carryforwards. The loss carryforwards for federal tax purposes will expire between 2019 and 2034 if not utilized. The loss carryforwards for state tax purposes will expire between 2014 and 2034 if not utilized. To the extent these net operating loss carryforwards are available, we intend to use them to reduce the corporate income tax liability associated with our operations.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2010; however, we believe there have not been any events subsequent to that date that would materially impact the analysis. We believe that approximately $17.6 million of federal losses will expire unused due to Section 382 limitations. The maximum annual limitation of federal net operating losses under Section 382 is approximately $990,000. This limitation could be further restricted if any ownership changes occur in future years. To the extent our use of net operating loss carryforwards is significantly limited, our taxable income could be subject to corporate income tax earlier than it would if we were able to use net operating loss carryforwards, which could result in lower profits.</w:t>
      </w:r>
    </w:p>
    <w:p>
      <w:pPr>
        <w:spacing w:after="0" w:line="224"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59"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Cloud service providers that deliver business-to-business information systems using a multi-tenant approach;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information technology services.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remain competitive, we will need to invest continuously in software development, marketing, customer service and support and product delivery infrastructure. However, we cannot assure you that new or established competitors will not offer solutions that are superior to or lower in price than ours. We may not have sufficient resources to continue the investments in all areas of software development and marketing needed to maintain our competitive position. In addition, some of our competitors are better capitalized than us, which may provide them with an advantage in developing, marketing or servicing new solutions. Increased competition could reduce our market share, revenues and operating margins, increase our costs of operations and otherwise adversely affect our business.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Mergers or other strategic transactions involving our competitors could weaken our competitive position, which could harm our operating results.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Any such consolidation, acquisition, alliance or cooperative relationship could lead to pricing pressure and our loss of market share and could result in a competitor with greater financial, technical, marketing, service and other resources, all of which could have a material adverse effect on our business, operating results and financial condition.</w:t>
      </w:r>
    </w:p>
    <w:p>
      <w:pPr>
        <w:spacing w:after="0" w:line="224"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If we fail to retain our Chief Executive Officer and other key personnel, our business would be harmed and we might not be able to implement our business plan successfully.</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Given the complex nature of the technology on which our business is based and the speed with which such technology advances, our future success is dependent, in large part, upon our ability to attract and retain highly qualified managerial, technical and sales personnel.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have experienced a period of rapid growth in our headcount and operations. To the extent that we are able to sustain such growth, it will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 The additional headcount we are adding will increase our cost base, which will make it more difficult for us to offset any future revenue shortfalls by reducing expenses in the short term. If we fail to successfully manage our growth, we will be unable to execute our business plan.</w:t>
      </w:r>
    </w:p>
    <w:p>
      <w:pPr>
        <w:spacing w:after="0" w:line="199"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the market price of our common stock could decline.</w:t>
      </w:r>
    </w:p>
    <w:p>
      <w:pPr>
        <w:spacing w:after="0" w:line="1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62"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enhance our solutions;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Because our long-term success depends, in part, on our ability to expand the sales of our solutions to customers located outside of the United States, our business will be susceptible to risks associated with international operations.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limited experience operating in foreign jurisdictions. Customers in countries outside of North America accounted for 2% of our revenues for 2013, 2012 and 2011. We also undertake software development activities in the Ukraine. Our inexperience in operating our business outside of North America increases the risk that our current and any future international expansion efforts will not be successful. Conducting international operations subjects us to new risks that, generally, we have not faced in the United States, including:</w:t>
      </w:r>
    </w:p>
    <w:p>
      <w:pPr>
        <w:spacing w:after="0" w:line="62"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potentially adverse tax consequences, including the complexities of foreign value added tax systems and restrictions on the repatriation of earnings;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associated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71"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occurrence of any one of these risks could negatively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Shares of our common stock were sold in our April 2010 initial public offering at a price of $12.00 per share and, through December 31, 2013, our common stock has traded as high as $79.98 per share and as low as $8.45 per share. An active, liquid and orderly market for our common stock may not develop or be sustained, which could depress the trading price of our common stock. Some of the factors that may cause the market price of our common stock to fluctuate include:</w:t>
      </w:r>
    </w:p>
    <w:p>
      <w:pPr>
        <w:spacing w:after="0" w:line="62"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quarterly financial results or the quarterly financial results of companies perceived to be similar to 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any of our solutions to achieve or maintain market acceptance;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solutions, contracts, acquisitions or strategic alliances;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if the market for software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sales of our common stock by our existing stockholders could cause our stock price to decline.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our stockholders sell substantial amounts of our common stock in the public market, the market price of our common stock could decrease significantly. The perception in the public market that our stockholders might sell shares of our common stock could also depress the market price of our common stock. As of December 31, 2013, we had approximately 1.8 million shares of our common stock issuable under approved equity compensation plans which are covered by effective registration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Provisions of our certificate of incorporation and bylaws and applicable provisions of Delaware law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These provisions:</w:t>
      </w:r>
    </w:p>
    <w:p>
      <w:pPr>
        <w:spacing w:after="0" w:line="26" w:lineRule="exact"/>
        <w:rPr>
          <w:sz w:val="20"/>
          <w:szCs w:val="20"/>
          <w:color w:val="auto"/>
        </w:rPr>
      </w:pPr>
    </w:p>
    <w:p>
      <w:pPr>
        <w:ind w:left="660" w:right="1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90" w:lineRule="exact"/>
        <w:rPr>
          <w:rFonts w:ascii="Arial" w:cs="Arial" w:eastAsia="Arial" w:hAnsi="Arial"/>
          <w:sz w:val="18"/>
          <w:szCs w:val="18"/>
          <w:color w:val="auto"/>
        </w:rPr>
      </w:pPr>
    </w:p>
    <w:p>
      <w:pPr>
        <w:ind w:left="660" w:right="6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50"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declare dividends on our stock in the foreseeable future.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therefore, do not anticipate declaring or paying cash dividends on our common stock in the foreseeable future.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payment of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corporate headquarters, including our principal administrative, marketing, sales, technical support and research and development facilities, are located in Minneapolis, MN where we lease approximately 118,000 square feet under an agreement that expires on April 30, 2020. Our current lease agreement includes a right of first offer to lease certain additional space, and two options to extend the term of the lease for three years at a market rate determined in accordance with the lease.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also have operations in Parsippany, New Jersey, where we lease approximately 23,000 square feet under an agreement that expires on January 31, 2016.</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our current facilities are suitable and adequate to meet our current needs, and that suitable additional or substitute space will be available as needed to accommodate expansion of our operations.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has traded on the Nasdaq Global Market under the symbol “SPSC” since April 22, 2010, the date of our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The following table sets forth, for the periods indicated, the high and low sales prices for our common stock as reported on the Nasdaq Global Market.</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Fiscal 2012</w:t>
            </w:r>
          </w:p>
        </w:tc>
        <w:tc>
          <w:tcPr>
            <w:tcW w:w="3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$28.10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$22.91</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$30.49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$23.09</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$38.59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$28.32</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$41.32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$32.08</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Fiscal 2013</w:t>
            </w:r>
          </w:p>
        </w:tc>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$42.84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$36.50</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$57.34</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$39.16</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$73.53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$54.03</w:t>
            </w:r>
          </w:p>
        </w:tc>
        <w:tc>
          <w:tcPr>
            <w:tcW w:w="100" w:type="dxa"/>
            <w:vAlign w:val="bottom"/>
            <w:shd w:val="clear" w:color="auto" w:fill="CCEEFF"/>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$79.98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$60.37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As of February 5, 2014, we had 86 stockholders of record of our common stock, excluding holders whose stock is held either in</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name and/or street name brokerage accounts.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not historically paid dividends on our common stock. We intend to retain our future earnings, if any, to finance the expansion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of our business, and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Notwithstanding any statement to the contrary in any of our previous or future filings with the Securities and Exchange Commission, or SEC, the following information relating to the price performance of our common stock shall not be deemed to be “filed” with the SEC or to be “soliciting material” under the Securities Exchange Act of 1934, as amended, or the Exchange Act, and it shall not be deemed to be incorporated by reference into any of our filings under the Securities Act or the Exchange Act, except to the extent we specifically incorporate it by reference into such filing.</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graph below compares the cumulative total stockholder return of our common stock with that of the Nasdaq Composite Index and the Nasdaq Computer &amp; Data Processing Index from April 22, 2010 (the date on which our common stock commenced trading on the Nasdaq Global Market) through December 31, 2013. The graph assumes that $100 was invested in shares of our common stock, the Nasdaq Composite Index and the Nasdaq Computer &amp; Data Processing Index at the close of market on April 22, 2010, and that dividends, if any, were reinvested. The comparisons in this graph are based on historical data and are not intended to forecast or be indicative of future performance of our common stock.</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Cumulative Total Returns of SPS Commerce, Inc., Nasdaq Composite Index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Nasdaq Computer &amp; Data Processing Index</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6420" w:type="dxa"/>
            <w:vAlign w:val="bottom"/>
            <w:tcBorders>
              <w:top w:val="single" w:sz="8" w:color="auto"/>
              <w:left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Nasdaq Computer</w:t>
            </w:r>
          </w:p>
        </w:tc>
      </w:tr>
      <w:tr>
        <w:trPr>
          <w:trHeight w:val="149"/>
        </w:trPr>
        <w:tc>
          <w:tcPr>
            <w:tcW w:w="6420" w:type="dxa"/>
            <w:vAlign w:val="bottom"/>
            <w:tcBorders>
              <w:left w:val="single" w:sz="8" w:color="auto"/>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Nasdaq</w:t>
            </w:r>
          </w:p>
        </w:tc>
        <w:tc>
          <w:tcPr>
            <w:tcW w:w="1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&amp; Data</w:t>
            </w:r>
          </w:p>
        </w:tc>
      </w:tr>
      <w:tr>
        <w:trPr>
          <w:trHeight w:val="149"/>
        </w:trPr>
        <w:tc>
          <w:tcPr>
            <w:tcW w:w="6420" w:type="dxa"/>
            <w:vAlign w:val="bottom"/>
            <w:tcBorders>
              <w:left w:val="single" w:sz="8" w:color="auto"/>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Composite</w:t>
            </w:r>
          </w:p>
        </w:tc>
        <w:tc>
          <w:tcPr>
            <w:tcW w:w="1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Processing</w:t>
            </w:r>
          </w:p>
        </w:tc>
      </w:tr>
      <w:tr>
        <w:trPr>
          <w:trHeight w:val="161"/>
        </w:trPr>
        <w:tc>
          <w:tcPr>
            <w:tcW w:w="6420" w:type="dxa"/>
            <w:vAlign w:val="bottom"/>
            <w:tcBorders>
              <w:left w:val="single" w:sz="8" w:color="auto"/>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SPS Commerce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Index</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Index</w:t>
            </w:r>
          </w:p>
        </w:tc>
      </w:tr>
      <w:tr>
        <w:trPr>
          <w:trHeight w:val="210"/>
        </w:trPr>
        <w:tc>
          <w:tcPr>
            <w:tcW w:w="64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4/22/2010</w:t>
            </w: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100.0</w:t>
            </w:r>
          </w:p>
        </w:tc>
        <w:tc>
          <w:tcPr>
            <w:tcW w:w="1400" w:type="dxa"/>
            <w:vAlign w:val="bottom"/>
            <w:tcBorders>
              <w:bottom w:val="single" w:sz="8" w:color="auto"/>
              <w:right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100.0</w:t>
            </w:r>
          </w:p>
        </w:tc>
        <w:tc>
          <w:tcPr>
            <w:tcW w:w="1900" w:type="dxa"/>
            <w:vAlign w:val="bottom"/>
            <w:tcBorders>
              <w:bottom w:val="single" w:sz="8" w:color="auto"/>
              <w:right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rPr>
              <w:t>100.0</w:t>
            </w:r>
          </w:p>
        </w:tc>
      </w:tr>
      <w:tr>
        <w:trPr>
          <w:trHeight w:val="210"/>
        </w:trPr>
        <w:tc>
          <w:tcPr>
            <w:tcW w:w="6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6/30/2010</w:t>
            </w: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85.4</w:t>
            </w:r>
          </w:p>
        </w:tc>
        <w:tc>
          <w:tcPr>
            <w:tcW w:w="140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8"/>
                <w:szCs w:val="18"/>
                <w:color w:val="auto"/>
              </w:rPr>
              <w:t>83.9</w:t>
            </w:r>
          </w:p>
        </w:tc>
        <w:tc>
          <w:tcPr>
            <w:tcW w:w="1900" w:type="dxa"/>
            <w:vAlign w:val="bottom"/>
            <w:tcBorders>
              <w:bottom w:val="single" w:sz="8" w:color="auto"/>
              <w:right w:val="single" w:sz="8" w:color="auto"/>
            </w:tcBorders>
          </w:tcPr>
          <w:p>
            <w:pPr>
              <w:jc w:val="right"/>
              <w:ind w:right="358"/>
              <w:spacing w:after="0"/>
              <w:rPr>
                <w:sz w:val="20"/>
                <w:szCs w:val="20"/>
                <w:color w:val="auto"/>
              </w:rPr>
            </w:pPr>
            <w:r>
              <w:rPr>
                <w:rFonts w:ascii="Arial" w:cs="Arial" w:eastAsia="Arial" w:hAnsi="Arial"/>
                <w:sz w:val="18"/>
                <w:szCs w:val="18"/>
                <w:color w:val="auto"/>
              </w:rPr>
              <w:t>80.8</w:t>
            </w:r>
          </w:p>
        </w:tc>
      </w:tr>
      <w:tr>
        <w:trPr>
          <w:trHeight w:val="210"/>
        </w:trPr>
        <w:tc>
          <w:tcPr>
            <w:tcW w:w="64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12/31/2010</w:t>
            </w: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116.2</w:t>
            </w:r>
          </w:p>
        </w:tc>
        <w:tc>
          <w:tcPr>
            <w:tcW w:w="1400" w:type="dxa"/>
            <w:vAlign w:val="bottom"/>
            <w:tcBorders>
              <w:bottom w:val="single" w:sz="8" w:color="auto"/>
              <w:right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106.3</w:t>
            </w:r>
          </w:p>
        </w:tc>
        <w:tc>
          <w:tcPr>
            <w:tcW w:w="1900" w:type="dxa"/>
            <w:vAlign w:val="bottom"/>
            <w:tcBorders>
              <w:bottom w:val="single" w:sz="8" w:color="auto"/>
              <w:right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rPr>
              <w:t>108.3</w:t>
            </w:r>
          </w:p>
        </w:tc>
      </w:tr>
      <w:tr>
        <w:trPr>
          <w:trHeight w:val="210"/>
        </w:trPr>
        <w:tc>
          <w:tcPr>
            <w:tcW w:w="6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6/30/2011</w:t>
            </w: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130.8</w:t>
            </w:r>
          </w:p>
        </w:tc>
        <w:tc>
          <w:tcPr>
            <w:tcW w:w="140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8"/>
                <w:szCs w:val="18"/>
                <w:color w:val="auto"/>
              </w:rPr>
              <w:t>111.9</w:t>
            </w:r>
          </w:p>
        </w:tc>
        <w:tc>
          <w:tcPr>
            <w:tcW w:w="1900" w:type="dxa"/>
            <w:vAlign w:val="bottom"/>
            <w:tcBorders>
              <w:bottom w:val="single" w:sz="8" w:color="auto"/>
              <w:right w:val="single" w:sz="8" w:color="auto"/>
            </w:tcBorders>
          </w:tcPr>
          <w:p>
            <w:pPr>
              <w:jc w:val="right"/>
              <w:ind w:right="358"/>
              <w:spacing w:after="0"/>
              <w:rPr>
                <w:sz w:val="20"/>
                <w:szCs w:val="20"/>
                <w:color w:val="auto"/>
              </w:rPr>
            </w:pPr>
            <w:r>
              <w:rPr>
                <w:rFonts w:ascii="Arial" w:cs="Arial" w:eastAsia="Arial" w:hAnsi="Arial"/>
                <w:sz w:val="18"/>
                <w:szCs w:val="18"/>
                <w:color w:val="auto"/>
              </w:rPr>
              <w:t>110.8</w:t>
            </w:r>
          </w:p>
        </w:tc>
      </w:tr>
      <w:tr>
        <w:trPr>
          <w:trHeight w:val="210"/>
        </w:trPr>
        <w:tc>
          <w:tcPr>
            <w:tcW w:w="64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12/31/2011</w:t>
            </w: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190.8</w:t>
            </w:r>
          </w:p>
        </w:tc>
        <w:tc>
          <w:tcPr>
            <w:tcW w:w="1400" w:type="dxa"/>
            <w:vAlign w:val="bottom"/>
            <w:tcBorders>
              <w:bottom w:val="single" w:sz="8" w:color="auto"/>
              <w:right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106.8</w:t>
            </w:r>
          </w:p>
        </w:tc>
        <w:tc>
          <w:tcPr>
            <w:tcW w:w="1900" w:type="dxa"/>
            <w:vAlign w:val="bottom"/>
            <w:tcBorders>
              <w:bottom w:val="single" w:sz="8" w:color="auto"/>
              <w:right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rPr>
              <w:t>105.0</w:t>
            </w:r>
          </w:p>
        </w:tc>
      </w:tr>
      <w:tr>
        <w:trPr>
          <w:trHeight w:val="210"/>
        </w:trPr>
        <w:tc>
          <w:tcPr>
            <w:tcW w:w="6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6/29/2012</w:t>
            </w: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223.4</w:t>
            </w:r>
          </w:p>
        </w:tc>
        <w:tc>
          <w:tcPr>
            <w:tcW w:w="140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8"/>
                <w:szCs w:val="18"/>
                <w:color w:val="auto"/>
              </w:rPr>
              <w:t>121.9</w:t>
            </w:r>
          </w:p>
        </w:tc>
        <w:tc>
          <w:tcPr>
            <w:tcW w:w="1900" w:type="dxa"/>
            <w:vAlign w:val="bottom"/>
            <w:tcBorders>
              <w:bottom w:val="single" w:sz="8" w:color="auto"/>
              <w:right w:val="single" w:sz="8" w:color="auto"/>
            </w:tcBorders>
          </w:tcPr>
          <w:p>
            <w:pPr>
              <w:jc w:val="right"/>
              <w:ind w:right="358"/>
              <w:spacing w:after="0"/>
              <w:rPr>
                <w:sz w:val="20"/>
                <w:szCs w:val="20"/>
                <w:color w:val="auto"/>
              </w:rPr>
            </w:pPr>
            <w:r>
              <w:rPr>
                <w:rFonts w:ascii="Arial" w:cs="Arial" w:eastAsia="Arial" w:hAnsi="Arial"/>
                <w:sz w:val="18"/>
                <w:szCs w:val="18"/>
                <w:color w:val="auto"/>
              </w:rPr>
              <w:t>115.7</w:t>
            </w:r>
          </w:p>
        </w:tc>
      </w:tr>
      <w:tr>
        <w:trPr>
          <w:trHeight w:val="210"/>
        </w:trPr>
        <w:tc>
          <w:tcPr>
            <w:tcW w:w="64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12/31/2012</w:t>
            </w: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274.0</w:t>
            </w:r>
          </w:p>
        </w:tc>
        <w:tc>
          <w:tcPr>
            <w:tcW w:w="1400" w:type="dxa"/>
            <w:vAlign w:val="bottom"/>
            <w:tcBorders>
              <w:bottom w:val="single" w:sz="8" w:color="auto"/>
              <w:right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126.4</w:t>
            </w:r>
          </w:p>
        </w:tc>
        <w:tc>
          <w:tcPr>
            <w:tcW w:w="1900" w:type="dxa"/>
            <w:vAlign w:val="bottom"/>
            <w:tcBorders>
              <w:bottom w:val="single" w:sz="8" w:color="auto"/>
              <w:right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rPr>
              <w:t>119.6</w:t>
            </w:r>
          </w:p>
        </w:tc>
      </w:tr>
      <w:tr>
        <w:trPr>
          <w:trHeight w:val="210"/>
        </w:trPr>
        <w:tc>
          <w:tcPr>
            <w:tcW w:w="6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6/28/2013</w:t>
            </w: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404.4</w:t>
            </w:r>
          </w:p>
        </w:tc>
        <w:tc>
          <w:tcPr>
            <w:tcW w:w="140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8"/>
                <w:szCs w:val="18"/>
                <w:color w:val="auto"/>
              </w:rPr>
              <w:t>143.4</w:t>
            </w:r>
          </w:p>
        </w:tc>
        <w:tc>
          <w:tcPr>
            <w:tcW w:w="1900" w:type="dxa"/>
            <w:vAlign w:val="bottom"/>
            <w:tcBorders>
              <w:bottom w:val="single" w:sz="8" w:color="auto"/>
              <w:right w:val="single" w:sz="8" w:color="auto"/>
            </w:tcBorders>
          </w:tcPr>
          <w:p>
            <w:pPr>
              <w:jc w:val="right"/>
              <w:ind w:right="358"/>
              <w:spacing w:after="0"/>
              <w:rPr>
                <w:sz w:val="20"/>
                <w:szCs w:val="20"/>
                <w:color w:val="auto"/>
              </w:rPr>
            </w:pPr>
            <w:r>
              <w:rPr>
                <w:rFonts w:ascii="Arial" w:cs="Arial" w:eastAsia="Arial" w:hAnsi="Arial"/>
                <w:sz w:val="18"/>
                <w:szCs w:val="18"/>
                <w:color w:val="auto"/>
              </w:rPr>
              <w:t>137.5</w:t>
            </w:r>
          </w:p>
        </w:tc>
      </w:tr>
      <w:tr>
        <w:trPr>
          <w:trHeight w:val="210"/>
        </w:trPr>
        <w:tc>
          <w:tcPr>
            <w:tcW w:w="64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12/31/2013</w:t>
            </w: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480.1</w:t>
            </w:r>
          </w:p>
        </w:tc>
        <w:tc>
          <w:tcPr>
            <w:tcW w:w="1400" w:type="dxa"/>
            <w:vAlign w:val="bottom"/>
            <w:tcBorders>
              <w:bottom w:val="single" w:sz="8" w:color="auto"/>
              <w:right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176.0</w:t>
            </w:r>
          </w:p>
        </w:tc>
        <w:tc>
          <w:tcPr>
            <w:tcW w:w="1900" w:type="dxa"/>
            <w:vAlign w:val="bottom"/>
            <w:tcBorders>
              <w:bottom w:val="single" w:sz="8" w:color="auto"/>
              <w:right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rPr>
              <w:t>172.3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213985" cy="2169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40"/>
          </w:cols>
          <w:pgMar w:left="240" w:top="459" w:right="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Sales of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The following selected financial data should be read together with our audited financial statements and the related notes and with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which are included elsewhere in this Annual Report on Form 10-K. Our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are not necessarily indicative of results to be expected for any future period.</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statements of income data for each of the years ended December 31, 2013, 2012, and 2011; the balance sheet data as of December 31, 2013 and 2012; and the operating data relating to Adjusted EBITDA and non-GAAP income per diluted share for each of the years ended December 31, 2013, 2012 and 2011 have been derived from our audited annual consolidated financial statements which are included in this Annual Report on Form 10-K.</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statements of income data for the years ended December 31, 2010 and 2009; the balance sheet data as of December 31, 2011, 2010 and 2009; and the operating data relating to Adjusted EBITDA and non-GAAP income per diluted share for each of the years ended December 31, 2010 and 2009 have been derived from our audited annual consolidated financial statements which are not included in this Annual Report on Form 10-K.</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Adjusted EBITDA and non-GAAP income per diluted share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operating data relating to recurring revenue customers for all periods presented is unaudited and has been derived from our internal records of our operations.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10"/>
          </w:tcPr>
          <w:p>
            <w:pPr>
              <w:jc w:val="right"/>
              <w:ind w:right="620"/>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Statements of Income Data</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$104,391</w:t>
            </w: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77,106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$57,969</w:t>
            </w:r>
          </w:p>
        </w:tc>
        <w:tc>
          <w:tcPr>
            <w:tcW w:w="4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$44,597</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revenues(1)</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31,781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22,040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15,366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12,626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72,610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55,066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42,603</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31,971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Sales and marketing(1)</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39,621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30,037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23,836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16,601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development(1)</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8,166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General and administrative(1)</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17,189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13,524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11,151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7,985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assets(2)</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70,838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53,494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41,468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28,935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420"/>
              <w:spacing w:after="0"/>
              <w:rPr>
                <w:sz w:val="20"/>
                <w:szCs w:val="20"/>
                <w:color w:val="auto"/>
              </w:rPr>
            </w:pPr>
            <w:r>
              <w:rPr>
                <w:rFonts w:ascii="Arial" w:cs="Arial" w:eastAsia="Arial" w:hAnsi="Arial"/>
                <w:sz w:val="18"/>
                <w:szCs w:val="18"/>
                <w:color w:val="auto"/>
              </w:rPr>
              <w:t>Total other expense</w:t>
            </w: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Income tax (expense) benefit(3)</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12,619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1,222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13,703</w:t>
            </w: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13,056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11,960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8,036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15,931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7"/>
              </w:rPr>
              <w:t>13,910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12,744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11,596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9,268</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9"/>
              </w:rPr>
              <w:t>As of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2013</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3"/>
              </w:rPr>
              <w:t>2010</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$131,294</w:t>
            </w:r>
          </w:p>
        </w:tc>
        <w:tc>
          <w:tcPr>
            <w:tcW w:w="2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66,050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$31,985</w:t>
            </w:r>
          </w:p>
        </w:tc>
        <w:tc>
          <w:tcPr>
            <w:tcW w:w="4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2"/>
              </w:rPr>
              <w:t>$40,473</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137,160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7"/>
              </w:rPr>
              <w:t>77,040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36,773</w:t>
            </w:r>
          </w:p>
        </w:tc>
        <w:tc>
          <w:tcPr>
            <w:tcW w:w="4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42,552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assets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223,330</w:t>
            </w:r>
          </w:p>
        </w:tc>
        <w:tc>
          <w:tcPr>
            <w:tcW w:w="240" w:type="dxa"/>
            <w:vAlign w:val="bottom"/>
          </w:tcPr>
          <w:p>
            <w:pPr>
              <w:spacing w:after="0"/>
              <w:rPr>
                <w:sz w:val="18"/>
                <w:szCs w:val="18"/>
                <w:color w:val="auto"/>
              </w:rPr>
            </w:pPr>
          </w:p>
        </w:tc>
        <w:tc>
          <w:tcPr>
            <w:tcW w:w="960" w:type="dxa"/>
            <w:vAlign w:val="bottom"/>
            <w:gridSpan w:val="4"/>
          </w:tcPr>
          <w:p>
            <w:pPr>
              <w:jc w:val="right"/>
              <w:ind w:right="32"/>
              <w:spacing w:after="0"/>
              <w:rPr>
                <w:sz w:val="20"/>
                <w:szCs w:val="20"/>
                <w:color w:val="auto"/>
              </w:rPr>
            </w:pPr>
            <w:r>
              <w:rPr>
                <w:rFonts w:ascii="Arial" w:cs="Arial" w:eastAsia="Arial" w:hAnsi="Arial"/>
                <w:sz w:val="18"/>
                <w:szCs w:val="18"/>
                <w:color w:val="auto"/>
              </w:rPr>
              <w:t>159,201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77,618</w:t>
            </w:r>
          </w:p>
        </w:tc>
        <w:tc>
          <w:tcPr>
            <w:tcW w:w="4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57,880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11,642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9,913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5,283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debt(4)</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redeemable convertible preferred stock</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65,778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192,773</w:t>
            </w:r>
          </w:p>
        </w:tc>
        <w:tc>
          <w:tcPr>
            <w:tcW w:w="240" w:type="dxa"/>
            <w:vAlign w:val="bottom"/>
          </w:tcPr>
          <w:p>
            <w:pPr>
              <w:spacing w:after="0"/>
              <w:rPr>
                <w:sz w:val="19"/>
                <w:szCs w:val="19"/>
                <w:color w:val="auto"/>
              </w:rPr>
            </w:pPr>
          </w:p>
        </w:tc>
        <w:tc>
          <w:tcPr>
            <w:tcW w:w="960" w:type="dxa"/>
            <w:vAlign w:val="bottom"/>
            <w:gridSpan w:val="4"/>
          </w:tcPr>
          <w:p>
            <w:pPr>
              <w:jc w:val="right"/>
              <w:ind w:right="32"/>
              <w:spacing w:after="0"/>
              <w:rPr>
                <w:sz w:val="20"/>
                <w:szCs w:val="20"/>
                <w:color w:val="auto"/>
              </w:rPr>
            </w:pPr>
            <w:r>
              <w:rPr>
                <w:rFonts w:ascii="Arial" w:cs="Arial" w:eastAsia="Arial" w:hAnsi="Arial"/>
                <w:sz w:val="18"/>
                <w:szCs w:val="18"/>
                <w:color w:val="auto"/>
              </w:rPr>
              <w:t>134,817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59,553</w:t>
            </w:r>
          </w:p>
        </w:tc>
        <w:tc>
          <w:tcPr>
            <w:tcW w:w="4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43,508</w:t>
            </w:r>
          </w:p>
        </w:tc>
        <w:tc>
          <w:tcPr>
            <w:tcW w:w="260" w:type="dxa"/>
            <w:vAlign w:val="bottom"/>
          </w:tcPr>
          <w:p>
            <w:pPr>
              <w:spacing w:after="0"/>
              <w:rPr>
                <w:sz w:val="19"/>
                <w:szCs w:val="19"/>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(60,466)</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40" w:type="dxa"/>
            <w:vAlign w:val="bottom"/>
            <w:gridSpan w:val="3"/>
          </w:tcPr>
          <w:p>
            <w:pPr>
              <w:jc w:val="right"/>
              <w:ind w:right="43"/>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Year Ended December 31,</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517"/>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w w:val="96"/>
              </w:rPr>
              <w:t>2010</w:t>
            </w: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60" w:type="dxa"/>
            <w:vAlign w:val="bottom"/>
            <w:gridSpan w:val="5"/>
          </w:tcPr>
          <w:p>
            <w:pPr>
              <w:jc w:val="center"/>
              <w:ind w:right="297"/>
              <w:spacing w:after="0" w:line="142" w:lineRule="exact"/>
              <w:rPr>
                <w:sz w:val="20"/>
                <w:szCs w:val="20"/>
                <w:color w:val="auto"/>
              </w:rPr>
            </w:pPr>
            <w:r>
              <w:rPr>
                <w:rFonts w:ascii="Arial" w:cs="Arial" w:eastAsia="Arial" w:hAnsi="Arial"/>
                <w:sz w:val="14"/>
                <w:szCs w:val="14"/>
                <w:b w:val="1"/>
                <w:bCs w:val="1"/>
                <w:color w:val="auto"/>
                <w:w w:val="88"/>
              </w:rPr>
              <w:t>(Unaudited, adjusted EBITDA in thousands)</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Data</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Adjusted EBITDA(5)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97"/>
              <w:spacing w:after="0"/>
              <w:rPr>
                <w:sz w:val="20"/>
                <w:szCs w:val="20"/>
                <w:color w:val="auto"/>
              </w:rPr>
            </w:pPr>
            <w:r>
              <w:rPr>
                <w:rFonts w:ascii="Arial" w:cs="Arial" w:eastAsia="Arial" w:hAnsi="Arial"/>
                <w:sz w:val="18"/>
                <w:szCs w:val="18"/>
                <w:color w:val="auto"/>
                <w:w w:val="87"/>
              </w:rPr>
              <w:t>13,774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8,997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17"/>
              <w:spacing w:after="0"/>
              <w:rPr>
                <w:sz w:val="20"/>
                <w:szCs w:val="20"/>
                <w:color w:val="auto"/>
              </w:rPr>
            </w:pPr>
            <w:r>
              <w:rPr>
                <w:rFonts w:ascii="Arial" w:cs="Arial" w:eastAsia="Arial" w:hAnsi="Arial"/>
                <w:sz w:val="18"/>
                <w:szCs w:val="18"/>
                <w:color w:val="auto"/>
              </w:rPr>
              <w:t>5,410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5,175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diluted share(6)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0.31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Recurring revenue customers(7)</w:t>
            </w:r>
          </w:p>
        </w:tc>
        <w:tc>
          <w:tcPr>
            <w:tcW w:w="80" w:type="dxa"/>
            <w:vAlign w:val="bottom"/>
          </w:tcPr>
          <w:p>
            <w:pPr>
              <w:spacing w:after="0"/>
              <w:rPr>
                <w:sz w:val="19"/>
                <w:szCs w:val="19"/>
                <w:color w:val="auto"/>
              </w:rPr>
            </w:pPr>
          </w:p>
        </w:tc>
        <w:tc>
          <w:tcPr>
            <w:tcW w:w="780" w:type="dxa"/>
            <w:vAlign w:val="bottom"/>
          </w:tcPr>
          <w:p>
            <w:pPr>
              <w:jc w:val="right"/>
              <w:ind w:right="197"/>
              <w:spacing w:after="0"/>
              <w:rPr>
                <w:sz w:val="20"/>
                <w:szCs w:val="20"/>
                <w:color w:val="auto"/>
              </w:rPr>
            </w:pPr>
            <w:r>
              <w:rPr>
                <w:rFonts w:ascii="Arial" w:cs="Arial" w:eastAsia="Arial" w:hAnsi="Arial"/>
                <w:sz w:val="18"/>
                <w:szCs w:val="18"/>
                <w:color w:val="auto"/>
                <w:w w:val="87"/>
              </w:rPr>
              <w:t>19,690</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17,977</w:t>
            </w:r>
          </w:p>
        </w:tc>
        <w:tc>
          <w:tcPr>
            <w:tcW w:w="600" w:type="dxa"/>
            <w:vAlign w:val="bottom"/>
          </w:tcPr>
          <w:p>
            <w:pPr>
              <w:spacing w:after="0"/>
              <w:rPr>
                <w:sz w:val="19"/>
                <w:szCs w:val="19"/>
                <w:color w:val="auto"/>
              </w:rPr>
            </w:pPr>
          </w:p>
        </w:tc>
        <w:tc>
          <w:tcPr>
            <w:tcW w:w="1000" w:type="dxa"/>
            <w:vAlign w:val="bottom"/>
          </w:tcPr>
          <w:p>
            <w:pPr>
              <w:jc w:val="right"/>
              <w:ind w:right="417"/>
              <w:spacing w:after="0"/>
              <w:rPr>
                <w:sz w:val="20"/>
                <w:szCs w:val="20"/>
                <w:color w:val="auto"/>
              </w:rPr>
            </w:pPr>
            <w:r>
              <w:rPr>
                <w:rFonts w:ascii="Arial" w:cs="Arial" w:eastAsia="Arial" w:hAnsi="Arial"/>
                <w:sz w:val="18"/>
                <w:szCs w:val="18"/>
                <w:color w:val="auto"/>
                <w:w w:val="87"/>
              </w:rPr>
              <w:t>16,129</w:t>
            </w:r>
          </w:p>
        </w:tc>
        <w:tc>
          <w:tcPr>
            <w:tcW w:w="160" w:type="dxa"/>
            <w:vAlign w:val="bottom"/>
          </w:tcPr>
          <w:p>
            <w:pPr>
              <w:spacing w:after="0"/>
              <w:rPr>
                <w:sz w:val="19"/>
                <w:szCs w:val="19"/>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w w:val="83"/>
              </w:rPr>
              <w:t>12,399</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11,003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Sales and marketing</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1,481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471</w:t>
            </w: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986</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7"/>
        </w:trPr>
        <w:tc>
          <w:tcPr>
            <w:tcW w:w="4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4,203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2,755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1,768</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750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228</w:t>
            </w:r>
          </w:p>
        </w:tc>
        <w:tc>
          <w:tcPr>
            <w:tcW w:w="100" w:type="dxa"/>
            <w:vAlign w:val="bottom"/>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5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2013, amortization of intangible assets included $290,000 for the impairment of a certain non-competition agreement. For 2009, amortization of intangible assets was $155,000 and was included in general and administrative expense.</w:t>
      </w:r>
    </w:p>
    <w:p>
      <w:pPr>
        <w:spacing w:after="0" w:line="5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2011, we determined it was more-likely-than-not that we would be able to realize a substantial portion of our deferred tax assets and, therefore, we recorded an income tax benefit of $12.8 million for the reversal of the valuation allowance on these deferred tax assets.</w:t>
      </w:r>
    </w:p>
    <w:p>
      <w:pPr>
        <w:spacing w:after="0" w:line="4" w:lineRule="exact"/>
        <w:rPr>
          <w:rFonts w:ascii="Arial" w:cs="Arial" w:eastAsia="Arial" w:hAnsi="Arial"/>
          <w:sz w:val="16"/>
          <w:szCs w:val="16"/>
          <w:color w:val="auto"/>
        </w:rPr>
      </w:pPr>
    </w:p>
    <w:p>
      <w:pPr>
        <w:ind w:left="460" w:right="4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debt consisted of our current and long-term capital lease obligations, current and long-term equipment and term loans, line of credit and interest payable.</w:t>
      </w:r>
    </w:p>
    <w:p>
      <w:pPr>
        <w:spacing w:after="0" w:line="50" w:lineRule="exact"/>
        <w:rPr>
          <w:rFonts w:ascii="Arial" w:cs="Arial" w:eastAsia="Arial" w:hAnsi="Arial"/>
          <w:sz w:val="18"/>
          <w:szCs w:val="18"/>
          <w:color w:val="auto"/>
        </w:rPr>
      </w:pPr>
    </w:p>
    <w:p>
      <w:pPr>
        <w:ind w:left="460" w:hanging="452"/>
        <w:spacing w:after="0" w:line="289"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consists of net income plus depreciation and amortization, interest expense, interest income, income tax expense (benefit), non-cash, stock-based compensation expense and other adjustments as necessary for a fair presentation. In 2013, other adjustments included the impact of a use tax refund related to items previously expensed.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to Adjusted EBITDA (in thousands):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2"/>
                <w:szCs w:val="12"/>
                <w:color w:val="auto"/>
              </w:rPr>
            </w:pPr>
          </w:p>
        </w:tc>
        <w:tc>
          <w:tcPr>
            <w:tcW w:w="7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$2,884</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8,051</w:t>
            </w:r>
          </w:p>
        </w:tc>
        <w:tc>
          <w:tcPr>
            <w:tcW w:w="1000" w:type="dxa"/>
            <w:vAlign w:val="bottom"/>
            <w:gridSpan w:val="3"/>
          </w:tcPr>
          <w:p>
            <w:pPr>
              <w:jc w:val="right"/>
              <w:ind w:right="212"/>
              <w:spacing w:after="0"/>
              <w:rPr>
                <w:sz w:val="20"/>
                <w:szCs w:val="20"/>
                <w:color w:val="auto"/>
              </w:rPr>
            </w:pPr>
            <w:r>
              <w:rPr>
                <w:rFonts w:ascii="Arial" w:cs="Arial" w:eastAsia="Arial" w:hAnsi="Arial"/>
                <w:sz w:val="18"/>
                <w:szCs w:val="18"/>
                <w:color w:val="auto"/>
              </w:rPr>
              <w:t>4,918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2,647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1,533</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income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000" w:type="dxa"/>
            <w:vAlign w:val="bottom"/>
            <w:gridSpan w:val="3"/>
          </w:tcPr>
          <w:p>
            <w:pPr>
              <w:jc w:val="right"/>
              <w:ind w:right="152"/>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(158)</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w:t>
            </w:r>
          </w:p>
        </w:tc>
        <w:tc>
          <w:tcPr>
            <w:tcW w:w="10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(12,619)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9,571</w:t>
            </w:r>
          </w:p>
        </w:tc>
        <w:tc>
          <w:tcPr>
            <w:tcW w:w="10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6,242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4,203</w:t>
            </w:r>
          </w:p>
        </w:tc>
        <w:tc>
          <w:tcPr>
            <w:tcW w:w="1000" w:type="dxa"/>
            <w:vAlign w:val="bottom"/>
            <w:gridSpan w:val="3"/>
          </w:tcPr>
          <w:p>
            <w:pPr>
              <w:jc w:val="right"/>
              <w:ind w:right="212"/>
              <w:spacing w:after="0"/>
              <w:rPr>
                <w:sz w:val="20"/>
                <w:szCs w:val="20"/>
                <w:color w:val="auto"/>
              </w:rPr>
            </w:pPr>
            <w:r>
              <w:rPr>
                <w:rFonts w:ascii="Arial" w:cs="Arial" w:eastAsia="Arial" w:hAnsi="Arial"/>
                <w:sz w:val="18"/>
                <w:szCs w:val="18"/>
                <w:color w:val="auto"/>
              </w:rPr>
              <w:t>2,755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1,768</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13,774</w:t>
            </w:r>
          </w:p>
        </w:tc>
        <w:tc>
          <w:tcPr>
            <w:tcW w:w="10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40" w:type="dxa"/>
            <w:vAlign w:val="bottom"/>
            <w:vMerge w:val="restart"/>
          </w:tcPr>
          <w:p>
            <w:pPr>
              <w:jc w:val="right"/>
              <w:ind w:right="252"/>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Non-GAAP income per share consists of net income plus non-cash, stock-based compensation expense and amortization expense related to intangible assets minus the deferred tax asset valuation allowance reversal divided by the weighted average number of shares of common stock outstanding during each period. We believe non-GAAP income per share is useful to an investor because it is widely used to measure a company’s operating performance. The following table provides a reconciliation of net income to non-GAAP income per share (in thousands, except per share amounts):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Deferred tax asset valuation allowance reversal</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(12,802)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Non-GAAP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Non-GAAP 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15,201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13,056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11,960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13,910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12,744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11,596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6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reflects the number of recurring revenue customers at the end of the period. Recurring revenue customers are customers with contracts to pay us monthly fees. A minority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days prior notice.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are a leading provider of cloud-based supply chain management solutions, providing prewired, proven integrations and comprehensive retail performance analytics to thousands of customers worldwide. We provide our solutions through the SPS Commerce platform, a cloud-based services suite that improves the way suppliers, retailers, distributors and other customers manage and fulfill orders. We derive the majority of our revenues from thousands of monthly recurring subscriptions from businesses that utilize our solutions.</w:t>
      </w:r>
    </w:p>
    <w:p>
      <w:pPr>
        <w:spacing w:after="0" w:line="143"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8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For 2013, 2012 and 2011, we generated revenues of $104.4 million, $77.1 million and $58.0 million, respectively. Our fiscal quarter ended December 31, 2013 represented our 52</w:t>
      </w:r>
      <w:r>
        <w:rPr>
          <w:rFonts w:ascii="Arial" w:cs="Arial" w:eastAsia="Arial" w:hAnsi="Arial"/>
          <w:sz w:val="11"/>
          <w:szCs w:val="11"/>
          <w:color w:val="auto"/>
        </w:rPr>
        <w:t>nd</w:t>
      </w:r>
      <w:r>
        <w:rPr>
          <w:rFonts w:ascii="Arial" w:cs="Arial" w:eastAsia="Arial" w:hAnsi="Arial"/>
          <w:sz w:val="18"/>
          <w:szCs w:val="18"/>
          <w:color w:val="auto"/>
        </w:rPr>
        <w:t xml:space="preserve"> consecutive quarter of increased revenues. Recurring revenues from recurring revenue customers accounted for 89%, 88% and 85% of our total revenues for 2013, 2012 and 2011, respectively. Our revenues are not concentrated with any customer, as our largest customer represented 2% or less of total revenues in 2013, 2012 and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Trading Partner Integration. </w:t>
      </w:r>
      <w:r>
        <w:rPr>
          <w:rFonts w:ascii="Arial" w:cs="Arial" w:eastAsia="Arial" w:hAnsi="Arial"/>
          <w:sz w:val="16"/>
          <w:szCs w:val="16"/>
          <w:color w:val="auto"/>
        </w:rPr>
        <w:t>Our revenues primarily consist of monthly revenues from our customers for our Trading Partner Integration solution. This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 consists of a monthly subscription fee and a transaction-based fee. We also receive set-up fees for initial integration services we provide to our customers. Most of our customers have contracts with us that may be terminated by the customer by providing 30 days prior notice.</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Trading Partner Enablement. </w:t>
      </w:r>
      <w:r>
        <w:rPr>
          <w:rFonts w:ascii="Arial" w:cs="Arial" w:eastAsia="Arial" w:hAnsi="Arial"/>
          <w:sz w:val="18"/>
          <w:szCs w:val="18"/>
          <w:color w:val="auto"/>
        </w:rPr>
        <w:t>Our Trading Partner Enablement solution helps organizations, typically large retailers, to implement new integrations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partners. This solution ranges from Electronic Data Interchange testing and certification to more complex business workflow automation and results in a one-time payment to us.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Trading Partner Intelligence. </w:t>
      </w:r>
      <w:r>
        <w:rPr>
          <w:rFonts w:ascii="Arial" w:cs="Arial" w:eastAsia="Arial" w:hAnsi="Arial"/>
          <w:sz w:val="16"/>
          <w:szCs w:val="16"/>
          <w:color w:val="auto"/>
        </w:rPr>
        <w:t>Our Trading Partner Intelligence solution consists of data analytics applications which allow our customers to improve their</w:t>
      </w:r>
      <w:r>
        <w:rPr>
          <w:rFonts w:ascii="Arial" w:cs="Arial" w:eastAsia="Arial" w:hAnsi="Arial"/>
          <w:sz w:val="16"/>
          <w:szCs w:val="16"/>
          <w:i w:val="1"/>
          <w:iCs w:val="1"/>
          <w:color w:val="auto"/>
        </w:rPr>
        <w:t xml:space="preserve"> </w:t>
      </w:r>
      <w:r>
        <w:rPr>
          <w:rFonts w:ascii="Arial" w:cs="Arial" w:eastAsia="Arial" w:hAnsi="Arial"/>
          <w:sz w:val="16"/>
          <w:szCs w:val="16"/>
          <w:color w:val="auto"/>
        </w:rPr>
        <w:t>visibility across, and analysis of, their supply chains. Through interactive data analysis, our retailer customers improve their visibility into supplier performance and their understanding of product sell-through. Our revenues for this solution primarily consist of a monthly subscription fee.</w:t>
      </w:r>
    </w:p>
    <w:p>
      <w:pPr>
        <w:spacing w:after="0" w:line="10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i w:val="1"/>
          <w:iCs w:val="1"/>
          <w:color w:val="auto"/>
        </w:rPr>
        <w:t xml:space="preserve">Other Trading Partner Solutions. </w:t>
      </w:r>
      <w:r>
        <w:rPr>
          <w:rFonts w:ascii="Arial" w:cs="Arial" w:eastAsia="Arial" w:hAnsi="Arial"/>
          <w:sz w:val="16"/>
          <w:szCs w:val="16"/>
          <w:color w:val="auto"/>
        </w:rPr>
        <w:t>The remainder of our revenues is derived from solutions that allow our customers to perform tasks such as barcode</w:t>
      </w:r>
      <w:r>
        <w:rPr>
          <w:rFonts w:ascii="Arial" w:cs="Arial" w:eastAsia="Arial" w:hAnsi="Arial"/>
          <w:sz w:val="16"/>
          <w:szCs w:val="16"/>
          <w:i w:val="1"/>
          <w:iCs w:val="1"/>
          <w:color w:val="auto"/>
        </w:rPr>
        <w:t xml:space="preserve"> </w:t>
      </w:r>
      <w:r>
        <w:rPr>
          <w:rFonts w:ascii="Arial" w:cs="Arial" w:eastAsia="Arial" w:hAnsi="Arial"/>
          <w:sz w:val="16"/>
          <w:szCs w:val="16"/>
          <w:color w:val="auto"/>
        </w:rPr>
        <w:t>labeling or picking-and-packaging information tracking as well as purchases of miscellaneous supplies. These revenues are primarily transaction-based.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Overhead Allocation. </w:t>
      </w:r>
      <w:r>
        <w:rPr>
          <w:rFonts w:ascii="Arial" w:cs="Arial" w:eastAsia="Arial" w:hAnsi="Arial"/>
          <w:sz w:val="18"/>
          <w:szCs w:val="18"/>
          <w:color w:val="auto"/>
        </w:rPr>
        <w:t>We allocate overhead expenses such as rent, certain employee benefit costs, office supplies and depreciation of general office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to cost of revenues and operating expenses categories based on headcount.</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consist primarily of personnel costs for our implementation teams, customer support personnel and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personnel. Cost of revenues also includes our cost of network services, which is primarily data center costs for the locations where we keep the equipment that serves our customers, and connectivity costs that facilitate electronic data transmission between our customers and their trading partners.</w:t>
      </w:r>
    </w:p>
    <w:p>
      <w:pPr>
        <w:spacing w:after="0" w:line="10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personnel costs for our sales, marketing and product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teams, commissions earned by our sales personnel and marketing costs. In order to expand our business, we will continue to add resources to our sales and marketing efforts over time.</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consist primarily of personnel costs for development and maintenance of</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solutions. Our research and development group is also responsible for enhancing existing solutions and applications as well as internal tools and developing new information maps that integrate our customers to their trading partners in compliance with those trading partners’ requirements.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personnel costs for finance, human resources and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support, as well as legal, accounting and other fees, such as credit card processing fees.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Metrics</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 xml:space="preserve">Recurring Revenue Customers. </w:t>
      </w:r>
      <w:r>
        <w:rPr>
          <w:rFonts w:ascii="Arial" w:cs="Arial" w:eastAsia="Arial" w:hAnsi="Arial"/>
          <w:sz w:val="15"/>
          <w:szCs w:val="15"/>
          <w:color w:val="auto"/>
        </w:rPr>
        <w:t>As of December 31, 2013, we had approximately 19,700 customers with contracts to pay us monthly fees, which we refer</w:t>
      </w:r>
      <w:r>
        <w:rPr>
          <w:rFonts w:ascii="Arial" w:cs="Arial" w:eastAsia="Arial" w:hAnsi="Arial"/>
          <w:sz w:val="15"/>
          <w:szCs w:val="15"/>
          <w:i w:val="1"/>
          <w:iCs w:val="1"/>
          <w:color w:val="auto"/>
        </w:rPr>
        <w:t xml:space="preserve"> </w:t>
      </w:r>
      <w:r>
        <w:rPr>
          <w:rFonts w:ascii="Arial" w:cs="Arial" w:eastAsia="Arial" w:hAnsi="Arial"/>
          <w:sz w:val="15"/>
          <w:szCs w:val="15"/>
          <w:color w:val="auto"/>
        </w:rPr>
        <w:t>to as recurring revenue customers. We report recurring revenue customers at the end of a period. A small portion of our recurring revenue customers consists of separate units within a larger organization. We treat each of these units, which may include divisions, departments, affiliates and franchises, as distinct customers.</w:t>
      </w:r>
    </w:p>
    <w:p>
      <w:pPr>
        <w:spacing w:after="0" w:line="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Average Recurring Revenues Per Recurring Revenue Customer. </w:t>
      </w:r>
      <w:r>
        <w:rPr>
          <w:rFonts w:ascii="Arial" w:cs="Arial" w:eastAsia="Arial" w:hAnsi="Arial"/>
          <w:sz w:val="16"/>
          <w:szCs w:val="16"/>
          <w:color w:val="auto"/>
        </w:rPr>
        <w:t>We calculate average recurring revenues per recurring revenue customer, which we also</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as wallet share, by dividing the recurring revenues from recurring revenue customers for the period by the average of the beginning and ending number of recurring revenue customers for the period. For interim periods, we annualize this number by multiplying the quotient calculated above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Non-GAAP Financial Measures. </w:t>
      </w:r>
      <w:r>
        <w:rPr>
          <w:rFonts w:ascii="Arial" w:cs="Arial" w:eastAsia="Arial" w:hAnsi="Arial"/>
          <w:sz w:val="16"/>
          <w:szCs w:val="16"/>
          <w:color w:val="auto"/>
        </w:rPr>
        <w:t>To supplement our financial statements, we also provide investors with Adjusted EBITDA and non-GAAP income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These non-GAAP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operations is based upon our financial statements, which are prepared in accordance with accounting principles generally accepted in the United States, or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believe that of our significant accounting policies, which are described in the notes to our financial statements,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right="800" w:firstLine="456"/>
        <w:spacing w:after="0" w:line="259" w:lineRule="auto"/>
        <w:rPr>
          <w:sz w:val="20"/>
          <w:szCs w:val="20"/>
          <w:color w:val="auto"/>
        </w:rPr>
      </w:pPr>
      <w:r>
        <w:rPr>
          <w:rFonts w:ascii="Arial" w:cs="Arial" w:eastAsia="Arial" w:hAnsi="Arial"/>
          <w:sz w:val="18"/>
          <w:szCs w:val="18"/>
          <w:color w:val="auto"/>
        </w:rPr>
        <w:t>We generate revenues by providing a number of solutions to our customers. These solutions include Trading Partner Integration, Trading Partner Enablement and Trading Partner Intelligence. All of our solutions are hosted applications that allow customers to meet their supply chain management requirements. Sales taxes are presented on a net basis within revenue.</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Revenues are recorded when all of the following criteria are met: (1) persuasive evidence of an arrangement exists, (2) delivery has occurred, (3) the fee is fixed or determinable, and (4) collectability is probable. If collection is not considered probable, revenues are recognized when the fees are collected.</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Fees related to our Trading Partner Integration, Trading Partner Enablement and Trading Partner Intelligence solutions consist of two revenue sources: set-up fees and recurring monthly fees. Set-up fees are specific for each connection a customer has with a trading partner and most of our customers have connections with numerous trading partners. Set-up fees are nonrefundable upfront fees that do not have standalone value to our customer and are not separable from the recurring monthly fees. All set-up fees and related costs are deferred and recognized ratably over the average life of the connection between the customer and the trading partner, which is approximately two years. We begin recognizing set-up fee revenue once the connection is established. Set-up fees for which connections have not yet been established are classified as long-term. We continue to evaluate the length of the amortization period as more experience is gained with contract cancellations and technology changes requested by our customers. It is possible that, in the future, the period over which such subscription set-up fees and costs are amortized may be adjusted. Any change in our estimate of the average connection life will affect our future results of operations. The recurring monthly fees are comprised of both fixed and transaction-based fees that are recognized as earned.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maintain an allowance for doubtful accounts for estimated losses resulting from our customers’ inability to pay us. The provision is based on our historical experience and for specific customers that, in our opinion, are likely to default on our receivables from them. In order to identify these customers, we perform ongoing reviews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of all customers that have breached their payment terms, as well as those that have filed for bankruptcy or for whom information has become available indicating a significant risk of non-recoverability. In addition, we have experienced significant growth in the number of our customers, and we have less payment history to rely upon with these customers. We rely on historical trends of bad debt as a percentage of total revenues and apply these percentages to the accounts receivable associated with new customers and evaluate these customers over time. To the extent that our future collections differ from our assumptions based on historical experience, the amount of our bad debt and allowance recorded may be different.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account for income taxes using the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it is not “more likely than not” that the deferred tax asset will be utilized.</w:t>
      </w:r>
    </w:p>
    <w:p>
      <w:pPr>
        <w:spacing w:after="0" w:line="11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assess our ability to realize our deferred tax assets on a regular and periodic basis. Realization of our deferred tax assets is contingent upon future taxable earnings. Accordingly, this assessment requires significant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9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Stock-based compensation is measured at the grant date, based on the fair value of the award, and is recognized as an expense over the vesting period of the award. Determining the appropriate fair value model and calculating the fair value of stock-based payment awards require the use of subjective assumptions, including the expected life of the stock-based payment awards and stock price volatility. We use the Black-Scholes option pricing model to value our award grants and determine the related compensation expense. The assumptions used in calculating the fair value of stock-based payment awards represent management’s best estimates, but the estimates involve inherent uncertainties and the application of management judgment. As a result, if factors change and we use different assumptions, our stock-based compensation expense could be materially different in the future. We expect to continue to grant stock-based awards in the future, and to the extent that we do, our actual stock-based compensation expense recognized in future periods will likely increase.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becoming a public entity in 2010, historic volatility was not available for our shares. As a result, we estimated volatility based on a peer group of companies, which collectively provided a reasonable basis for estimating volatility. We intend to continue to consistently use the same group of publicly traded peer companies to determine volatility in the future until sufficient information regarding volatility of our share price becomes available or the selected companies are no longer suitable for this purpose.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Goodwill and Purchased Intangible Assets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in a business combination. Assets acquired may include identifiable intangible assets, such as subscriber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relationships, which are recognized separately from goodwill. Historically, we have engaged a third-party valuation firm to assist us in the determination of the value and useful lives of the purchased intangible assets using certain estimates and assumptions.</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were to exceed the fair value of the reporting unit, the goodwill may be impaired. If this were to occur, the fair value would then be allocated to assets and liabilities in a manner similar to a purchase price allocation in order to determine the implied fair value of the goodwill. This implied fair value would then be compared to the carrying amount of the goodwill and, if it were less, an impairment loss would be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55"/>
              <w:spacing w:after="0" w:line="142" w:lineRule="exact"/>
              <w:rPr>
                <w:sz w:val="20"/>
                <w:szCs w:val="20"/>
                <w:color w:val="auto"/>
              </w:rPr>
            </w:pPr>
            <w:r>
              <w:rPr>
                <w:rFonts w:ascii="Arial" w:cs="Arial" w:eastAsia="Arial" w:hAnsi="Arial"/>
                <w:sz w:val="14"/>
                <w:szCs w:val="14"/>
                <w:b w:val="1"/>
                <w:bCs w:val="1"/>
                <w:color w:val="auto"/>
                <w:w w:val="96"/>
              </w:rPr>
              <w:t>2013</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672"/>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104,391</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77,106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$27,285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22,040</w:t>
            </w:r>
          </w:p>
        </w:tc>
        <w:tc>
          <w:tcPr>
            <w:tcW w:w="14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28.6</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9,741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55,066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71.4</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17,544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30,037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9,584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8,166</w:t>
            </w:r>
          </w:p>
        </w:tc>
        <w:tc>
          <w:tcPr>
            <w:tcW w:w="1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2,704</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13,524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3,665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4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1,391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53,494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69.4</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17,344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1"/>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1,572</w:t>
            </w:r>
          </w:p>
        </w:tc>
        <w:tc>
          <w:tcPr>
            <w:tcW w:w="14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200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8"/>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27</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66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1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194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394</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7"/>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1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(565)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352"/>
              <w:spacing w:after="0"/>
              <w:rPr>
                <w:sz w:val="20"/>
                <w:szCs w:val="20"/>
                <w:color w:val="auto"/>
              </w:rPr>
            </w:pPr>
            <w:r>
              <w:rPr>
                <w:rFonts w:ascii="Arial" w:cs="Arial" w:eastAsia="Arial" w:hAnsi="Arial"/>
                <w:sz w:val="18"/>
                <w:szCs w:val="18"/>
                <w:color w:val="auto"/>
              </w:rPr>
              <w:t>(171)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2013 increased $27.3 million, or 35%, to $104.4 million from $77.1 million for 2012. The increase in revenues resulted from two</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factors: the increase in recurring revenue customers and the increase in average recurring revenues per recurring revenue customer, which we also refer to as wallet share.</w:t>
      </w:r>
    </w:p>
    <w:p>
      <w:pPr>
        <w:spacing w:after="0" w:line="59" w:lineRule="exact"/>
        <w:rPr>
          <w:sz w:val="20"/>
          <w:szCs w:val="20"/>
          <w:color w:val="auto"/>
        </w:rPr>
      </w:pPr>
    </w:p>
    <w:p>
      <w:pPr>
        <w:ind w:left="5620" w:right="1740" w:hanging="5166"/>
        <w:spacing w:after="0" w:line="440" w:lineRule="auto"/>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10% to 19,690 at December 31, 2013 from 17,977 at December 31, 2012. 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2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recurring revenues per recurring revenue customer, or wallet share, increased 24% to $4,920 for 2013 from $3,964 for 2012. This increase in wallet share was primarily attributable to increased fees resulting from increased usage of our solutions by our recurring revenue customers and growth in larger customers, including those acquired from Edifice in 2012.</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Recurring revenues from recurring revenue customers accounted for 89% of our total revenues for 2013, compared to 88% for 2012. We anticipate that the number of recurring revenue customers and wallet share will continue to increase as we increase the number of solutions we offer and increase the penetration of those solutions across our customer base.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2013 were $31.8 million, an increase of $9.7 million, or 44%, from $22.0 million for 2012. This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increased headcount in 2013 which resulted in higher personnel costs. We also incurred higher expenses for depreciation, occupancy and network services in 2013 as compared to 2012. As a percentage of revenues, cost of revenues was 30% for 2013 compared to 29% for 2012. Going forward, we anticipate that cost of revenues will increase in absolute dollars as we continue to expand our business.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2013 increased $9.6 million, or 32%, to $39.6 million from $30.0 million for 2012.</w:t>
      </w:r>
      <w:r>
        <w:rPr>
          <w:rFonts w:ascii="Arial" w:cs="Arial" w:eastAsia="Arial" w:hAnsi="Arial"/>
          <w:sz w:val="16"/>
          <w:szCs w:val="16"/>
          <w:i w:val="1"/>
          <w:iCs w:val="1"/>
          <w:color w:val="auto"/>
        </w:rPr>
        <w:t xml:space="preserve"> </w:t>
      </w:r>
      <w:r>
        <w:rPr>
          <w:rFonts w:ascii="Arial" w:cs="Arial" w:eastAsia="Arial" w:hAnsi="Arial"/>
          <w:sz w:val="16"/>
          <w:szCs w:val="16"/>
          <w:color w:val="auto"/>
        </w:rPr>
        <w:t>This increase was primarily due to increased headcount in 2013, which resulted in higher personnel costs, as well as increased commissions earned by sales personnel from new business. We also incurred increased expenses for depreciation, stock-based compensation and occupancy in 2013 as compared to 2012. As a percentage of revenues, sales and marketing expenses were 38% for 2013 compared to 39% for 2012. As we expand our business, we will continue to add resources to our sales and marketing efforts over time, and we expect that these expenses will continue to increase in absolute dollars.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2013 were $10.9 million, an increase of $2.7 million, or 33%, from $8.1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2012. This increase was primarily due to increased headcount in 2013 which resulted in higher personnel costs. Also contributing to the increase were higher expenses for depreciation, software subscriptions, stock-based compensation and occupancy in 2013 as compared to 2012. As a percentage of revenues, research and development expenses were 10% for 2013 and 11% for 2012. As we enhance and expand our solutions and applications, we expect that research and development expenses will continue to increase in absolute dollars.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2013 increased $3.7 million, or 27%, to $17.2 million from $13.5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2012. This increase was due to increased headcount in 2013, which resulted in higher personnel costs, as well as increased stock-based compensation, depreciation and software maintenance and subscription expenses compared to 2012. In addition, legal expenses in 2013 decreased slightly as compared to 2012. As a percentage of revenues, general and administrative expenses were 17% for 2013, compared to 18% for 2012. Going forward, we expect that general and administrative expenses will continue to increase in absolute dollars as we expand our business.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expense for the year ended December 31, 2013 included $290,000 for the impairment of a certain non-competition agreement.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Income Tax Benefit (Expense). </w:t>
      </w:r>
      <w:r>
        <w:rPr>
          <w:rFonts w:ascii="Arial" w:cs="Arial" w:eastAsia="Arial" w:hAnsi="Arial"/>
          <w:sz w:val="18"/>
          <w:szCs w:val="18"/>
          <w:color w:val="auto"/>
        </w:rPr>
        <w:t>Our 2013 provision for income taxes was $686,000 and included current state and foreign income taxes as well as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and state income taxes. It also included a one-time tax benefit for the retroactive benefit of the 2012 federal R&amp;D credit. The American Taxpayer Relief Act of 2012 was enacted on January 2, 2013 and extended the federal R&amp;D credit from January 1, 2012 through December 31, 2013. If this one-time tax benefit were excluded, our 2013 provision for income taxes would have been $803,000.</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2012 provision for income taxes was $121,000 and included current state and foreign income taxes as well as deferred federal and state income taxes. It also included one-time tax benefits related to true-up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adjustments for prior years and increased state effective tax rates. If these one-time benefits were excluded, our 2012 provision for income taxes would have been $418,000. See Note K to our consolidated financial statements, included in this Annual Report on Form 10-K, for additional information regarding our income taxes.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non-cash, stock-based compensation expense and other adjustments as necessary for a fair presentation. In 2013, other adjustments included the impact of a use tax refund related to items previously expensed. The following table provides a reconciliation of net income to Adjusted EBITDA (in thousands):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56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6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8,051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4,918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income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9,571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6,242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4,203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2,755</w:t>
            </w:r>
          </w:p>
        </w:tc>
      </w:tr>
      <w:tr>
        <w:trPr>
          <w:trHeight w:val="27"/>
        </w:trPr>
        <w:tc>
          <w:tcPr>
            <w:tcW w:w="56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13,774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8,997</w:t>
            </w:r>
          </w:p>
        </w:tc>
      </w:tr>
      <w:tr>
        <w:trPr>
          <w:trHeight w:val="20"/>
        </w:trPr>
        <w:tc>
          <w:tcPr>
            <w:tcW w:w="56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4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4,203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8"/>
                <w:szCs w:val="18"/>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Non-GAAP income</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Basic</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Shares used to compute non-GAAP income per share</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13,056</w:t>
            </w:r>
          </w:p>
        </w:tc>
        <w:tc>
          <w:tcPr>
            <w:tcW w:w="100" w:type="dxa"/>
            <w:vAlign w:val="bottom"/>
            <w:shd w:val="clear" w:color="auto" w:fill="CCEEFF"/>
          </w:tcPr>
          <w:p>
            <w:pPr>
              <w:spacing w:after="0"/>
              <w:rPr>
                <w:sz w:val="18"/>
                <w:szCs w:val="18"/>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Diluted</w:t>
            </w:r>
          </w:p>
        </w:tc>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15,931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13,910</w:t>
            </w:r>
          </w:p>
        </w:tc>
        <w:tc>
          <w:tcPr>
            <w:tcW w:w="100" w:type="dxa"/>
            <w:vAlign w:val="bottom"/>
          </w:tcPr>
          <w:p>
            <w:pPr>
              <w:spacing w:after="0"/>
              <w:rPr>
                <w:sz w:val="19"/>
                <w:szCs w:val="19"/>
                <w:color w:val="auto"/>
              </w:rPr>
            </w:pPr>
          </w:p>
        </w:tc>
      </w:tr>
      <w:tr>
        <w:trPr>
          <w:trHeight w:val="356"/>
        </w:trPr>
        <w:tc>
          <w:tcPr>
            <w:tcW w:w="4460" w:type="dxa"/>
            <w:vAlign w:val="bottom"/>
          </w:tcPr>
          <w:p>
            <w:pPr>
              <w:spacing w:after="0"/>
              <w:rPr>
                <w:sz w:val="24"/>
                <w:szCs w:val="24"/>
                <w:color w:val="auto"/>
              </w:rPr>
            </w:pPr>
          </w:p>
        </w:tc>
        <w:tc>
          <w:tcPr>
            <w:tcW w:w="4200" w:type="dxa"/>
            <w:vAlign w:val="bottom"/>
          </w:tcPr>
          <w:p>
            <w:pPr>
              <w:jc w:val="right"/>
              <w:ind w:right="3232"/>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95"/>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67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77,106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$57,969</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$ 19,137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22,040</w:t>
            </w:r>
          </w:p>
        </w:tc>
        <w:tc>
          <w:tcPr>
            <w:tcW w:w="120" w:type="dxa"/>
            <w:vAlign w:val="bottom"/>
          </w:tcPr>
          <w:p>
            <w:pPr>
              <w:spacing w:after="0"/>
              <w:rPr>
                <w:sz w:val="19"/>
                <w:szCs w:val="19"/>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28.6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340" w:type="dxa"/>
            <w:vAlign w:val="bottom"/>
          </w:tcPr>
          <w:p>
            <w:pPr>
              <w:spacing w:after="0"/>
              <w:rPr>
                <w:sz w:val="19"/>
                <w:szCs w:val="19"/>
                <w:color w:val="auto"/>
              </w:rPr>
            </w:pPr>
          </w:p>
        </w:tc>
        <w:tc>
          <w:tcPr>
            <w:tcW w:w="1320" w:type="dxa"/>
            <w:vAlign w:val="bottom"/>
            <w:gridSpan w:val="2"/>
          </w:tcPr>
          <w:p>
            <w:pPr>
              <w:jc w:val="right"/>
              <w:ind w:right="392"/>
              <w:spacing w:after="0"/>
              <w:rPr>
                <w:sz w:val="20"/>
                <w:szCs w:val="20"/>
                <w:color w:val="auto"/>
              </w:rPr>
            </w:pPr>
            <w:r>
              <w:rPr>
                <w:rFonts w:ascii="Arial" w:cs="Arial" w:eastAsia="Arial" w:hAnsi="Arial"/>
                <w:sz w:val="18"/>
                <w:szCs w:val="18"/>
                <w:color w:val="auto"/>
              </w:rPr>
              <w:t>6,674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55,066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12,463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30,037</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6,201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8,166</w:t>
            </w:r>
          </w:p>
        </w:tc>
        <w:tc>
          <w:tcPr>
            <w:tcW w:w="120" w:type="dxa"/>
            <w:vAlign w:val="bottom"/>
          </w:tcPr>
          <w:p>
            <w:pPr>
              <w:spacing w:after="0"/>
              <w:rPr>
                <w:sz w:val="18"/>
                <w:szCs w:val="18"/>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10.6</w:t>
            </w:r>
          </w:p>
        </w:tc>
        <w:tc>
          <w:tcPr>
            <w:tcW w:w="580" w:type="dxa"/>
            <w:vAlign w:val="bottom"/>
          </w:tcPr>
          <w:p>
            <w:pPr>
              <w:jc w:val="right"/>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1320" w:type="dxa"/>
            <w:vAlign w:val="bottom"/>
            <w:gridSpan w:val="2"/>
          </w:tcPr>
          <w:p>
            <w:pPr>
              <w:jc w:val="right"/>
              <w:ind w:right="392"/>
              <w:spacing w:after="0"/>
              <w:rPr>
                <w:sz w:val="20"/>
                <w:szCs w:val="20"/>
                <w:color w:val="auto"/>
              </w:rPr>
            </w:pPr>
            <w:r>
              <w:rPr>
                <w:rFonts w:ascii="Arial" w:cs="Arial" w:eastAsia="Arial" w:hAnsi="Arial"/>
                <w:sz w:val="18"/>
                <w:szCs w:val="18"/>
                <w:color w:val="auto"/>
              </w:rPr>
              <w:t>2,328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13,524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2,373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19"/>
                <w:szCs w:val="19"/>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2.3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1320" w:type="dxa"/>
            <w:vAlign w:val="bottom"/>
            <w:gridSpan w:val="2"/>
          </w:tcPr>
          <w:p>
            <w:pPr>
              <w:jc w:val="right"/>
              <w:ind w:right="392"/>
              <w:spacing w:after="0"/>
              <w:rPr>
                <w:sz w:val="20"/>
                <w:szCs w:val="20"/>
                <w:color w:val="auto"/>
              </w:rPr>
            </w:pPr>
            <w:r>
              <w:rPr>
                <w:rFonts w:ascii="Arial" w:cs="Arial" w:eastAsia="Arial" w:hAnsi="Arial"/>
                <w:sz w:val="18"/>
                <w:szCs w:val="18"/>
                <w:color w:val="auto"/>
              </w:rPr>
              <w:t>1,124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53,494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12,026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1"/>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19"/>
                <w:szCs w:val="19"/>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2.0</w:t>
            </w:r>
          </w:p>
        </w:tc>
        <w:tc>
          <w:tcPr>
            <w:tcW w:w="58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320" w:type="dxa"/>
            <w:vAlign w:val="bottom"/>
            <w:gridSpan w:val="2"/>
          </w:tcPr>
          <w:p>
            <w:pPr>
              <w:jc w:val="right"/>
              <w:ind w:right="392"/>
              <w:spacing w:after="0"/>
              <w:rPr>
                <w:sz w:val="20"/>
                <w:szCs w:val="20"/>
                <w:color w:val="auto"/>
              </w:rPr>
            </w:pPr>
            <w:r>
              <w:rPr>
                <w:rFonts w:ascii="Arial" w:cs="Arial" w:eastAsia="Arial" w:hAnsi="Arial"/>
                <w:sz w:val="18"/>
                <w:szCs w:val="18"/>
                <w:color w:val="auto"/>
              </w:rPr>
              <w:t>437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8"/>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32"/>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(43)</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1320" w:type="dxa"/>
            <w:vAlign w:val="bottom"/>
            <w:gridSpan w:val="2"/>
          </w:tcPr>
          <w:p>
            <w:pPr>
              <w:jc w:val="right"/>
              <w:ind w:right="332"/>
              <w:spacing w:after="0"/>
              <w:rPr>
                <w:sz w:val="20"/>
                <w:szCs w:val="20"/>
                <w:color w:val="auto"/>
              </w:rPr>
            </w:pPr>
            <w:r>
              <w:rPr>
                <w:rFonts w:ascii="Arial" w:cs="Arial" w:eastAsia="Arial" w:hAnsi="Arial"/>
                <w:sz w:val="18"/>
                <w:szCs w:val="18"/>
                <w:color w:val="auto"/>
              </w:rPr>
              <w:t>(108)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(178)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1320" w:type="dxa"/>
            <w:vAlign w:val="bottom"/>
            <w:gridSpan w:val="2"/>
          </w:tcPr>
          <w:p>
            <w:pPr>
              <w:jc w:val="right"/>
              <w:ind w:right="392"/>
              <w:spacing w:after="0"/>
              <w:rPr>
                <w:sz w:val="20"/>
                <w:szCs w:val="20"/>
                <w:color w:val="auto"/>
              </w:rPr>
            </w:pPr>
            <w:r>
              <w:rPr>
                <w:rFonts w:ascii="Arial" w:cs="Arial" w:eastAsia="Arial" w:hAnsi="Arial"/>
                <w:sz w:val="18"/>
                <w:szCs w:val="18"/>
                <w:color w:val="auto"/>
              </w:rPr>
              <w:t>259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(12,740)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9"/>
                <w:szCs w:val="19"/>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13,703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9"/>
                <w:szCs w:val="19"/>
                <w:color w:val="auto"/>
              </w:rPr>
            </w:pPr>
          </w:p>
        </w:tc>
        <w:tc>
          <w:tcPr>
            <w:tcW w:w="1320" w:type="dxa"/>
            <w:vAlign w:val="bottom"/>
            <w:gridSpan w:val="2"/>
          </w:tcPr>
          <w:p>
            <w:pPr>
              <w:jc w:val="right"/>
              <w:ind w:right="332"/>
              <w:spacing w:after="0"/>
              <w:rPr>
                <w:sz w:val="20"/>
                <w:szCs w:val="20"/>
                <w:color w:val="auto"/>
              </w:rPr>
            </w:pPr>
            <w:r>
              <w:rPr>
                <w:rFonts w:ascii="Arial" w:cs="Arial" w:eastAsia="Arial" w:hAnsi="Arial"/>
                <w:sz w:val="18"/>
                <w:szCs w:val="18"/>
                <w:color w:val="auto"/>
              </w:rPr>
              <w:t>(12,481)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5480" w:firstLine="216"/>
        <w:spacing w:after="0" w:line="362" w:lineRule="auto"/>
        <w:rPr>
          <w:sz w:val="20"/>
          <w:szCs w:val="20"/>
          <w:color w:val="auto"/>
        </w:rPr>
      </w:pPr>
      <w:r>
        <w:rPr>
          <w:rFonts w:ascii="Arial" w:cs="Arial" w:eastAsia="Arial" w:hAnsi="Arial"/>
          <w:sz w:val="18"/>
          <w:szCs w:val="18"/>
          <w:color w:val="auto"/>
        </w:rPr>
        <w:t>Due to rounding, totals may not equal the sum of the line items in the table above * Percentage is not meaningful</w:t>
      </w:r>
    </w:p>
    <w:p>
      <w:pPr>
        <w:spacing w:after="0" w:line="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2012 increased $19.1 million, or 33%, to $77.1 million from $58.0 million for 2011. The increase in revenues resulted from two</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factors: the increase in recurring revenue customers and the increase in average recurring revenues per recurring revenue customer.</w:t>
      </w:r>
    </w:p>
    <w:p>
      <w:pPr>
        <w:spacing w:after="0" w:line="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11% to 17,977 at December 31, 2012 from 16,129 at December 31, 2011.</w:t>
      </w:r>
    </w:p>
    <w:p>
      <w:pPr>
        <w:spacing w:after="0" w:line="90"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recurring revenues per recurring revenue customer increased 15% to $3,964 for 2012 from $3,440 for 2011. This increase was primarily attributable to increased fees resulting from increased usage of our solutions by our recurring revenue customers and growth in larger customers, including those acquired from Edifice.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Recurring revenues from recurring revenue customers accounted for 88% of our total revenues for 2012, compared to 85% for 2011.</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2012 increased $6.7 million, or 43%, to $22.0 million from $15.4 million for 2011. The increase in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was primarily attributable to increased headcount which resulted in higher personnel costs. Also contributing to the increase were higher expenses for depreciation, network services, stock-based compensation and occupancy. As a percentage of revenues, cost of revenues was 29% for 2012 compared to 27% for 2011.</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for 2012 increased $6.2 million, or 26%, to $30.0 million from $23.8 million for 2011.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sales and marketing expenses was primarily due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increased headcount, which resulted in higher personnel costs, as well as increased commissions earned by sales personnel from new business. We also had increased expenses for marketing, stock-based compensation and depreciation in 2012, as compared to 2011. As a percentage of revenues, sales and marketing expenses were 39% for 2012 compared to 41% for 2011.</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2012 were $8.1 million, an increase of $2.3 million, or 40%, from $5.8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2011. The increase in research and development expenses was primarily due to increased headcount, which resulted in higher personnel costs. Depreciation expense also increased in 2012 compared to 2011. As a percentage of revenues, research and development expenses were 11% for 2012 and 10% for 2011.</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For 2012, general and administrative expenses increased $2.4 million, or 21%, to $13.5 million from $11.2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2011. The increase in general and administrative expenses was due to increased headcount, which resulted in higher personnel costs, as well as increased expenses for stock-based compensation, accounting, credit card processing, software maintenance and depreciation. As a percentage of revenues, general and administrative expenses were 18% for 2012, compared to 19% for 2011.</w:t>
      </w:r>
    </w:p>
    <w:p>
      <w:pPr>
        <w:spacing w:after="0" w:line="143" w:lineRule="exact"/>
        <w:rPr>
          <w:sz w:val="20"/>
          <w:szCs w:val="20"/>
          <w:color w:val="auto"/>
        </w:rPr>
      </w:pPr>
    </w:p>
    <w:p>
      <w:pPr>
        <w:ind w:left="460"/>
        <w:spacing w:after="0"/>
        <w:tabs>
          <w:tab w:leader="none" w:pos="2760" w:val="left"/>
        </w:tabs>
        <w:rPr>
          <w:sz w:val="20"/>
          <w:szCs w:val="20"/>
          <w:color w:val="auto"/>
        </w:rPr>
      </w:pPr>
      <w:r>
        <w:rPr>
          <w:rFonts w:ascii="Arial" w:cs="Arial" w:eastAsia="Arial" w:hAnsi="Arial"/>
          <w:sz w:val="18"/>
          <w:szCs w:val="18"/>
          <w:i w:val="1"/>
          <w:iCs w:val="1"/>
          <w:color w:val="auto"/>
        </w:rPr>
        <w:t>Income Tax Benefit (Expense).</w:t>
      </w:r>
      <w:r>
        <w:rPr>
          <w:sz w:val="20"/>
          <w:szCs w:val="20"/>
          <w:color w:val="auto"/>
        </w:rPr>
        <w:tab/>
      </w:r>
      <w:r>
        <w:rPr>
          <w:rFonts w:ascii="Arial" w:cs="Arial" w:eastAsia="Arial" w:hAnsi="Arial"/>
          <w:sz w:val="15"/>
          <w:szCs w:val="15"/>
          <w:color w:val="auto"/>
        </w:rPr>
        <w:t>For 2012, we recorded income tax expense of $121,000. Our provision for income taxes included current state and foreign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income taxes as well as deferred federal and state income taxes. Our tax provision also included $135,000 of tax benefit related to true-up adjustments for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and $162,000 of tax benefit related to increased state effective tax rates. If these one-time benefits were excluded, our tax expense would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$418,000. For 2011, we recorded an income tax benefit of $12.6 million, primarily resulting from the reversal of a substantial portion of the valuation allowance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our deferred tax assets. See Note K to our consolidated financial statements, included in this Annual Report on Form 10-K, for additional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regarding our income taxes.</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benefit (expense) and non-cash, stock-based compensation expense. The following table provides a reconciliation of net income to Adjusted EBITDA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20" w:type="dxa"/>
            <w:vAlign w:val="bottom"/>
            <w:gridSpan w:val="3"/>
          </w:tcPr>
          <w:p>
            <w:pPr>
              <w:jc w:val="right"/>
              <w:ind w:right="252"/>
              <w:spacing w:after="0"/>
              <w:rPr>
                <w:sz w:val="20"/>
                <w:szCs w:val="20"/>
                <w:color w:val="auto"/>
              </w:rPr>
            </w:pPr>
            <w:r>
              <w:rPr>
                <w:rFonts w:ascii="Arial" w:cs="Arial" w:eastAsia="Arial" w:hAnsi="Arial"/>
                <w:sz w:val="18"/>
                <w:szCs w:val="18"/>
                <w:color w:val="auto"/>
              </w:rPr>
              <w:t>4,918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6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income</w:t>
            </w:r>
          </w:p>
        </w:tc>
        <w:tc>
          <w:tcPr>
            <w:tcW w:w="5620" w:type="dxa"/>
            <w:vAlign w:val="bottom"/>
            <w:gridSpan w:val="3"/>
          </w:tcPr>
          <w:p>
            <w:pPr>
              <w:jc w:val="right"/>
              <w:ind w:right="192"/>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(12,619)</w:t>
            </w:r>
          </w:p>
        </w:tc>
        <w:tc>
          <w:tcPr>
            <w:tcW w:w="0" w:type="dxa"/>
            <w:vAlign w:val="bottom"/>
          </w:tcPr>
          <w:p>
            <w:pPr>
              <w:spacing w:after="0"/>
              <w:rPr>
                <w:sz w:val="1"/>
                <w:szCs w:val="1"/>
                <w:color w:val="auto"/>
              </w:rPr>
            </w:pPr>
          </w:p>
        </w:tc>
      </w:tr>
      <w:tr>
        <w:trPr>
          <w:trHeight w:val="221"/>
        </w:trPr>
        <w:tc>
          <w:tcPr>
            <w:tcW w:w="3840" w:type="dxa"/>
            <w:vAlign w:val="bottom"/>
          </w:tcPr>
          <w:p>
            <w:pPr>
              <w:ind w:left="220"/>
              <w:spacing w:after="0"/>
              <w:rPr>
                <w:sz w:val="20"/>
                <w:szCs w:val="20"/>
                <w:color w:val="auto"/>
              </w:rPr>
            </w:pPr>
            <w:r>
              <w:rPr>
                <w:rFonts w:ascii="Arial" w:cs="Arial" w:eastAsia="Arial" w:hAnsi="Arial"/>
                <w:sz w:val="18"/>
                <w:szCs w:val="18"/>
                <w:color w:val="auto"/>
              </w:rPr>
              <w:t>EBITDA</w:t>
            </w:r>
          </w:p>
        </w:tc>
        <w:tc>
          <w:tcPr>
            <w:tcW w:w="48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8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5620" w:type="dxa"/>
            <w:vAlign w:val="bottom"/>
            <w:gridSpan w:val="3"/>
          </w:tcPr>
          <w:p>
            <w:pPr>
              <w:jc w:val="right"/>
              <w:ind w:right="2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800" w:type="dxa"/>
            <w:vAlign w:val="bottom"/>
            <w:vMerge w:val="restart"/>
          </w:tcPr>
          <w:p>
            <w:pPr>
              <w:jc w:val="right"/>
              <w:ind w:right="3212"/>
              <w:spacing w:after="0"/>
              <w:rPr>
                <w:sz w:val="20"/>
                <w:szCs w:val="20"/>
                <w:color w:val="auto"/>
              </w:rPr>
            </w:pPr>
            <w:r>
              <w:rPr>
                <w:rFonts w:ascii="Arial" w:cs="Arial" w:eastAsia="Arial" w:hAnsi="Arial"/>
                <w:sz w:val="18"/>
                <w:szCs w:val="18"/>
                <w:color w:val="auto"/>
              </w:rPr>
              <w:t>38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minus the deferred tax valuation allowance reversal divided by the weighted average number of shares of common stock outstanding during each period. The following table provides a reconciliation of net income to non-GAAP income per share (in thousands, except per share amounts):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Deferred tax asset valuation allowance reversal</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(12,802)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Non-GAAP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Non-GAAP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13,056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11,960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12,744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December 31, 2013, our principal sources of liquidity were cash and cash equivalents totaling $131.3 million and accounts receivable, net of allowance for doubtful accounts of $11.6 million compared to cash and cash equivalents of $66.1 million and accounts receivable, net of allowance for doubtful accounts of $10.9 million at December 31, 2012. Our working capital at December 31, 2013 was $137.2 million compared to working capital of $77.0 million at December 31,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working capital from December 31, 2012 to December 31, 2013 resulted primarily from the following:</w:t>
      </w:r>
    </w:p>
    <w:p>
      <w:pPr>
        <w:spacing w:after="0" w:line="90" w:lineRule="exact"/>
        <w:rPr>
          <w:sz w:val="20"/>
          <w:szCs w:val="20"/>
          <w:color w:val="auto"/>
        </w:rPr>
      </w:pPr>
    </w:p>
    <w:p>
      <w:pPr>
        <w:ind w:left="660" w:right="200" w:hanging="206"/>
        <w:spacing w:after="0" w:line="30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$65.2 million increase in cash and cash equivalents, due primarily to the $47.6 million of net cash received from our November 2013 common stock offering, $18.2 million of cash provided by operations and $5.1 million of cash received from the exercise of stock options and net proceeds from our employee stock purchase plan, all reduced by the $5.7 million of cash used for capital expenditures;</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$671,000 million increase in net accounts receivable, as new accounts slightly exceeded collections of outstanding balances in 2013;</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$1.7 million increase in deferred costs, current for expenses related to increased implementation resources and commission payments for new business;</w:t>
      </w:r>
    </w:p>
    <w:p>
      <w:pPr>
        <w:spacing w:after="0" w:line="124" w:lineRule="exact"/>
        <w:rPr>
          <w:rFonts w:ascii="Arial" w:cs="Arial" w:eastAsia="Arial" w:hAnsi="Arial"/>
          <w:sz w:val="15"/>
          <w:szCs w:val="15"/>
          <w:color w:val="auto"/>
        </w:rPr>
      </w:pPr>
    </w:p>
    <w:p>
      <w:pPr>
        <w:ind w:left="660" w:right="14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$460,000 decrease in deferred income taxes, current primarily related to the decrease in the amount of federal net operating loss carryforwards that we expect to utilize in 2014 as compared to 2013;</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$2.6 million decrease in prepaid expenses and other current assets, primarily related to the Edifice acquisition in 2012;</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$59,000 decrease in accounts payable, primarily due to timing of payments;</w:t>
      </w:r>
    </w:p>
    <w:p>
      <w:pPr>
        <w:spacing w:after="0" w:line="9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$1.9 million increase in accrued compensation and benefits, due to increased headcount and related increases in salary, vacation and commission accruals;</w:t>
      </w:r>
    </w:p>
    <w:p>
      <w:pPr>
        <w:spacing w:after="0" w:line="50" w:lineRule="exact"/>
        <w:rPr>
          <w:rFonts w:ascii="Arial" w:cs="Arial" w:eastAsia="Arial" w:hAnsi="Arial"/>
          <w:sz w:val="18"/>
          <w:szCs w:val="18"/>
          <w:color w:val="auto"/>
        </w:rPr>
      </w:pPr>
    </w:p>
    <w:p>
      <w:pPr>
        <w:ind w:left="660" w:right="70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$1.7 million increase in accrued expenses and other current liabilities due primarily to the future payments required under a software licensing agreement,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$886,000 increase in deferred revenue, current due to new business in 2013.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cash provided by operating activities was $18.2 million for 2013 compared to $6.8 million for 2012. The slight decrease in net income, the changes in non-cash expenses, including increased depreciation, amortization and stock-based compensation, and the changes in our working capital accounts, including those discussed above, resulted in the overall increase in net cash provided by operations.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Net cash provided by operating activities was $6.8 million for 2012 compared to $4.5 million for 2011. The $12.5 million decrease in net income, principally due to the reversal of a substantial portion of the valuation allowance on our deferred tax assets taxes in 2011, was more than offset by the changes in non-cash expenses, including increased depreciation, amortization, and stock-based compensation, and the changes in our working capital accounts, resulted in the overall increase in net cash provided by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Net cash used in investing activities was $5.7 million for 2013, all for capital expenditures. In general, our capital expenditures are for supporting our business growth and existing customer base, as well as for our internal use such as equipment for our employees.</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For 2012, net cash used in investing activities was $32.2 million, including $26.3 million for the acquisition of Edifice and $6.0 million for capital expenditures. For 2011, net cash used in investing activities was $13.4 million, including $10.8 million for the acquisition of Direct EDI and $2.6 million for capital expenditures.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Net cash provided by financing activities was $52.7 million for 2013, and primarily represented $47.6 million of net proceeds from our common stock offering in November 2013 and $5.1 million related to the exercise of stock options and proceeds from our employee stock purchase plan.</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cash provided by financing activities was $59.5 million for 2012, and primarily represented $57.8 million of net proceeds from our common stock offering in September 2012 and $2.0 million of cash received from the exercise of employee stock options and net proceeds from our employee stock purchase plan.</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Net cash provided by financing activities was $452,000 for 2011, representing cash received from the exercise of stock options offset by payments of capital lease obligations and stock offering costs.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 Proceeds from the credit facility are anticipated to be used for acquisitions and our capital needs.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on amounts borrowed under the credit facility is based on (i) an Adjusted LIBO Rate (as defined in the revolving credit agreement) plus an applicable margin of 175 to 225 basis points based on our net working capital, or (ii) JPMorgan’s prime rate (provided it is not less than the Adjusted One Month LIBO Rate (as defined in the revolving credit agreement)) plus an applicable margin of -25 to 25 basis points based on our net working capital. Interest is payable monthly in arrears. Availability under the credit facility is subject to a borrowing base equal to the sum of 250% of our eligible monthly recurring revenue (as defined in the revolving credit agreement) and all borrowings are due in full no later than the maturity date of the agreement.</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revolving credit agreement contains customary representations, warranties, covenants and events of default, including, but not limited to financial covenants requiring us to maintain a fixed charge coverage ratio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not less than 1.20 to 1.00, cash and cash equivalents of not less than $10 million and a minimum number of recurring revenue customers. If an event of default occurs, among other things, the applicable interest rate is subject to an increase of 2% and all outstanding obligations may become immediately due and payable.</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were no borrowings under the revolving credit agreement in 2013. In connection with the acquisition of Edifice in 2012, we borrowed $11.0 million under our line of credit to fund a portion of the cash paid for the acquisition. On September 11, 2012, this debt was repaid in full with a portion of the proceeds received from our public offering of common stock on that date.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December 31, 2013, there were no borrowings outstanding, approximately $20.0 million was available for borrowings, and we were in compliance with all covenants under the revolving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Adequacy of Capital Resources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future capital requirements may vary materially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and the response of competitors to our solutions and applications. Historically, we have experienced increases in our expenditures consistent with the growth in our operations and personnel, and we anticipate that our expenditures will continue to increase as we grow our business.</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 Summary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and commercial commitments as of December 31, 2013 are summarized below:</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8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880" w:type="dxa"/>
            <w:vAlign w:val="bottom"/>
          </w:tcPr>
          <w:p>
            <w:pPr>
              <w:spacing w:after="0"/>
              <w:rPr>
                <w:sz w:val="11"/>
                <w:szCs w:val="11"/>
                <w:color w:val="auto"/>
              </w:rPr>
            </w:pPr>
          </w:p>
        </w:tc>
        <w:tc>
          <w:tcPr>
            <w:tcW w:w="940" w:type="dxa"/>
            <w:vAlign w:val="bottom"/>
          </w:tcPr>
          <w:p>
            <w:pPr>
              <w:jc w:val="center"/>
              <w:ind w:left="146"/>
              <w:spacing w:after="0" w:line="129" w:lineRule="exact"/>
              <w:rPr>
                <w:sz w:val="20"/>
                <w:szCs w:val="20"/>
                <w:color w:val="auto"/>
              </w:rPr>
            </w:pPr>
            <w:r>
              <w:rPr>
                <w:rFonts w:ascii="Arial" w:cs="Arial" w:eastAsia="Arial" w:hAnsi="Arial"/>
                <w:sz w:val="14"/>
                <w:szCs w:val="14"/>
                <w:b w:val="1"/>
                <w:bCs w:val="1"/>
                <w:color w:val="auto"/>
                <w:w w:val="86"/>
              </w:rPr>
              <w:t>Less Than</w:t>
            </w:r>
          </w:p>
        </w:tc>
        <w:tc>
          <w:tcPr>
            <w:tcW w:w="1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jc w:val="center"/>
              <w:ind w:left="206"/>
              <w:spacing w:after="0" w:line="129" w:lineRule="exact"/>
              <w:rPr>
                <w:sz w:val="20"/>
                <w:szCs w:val="20"/>
                <w:color w:val="auto"/>
              </w:rPr>
            </w:pPr>
            <w:r>
              <w:rPr>
                <w:rFonts w:ascii="Arial" w:cs="Arial" w:eastAsia="Arial" w:hAnsi="Arial"/>
                <w:sz w:val="14"/>
                <w:szCs w:val="14"/>
                <w:b w:val="1"/>
                <w:bCs w:val="1"/>
                <w:color w:val="auto"/>
                <w:w w:val="93"/>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200" w:type="dxa"/>
            <w:vAlign w:val="bottom"/>
            <w:gridSpan w:val="2"/>
            <w:vMerge w:val="continue"/>
          </w:tcPr>
          <w:p>
            <w:pPr>
              <w:spacing w:after="0"/>
              <w:rPr>
                <w:sz w:val="13"/>
                <w:szCs w:val="13"/>
                <w:color w:val="auto"/>
              </w:rPr>
            </w:pPr>
          </w:p>
        </w:tc>
        <w:tc>
          <w:tcPr>
            <w:tcW w:w="880" w:type="dxa"/>
            <w:vAlign w:val="bottom"/>
          </w:tcPr>
          <w:p>
            <w:pPr>
              <w:jc w:val="center"/>
              <w:ind w:right="222"/>
              <w:spacing w:after="0" w:line="148" w:lineRule="exact"/>
              <w:rPr>
                <w:sz w:val="20"/>
                <w:szCs w:val="20"/>
                <w:color w:val="auto"/>
              </w:rPr>
            </w:pPr>
            <w:r>
              <w:rPr>
                <w:rFonts w:ascii="Arial" w:cs="Arial" w:eastAsia="Arial" w:hAnsi="Arial"/>
                <w:sz w:val="14"/>
                <w:szCs w:val="14"/>
                <w:b w:val="1"/>
                <w:bCs w:val="1"/>
                <w:color w:val="auto"/>
                <w:w w:val="89"/>
              </w:rPr>
              <w:t>Total</w:t>
            </w:r>
          </w:p>
        </w:tc>
        <w:tc>
          <w:tcPr>
            <w:tcW w:w="940" w:type="dxa"/>
            <w:vAlign w:val="bottom"/>
          </w:tcPr>
          <w:p>
            <w:pPr>
              <w:jc w:val="center"/>
              <w:ind w:left="146"/>
              <w:spacing w:after="0" w:line="148" w:lineRule="exact"/>
              <w:rPr>
                <w:sz w:val="20"/>
                <w:szCs w:val="20"/>
                <w:color w:val="auto"/>
              </w:rPr>
            </w:pPr>
            <w:r>
              <w:rPr>
                <w:rFonts w:ascii="Arial" w:cs="Arial" w:eastAsia="Arial" w:hAnsi="Arial"/>
                <w:sz w:val="14"/>
                <w:szCs w:val="14"/>
                <w:b w:val="1"/>
                <w:bCs w:val="1"/>
                <w:color w:val="auto"/>
                <w:w w:val="85"/>
              </w:rPr>
              <w:t>1 Year</w:t>
            </w:r>
          </w:p>
        </w:tc>
        <w:tc>
          <w:tcPr>
            <w:tcW w:w="1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1-3 Years</w:t>
            </w:r>
          </w:p>
        </w:tc>
        <w:tc>
          <w:tcPr>
            <w:tcW w:w="88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3-5 Years</w:t>
            </w:r>
          </w:p>
        </w:tc>
        <w:tc>
          <w:tcPr>
            <w:tcW w:w="1040" w:type="dxa"/>
            <w:vAlign w:val="bottom"/>
            <w:gridSpan w:val="2"/>
          </w:tcPr>
          <w:p>
            <w:pPr>
              <w:jc w:val="center"/>
              <w:ind w:left="106"/>
              <w:spacing w:after="0" w:line="148" w:lineRule="exact"/>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9"/>
        </w:trPr>
        <w:tc>
          <w:tcPr>
            <w:tcW w:w="1480" w:type="dxa"/>
            <w:vAlign w:val="bottom"/>
            <w:tcBorders>
              <w:top w:val="single" w:sz="8" w:color="auto"/>
            </w:tcBorders>
          </w:tcPr>
          <w:p>
            <w:pPr>
              <w:spacing w:after="0"/>
              <w:rPr>
                <w:sz w:val="12"/>
                <w:szCs w:val="12"/>
                <w:color w:val="auto"/>
              </w:rPr>
            </w:pPr>
          </w:p>
        </w:tc>
        <w:tc>
          <w:tcPr>
            <w:tcW w:w="37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8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8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w w:val="86"/>
              </w:rPr>
              <w:t>$11,537</w:t>
            </w:r>
          </w:p>
        </w:tc>
        <w:tc>
          <w:tcPr>
            <w:tcW w:w="940" w:type="dxa"/>
            <w:vAlign w:val="bottom"/>
            <w:shd w:val="clear" w:color="auto" w:fill="CCEEFF"/>
          </w:tcPr>
          <w:p>
            <w:pPr>
              <w:jc w:val="center"/>
              <w:ind w:left="146"/>
              <w:spacing w:after="0"/>
              <w:rPr>
                <w:sz w:val="20"/>
                <w:szCs w:val="20"/>
                <w:color w:val="auto"/>
              </w:rPr>
            </w:pPr>
            <w:r>
              <w:rPr>
                <w:rFonts w:ascii="Arial" w:cs="Arial" w:eastAsia="Arial" w:hAnsi="Arial"/>
                <w:sz w:val="18"/>
                <w:szCs w:val="18"/>
                <w:color w:val="auto"/>
                <w:w w:val="92"/>
              </w:rPr>
              <w:t>$  1,965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$ 3,703</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$ 3,425</w:t>
            </w:r>
          </w:p>
        </w:tc>
        <w:tc>
          <w:tcPr>
            <w:tcW w:w="940" w:type="dxa"/>
            <w:vAlign w:val="bottom"/>
            <w:shd w:val="clear" w:color="auto" w:fill="CCEEFF"/>
          </w:tcPr>
          <w:p>
            <w:pPr>
              <w:jc w:val="center"/>
              <w:ind w:left="206"/>
              <w:spacing w:after="0"/>
              <w:rPr>
                <w:sz w:val="20"/>
                <w:szCs w:val="20"/>
                <w:color w:val="auto"/>
              </w:rPr>
            </w:pPr>
            <w:r>
              <w:rPr>
                <w:rFonts w:ascii="Arial" w:cs="Arial" w:eastAsia="Arial" w:hAnsi="Arial"/>
                <w:sz w:val="18"/>
                <w:szCs w:val="18"/>
                <w:color w:val="auto"/>
              </w:rPr>
              <w:t>$  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size and breadth of our customer base mitigates the seasonality of any particular retailer. As a result, our results of operations are not materially affected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evaluated all recent accounting pronouncements and believe that none of them will have a material effect on our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Interest Rate Sensitivity Risk. </w:t>
      </w:r>
      <w:r>
        <w:rPr>
          <w:rFonts w:ascii="Arial" w:cs="Arial" w:eastAsia="Arial" w:hAnsi="Arial"/>
          <w:sz w:val="18"/>
          <w:szCs w:val="18"/>
          <w:color w:val="auto"/>
        </w:rPr>
        <w:t>For fixed rate debt, interest rate changes affect the fair value of financial instruments but do not impact earnings or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December 31, 2013 and 2012. We therefore do not have any material risk to interest rate fluctuations unless we borrow under our credit facility.</w:t>
      </w:r>
    </w:p>
    <w:p>
      <w:pPr>
        <w:spacing w:after="0" w:line="144" w:lineRule="exact"/>
        <w:rPr>
          <w:sz w:val="20"/>
          <w:szCs w:val="20"/>
          <w:color w:val="auto"/>
        </w:rPr>
      </w:pPr>
    </w:p>
    <w:p>
      <w:pPr>
        <w:jc w:val="center"/>
        <w:ind w:left="640" w:right="60"/>
        <w:spacing w:after="0" w:line="440"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Our results of operations and cash flows are not materially affected by fluctuations in foreign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240" w:type="dxa"/>
            <w:vAlign w:val="bottom"/>
            <w:gridSpan w:val="7"/>
          </w:tcPr>
          <w:p>
            <w:pPr>
              <w:ind w:left="20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6360" w:type="dxa"/>
            <w:vAlign w:val="bottom"/>
          </w:tcPr>
          <w:p>
            <w:pPr>
              <w:spacing w:after="0"/>
              <w:rPr>
                <w:sz w:val="19"/>
                <w:szCs w:val="19"/>
                <w:color w:val="auto"/>
              </w:rPr>
            </w:pPr>
          </w:p>
        </w:tc>
      </w:tr>
      <w:tr>
        <w:trPr>
          <w:trHeight w:val="412"/>
        </w:trPr>
        <w:tc>
          <w:tcPr>
            <w:tcW w:w="4960" w:type="dxa"/>
            <w:vAlign w:val="bottom"/>
            <w:gridSpan w:val="8"/>
          </w:tcPr>
          <w:p>
            <w:pPr>
              <w:spacing w:after="0"/>
              <w:rPr>
                <w:sz w:val="20"/>
                <w:szCs w:val="20"/>
                <w:color w:val="auto"/>
              </w:rPr>
            </w:pPr>
            <w:r>
              <w:rPr>
                <w:rFonts w:ascii="Arial" w:cs="Arial" w:eastAsia="Arial" w:hAnsi="Arial"/>
                <w:sz w:val="18"/>
                <w:szCs w:val="18"/>
                <w:b w:val="1"/>
                <w:bCs w:val="1"/>
                <w:color w:val="auto"/>
              </w:rPr>
              <w:t>SPS Commerce, Inc. Consolidated Financial Statements</w:t>
            </w:r>
          </w:p>
        </w:tc>
        <w:tc>
          <w:tcPr>
            <w:tcW w:w="6360" w:type="dxa"/>
            <w:vAlign w:val="bottom"/>
          </w:tcPr>
          <w:p>
            <w:pPr>
              <w:spacing w:after="0"/>
              <w:rPr>
                <w:sz w:val="24"/>
                <w:szCs w:val="24"/>
                <w:color w:val="auto"/>
              </w:rPr>
            </w:pPr>
          </w:p>
        </w:tc>
      </w:tr>
      <w:tr>
        <w:trPr>
          <w:trHeight w:val="184"/>
        </w:trPr>
        <w:tc>
          <w:tcPr>
            <w:tcW w:w="4960" w:type="dxa"/>
            <w:vAlign w:val="bottom"/>
            <w:gridSpan w:val="8"/>
          </w:tcPr>
          <w:p>
            <w:pPr>
              <w:spacing w:after="0" w:line="184" w:lineRule="exact"/>
              <w:rPr>
                <w:rFonts w:ascii="Arial" w:cs="Arial" w:eastAsia="Arial" w:hAnsi="Arial"/>
                <w:sz w:val="18"/>
                <w:szCs w:val="18"/>
                <w:color w:val="0000EE"/>
              </w:rPr>
            </w:pPr>
            <w:hyperlink w:anchor="page44">
              <w:r>
                <w:rPr>
                  <w:rFonts w:ascii="Arial" w:cs="Arial" w:eastAsia="Arial" w:hAnsi="Arial"/>
                  <w:sz w:val="18"/>
                  <w:szCs w:val="18"/>
                  <w:color w:val="0000EE"/>
                </w:rPr>
                <w:t>Reports of Independent Registered Public Accounting Firms</w:t>
              </w:r>
            </w:hyperlink>
          </w:p>
        </w:tc>
        <w:tc>
          <w:tcPr>
            <w:tcW w:w="6360" w:type="dxa"/>
            <w:vAlign w:val="bottom"/>
          </w:tcPr>
          <w:p>
            <w:pPr>
              <w:jc w:val="right"/>
              <w:spacing w:after="0" w:line="184" w:lineRule="exact"/>
              <w:rPr>
                <w:sz w:val="20"/>
                <w:szCs w:val="20"/>
                <w:color w:val="auto"/>
              </w:rPr>
            </w:pPr>
            <w:r>
              <w:rPr>
                <w:rFonts w:ascii="Arial" w:cs="Arial" w:eastAsia="Arial" w:hAnsi="Arial"/>
                <w:sz w:val="18"/>
                <w:szCs w:val="18"/>
                <w:color w:val="auto"/>
              </w:rPr>
              <w:t>44</w:t>
            </w:r>
          </w:p>
        </w:tc>
      </w:tr>
      <w:tr>
        <w:trPr>
          <w:trHeight w:val="196"/>
        </w:trPr>
        <w:tc>
          <w:tcPr>
            <w:tcW w:w="42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Balance Sheets</w:t>
              </w:r>
            </w:hyperlink>
          </w:p>
        </w:tc>
        <w:tc>
          <w:tcPr>
            <w:tcW w:w="700" w:type="dxa"/>
            <w:vAlign w:val="bottom"/>
          </w:tcPr>
          <w:p>
            <w:pPr>
              <w:spacing w:after="0"/>
              <w:rPr>
                <w:sz w:val="17"/>
                <w:szCs w:val="17"/>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196"/>
        </w:trPr>
        <w:tc>
          <w:tcPr>
            <w:tcW w:w="4960" w:type="dxa"/>
            <w:vAlign w:val="bottom"/>
            <w:gridSpan w:val="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Income</w:t>
              </w:r>
            </w:hyperlink>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Consolidated Statements of Stockholders’ Equity</w:t>
              </w:r>
            </w:hyperlink>
          </w:p>
        </w:tc>
        <w:tc>
          <w:tcPr>
            <w:tcW w:w="1480" w:type="dxa"/>
            <w:vAlign w:val="bottom"/>
            <w:gridSpan w:val="2"/>
          </w:tcPr>
          <w:p>
            <w:pPr>
              <w:spacing w:after="0"/>
              <w:rPr>
                <w:sz w:val="17"/>
                <w:szCs w:val="17"/>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960" w:type="dxa"/>
            <w:vAlign w:val="bottom"/>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w:t>
              </w:r>
            </w:hyperlink>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196"/>
        </w:trPr>
        <w:tc>
          <w:tcPr>
            <w:tcW w:w="4960" w:type="dxa"/>
            <w:vAlign w:val="bottom"/>
            <w:gridSpan w:val="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383"/>
        </w:trPr>
        <w:tc>
          <w:tcPr>
            <w:tcW w:w="72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360" w:type="dxa"/>
            <w:vAlign w:val="bottom"/>
          </w:tcPr>
          <w:p>
            <w:pPr>
              <w:jc w:val="right"/>
              <w:ind w:right="5432"/>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 of SPS Commerce, Inc. and subsidiaries as of December 31, 2013, and the related consolidated statements of income, stockholders’ equity, and cash flows for the year then ended. We also have audited SPS Commerce, Inc.’s internal control over financial reporting as of December 31, 2013,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SPS Commerce, Inc.’s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an opinion on the Company’s internal control over financial reporting based on our audit.</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SPS Commerce, Inc. and subsidiaries as of December 31, 2013, and the results of their operations and their cash flows for the year then ended, in conformity with U.S. generally accepted accounting principles. Also in our opinion, SPS Commerce, Inc. and subsidiaries maintained, in all material respects, effective internal control over financial reporting as of December 31, 2013,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w:t>
      </w:r>
    </w:p>
    <w:p>
      <w:pPr>
        <w:spacing w:after="0" w:line="143" w:lineRule="exact"/>
        <w:rPr>
          <w:sz w:val="20"/>
          <w:szCs w:val="20"/>
          <w:color w:val="auto"/>
        </w:rPr>
      </w:pPr>
    </w:p>
    <w:p>
      <w:pPr>
        <w:ind w:left="6060"/>
        <w:spacing w:after="0"/>
        <w:tabs>
          <w:tab w:leader="none" w:pos="6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16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 of SPS Commerce, Inc. (a Delaware corporation) and subsidiaries (the “Company”) as of December 31, 2012, and the related consolidated statements of income, stockholders’ equity, and cash flows for each of the two years in the period ended December 31, 2012.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SPS Commerce, Inc. and subsidiaries as of December 31, 2012, and the results of their operations and their cash flows for each of the two years in the period ended December 31, 2012 in conformity with accounting principles generally accepted in the United States of America.</w:t>
      </w:r>
    </w:p>
    <w:p>
      <w:pPr>
        <w:spacing w:after="0" w:line="140" w:lineRule="exact"/>
        <w:rPr>
          <w:sz w:val="20"/>
          <w:szCs w:val="20"/>
          <w:color w:val="auto"/>
        </w:rPr>
      </w:pPr>
    </w:p>
    <w:p>
      <w:pPr>
        <w:ind w:left="6060"/>
        <w:spacing w:after="0"/>
        <w:tabs>
          <w:tab w:leader="none" w:pos="6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952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131,294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66,050</w:t>
            </w:r>
          </w:p>
        </w:tc>
      </w:tr>
      <w:tr>
        <w:trPr>
          <w:trHeight w:val="216"/>
        </w:trPr>
        <w:tc>
          <w:tcPr>
            <w:tcW w:w="9520" w:type="dxa"/>
            <w:vAlign w:val="bottom"/>
          </w:tcPr>
          <w:p>
            <w:pPr>
              <w:ind w:left="220"/>
              <w:spacing w:after="0"/>
              <w:rPr>
                <w:sz w:val="20"/>
                <w:szCs w:val="20"/>
                <w:color w:val="auto"/>
              </w:rPr>
            </w:pPr>
            <w:r>
              <w:rPr>
                <w:rFonts w:ascii="Arial" w:cs="Arial" w:eastAsia="Arial" w:hAnsi="Arial"/>
                <w:sz w:val="18"/>
                <w:szCs w:val="18"/>
                <w:color w:val="auto"/>
              </w:rPr>
              <w:t>Accounts receivable, less allowance for doubtful accounts of $237 and $227, respectively</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11,611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10,940</w:t>
            </w: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costs, current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w:t>
            </w:r>
          </w:p>
        </w:tc>
      </w:tr>
      <w:tr>
        <w:trPr>
          <w:trHeight w:val="216"/>
        </w:trPr>
        <w:tc>
          <w:tcPr>
            <w:tcW w:w="9520" w:type="dxa"/>
            <w:vAlign w:val="bottom"/>
          </w:tcPr>
          <w:p>
            <w:pPr>
              <w:ind w:left="220"/>
              <w:spacing w:after="0"/>
              <w:rPr>
                <w:sz w:val="20"/>
                <w:szCs w:val="20"/>
                <w:color w:val="auto"/>
              </w:rPr>
            </w:pPr>
            <w:r>
              <w:rPr>
                <w:rFonts w:ascii="Arial" w:cs="Arial" w:eastAsia="Arial" w:hAnsi="Arial"/>
                <w:sz w:val="18"/>
                <w:szCs w:val="18"/>
                <w:color w:val="auto"/>
              </w:rPr>
              <w:t>Deferred income taxes, current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00" w:type="dxa"/>
            <w:vAlign w:val="bottom"/>
            <w:shd w:val="clear" w:color="auto" w:fill="CCEEFF"/>
          </w:tcPr>
          <w:p>
            <w:pPr>
              <w:spacing w:after="0"/>
              <w:rPr>
                <w:sz w:val="18"/>
                <w:szCs w:val="18"/>
                <w:color w:val="auto"/>
              </w:rPr>
            </w:pPr>
          </w:p>
        </w:tc>
      </w:tr>
      <w:tr>
        <w:trPr>
          <w:trHeight w:val="221"/>
        </w:trPr>
        <w:tc>
          <w:tcPr>
            <w:tcW w:w="95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156,075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91,511</w:t>
            </w:r>
          </w:p>
        </w:tc>
      </w:tr>
      <w:tr>
        <w:trPr>
          <w:trHeight w:val="218"/>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25,487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25,487</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20,240</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costs,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w:t>
            </w:r>
          </w:p>
        </w:tc>
      </w:tr>
      <w:tr>
        <w:trPr>
          <w:trHeight w:val="216"/>
        </w:trPr>
        <w:tc>
          <w:tcPr>
            <w:tcW w:w="9520" w:type="dxa"/>
            <w:vAlign w:val="bottom"/>
          </w:tcPr>
          <w:p>
            <w:pPr>
              <w:ind w:left="220"/>
              <w:spacing w:after="0"/>
              <w:rPr>
                <w:sz w:val="20"/>
                <w:szCs w:val="20"/>
                <w:color w:val="auto"/>
              </w:rPr>
            </w:pPr>
            <w:r>
              <w:rPr>
                <w:rFonts w:ascii="Arial" w:cs="Arial" w:eastAsia="Arial" w:hAnsi="Arial"/>
                <w:sz w:val="18"/>
                <w:szCs w:val="18"/>
                <w:color w:val="auto"/>
              </w:rPr>
              <w:t>Deferred income taxes, net of current portion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10,870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10,853</w:t>
            </w: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223,330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159,201</w:t>
            </w:r>
          </w:p>
        </w:tc>
      </w:tr>
      <w:tr>
        <w:trPr>
          <w:trHeight w:val="20"/>
        </w:trPr>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20" w:type="dxa"/>
            <w:vAlign w:val="bottom"/>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r>
      <w:tr>
        <w:trPr>
          <w:trHeight w:val="216"/>
        </w:trPr>
        <w:tc>
          <w:tcPr>
            <w:tcW w:w="952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7,981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6,038</w:t>
            </w: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r>
      <w:tr>
        <w:trPr>
          <w:trHeight w:val="223"/>
        </w:trPr>
        <w:tc>
          <w:tcPr>
            <w:tcW w:w="952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19"/>
                <w:szCs w:val="19"/>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14,471</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less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w:t>
            </w:r>
          </w:p>
        </w:tc>
      </w:tr>
      <w:tr>
        <w:trPr>
          <w:trHeight w:val="223"/>
        </w:trPr>
        <w:tc>
          <w:tcPr>
            <w:tcW w:w="952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24,384</w:t>
            </w:r>
          </w:p>
        </w:tc>
      </w:tr>
      <w:tr>
        <w:trPr>
          <w:trHeight w:val="221"/>
        </w:trPr>
        <w:tc>
          <w:tcPr>
            <w:tcW w:w="95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20" w:type="dxa"/>
            <w:vAlign w:val="bottom"/>
          </w:tcPr>
          <w:p>
            <w:pPr>
              <w:ind w:left="22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Common stock, $0.001 par value; 55,000,000 shares authorized; 16,092,121 and 14,812,759 shares issued and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95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239,549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182,645</w:t>
            </w:r>
          </w:p>
        </w:tc>
      </w:tr>
      <w:tr>
        <w:trPr>
          <w:trHeight w:val="216"/>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(46,792)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(47,843)</w:t>
            </w:r>
          </w:p>
        </w:tc>
      </w:tr>
      <w:tr>
        <w:trPr>
          <w:trHeight w:val="230"/>
        </w:trPr>
        <w:tc>
          <w:tcPr>
            <w:tcW w:w="952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192,773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134,817</w:t>
            </w:r>
          </w:p>
        </w:tc>
        <w:tc>
          <w:tcPr>
            <w:tcW w:w="100" w:type="dxa"/>
            <w:vAlign w:val="bottom"/>
          </w:tcPr>
          <w:p>
            <w:pPr>
              <w:spacing w:after="0"/>
              <w:rPr>
                <w:sz w:val="20"/>
                <w:szCs w:val="20"/>
                <w:color w:val="auto"/>
              </w:rPr>
            </w:pPr>
          </w:p>
        </w:tc>
      </w:tr>
      <w:tr>
        <w:trPr>
          <w:trHeight w:val="216"/>
        </w:trPr>
        <w:tc>
          <w:tcPr>
            <w:tcW w:w="9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223,330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159,201</w:t>
            </w:r>
          </w:p>
        </w:tc>
      </w:tr>
      <w:tr>
        <w:trPr>
          <w:trHeight w:val="20"/>
        </w:trPr>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104,391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77,106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Cost of revenues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22,040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15,366</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55,066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42,603</w:t>
            </w: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30,037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23,836</w:t>
            </w:r>
          </w:p>
        </w:tc>
        <w:tc>
          <w:tcPr>
            <w:tcW w:w="0" w:type="dxa"/>
            <w:vAlign w:val="bottom"/>
          </w:tcPr>
          <w:p>
            <w:pPr>
              <w:spacing w:after="0"/>
              <w:rPr>
                <w:sz w:val="1"/>
                <w:szCs w:val="1"/>
                <w:color w:val="auto"/>
              </w:rPr>
            </w:pP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8,166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17,189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13,524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11,151</w:t>
            </w:r>
          </w:p>
        </w:tc>
        <w:tc>
          <w:tcPr>
            <w:tcW w:w="0" w:type="dxa"/>
            <w:vAlign w:val="bottom"/>
          </w:tcPr>
          <w:p>
            <w:pPr>
              <w:spacing w:after="0"/>
              <w:rPr>
                <w:sz w:val="1"/>
                <w:szCs w:val="1"/>
                <w:color w:val="auto"/>
              </w:rPr>
            </w:pP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1,767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53,494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41,468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4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Other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expense, net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7"/>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 benefit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12,619</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1,222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13,703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Basic</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13,056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11,960</w:t>
            </w:r>
          </w:p>
        </w:tc>
        <w:tc>
          <w:tcPr>
            <w:tcW w:w="0" w:type="dxa"/>
            <w:vAlign w:val="bottom"/>
          </w:tcPr>
          <w:p>
            <w:pPr>
              <w:spacing w:after="0"/>
              <w:rPr>
                <w:sz w:val="1"/>
                <w:szCs w:val="1"/>
                <w:color w:val="auto"/>
              </w:rPr>
            </w:pPr>
          </w:p>
        </w:tc>
      </w:tr>
      <w:tr>
        <w:trPr>
          <w:trHeight w:val="222"/>
        </w:trPr>
        <w:tc>
          <w:tcPr>
            <w:tcW w:w="68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15,931</w:t>
            </w: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13,910</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56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1560" w:type="dxa"/>
            <w:vAlign w:val="bottom"/>
            <w:tcBorders>
              <w:bottom w:val="single" w:sz="8" w:color="auto"/>
            </w:tcBorders>
            <w:gridSpan w:val="3"/>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restart"/>
          </w:tcPr>
          <w:p>
            <w:pPr>
              <w:jc w:val="right"/>
              <w:ind w:right="640"/>
              <w:spacing w:after="0" w:line="149"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January 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11,849,572</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$106,264</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(62,768)</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1,768</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289,286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 offering costs</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of stock options exercised</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13,703</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12,138,858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108,606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(49,065)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2,755</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468,717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1,563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Excess tax benefit of stock options exercised</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 issued for acquisition</w:t>
            </w:r>
          </w:p>
        </w:tc>
        <w:tc>
          <w:tcPr>
            <w:tcW w:w="860" w:type="dxa"/>
            <w:vAlign w:val="bottom"/>
          </w:tcPr>
          <w:p>
            <w:pPr>
              <w:jc w:val="right"/>
              <w:spacing w:after="0"/>
              <w:rPr>
                <w:sz w:val="20"/>
                <w:szCs w:val="20"/>
                <w:color w:val="auto"/>
              </w:rPr>
            </w:pPr>
            <w:r>
              <w:rPr>
                <w:rFonts w:ascii="Arial" w:cs="Arial" w:eastAsia="Arial" w:hAnsi="Arial"/>
                <w:sz w:val="18"/>
                <w:szCs w:val="18"/>
                <w:color w:val="auto"/>
              </w:rPr>
              <w:t>347,852</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11,395</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Stock offering, net of costs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1,840,000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57,806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14,812,759</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182,645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(47,843)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4,203</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issuance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497,248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3,735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Excess tax benefit of stock options exercised</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32,114</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1,242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 offering, net of costs</w:t>
            </w:r>
          </w:p>
        </w:tc>
        <w:tc>
          <w:tcPr>
            <w:tcW w:w="860" w:type="dxa"/>
            <w:vAlign w:val="bottom"/>
          </w:tcPr>
          <w:p>
            <w:pPr>
              <w:jc w:val="right"/>
              <w:spacing w:after="0"/>
              <w:rPr>
                <w:sz w:val="20"/>
                <w:szCs w:val="20"/>
                <w:color w:val="auto"/>
              </w:rPr>
            </w:pPr>
            <w:r>
              <w:rPr>
                <w:rFonts w:ascii="Arial" w:cs="Arial" w:eastAsia="Arial" w:hAnsi="Arial"/>
                <w:sz w:val="18"/>
                <w:szCs w:val="18"/>
                <w:color w:val="auto"/>
              </w:rPr>
              <w:t>750,000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47,568</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Balances, December 31, 2013</w:t>
            </w: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16,092,121</w:t>
            </w:r>
          </w:p>
        </w:tc>
        <w:tc>
          <w:tcPr>
            <w:tcW w:w="5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239,549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(46,792)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192,773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1,051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1,222</w:t>
            </w:r>
          </w:p>
        </w:tc>
        <w:tc>
          <w:tcPr>
            <w:tcW w:w="4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13,703</w:t>
            </w:r>
          </w:p>
        </w:tc>
      </w:tr>
      <w:tr>
        <w:trPr>
          <w:trHeight w:val="21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(12,708)</w:t>
            </w: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4,203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2,755</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 net of effect of 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(2,067)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(2,810)</w:t>
            </w:r>
          </w:p>
        </w:tc>
      </w:tr>
      <w:tr>
        <w:trPr>
          <w:trHeight w:val="216"/>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costs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w:t>
            </w:r>
          </w:p>
        </w:tc>
      </w:tr>
      <w:tr>
        <w:trPr>
          <w:trHeight w:val="216"/>
        </w:trPr>
        <w:tc>
          <w:tcPr>
            <w:tcW w:w="826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(3,534)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r>
      <w:tr>
        <w:trPr>
          <w:trHeight w:val="216"/>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826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446</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r>
      <w:tr>
        <w:trPr>
          <w:trHeight w:val="216"/>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r>
      <w:tr>
        <w:trPr>
          <w:trHeight w:val="216"/>
        </w:trPr>
        <w:tc>
          <w:tcPr>
            <w:tcW w:w="8260" w:type="dxa"/>
            <w:vAlign w:val="bottom"/>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66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9"/>
                <w:szCs w:val="19"/>
                <w:color w:val="auto"/>
              </w:rPr>
            </w:pPr>
          </w:p>
        </w:tc>
      </w:tr>
      <w:tr>
        <w:trPr>
          <w:trHeight w:val="216"/>
        </w:trPr>
        <w:tc>
          <w:tcPr>
            <w:tcW w:w="8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4,485</w:t>
            </w:r>
          </w:p>
        </w:tc>
      </w:tr>
      <w:tr>
        <w:trPr>
          <w:trHeight w:val="222"/>
        </w:trPr>
        <w:tc>
          <w:tcPr>
            <w:tcW w:w="82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Business acquisitions, net of cash acquired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(26,262)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(10,841)</w:t>
            </w:r>
          </w:p>
        </w:tc>
      </w:tr>
      <w:tr>
        <w:trPr>
          <w:trHeight w:val="216"/>
        </w:trPr>
        <w:tc>
          <w:tcPr>
            <w:tcW w:w="826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(5,701)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(5,983)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(2,584)</w:t>
            </w: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(32,245)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(13,425)</w:t>
            </w:r>
          </w:p>
        </w:tc>
      </w:tr>
      <w:tr>
        <w:trPr>
          <w:trHeight w:val="222"/>
        </w:trPr>
        <w:tc>
          <w:tcPr>
            <w:tcW w:w="82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8260" w:type="dxa"/>
            <w:vAlign w:val="bottom"/>
          </w:tcPr>
          <w:p>
            <w:pPr>
              <w:ind w:left="220"/>
              <w:spacing w:after="0"/>
              <w:rPr>
                <w:sz w:val="20"/>
                <w:szCs w:val="20"/>
                <w:color w:val="auto"/>
              </w:rPr>
            </w:pPr>
            <w:r>
              <w:rPr>
                <w:rFonts w:ascii="Arial" w:cs="Arial" w:eastAsia="Arial" w:hAnsi="Arial"/>
                <w:sz w:val="18"/>
                <w:szCs w:val="18"/>
                <w:color w:val="auto"/>
              </w:rPr>
              <w:t>Borrowings on line of credit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11,000</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line of credit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tcPr>
          <w:p>
            <w:pPr>
              <w:ind w:left="220"/>
              <w:spacing w:after="0"/>
              <w:rPr>
                <w:sz w:val="20"/>
                <w:szCs w:val="20"/>
                <w:color w:val="auto"/>
              </w:rPr>
            </w:pPr>
            <w:r>
              <w:rPr>
                <w:rFonts w:ascii="Arial" w:cs="Arial" w:eastAsia="Arial" w:hAnsi="Arial"/>
                <w:sz w:val="18"/>
                <w:szCs w:val="18"/>
                <w:color w:val="auto"/>
              </w:rPr>
              <w:t>Net proceeds from stock offerings</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47,738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57,940</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offering costs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8260" w:type="dxa"/>
            <w:vAlign w:val="bottom"/>
          </w:tcPr>
          <w:p>
            <w:pPr>
              <w:ind w:left="220"/>
              <w:spacing w:after="0"/>
              <w:rPr>
                <w:sz w:val="20"/>
                <w:szCs w:val="20"/>
                <w:color w:val="auto"/>
              </w:rPr>
            </w:pPr>
            <w:r>
              <w:rPr>
                <w:rFonts w:ascii="Arial" w:cs="Arial" w:eastAsia="Arial" w:hAnsi="Arial"/>
                <w:sz w:val="18"/>
                <w:szCs w:val="18"/>
                <w:color w:val="auto"/>
              </w:rPr>
              <w:t>Net proceeds from exercise of options to purchase common stock</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3,735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1,563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r>
      <w:tr>
        <w:trPr>
          <w:trHeight w:val="21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Net proceeds from employee stock purchase plan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59,481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r>
      <w:tr>
        <w:trPr>
          <w:trHeight w:val="221"/>
        </w:trPr>
        <w:tc>
          <w:tcPr>
            <w:tcW w:w="82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65,244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34,065</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(8,488)</w:t>
            </w:r>
          </w:p>
        </w:tc>
      </w:tr>
      <w:tr>
        <w:trPr>
          <w:trHeight w:val="218"/>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31,985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40,473</w:t>
            </w:r>
          </w:p>
        </w:tc>
        <w:tc>
          <w:tcPr>
            <w:tcW w:w="100" w:type="dxa"/>
            <w:vAlign w:val="bottom"/>
            <w:shd w:val="clear" w:color="auto" w:fill="CCEEFF"/>
          </w:tcPr>
          <w:p>
            <w:pPr>
              <w:spacing w:after="0"/>
              <w:rPr>
                <w:sz w:val="18"/>
                <w:szCs w:val="18"/>
                <w:color w:val="auto"/>
              </w:rPr>
            </w:pPr>
          </w:p>
        </w:tc>
      </w:tr>
      <w:tr>
        <w:trPr>
          <w:trHeight w:val="222"/>
        </w:trPr>
        <w:tc>
          <w:tcPr>
            <w:tcW w:w="82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131,294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66,050</w:t>
            </w:r>
          </w:p>
        </w:tc>
        <w:tc>
          <w:tcPr>
            <w:tcW w:w="4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31,985</w:t>
            </w:r>
          </w:p>
        </w:tc>
      </w:tr>
      <w:tr>
        <w:trPr>
          <w:trHeight w:val="20"/>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8260" w:type="dxa"/>
            <w:vAlign w:val="bottom"/>
          </w:tcPr>
          <w:p>
            <w:pPr>
              <w:ind w:left="220"/>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issued for business acquisition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11,396</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a leading provider of cloud-based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derive the majority of our revenues from thousands of monthly recurring subscriptions from businesses that utilize our solutions.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recognize separately from goodwill the fair value of the assets acquired and the liabilities assumed at the acquisition date. Goodwill as of the acquisition date is measured as the excess of consideration transferred and the net of the acquisition date amounts of the assets acquired and the liabilities assumed. Assets acquired include tangible and intangible assets. We determine the value and useful lives of purchased intangible assets with the assistance of an independent third-party valuation firm using certain estimates and assumptions.</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While we use estimates and assumptions that we believe are reasonable as a part of the purchase price allocation process to accurately value the assets acquired and the liabilities assumed at the acquisition date,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Upon the conclusion of the measurement period or final determination of the fair values, whichever comes first, any subsequent adjustments would be recorded in our consolidated statements of income.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and report on one segment, supply chain management solutions.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carrying amounts of our financial instruments, which include cash and cash equivalents, accounts receivable, accounts payable and other accrued expenses, approximates fair value due to their short maturities.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temporary cash and cash equivalents in financial institutions in excess of federally insured limits and trade accounts receivable. Temporary cash investments are held with financial institutions that we believe are subject to minimal risk.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consist of cash and highly liquid investments with original maturities when purchased of less than 90 days.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customers to make the required payments. Accounts that are outstanding longer than the contractual terms are considered past due. When determining the allowances for doubtful accounts, we take several factors into consideration including the overall composition of the accounts receivable aging, our prior history of accounts receivable write-offs, the type of customers and our day-to-day knowledge of specific customers. We write off accounts receivable when they become uncollectible. Changes in the allowances for doubtful accounts are recorded as bad debt expense and are included in general and administrative expense in our consolidated statements of income.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and equipment, including assets acquired under capital lease obligations, are stated at cost, net of accumulated depreciation and amortization.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Depreciation and amortization are computed using the straight-line method over the shorter of the estimated useful lives of the individual assets or the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are:</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Computer equipment and purchased software: 2 to 5 years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Office equipment and furniture: 5 to 7 years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Leasehold improvements: 2 to 7 years</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 The assets and related accumulated depreciation and amortization accounts are adjusted for asset retirements and disposals with the resulting gain or loss included in net income.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Research and development costs primarily include maintenance and data conversion activities related to our cloud-based supply chain management solutions and are expensed as incurred.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in business combinations. 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Assets acquired in business combinations may include identifiable intangible assets such as subscriber relationships and non-competition agreements. We recognize separately from goodwill the fair value of the identifiable intangible assets acquired. We have determined the fair value and useful lives of our purchased intangible assets with the assistance of a third-party valuation firm using certain estimates and assumptions.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which is three to nine years for subscriber relationships and two to five years for non-competition agreements.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as the amount by which the carrying amount of a long-lived asset exceeds its fair value.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right="800" w:firstLine="456"/>
        <w:spacing w:after="0" w:line="259" w:lineRule="auto"/>
        <w:rPr>
          <w:sz w:val="20"/>
          <w:szCs w:val="20"/>
          <w:color w:val="auto"/>
        </w:rPr>
      </w:pPr>
      <w:r>
        <w:rPr>
          <w:rFonts w:ascii="Arial" w:cs="Arial" w:eastAsia="Arial" w:hAnsi="Arial"/>
          <w:sz w:val="18"/>
          <w:szCs w:val="18"/>
          <w:color w:val="auto"/>
        </w:rPr>
        <w:t>We generate revenues by providing a number of solutions to our customers. These solutions include Trading Partner Integration, Trading Partner Enablement and Trading Partner Intelligence. All of our solutions are hosted applications that allow customers to meet their supply chain management requirements. Sales taxes are presented on a net basis within revenue.</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Revenues are recorded when all of the following criteria are met: (1) persuasive evidence of an arrangement exists, (2) delivery has occurred, (3) the fee is fixed or determinable, and (4) collectability is probable. If collection is not considered probable, revenues are recognized when the fees are collected.</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Fees related to our Trading Partner Integration, Trading Partner Enablement and Trading Partner Intelligence solutions consist of two revenue sources: set-up fees and recurring monthly fees. Set-up fees are specific for each connection a customer has with a trading partner and most of our customers have connections with numerous trading partners. Set-up fees are nonrefundable upfront fees that do not have standalone value to our customer and are not separable from the recurring monthly fees. All set-up fees and related costs are deferred and recognized ratably over the average life of the connection between the customer and the trading partner, which is approximately two years. We begin recognizing set-up fee revenue once the connection is established.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Set-up fees for which connections have not yet been established are classified as long-term. We continue to evaluate the length of the amortization period as more experience is gained with contract cancellations and technology changes requested by our customers. It is possible that, in the future, the period over which such subscription set-up fees and costs are amortized may be adjusted. Any change in our estimate of the average connection life will affect our future results of operations. The recurring monthly fees are comprised of both fixed and transaction-based fees that are recognized as earned.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recognize the cost of all share-based payments to employees, including grants of employee stock options, in the financial statements based on the grant date fair value of those awards. This cost is recognized over the period for which an employee is required to provide service in exchange for the award. Benefits associated with tax deductions in excess of recognized compensation expense are reported as a cash flow from financing activities.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estimate the fair value of options granted using the Black-Scholes option pricing model. The estimation of stock awards that will ultimately vest requires judgment, and to the extent actual results differ from our estimates, such amounts will be recorded as an adjustment in the period estimates are revised. In valuing share-based awards, judgment is required in determining the expected volatility of common stock and the expected term individuals will hold their share-based awards prior to exercising. Expected volatility of the stock is based on a peer group in the industry in which we do business because we do not have sufficient historical volatility data for our own common stock. The expected term of the options is based on the simplified method which does not consider historical or expected employee exercise behavior.</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Advertising costs are charged to expense as incurred. Advertising costs were approximately $61,000, $150,000 and $93,000 for the years ended December 31, 2013, 2012 and 2011, respectively. Advertising costs are included in sales and marketing expenses in our consolidated statements of income.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account for income taxes using the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it is not “more likely than not” that the deferred tax asset will be utilized.</w:t>
      </w:r>
    </w:p>
    <w:p>
      <w:pPr>
        <w:spacing w:after="0" w:line="11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assess our ability to realize our deferred tax assets on a regular and periodic basis. Realization of our deferred tax assets is contingent upon future taxable earnings. Accordingly, this assessment requires significant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9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restricted stock units and awards. Potential common shares that are anti-dilutive are excluded from the calculation of diluted net income per share.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evaluated all recent accounting pronouncements and believe that none of them will have a material effect on our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Edifice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August 6, 2012, we entered into an asset purchase agreement with Edifice Information Management Systems, Inc. (“Edifice”), a privately-held information services company specializing in the collection, analysis and distribution of point-of-sale data used by retailers and suppliers to improve their supply chain efficiencies. We completed the asset purchase on August 7, 2012. Under the asset purchase agreement, we purchased and acquired substantially all of the assets of Edifice for $26.3 million in cash and 347,852 shares of our common stock. We also assumed certain liabilities of Edifice. This acquisition increased our point-of-sale analytic offerings, expanded our base of recurring revenue customers and added suppliers to our network.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assets. Goodwill will not be amortized; however it is deductible for tax purposes.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fourth quarter of 2012, we completed our evaluation of the purchase price allocation and there were no adjustments to the purchase price or net assets acquired.</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The purchase price consisted of the following (in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SPS Commerce, Inc. common stock</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borrowed $11.0 million under our existing line of credit to fund a portion of the cash paid for the acquisition. The number of shares of our common stock issued for the acquisition was 347,852 shares as calculated according to the terms of the purchase agreement. The fair value of the shares issued was determined using the closing price of our common stock on August 6,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at the acquisition date (in thousands):</w:t>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(1,232)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Purchased Intangible Assets</w:t>
            </w: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260" w:type="dxa"/>
            <w:vAlign w:val="bottom"/>
            <w:gridSpan w:val="3"/>
            <w:vMerge w:val="continue"/>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gridSpan w:val="6"/>
          </w:tcPr>
          <w:p>
            <w:pPr>
              <w:ind w:left="220"/>
              <w:spacing w:after="0"/>
              <w:rPr>
                <w:sz w:val="20"/>
                <w:szCs w:val="20"/>
                <w:color w:val="auto"/>
              </w:rPr>
            </w:pPr>
            <w:r>
              <w:rPr>
                <w:rFonts w:ascii="Arial" w:cs="Arial" w:eastAsia="Arial" w:hAnsi="Arial"/>
                <w:sz w:val="18"/>
                <w:szCs w:val="18"/>
                <w:color w:val="auto"/>
                <w:w w:val="90"/>
              </w:rPr>
              <w:t>The following table summarizes the estimated fair value of the purchased intangible assets and their estimated useful lives: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w w:val="86"/>
              </w:rPr>
              <w:t>Estimated</w:t>
            </w:r>
          </w:p>
        </w:tc>
        <w:tc>
          <w:tcPr>
            <w:tcW w:w="96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12"/>
                <w:szCs w:val="12"/>
                <w:color w:val="auto"/>
              </w:rPr>
            </w:pP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89"/>
              </w:rPr>
              <w:t>Purchased Intangible Assets</w:t>
            </w:r>
          </w:p>
        </w:tc>
        <w:tc>
          <w:tcPr>
            <w:tcW w:w="3300" w:type="dxa"/>
            <w:vAlign w:val="bottom"/>
            <w:vMerge w:val="restart"/>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(in thousands)</w:t>
            </w:r>
          </w:p>
        </w:tc>
        <w:tc>
          <w:tcPr>
            <w:tcW w:w="960" w:type="dxa"/>
            <w:vAlign w:val="bottom"/>
          </w:tcPr>
          <w:p>
            <w:pPr>
              <w:spacing w:after="0"/>
              <w:rPr>
                <w:sz w:val="14"/>
                <w:szCs w:val="14"/>
                <w:color w:val="auto"/>
              </w:rPr>
            </w:pPr>
          </w:p>
        </w:tc>
        <w:tc>
          <w:tcPr>
            <w:tcW w:w="6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3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15,980</w:t>
            </w: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The purchased intangible assets are being amortized on a straight-line basis over their estimated useful lives. Amortization expense related to these intangible assets was $1.8 million for the year ended December 31, 2013 and $727,000 for the period from August 7, 2012 through December 31, 2012.</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Acquisition-Related Costs and Post-Acquisition Operating Results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Acquisition-related costs were $212,000 and are included in our consolidated statements of income for the year ended December 31, 2012. The operating results of Edifice have been included in our consolidated financial statements from August 7, 2012, the closing date of the acquisition. For the period from August 7, 2012 through December 31, 2012, approximately $5.0 million of our revenues were derived from Edifice customers. The amount of operating income or loss from Edifice was not separately identifiable due to our integration.</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80"/>
          </w:cols>
          <w:pgMar w:left="240" w:top="459"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unaudited pro forma financial information in the table below presents the combined operating results of SPS Commerce and Edifice as if the acquisition had occurred on January 1, 2011. The unaudited pro forma information includes the historical operating results of each company and pro forma adjustments for the approximate $1.8 million of annual amortization expense related to purchased intangible assets and the additional impact on the provision or benefit for income taxes, resulting from the combined income and intangible amortization expense, using our statutory blended income tax rate of 36.5%.</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8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8740" w:type="dxa"/>
            <w:vAlign w:val="bottom"/>
            <w:tcBorders>
              <w:bottom w:val="single" w:sz="8" w:color="CCEEFF"/>
            </w:tcBorders>
            <w:vMerge w:val="continue"/>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$83,478</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 forma net income</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1,055</w:t>
            </w:r>
          </w:p>
        </w:tc>
        <w:tc>
          <w:tcPr>
            <w:tcW w:w="580" w:type="dxa"/>
            <w:vAlign w:val="bottom"/>
          </w:tcPr>
          <w:p>
            <w:pPr>
              <w:jc w:val="right"/>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0.08</w:t>
            </w: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2011, nor is it necessarily indicative of our results of operations for any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EDI</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17, 2011, we entered into an asset purchase agreement with Direct EDI LLC, a privately-held provider of cloud-based integration solutions for electronic data interchange, and we completed the asset purchase on May 18, 2011. Under the asset purchase agreement, we purchased and acquired substantially all of the assets of Direct EDI for $10.8 million in cash and assumed certain liabilities of Direct EDI. The acquisition of Direct EDI expanded our base of recurring revenue customers.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that are not included in the fair values of assets. Goodwill will not be amortized; however it is deductible for tax purposes. During the fourth quarter of 2011, we completed our evaluation of the purchase price allocation and recorded a purchase price adjustment of approximately $25,000 related to working capital.</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at the acquisition date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Goodwill</w:t>
            </w:r>
          </w:p>
        </w:tc>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220"/>
              <w:spacing w:after="0"/>
              <w:rPr>
                <w:sz w:val="20"/>
                <w:szCs w:val="20"/>
                <w:color w:val="auto"/>
              </w:rPr>
            </w:pPr>
            <w:r>
              <w:rPr>
                <w:rFonts w:ascii="Arial" w:cs="Arial" w:eastAsia="Arial" w:hAnsi="Arial"/>
                <w:sz w:val="18"/>
                <w:szCs w:val="18"/>
                <w:color w:val="auto"/>
              </w:rPr>
              <w:t>Total purchase price</w:t>
            </w:r>
          </w:p>
        </w:tc>
        <w:tc>
          <w:tcPr>
            <w:tcW w:w="6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6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10,841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380" w:type="dxa"/>
            <w:vAlign w:val="bottom"/>
            <w:vMerge w:val="restart"/>
          </w:tcPr>
          <w:p>
            <w:pPr>
              <w:jc w:val="right"/>
              <w:ind w:right="4392"/>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Estimated</w:t>
            </w:r>
          </w:p>
        </w:tc>
      </w:tr>
      <w:tr>
        <w:trPr>
          <w:trHeight w:val="149"/>
        </w:trPr>
        <w:tc>
          <w:tcPr>
            <w:tcW w:w="5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Life</w:t>
            </w:r>
          </w:p>
        </w:tc>
      </w:tr>
      <w:tr>
        <w:trPr>
          <w:trHeight w:val="161"/>
        </w:trPr>
        <w:tc>
          <w:tcPr>
            <w:tcW w:w="5000" w:type="dxa"/>
            <w:vAlign w:val="bottom"/>
          </w:tcPr>
          <w:p>
            <w:pPr>
              <w:spacing w:after="0"/>
              <w:rPr>
                <w:sz w:val="20"/>
                <w:szCs w:val="20"/>
                <w:color w:val="auto"/>
              </w:rPr>
            </w:pPr>
            <w:r>
              <w:rPr>
                <w:rFonts w:ascii="Arial" w:cs="Arial" w:eastAsia="Arial" w:hAnsi="Arial"/>
                <w:sz w:val="14"/>
                <w:szCs w:val="14"/>
                <w:b w:val="1"/>
                <w:bCs w:val="1"/>
                <w:color w:val="auto"/>
              </w:rPr>
              <w:t>Purchased Intangible Assets</w:t>
            </w:r>
          </w:p>
        </w:tc>
        <w:tc>
          <w:tcPr>
            <w:tcW w:w="294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(in years)</w:t>
            </w:r>
          </w:p>
        </w:tc>
      </w:tr>
      <w:tr>
        <w:trPr>
          <w:trHeight w:val="210"/>
        </w:trPr>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2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4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6,120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The purchased intangible assets are being amortized on a straight-line basis over their estimated useful lives. Amortization expense related to these intangible assets was $1.0 million for each of the years ended December 31, 2013 and 2012 and $643,000 for the year ended December 31,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 and Post-Acquisition Operating Results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Acquisition-related costs were approximately $232,000 and are included in general and administrative expense in our consolidated statements of income for the year ended December 31, 2011. The operating results of Direct EDI have been included in our consolidated financial statements from May 18, 2011, the closing date of the acquisition. For the year ended December 31, 2011, approximately $2.7 million of our revenues were derived from Direct EDI customers. The amount of operating income or loss from Direct EDI was not separately identifiable due to our integration.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unaudited pro forma financial information in the table below presents the combined operating results of SPS Commerce and Direct EDI as if the acquisition had occurred on January 1, 2011. The unaudited pro forma information includes the historical operating results of each company and certain pro forma adjustments, including annual amortization expense for purchased intangible assets of approximately $1.0 million and additional annual compensation expense of approximately $280,000 related to employment arrangements entered into as part of the acquisition.</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5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592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480" w:type="dxa"/>
            <w:vAlign w:val="bottom"/>
            <w:gridSpan w:val="2"/>
          </w:tcPr>
          <w:p>
            <w:pPr>
              <w:jc w:val="center"/>
              <w:ind w:left="361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 forma total revenue</w:t>
            </w:r>
          </w:p>
        </w:tc>
        <w:tc>
          <w:tcPr>
            <w:tcW w:w="3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59,815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Pro forma net income</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13,576</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3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color w:val="auto"/>
              </w:rPr>
              <w:t>Basic</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2011, nor is it necessarily indicative of our results of operations for any future periods.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Accounts Receivable,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allowance for doubtful accounts activity, included in accounts receivable, net, was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January 1</w:t>
            </w:r>
          </w:p>
        </w:tc>
        <w:tc>
          <w:tcPr>
            <w:tcW w:w="1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$ 227</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$ 222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2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w:t>
            </w:r>
          </w:p>
        </w:tc>
        <w:tc>
          <w:tcPr>
            <w:tcW w:w="2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(504)</w:t>
            </w:r>
          </w:p>
        </w:tc>
        <w:tc>
          <w:tcPr>
            <w:tcW w:w="10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(426)</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Recoveries</w:t>
            </w:r>
          </w:p>
        </w:tc>
        <w:tc>
          <w:tcPr>
            <w:tcW w:w="15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w:t>
            </w: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$ 227</w:t>
            </w: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$ 222</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D – Property and Equipment, net</w:t>
            </w:r>
          </w:p>
        </w:tc>
        <w:tc>
          <w:tcPr>
            <w:tcW w:w="1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2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included the following (in thousands):</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purchased software</w:t>
            </w:r>
          </w:p>
        </w:tc>
        <w:tc>
          <w:tcPr>
            <w:tcW w:w="1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$ 18,368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$ 13,154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3,828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24,878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(14,956)</w:t>
            </w: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(10,243)</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  9,922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  7,670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December 31, 2013 and 2012, property and equipment, net included approximately $71,000 and $59,000, respectively, of assets held at subsidiary and office locations outside of the 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Goodwill and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change in our goodwill for the year ended December 31,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included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320" w:type="dxa"/>
            <w:vAlign w:val="bottom"/>
          </w:tcPr>
          <w:p>
            <w:pPr>
              <w:spacing w:after="0"/>
              <w:rPr>
                <w:sz w:val="11"/>
                <w:szCs w:val="11"/>
                <w:color w:val="auto"/>
              </w:rPr>
            </w:pPr>
          </w:p>
        </w:tc>
        <w:tc>
          <w:tcPr>
            <w:tcW w:w="10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3"/>
              </w:rPr>
              <w:t>Carrying</w:t>
            </w: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3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Amount</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$23,160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7"/>
              </w:rPr>
              <w:t>(6,376)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$16,784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1,710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(1,412)</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298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1,710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r>
      <w:tr>
        <w:trPr>
          <w:trHeight w:val="27"/>
        </w:trPr>
        <w:tc>
          <w:tcPr>
            <w:tcW w:w="5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24,870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(7,788)</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17,082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24,870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20,240</w:t>
            </w:r>
          </w:p>
        </w:tc>
        <w:tc>
          <w:tcPr>
            <w:tcW w:w="100" w:type="dxa"/>
            <w:vAlign w:val="bottom"/>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Amortization expense for intangible assets was $3.2 million, $1.8 million and $643,000 for the years ended December 31, 2013, 2012 and 2011,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for the year ended December 31, 2013 included $290,000 for the impairment of a certain non-competition agreement.</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At December 31, 2013, future amortization expense for intangible assets was as follows (in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Line of Credit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on amounts borrowed under the credit facility is based on (i) an Adjusted LIBO Rate (as defined in the revolving credit agreement) plus an applicable margin of 175 to 225 basis points based on our net working capital, or (ii) JPMorgan’s prime rate (provided it is not less than the Adjusted One Month LIBO Rate (as defined in the revolving credit agreement)) plus an applicable margin of -25 to 25 basis points based on our net working capital. Interest is payable monthly in arrears. Availability under the credit facility is subject to a borrowing base equal to the sum of 250% of our eligible monthly recurring revenue (as defined in the revolving credit agreement) and all borrowings are due in full no later than the maturity date of the agreement.</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revolving credit agreement contains customary representations, warranties, covenants and events of default, including, but not limited to financial covenants requiring us to maintain a fixed charge coverage ratio of not less than 1.20 to 1.00, cash and cash equivalents of not less than $10 million and a minimum number of recurring revenue customers. If an event of default occurs, among other things, the applicable interest rate is subject to an increase of 2% and all outstanding obligations may become immediately due and payable.</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There were no borrowings under the revolving credit agreement in 2013. In connection with the acquisition of Edifice in 2012 (see Note B), we borrowed $11.0 million under our line of credit to fund a portion of the cash paid for the acquisition. On September 11, 2012, this debt was repaid in full with a portion of the proceeds received from our public offering of common stock on that date (see Note I).</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December 31, 2013, there were no borrowings outstanding, approximately $20.0 million was available for borrowings, and we were in compliance with all covenants under the revolving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Accrued Expenses and Other Current Liabilities</w:t>
      </w:r>
    </w:p>
    <w:p>
      <w:pPr>
        <w:spacing w:after="0" w:line="9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In the second quarter of 2013, we entered into an agreement to purchase software licenses. At December 31, 2013, our future payments under this agreement, which are included in accrued expenses and other current liabilities in our consolidated balance sheets, were approximately $1.4 million for 2014.</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Leases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acquisition of Edifice (see Note B), we assumed certain capital lease obligations for computer equipment and purchased software.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these leases were fully repaid.</w:t>
      </w:r>
    </w:p>
    <w:p>
      <w:pPr>
        <w:spacing w:after="0" w:line="16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previously leased certain computer equipment and purchased software under capital leases with an interest rate of 10.75%. These capital lease obligations were fully repaid in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obligated under non-cancellable operating leases primarily for office space. Rent expense charged to operations was $2.8 million, $1.6 million and $963,000 for the years ended December 31, 2013, 2012 and 2011, respectively.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14, 2012, we executed a new lease agreement for our current headquarters location which commenced on November 1, 2012 and expires on April 30, 2020. The lease includes additional square footage upon commencement, an automatic expansion of space on or about September 1, 2013, a right of first offer to lease certain additional space, and two options to extend the term of the lease for three years at a market rate determined in accordance with the lease. In the fourth quarter of 2013, we exercised our right to assume additional space. We have not yet occupied this additional space; however, the future non-cancellable payments are included in the table below. There was also a rent holiday from November 2012 to October 2013 which has been incorporated into our deferred rent calculation. In connection with this new lease, we delivered to the landlord cash or an irrevocable letter of credit for approximately $172,000, subject to increase based on square footage expansion, as security for performance of our obligations under the lease.</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At December 31, 2013, our future minimum payments under operating leases were as follows (in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may be involved in various claims and legal actions in the normal course of business. Our management believes that the outcome of any such claims and legal actions will not have a significant adverse effect on our financial position,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Issued</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On November 25, 2013, we completed a public stock offering where we issued and sold 750,000 shares of our common stock at a price to the public of $67.00 per share. We received net proceeds of approximately $47.6 million from this offering after payment of approximately $2.7 million of underwriting discounts and commissions and legal, accounting and other fees incurred in connection with the offering.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September 11, 2012, we completed a public stock offering where we issued and sold 1,840,000 shares of our common stock, including 240,000 shares sold pursuant to the exercise in full of the underwriters’ over-allotment option, at a price to the public of $33.50 per share. We received net proceeds of approximately $57.8 million from this offering after payment of approximately $3.8 million of underwriting discounts and commissions and legal, accounting and other fees incurred in connection with the offering.</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August 7, 2012, in connection with the acquisition of Edifice (see Note B), we issued 347,852 shares of our common stock. The fair value of the shares issued was determined using the closing price of our common stock on August 6,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Stock-Based Compensation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2013, 888,765 additional shares were reserved for future issuance under our 2010 Equity Incentive Plan. At December 31, 2013, there were approximately 1.8 million shares available for grant under approved equity compensation plans.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recorded non-cash stock-based compensation expense of $4.2 million, $2.8 million and $1.8 million for the years ended December 31, 2013, 2012 and 2011, respectively. This expense was allocated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1,981</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8"/>
                <w:szCs w:val="18"/>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4,203</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2,755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1,768</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2013, there was approximately $7.2 million of unrecognized stock-based compensation expense under our equity compensation plans, which is expected to be recognized on a straight line basis over a weighted average period of 2.6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 Price</w:t>
            </w: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w:t>
            </w: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1,549,344</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431,790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(289,286)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(22,439)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1,669,409</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240,831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(468,717)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(71,382)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1,370,141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225,439</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(469,225)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(29,132)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1,097,223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Of the total outstanding options at December 31, 2013, 642,928 were exercisable with a weighted average exercise price of $12.98 per share. The total outstanding options had a weighted average remaining contractual life of 5.8 years.</w:t>
      </w:r>
    </w:p>
    <w:p>
      <w:pPr>
        <w:spacing w:after="0" w:line="132"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fair value of options that vested during the years ended December 31, 2013, 2012 and 2011 was $2.6 million, $2.3 million and $1.3 million, respectively.</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intrinsic value of options exercised during the years ended December 31, 2013, 2012 and 2011 was $20.7 million, $12.1 million and $4.9 million, respectively. The intrinsic value of outstanding options at December 31, 2013, 2012 and 2011 was $50.1 million, $34.1 million and $29.7 million, respectively.</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weighted-average fair values per share of options granted during 2013, 2012 and 2011 were $14.60, $10.43 and $8.25, respectively. The fair values of the options granted was estimated on the date of grant using the Black-Scholes option pricing model with the following assumptions: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760" w:type="dxa"/>
            <w:vAlign w:val="bottom"/>
            <w:gridSpan w:val="2"/>
          </w:tcPr>
          <w:p>
            <w:pPr>
              <w:jc w:val="center"/>
              <w:ind w:left="362"/>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r>
      <w:tr>
        <w:trPr>
          <w:trHeight w:val="210"/>
        </w:trPr>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Weighted-average volatility</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41%</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4.75</w:t>
            </w:r>
          </w:p>
        </w:tc>
        <w:tc>
          <w:tcPr>
            <w:tcW w:w="1760" w:type="dxa"/>
            <w:vAlign w:val="bottom"/>
            <w:gridSpan w:val="2"/>
            <w:shd w:val="clear" w:color="auto" w:fill="CCEEFF"/>
          </w:tcPr>
          <w:p>
            <w:pPr>
              <w:jc w:val="center"/>
              <w:ind w:left="362"/>
              <w:spacing w:after="0"/>
              <w:rPr>
                <w:sz w:val="20"/>
                <w:szCs w:val="20"/>
                <w:color w:val="auto"/>
              </w:rPr>
            </w:pPr>
            <w:r>
              <w:rPr>
                <w:rFonts w:ascii="Arial" w:cs="Arial" w:eastAsia="Arial" w:hAnsi="Arial"/>
                <w:sz w:val="18"/>
                <w:szCs w:val="18"/>
                <w:color w:val="auto"/>
                <w:w w:val="91"/>
              </w:rPr>
              <w:t>4.75</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0.68% - 1.37%</w:t>
            </w:r>
          </w:p>
        </w:tc>
        <w:tc>
          <w:tcPr>
            <w:tcW w:w="1760" w:type="dxa"/>
            <w:vAlign w:val="bottom"/>
            <w:gridSpan w:val="2"/>
          </w:tcPr>
          <w:p>
            <w:pPr>
              <w:jc w:val="center"/>
              <w:ind w:left="342"/>
              <w:spacing w:after="0"/>
              <w:rPr>
                <w:sz w:val="20"/>
                <w:szCs w:val="20"/>
                <w:color w:val="auto"/>
              </w:rPr>
            </w:pPr>
            <w:r>
              <w:rPr>
                <w:rFonts w:ascii="Arial" w:cs="Arial" w:eastAsia="Arial" w:hAnsi="Arial"/>
                <w:sz w:val="18"/>
                <w:szCs w:val="18"/>
                <w:color w:val="auto"/>
                <w:w w:val="89"/>
              </w:rPr>
              <w:t>0.61% - 0.82%</w:t>
            </w:r>
          </w:p>
        </w:tc>
        <w:tc>
          <w:tcPr>
            <w:tcW w:w="4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1.58% - 3.05%</w:t>
            </w:r>
          </w:p>
        </w:tc>
      </w:tr>
    </w:tbl>
    <w:p>
      <w:pPr>
        <w:spacing w:after="0" w:line="14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Prior to becoming a public entity in 2010, historic volatility was not available for our shares. As a result, we have estimated volatility based on a peer group of companies, which collectively provided a reasonable basis for estimating volatility. We intend to continue to consistently use the same group of publicly traded peer companies to determine volatility in the future until sufficient information regarding volatility of our share price becomes available or the selected companies are no longer suitable for this purpose.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not issued dividends on our common stock and do not expect to do so in the foreseeable future. The expected term of the options is based on the simplified method which does not consider historical or expected employee exercise behavior. The estimated pre-vesting forfeiture rate is based on our historical experience. The risk-free interest rate is based on the U.S. Treasury rates at the date of grant with maturity dates approximately equal to the expected life at the grant date.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 and Awards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160" w:type="dxa"/>
            <w:vAlign w:val="bottom"/>
            <w:gridSpan w:val="2"/>
          </w:tcPr>
          <w:p>
            <w:pPr>
              <w:jc w:val="right"/>
              <w:ind w:right="1200"/>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Grant Date 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16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Units (#)</w:t>
            </w: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Value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Granted</w:t>
            </w:r>
          </w:p>
        </w:tc>
        <w:tc>
          <w:tcPr>
            <w:tcW w:w="2160" w:type="dxa"/>
            <w:vAlign w:val="bottom"/>
            <w:gridSpan w:val="2"/>
          </w:tcPr>
          <w:p>
            <w:pPr>
              <w:jc w:val="right"/>
              <w:ind w:right="1200"/>
              <w:spacing w:after="0"/>
              <w:rPr>
                <w:sz w:val="20"/>
                <w:szCs w:val="20"/>
                <w:color w:val="auto"/>
              </w:rPr>
            </w:pPr>
            <w:r>
              <w:rPr>
                <w:rFonts w:ascii="Arial" w:cs="Arial" w:eastAsia="Arial" w:hAnsi="Arial"/>
                <w:sz w:val="18"/>
                <w:szCs w:val="18"/>
                <w:color w:val="auto"/>
              </w:rPr>
              <w:t>75,873</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 and common stock issued</w:t>
            </w:r>
          </w:p>
        </w:tc>
        <w:tc>
          <w:tcPr>
            <w:tcW w:w="21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160" w:type="dxa"/>
            <w:vAlign w:val="bottom"/>
            <w:gridSpan w:val="2"/>
          </w:tcPr>
          <w:p>
            <w:pPr>
              <w:jc w:val="right"/>
              <w:ind w:right="1140"/>
              <w:spacing w:after="0"/>
              <w:rPr>
                <w:sz w:val="20"/>
                <w:szCs w:val="20"/>
                <w:color w:val="auto"/>
              </w:rPr>
            </w:pPr>
            <w:r>
              <w:rPr>
                <w:rFonts w:ascii="Arial" w:cs="Arial" w:eastAsia="Arial" w:hAnsi="Arial"/>
                <w:sz w:val="18"/>
                <w:szCs w:val="18"/>
                <w:color w:val="auto"/>
              </w:rPr>
              <w:t>(7,632)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21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68,241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Granted</w:t>
            </w:r>
          </w:p>
        </w:tc>
        <w:tc>
          <w:tcPr>
            <w:tcW w:w="2160" w:type="dxa"/>
            <w:vAlign w:val="bottom"/>
            <w:gridSpan w:val="2"/>
          </w:tcPr>
          <w:p>
            <w:pPr>
              <w:jc w:val="right"/>
              <w:ind w:right="1200"/>
              <w:spacing w:after="0"/>
              <w:rPr>
                <w:sz w:val="20"/>
                <w:szCs w:val="20"/>
                <w:color w:val="auto"/>
              </w:rPr>
            </w:pPr>
            <w:r>
              <w:rPr>
                <w:rFonts w:ascii="Arial" w:cs="Arial" w:eastAsia="Arial" w:hAnsi="Arial"/>
                <w:sz w:val="18"/>
                <w:szCs w:val="18"/>
                <w:color w:val="auto"/>
              </w:rPr>
              <w:t>59,695</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 and common stock issued</w:t>
            </w:r>
          </w:p>
        </w:tc>
        <w:tc>
          <w:tcPr>
            <w:tcW w:w="21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(17,060)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160" w:type="dxa"/>
            <w:vAlign w:val="bottom"/>
            <w:gridSpan w:val="2"/>
          </w:tcPr>
          <w:p>
            <w:pPr>
              <w:jc w:val="right"/>
              <w:ind w:right="1140"/>
              <w:spacing w:after="0"/>
              <w:rPr>
                <w:sz w:val="20"/>
                <w:szCs w:val="20"/>
                <w:color w:val="auto"/>
              </w:rPr>
            </w:pPr>
            <w:r>
              <w:rPr>
                <w:rFonts w:ascii="Arial" w:cs="Arial" w:eastAsia="Arial" w:hAnsi="Arial"/>
                <w:sz w:val="18"/>
                <w:szCs w:val="18"/>
                <w:color w:val="auto"/>
              </w:rPr>
              <w:t>(8,232)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21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102,644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number of restricted stock units outstanding at December 31, 2013 included 11,001 units that have vested but for which shares of common stock have not yet been issued pursuant to the terms of the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0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w w:val="83"/>
              </w:rPr>
              <w:t>Restricted Stock</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Grant Date 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Awards (#)</w:t>
            </w: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Value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3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Restricted common stock issued</w:t>
            </w:r>
          </w:p>
        </w:tc>
        <w:tc>
          <w:tcPr>
            <w:tcW w:w="5540" w:type="dxa"/>
            <w:vAlign w:val="bottom"/>
            <w:gridSpan w:val="3"/>
          </w:tcPr>
          <w:p>
            <w:pPr>
              <w:jc w:val="right"/>
              <w:ind w:right="1240"/>
              <w:spacing w:after="0"/>
              <w:rPr>
                <w:sz w:val="20"/>
                <w:szCs w:val="20"/>
                <w:color w:val="auto"/>
              </w:rPr>
            </w:pPr>
            <w:r>
              <w:rPr>
                <w:rFonts w:ascii="Arial" w:cs="Arial" w:eastAsia="Arial" w:hAnsi="Arial"/>
                <w:sz w:val="18"/>
                <w:szCs w:val="18"/>
                <w:color w:val="auto"/>
              </w:rPr>
              <w:t>6,330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3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340" w:type="dxa"/>
            <w:vAlign w:val="bottom"/>
          </w:tcPr>
          <w:p>
            <w:pPr>
              <w:spacing w:after="0"/>
              <w:rPr>
                <w:sz w:val="19"/>
                <w:szCs w:val="19"/>
                <w:color w:val="auto"/>
              </w:rPr>
            </w:pPr>
          </w:p>
        </w:tc>
        <w:tc>
          <w:tcPr>
            <w:tcW w:w="2200" w:type="dxa"/>
            <w:vAlign w:val="bottom"/>
            <w:gridSpan w:val="2"/>
          </w:tcPr>
          <w:p>
            <w:pPr>
              <w:jc w:val="right"/>
              <w:ind w:right="1200"/>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33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Restricted common stock issued</w:t>
            </w:r>
          </w:p>
        </w:tc>
        <w:tc>
          <w:tcPr>
            <w:tcW w:w="5540" w:type="dxa"/>
            <w:vAlign w:val="bottom"/>
            <w:gridSpan w:val="3"/>
          </w:tcPr>
          <w:p>
            <w:pPr>
              <w:jc w:val="right"/>
              <w:ind w:right="1240"/>
              <w:spacing w:after="0"/>
              <w:rPr>
                <w:sz w:val="20"/>
                <w:szCs w:val="20"/>
                <w:color w:val="auto"/>
              </w:rPr>
            </w:pPr>
            <w:r>
              <w:rPr>
                <w:rFonts w:ascii="Arial" w:cs="Arial" w:eastAsia="Arial" w:hAnsi="Arial"/>
                <w:sz w:val="18"/>
                <w:szCs w:val="18"/>
                <w:color w:val="auto"/>
              </w:rPr>
              <w:t>5,688</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554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(9,541)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3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554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340" w:type="dxa"/>
            <w:vAlign w:val="bottom"/>
            <w:vMerge w:val="restart"/>
          </w:tcPr>
          <w:p>
            <w:pPr>
              <w:jc w:val="right"/>
              <w:ind w:right="1732"/>
              <w:spacing w:after="0"/>
              <w:rPr>
                <w:sz w:val="20"/>
                <w:szCs w:val="20"/>
                <w:color w:val="auto"/>
              </w:rPr>
            </w:pPr>
            <w:r>
              <w:rPr>
                <w:rFonts w:ascii="Arial" w:cs="Arial" w:eastAsia="Arial" w:hAnsi="Arial"/>
                <w:sz w:val="18"/>
                <w:szCs w:val="18"/>
                <w:color w:val="auto"/>
              </w:rPr>
              <w:t>63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Effective July 1, 2012, we adopted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1.2 million shares of common stock are reserved for issuance under the plan.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offering periods in 2013, we withheld approximately $1.2 million from employees participating in the plan and we purchased 32,114 shares on their behalf. For the offering period in 2012, we withheld approximately $448,000 from employees participating in the plan and we purchased 17,332 shares on their behalf.</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years ended December 31, 2013 and 2012, we recorded approximately $402,000 and $148,000 of stock-based compensation expense associated with the employee stock purchase plan. The fair value was estimated based on the market price of our common stock at the beginning of each offering period and using the Black-Scholes option 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80" w:type="dxa"/>
            <w:vAlign w:val="bottom"/>
            <w:gridSpan w:val="3"/>
          </w:tcPr>
          <w:p>
            <w:pPr>
              <w:jc w:val="center"/>
              <w:ind w:left="2"/>
              <w:spacing w:after="0" w:line="142" w:lineRule="exact"/>
              <w:rPr>
                <w:sz w:val="20"/>
                <w:szCs w:val="20"/>
                <w:color w:val="auto"/>
              </w:rPr>
            </w:pPr>
            <w:r>
              <w:rPr>
                <w:rFonts w:ascii="Arial" w:cs="Arial" w:eastAsia="Arial" w:hAnsi="Arial"/>
                <w:sz w:val="14"/>
                <w:szCs w:val="14"/>
                <w:b w:val="1"/>
                <w:bCs w:val="1"/>
                <w:color w:val="auto"/>
                <w:w w:val="83"/>
              </w:rPr>
              <w:t>2013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left="117"/>
              <w:spacing w:after="0" w:line="142" w:lineRule="exact"/>
              <w:rPr>
                <w:sz w:val="20"/>
                <w:szCs w:val="20"/>
                <w:color w:val="auto"/>
              </w:rPr>
            </w:pPr>
            <w:r>
              <w:rPr>
                <w:rFonts w:ascii="Arial" w:cs="Arial" w:eastAsia="Arial" w:hAnsi="Arial"/>
                <w:sz w:val="14"/>
                <w:szCs w:val="14"/>
                <w:b w:val="1"/>
                <w:bCs w:val="1"/>
                <w:color w:val="auto"/>
                <w:w w:val="83"/>
              </w:rPr>
              <w:t>2012</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6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center"/>
              <w:ind w:right="226"/>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640" w:type="dxa"/>
            <w:vAlign w:val="bottom"/>
            <w:gridSpan w:val="4"/>
            <w:shd w:val="clear" w:color="auto" w:fill="CCEEFF"/>
          </w:tcPr>
          <w:p>
            <w:pPr>
              <w:jc w:val="center"/>
              <w:ind w:left="2652"/>
              <w:spacing w:after="0"/>
              <w:rPr>
                <w:sz w:val="20"/>
                <w:szCs w:val="20"/>
                <w:color w:val="auto"/>
              </w:rPr>
            </w:pPr>
            <w:r>
              <w:rPr>
                <w:rFonts w:ascii="Arial" w:cs="Arial" w:eastAsia="Arial" w:hAnsi="Arial"/>
                <w:sz w:val="18"/>
                <w:szCs w:val="18"/>
                <w:color w:val="auto"/>
                <w:w w:val="85"/>
              </w:rPr>
              <w:t>0.50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left="117"/>
              <w:spacing w:after="0"/>
              <w:rPr>
                <w:sz w:val="20"/>
                <w:szCs w:val="20"/>
                <w:color w:val="auto"/>
              </w:rPr>
            </w:pPr>
            <w:r>
              <w:rPr>
                <w:rFonts w:ascii="Arial" w:cs="Arial" w:eastAsia="Arial" w:hAnsi="Arial"/>
                <w:sz w:val="18"/>
                <w:szCs w:val="18"/>
                <w:color w:val="auto"/>
                <w:w w:val="85"/>
              </w:rPr>
              <w:t>0.50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20" w:type="dxa"/>
            <w:vAlign w:val="bottom"/>
            <w:gridSpan w:val="5"/>
          </w:tcPr>
          <w:p>
            <w:pPr>
              <w:jc w:val="center"/>
              <w:ind w:left="2572"/>
              <w:spacing w:after="0"/>
              <w:rPr>
                <w:sz w:val="20"/>
                <w:szCs w:val="20"/>
                <w:color w:val="auto"/>
              </w:rPr>
            </w:pPr>
            <w:r>
              <w:rPr>
                <w:rFonts w:ascii="Arial" w:cs="Arial" w:eastAsia="Arial" w:hAnsi="Arial"/>
                <w:sz w:val="18"/>
                <w:szCs w:val="18"/>
                <w:color w:val="auto"/>
                <w:w w:val="89"/>
              </w:rPr>
              <w:t>0.09% - 0.12%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center"/>
              <w:ind w:left="117"/>
              <w:spacing w:after="0"/>
              <w:rPr>
                <w:sz w:val="20"/>
                <w:szCs w:val="20"/>
                <w:color w:val="auto"/>
              </w:rPr>
            </w:pPr>
            <w:r>
              <w:rPr>
                <w:rFonts w:ascii="Arial" w:cs="Arial" w:eastAsia="Arial" w:hAnsi="Arial"/>
                <w:sz w:val="18"/>
                <w:szCs w:val="18"/>
                <w:color w:val="auto"/>
                <w:w w:val="90"/>
              </w:rPr>
              <w:t>0.15%</w:t>
            </w:r>
          </w:p>
        </w:tc>
        <w:tc>
          <w:tcPr>
            <w:tcW w:w="0" w:type="dxa"/>
            <w:vAlign w:val="bottom"/>
          </w:tcPr>
          <w:p>
            <w:pPr>
              <w:spacing w:after="0"/>
              <w:rPr>
                <w:sz w:val="1"/>
                <w:szCs w:val="1"/>
                <w:color w:val="auto"/>
              </w:rPr>
            </w:pPr>
          </w:p>
        </w:tc>
      </w:tr>
      <w:tr>
        <w:trPr>
          <w:trHeight w:val="451"/>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NOTE K – Income Taxes</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60" w:type="dxa"/>
            <w:vAlign w:val="bottom"/>
            <w:gridSpan w:val="2"/>
          </w:tcPr>
          <w:p>
            <w:pPr>
              <w:ind w:left="460"/>
              <w:spacing w:after="0"/>
              <w:rPr>
                <w:sz w:val="20"/>
                <w:szCs w:val="20"/>
                <w:color w:val="auto"/>
              </w:rPr>
            </w:pPr>
            <w:r>
              <w:rPr>
                <w:rFonts w:ascii="Arial" w:cs="Arial" w:eastAsia="Arial" w:hAnsi="Arial"/>
                <w:sz w:val="18"/>
                <w:szCs w:val="18"/>
                <w:color w:val="auto"/>
                <w:w w:val="90"/>
              </w:rPr>
              <w:t>The provision (benefit) for income taxes was as follows (in thousands):</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Year Ended December 31,</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gridSpan w:val="2"/>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Federal</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526"/>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640" w:type="dxa"/>
            <w:vAlign w:val="bottom"/>
            <w:gridSpan w:val="4"/>
            <w:shd w:val="clear" w:color="auto" w:fill="CCEEFF"/>
          </w:tcPr>
          <w:p>
            <w:pPr>
              <w:jc w:val="right"/>
              <w:ind w:right="526"/>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Foreign</w:t>
            </w:r>
          </w:p>
        </w:tc>
        <w:tc>
          <w:tcPr>
            <w:tcW w:w="3640" w:type="dxa"/>
            <w:vAlign w:val="bottom"/>
            <w:gridSpan w:val="4"/>
          </w:tcPr>
          <w:p>
            <w:pPr>
              <w:jc w:val="right"/>
              <w:ind w:right="526"/>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Federal</w:t>
            </w:r>
          </w:p>
        </w:tc>
        <w:tc>
          <w:tcPr>
            <w:tcW w:w="3640" w:type="dxa"/>
            <w:vAlign w:val="bottom"/>
            <w:gridSpan w:val="4"/>
          </w:tcPr>
          <w:p>
            <w:pPr>
              <w:jc w:val="right"/>
              <w:ind w:right="526"/>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(12,282)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68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jc w:val="right"/>
              <w:ind w:right="466"/>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640" w:type="dxa"/>
            <w:vAlign w:val="bottom"/>
            <w:gridSpan w:val="4"/>
          </w:tcPr>
          <w:p>
            <w:pPr>
              <w:jc w:val="right"/>
              <w:ind w:right="526"/>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(12,619)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60" w:type="dxa"/>
            <w:vAlign w:val="bottom"/>
            <w:vMerge w:val="restart"/>
          </w:tcPr>
          <w:p>
            <w:pPr>
              <w:jc w:val="right"/>
              <w:ind w:right="2332"/>
              <w:spacing w:after="0"/>
              <w:rPr>
                <w:sz w:val="20"/>
                <w:szCs w:val="20"/>
                <w:color w:val="auto"/>
              </w:rPr>
            </w:pPr>
            <w:r>
              <w:rPr>
                <w:rFonts w:ascii="Arial" w:cs="Arial" w:eastAsia="Arial" w:hAnsi="Arial"/>
                <w:sz w:val="18"/>
                <w:szCs w:val="18"/>
                <w:color w:val="auto"/>
              </w:rPr>
              <w:t>64</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provision (benefit) for income taxes to the statutory federal rate was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federal income tax at statutory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$ 593</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Tax impact of foreign activity</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Permanent book/tax differences</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(1,310)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Release of valuation allowance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(12,802)</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Section 382 limitation</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Change in state deferred rate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Prior year true up</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General business credit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State net operating loss adjustment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provision (benefit) for income taxes</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$ 686</w:t>
            </w: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$ 121</w:t>
            </w:r>
          </w:p>
        </w:tc>
        <w:tc>
          <w:tcPr>
            <w:tcW w:w="2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(12,619)</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The significant components of our deferred tax assets (liabilities) were as follows (in thousands):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7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Current net operating loss and credit carryforwards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1,258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allowance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440"/>
              <w:spacing w:after="0"/>
              <w:rPr>
                <w:sz w:val="20"/>
                <w:szCs w:val="20"/>
                <w:color w:val="auto"/>
              </w:rPr>
            </w:pPr>
            <w:r>
              <w:rPr>
                <w:rFonts w:ascii="Arial" w:cs="Arial" w:eastAsia="Arial" w:hAnsi="Arial"/>
                <w:sz w:val="18"/>
                <w:szCs w:val="18"/>
                <w:color w:val="auto"/>
              </w:rPr>
              <w:t>Total current deferred tax asset</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2,434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8"/>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operations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Deferred operations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deferred tax liability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(1,038)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660"/>
              <w:spacing w:after="0"/>
              <w:rPr>
                <w:sz w:val="20"/>
                <w:szCs w:val="20"/>
                <w:color w:val="auto"/>
              </w:rPr>
            </w:pPr>
            <w:r>
              <w:rPr>
                <w:rFonts w:ascii="Arial" w:cs="Arial" w:eastAsia="Arial" w:hAnsi="Arial"/>
                <w:sz w:val="18"/>
                <w:szCs w:val="18"/>
                <w:color w:val="auto"/>
              </w:rPr>
              <w:t>Valuation allowance</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current deferred tax asset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1,272</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Non-current</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and credit carryforwards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6,145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Deferred operations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3,029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1,159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440"/>
              <w:spacing w:after="0"/>
              <w:rPr>
                <w:sz w:val="20"/>
                <w:szCs w:val="20"/>
                <w:color w:val="auto"/>
              </w:rPr>
            </w:pPr>
            <w:r>
              <w:rPr>
                <w:rFonts w:ascii="Arial" w:cs="Arial" w:eastAsia="Arial" w:hAnsi="Arial"/>
                <w:sz w:val="18"/>
                <w:szCs w:val="18"/>
                <w:color w:val="auto"/>
              </w:rPr>
              <w:t>Total non-current deferred tax asset</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w w:val="83"/>
              </w:rPr>
              <w:t>11,928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11,095</w:t>
            </w: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Valuation allowance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(1,058)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440"/>
              <w:spacing w:after="0"/>
              <w:rPr>
                <w:sz w:val="20"/>
                <w:szCs w:val="20"/>
                <w:color w:val="auto"/>
              </w:rPr>
            </w:pPr>
            <w:r>
              <w:rPr>
                <w:rFonts w:ascii="Arial" w:cs="Arial" w:eastAsia="Arial" w:hAnsi="Arial"/>
                <w:sz w:val="18"/>
                <w:szCs w:val="18"/>
                <w:color w:val="auto"/>
              </w:rPr>
              <w:t>Net non-current deferred tax asset</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10,870</w:t>
            </w:r>
          </w:p>
        </w:tc>
        <w:tc>
          <w:tcPr>
            <w:tcW w:w="96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10,853</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5160"/>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2013, we had net operating loss carryforwards of $71.3 million for U.S. federal tax purposes. We also had $30.3 million of various state net operating loss carryforwards. The loss carryforwards for federal tax purposes will expire between 2019 and 2034 if not utilized. The loss carryforwards for state tax purposes will expire between 2014 and 2034 if not utilized.</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will expire unused due to Section 382 limitations. The maximum annual limitation of federal net operating losses under Section 382 is approximately $990,000. This limitation could be further restricted if any ownership changes occur in future years.</w:t>
      </w:r>
    </w:p>
    <w:p>
      <w:pPr>
        <w:spacing w:after="0" w:line="118"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Our federal and state net operating losses at December 31, 2013 included $37.0 million and $10.2 million, respectively, of income tax deductions in excess of previously recorded tax benefits. Although these additional tax deductions are included in the net operating losses referenced above, the related tax benefit will not be recognized until the deductions reduce our income taxes payable. The tax benefit of these excess deductions will be reflected as a credit to additional paid in capital when recognized. Accordingly, our deferred tax assets are reported net of the excess tax deductions for stock compensation and Section 382 limitations.</w:t>
      </w:r>
    </w:p>
    <w:p>
      <w:pPr>
        <w:spacing w:after="0" w:line="9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of December 31, 2013 we had federal research and development credit carryforwards, net of Section 383 limitations, of $322,000, which, if not utilized, will begin to expire in 2030. We had state research and development credit carryforwards of $82,000, which, if not utilized, will begin to expire in 2025.</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December 31, 2013, we had a valuation allowance against our deferred tax assets of $1.2 million. The valuation allowance is established for various state net operating loss and credit carryforwards that we do not expect to utilize based on our current expectations of future state taxable income.</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December 31, 2013 and 2012, we had income tax receivables of $26,000 and $72,000, respectively, which were included in prepaid expenses and other current assets on the consolidated balance sheets.</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subject to income taxes in the U.S. federal and various state and international jurisdictions. We are generally subject to U.S. federal and state tax examinations for all prior tax years due to our net operating loss carryforwards and the utilization of the carryforwards in years still open under statute. As of December 31, 2013, we are not under any income tax audits by tax authorities.</w:t>
      </w:r>
    </w:p>
    <w:p>
      <w:pPr>
        <w:spacing w:after="0" w:line="14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As of December 31, 2013,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Net Income Per Share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13,703</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basic</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15,201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13,056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11,960</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to purchase common stock</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Restricted stock units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stock purchase plan</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76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diluted</w:t>
            </w:r>
          </w:p>
        </w:tc>
        <w:tc>
          <w:tcPr>
            <w:tcW w:w="17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15,931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13,910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12,744</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Basic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year ended December 31, 2013, the effect of approximately 1,000 outstanding potential common shares was excluded from the calculation of diluted net income per share because they were anti-dilutive. For the years ended December 31, 2012 and 2011, the effect of all outstanding potential common shares was included in the calculation of diluted net income per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Employee Benefit Plan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sponsor a 401(k) retirement savings plan for our employees. Employees can contribute up to 100% of their salaries. The company will match 25% of the employee’s contribution up to the first 6% of salary. Our matching contributions to the plan, which vest immediately, were $522,000, $372,000 and $287,000 for the years ended December 31, 2013, 2012 and 2011,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Selected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selected unaudited quarterly statements of income data (in thousands, except per share amounts):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2013</w:t>
            </w:r>
          </w:p>
        </w:tc>
        <w:tc>
          <w:tcPr>
            <w:tcW w:w="3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Mar 31</w:t>
            </w:r>
          </w:p>
        </w:tc>
        <w:tc>
          <w:tcPr>
            <w:tcW w:w="520" w:type="dxa"/>
            <w:vAlign w:val="bottom"/>
          </w:tcPr>
          <w:p>
            <w:pPr>
              <w:spacing w:after="0"/>
              <w:rPr>
                <w:sz w:val="12"/>
                <w:szCs w:val="12"/>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Jun 30</w:t>
            </w:r>
          </w:p>
        </w:tc>
        <w:tc>
          <w:tcPr>
            <w:tcW w:w="10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 30</w:t>
            </w: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$23,752</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$25,658</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$27,008</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$27,973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16,686</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17,715</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18,759</w:t>
            </w:r>
          </w:p>
        </w:tc>
        <w:tc>
          <w:tcPr>
            <w:tcW w:w="580" w:type="dxa"/>
            <w:vAlign w:val="bottom"/>
          </w:tcPr>
          <w:p>
            <w:pPr>
              <w:jc w:val="right"/>
              <w:spacing w:after="0"/>
              <w:rPr>
                <w:sz w:val="20"/>
                <w:szCs w:val="20"/>
                <w:color w:val="auto"/>
              </w:rPr>
            </w:pPr>
            <w:r>
              <w:rPr>
                <w:rFonts w:ascii="Arial" w:cs="Arial" w:eastAsia="Arial" w:hAnsi="Arial"/>
                <w:sz w:val="18"/>
                <w:szCs w:val="18"/>
                <w:color w:val="auto"/>
              </w:rPr>
              <w:t>19,450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483</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288</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270</w:t>
            </w:r>
          </w:p>
        </w:tc>
        <w:tc>
          <w:tcPr>
            <w:tcW w:w="5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0.02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2012</w:t>
            </w:r>
          </w:p>
        </w:tc>
        <w:tc>
          <w:tcPr>
            <w:tcW w:w="3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Mar 31</w:t>
            </w:r>
          </w:p>
        </w:tc>
        <w:tc>
          <w:tcPr>
            <w:tcW w:w="520" w:type="dxa"/>
            <w:vAlign w:val="bottom"/>
          </w:tcPr>
          <w:p>
            <w:pPr>
              <w:spacing w:after="0"/>
              <w:rPr>
                <w:sz w:val="12"/>
                <w:szCs w:val="12"/>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Jun 30</w:t>
            </w:r>
          </w:p>
        </w:tc>
        <w:tc>
          <w:tcPr>
            <w:tcW w:w="10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 30</w:t>
            </w: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$16,534</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$17,821</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$20,267</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$22,484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12,086</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12,978</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14,322</w:t>
            </w:r>
          </w:p>
        </w:tc>
        <w:tc>
          <w:tcPr>
            <w:tcW w:w="580" w:type="dxa"/>
            <w:vAlign w:val="bottom"/>
          </w:tcPr>
          <w:p>
            <w:pPr>
              <w:jc w:val="right"/>
              <w:spacing w:after="0"/>
              <w:rPr>
                <w:sz w:val="20"/>
                <w:szCs w:val="20"/>
                <w:color w:val="auto"/>
              </w:rPr>
            </w:pPr>
            <w:r>
              <w:rPr>
                <w:rFonts w:ascii="Arial" w:cs="Arial" w:eastAsia="Arial" w:hAnsi="Arial"/>
                <w:sz w:val="18"/>
                <w:szCs w:val="18"/>
                <w:color w:val="auto"/>
              </w:rPr>
              <w:t>15,680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751</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426</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174</w:t>
            </w:r>
          </w:p>
        </w:tc>
        <w:tc>
          <w:tcPr>
            <w:tcW w:w="5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0.03</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20" w:type="dxa"/>
            <w:vAlign w:val="bottom"/>
          </w:tcPr>
          <w:p>
            <w:pPr>
              <w:jc w:val="right"/>
              <w:ind w:right="1112"/>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evaluated the effectiveness of the design and operation of our disclosure controls and procedures as of December 31, 2013,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the Securities and Exchange Act of 1934, as amended (the “Exchange Act”), such as this Annual Report on Form 10-K, is recorded, processed, summarized and reported within the time periods specified in the rules and forms of the Securities and Exchange Commission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2013, our disclosure controls and procedures were effective.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Under the supervision and with the participation of management, including our principal executive and financial officers, we assessed our internal control over financial reporting as of December 31, 2013, based on criteria for effective internal control over financial reporting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(1992) </w:t>
      </w:r>
      <w:r>
        <w:rPr>
          <w:rFonts w:ascii="Arial" w:cs="Arial" w:eastAsia="Arial" w:hAnsi="Arial"/>
          <w:sz w:val="16"/>
          <w:szCs w:val="16"/>
          <w:color w:val="auto"/>
        </w:rPr>
        <w:t>issued by the Committee of Sponsoring Organizations of the Treadway Commission (COSO). Based on this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we maintained effective internal control over financial reporting as of December 31, 2013 based on the specified criteria.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2013 has been audited by KPMG LLP, our independent registered public accounting firm, as stated in their report, which is included under Item 8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most recent fiscal quarter ended December 31, 2013 that have materially affected, or are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information required by this item with respect to executive officers is contained in Item 1 of this Annual Report on Form 10-K under the heading “Executive Officers” and with respect to other information relating to our directors and executive officers will be set forth in our 2014 Proxy Statement under the caption “Item 1 – Election of Directors,” which will be filed no later than 120 days after the end of the fiscal year covered by this Annual Report on Form 10-K, and is incorporated herein by reference.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information required by this item under Item 405 of Regulation S-K is incorporated herein by reference to the section titled “Section 16(a) Beneficial Ownership Reporting Compliance” of our 2014 Proxy Statement, which will be filed no later than 120 days after the end of the fiscal year covered by this Annual Report on Form 10-K. The information required by this item under Item 407(d)(4) and (d)(5) of Regulation S-K is incorporated herein by reference to the section titled “Information Regarding the Board of Directors and Corporate Governance — Board Committees — Audit Committee” of our 2014 Proxy Statement, which will be filed no later than 120 days after the end of the fiscal year covered by this Annual Report on Form 10-K.</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have adopted a code of business conduct applicable to our directors, officers (including our principal executive officer and principal financial officer) and employees. The Code of Business Conduct is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under the Investor Relations section. We plan to post on our website at the address described above any future amendments or waivers of our Code of Conduct.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Information related to security ownership required by this item is incorporated herein by reference to the sections titled “Executive Compensation,” and “Certain Relationships and Related Transactions — Compensation Committee Interlocks and Insider Participation” of our 2014 Proxy Statement, which will be filed no later than 120 days after the end of the fiscal year covered by this Annual Report on Form 10-K.</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Information related to security ownership required by this item is incorporated herein by reference to the section titled “Security Ownership” of our 2014 Proxy Statement, which will be filed no later than 120 days after the end of the fiscal year covered by this Annual Report on Form 10-K. Information related to our equity compensation plans required by this item is incorporated herein by reference to the section titled “Executive Compensation — Outstanding Equity Awards” of our 2014 Proxy Statement, which will be filed no later than 120 days after the end of the fiscal year covered by this Annual Report on Form 10-K.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sections titled “Certain Relationships and Related Transactions,” and “Information Regarding the Board of Directors and Corporate Governance — Director Independence” of our 2014 Proxy Statement, which will be filed no later than 120 days after the end of the fiscal year covered by this Annual Report on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 titled “Audit Committee Report and Payment of Fees to Our Independent Auditor” of our 2014 Proxy Statement, which will be filed no later than 120 days after the end of the fiscal year covered by this Annual Report on Form 10-K.</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90" w:lineRule="exact"/>
        <w:rPr>
          <w:sz w:val="20"/>
          <w:szCs w:val="20"/>
          <w:color w:val="auto"/>
        </w:rPr>
      </w:pPr>
    </w:p>
    <w:p>
      <w:pPr>
        <w:ind w:left="1140" w:hanging="237"/>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immediately following the signatures to this report.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2014</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SPS COMMERCE, INC.</w:t>
      </w:r>
    </w:p>
    <w:p>
      <w:pPr>
        <w:spacing w:after="0" w:line="225"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20, 2014.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Name and Signature</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24"/>
        </w:trPr>
        <w:tc>
          <w:tcPr>
            <w:tcW w:w="206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6"/>
              </w:rPr>
              <w:t>ARCHIE C. BLACK</w:t>
            </w:r>
          </w:p>
        </w:tc>
        <w:tc>
          <w:tcPr>
            <w:tcW w:w="104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3"/>
        </w:trPr>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2"/>
          </w:tcPr>
          <w:p>
            <w:pPr>
              <w:jc w:val="center"/>
              <w:ind w:right="1240"/>
              <w:spacing w:after="0"/>
              <w:rPr>
                <w:sz w:val="20"/>
                <w:szCs w:val="20"/>
                <w:color w:val="auto"/>
              </w:rPr>
            </w:pPr>
            <w:r>
              <w:rPr>
                <w:rFonts w:ascii="Arial" w:cs="Arial" w:eastAsia="Arial" w:hAnsi="Arial"/>
                <w:sz w:val="18"/>
                <w:szCs w:val="18"/>
                <w:color w:val="auto"/>
                <w:w w:val="90"/>
              </w:rPr>
              <w:t>Archie C. Black</w:t>
            </w:r>
          </w:p>
        </w:tc>
        <w:tc>
          <w:tcPr>
            <w:tcW w:w="1040" w:type="dxa"/>
            <w:vAlign w:val="bottom"/>
          </w:tcPr>
          <w:p>
            <w:pPr>
              <w:spacing w:after="0"/>
              <w:rPr>
                <w:sz w:val="19"/>
                <w:szCs w:val="19"/>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89"/>
              </w:rPr>
              <w:t>Chief Executive Officer, President and Director (principal executive officer)</w:t>
            </w:r>
          </w:p>
        </w:tc>
      </w:tr>
      <w:tr>
        <w:trPr>
          <w:trHeight w:val="434"/>
        </w:trPr>
        <w:tc>
          <w:tcPr>
            <w:tcW w:w="19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8"/>
                <w:szCs w:val="18"/>
                <w:color w:val="auto"/>
                <w:w w:val="96"/>
              </w:rPr>
              <w:t>KIMBERLY K. NELSON</w:t>
            </w:r>
          </w:p>
        </w:tc>
        <w:tc>
          <w:tcPr>
            <w:tcW w:w="104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1"/>
              </w:rPr>
              <w:t>Executive Vice President and Chief Financial Officer (principal financial</w:t>
            </w:r>
          </w:p>
        </w:tc>
      </w:tr>
      <w:tr>
        <w:trPr>
          <w:trHeight w:val="221"/>
        </w:trPr>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3"/>
          </w:tcPr>
          <w:p>
            <w:pPr>
              <w:jc w:val="center"/>
              <w:ind w:right="1000"/>
              <w:spacing w:after="0"/>
              <w:rPr>
                <w:sz w:val="20"/>
                <w:szCs w:val="20"/>
                <w:color w:val="auto"/>
              </w:rPr>
            </w:pPr>
            <w:r>
              <w:rPr>
                <w:rFonts w:ascii="Arial" w:cs="Arial" w:eastAsia="Arial" w:hAnsi="Arial"/>
                <w:sz w:val="18"/>
                <w:szCs w:val="18"/>
                <w:color w:val="auto"/>
                <w:w w:val="94"/>
              </w:rPr>
              <w:t>Kimberly K. Nelson</w:t>
            </w:r>
          </w:p>
        </w:tc>
        <w:tc>
          <w:tcPr>
            <w:tcW w:w="1040" w:type="dxa"/>
            <w:vAlign w:val="bottom"/>
          </w:tcPr>
          <w:p>
            <w:pPr>
              <w:spacing w:after="0"/>
              <w:rPr>
                <w:sz w:val="19"/>
                <w:szCs w:val="19"/>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0"/>
              </w:rPr>
              <w:t>and accounting officer)</w:t>
            </w:r>
          </w:p>
        </w:tc>
      </w:tr>
      <w:tr>
        <w:trPr>
          <w:trHeight w:val="433"/>
        </w:trPr>
        <w:tc>
          <w:tcPr>
            <w:tcW w:w="192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8"/>
                <w:szCs w:val="18"/>
                <w:color w:val="auto"/>
                <w:w w:val="96"/>
              </w:rPr>
              <w:t>MICHAEL B. GORMAN</w:t>
            </w:r>
          </w:p>
        </w:tc>
        <w:tc>
          <w:tcPr>
            <w:tcW w:w="104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3"/>
          </w:tcPr>
          <w:p>
            <w:pPr>
              <w:jc w:val="center"/>
              <w:ind w:right="1000"/>
              <w:spacing w:after="0"/>
              <w:rPr>
                <w:sz w:val="20"/>
                <w:szCs w:val="20"/>
                <w:color w:val="auto"/>
              </w:rPr>
            </w:pPr>
            <w:r>
              <w:rPr>
                <w:rFonts w:ascii="Arial" w:cs="Arial" w:eastAsia="Arial" w:hAnsi="Arial"/>
                <w:sz w:val="18"/>
                <w:szCs w:val="18"/>
                <w:color w:val="auto"/>
                <w:w w:val="90"/>
              </w:rPr>
              <w:t>Michael B. Gorman</w:t>
            </w: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83"/>
              </w:rPr>
              <w:t>/s/</w:t>
            </w: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center"/>
              <w:ind w:right="1000"/>
              <w:spacing w:after="0"/>
              <w:rPr>
                <w:sz w:val="20"/>
                <w:szCs w:val="20"/>
                <w:color w:val="auto"/>
              </w:rPr>
            </w:pPr>
            <w:r>
              <w:rPr>
                <w:rFonts w:ascii="Arial" w:cs="Arial" w:eastAsia="Arial" w:hAnsi="Arial"/>
                <w:sz w:val="18"/>
                <w:szCs w:val="18"/>
                <w:color w:val="auto"/>
                <w:w w:val="94"/>
              </w:rPr>
              <w:t>MARTIN J. LEESTMA</w:t>
            </w:r>
          </w:p>
        </w:tc>
        <w:tc>
          <w:tcPr>
            <w:tcW w:w="104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Martin J. Leestma</w:t>
            </w: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8"/>
                <w:szCs w:val="18"/>
                <w:color w:val="auto"/>
                <w:w w:val="97"/>
              </w:rPr>
              <w:t>MICHAEL A. SMERKLO</w:t>
            </w:r>
          </w:p>
        </w:tc>
        <w:tc>
          <w:tcPr>
            <w:tcW w:w="104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Michael A. Smerklo</w:t>
            </w: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206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3"/>
              </w:rPr>
              <w:t>PHILIP E. SORAN</w:t>
            </w:r>
          </w:p>
        </w:tc>
        <w:tc>
          <w:tcPr>
            <w:tcW w:w="104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2"/>
          </w:tcPr>
          <w:p>
            <w:pPr>
              <w:jc w:val="center"/>
              <w:ind w:right="1240"/>
              <w:spacing w:after="0"/>
              <w:rPr>
                <w:sz w:val="20"/>
                <w:szCs w:val="20"/>
                <w:color w:val="auto"/>
              </w:rPr>
            </w:pPr>
            <w:r>
              <w:rPr>
                <w:rFonts w:ascii="Arial" w:cs="Arial" w:eastAsia="Arial" w:hAnsi="Arial"/>
                <w:sz w:val="18"/>
                <w:szCs w:val="18"/>
                <w:color w:val="auto"/>
                <w:w w:val="90"/>
              </w:rPr>
              <w:t>Philip E. Soran</w:t>
            </w: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color w:val="auto"/>
                <w:w w:val="91"/>
              </w:rPr>
              <w:t>GEORGE H. SPENCER, III</w:t>
            </w:r>
          </w:p>
        </w:tc>
        <w:tc>
          <w:tcPr>
            <w:tcW w:w="104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3"/>
          </w:tcPr>
          <w:p>
            <w:pPr>
              <w:jc w:val="center"/>
              <w:ind w:right="1000"/>
              <w:spacing w:after="0"/>
              <w:rPr>
                <w:sz w:val="20"/>
                <w:szCs w:val="20"/>
                <w:color w:val="auto"/>
              </w:rPr>
            </w:pPr>
            <w:r>
              <w:rPr>
                <w:rFonts w:ascii="Arial" w:cs="Arial" w:eastAsia="Arial" w:hAnsi="Arial"/>
                <w:sz w:val="18"/>
                <w:szCs w:val="18"/>
                <w:color w:val="auto"/>
                <w:w w:val="88"/>
              </w:rPr>
              <w:t>George H. Spencer, III</w:t>
            </w: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83"/>
              </w:rPr>
              <w:t>/s/</w:t>
            </w: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center"/>
              <w:ind w:right="1000"/>
              <w:spacing w:after="0"/>
              <w:rPr>
                <w:sz w:val="20"/>
                <w:szCs w:val="20"/>
                <w:color w:val="auto"/>
              </w:rPr>
            </w:pPr>
            <w:r>
              <w:rPr>
                <w:rFonts w:ascii="Arial" w:cs="Arial" w:eastAsia="Arial" w:hAnsi="Arial"/>
                <w:sz w:val="18"/>
                <w:szCs w:val="18"/>
                <w:color w:val="auto"/>
                <w:w w:val="94"/>
              </w:rPr>
              <w:t>SVEN A. WEHRWEIN</w:t>
            </w:r>
          </w:p>
        </w:tc>
        <w:tc>
          <w:tcPr>
            <w:tcW w:w="104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Sven A. Wehrwein</w:t>
            </w: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70"/>
        </w:trPr>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9"/>
              </w:rPr>
              <w:t>Incorporated By Reference</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Date 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Exhibit</w:t>
            </w:r>
          </w:p>
        </w:tc>
        <w:tc>
          <w:tcPr>
            <w:tcW w:w="2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File</w:t>
            </w:r>
          </w:p>
        </w:tc>
        <w:tc>
          <w:tcPr>
            <w:tcW w:w="36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First</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Exhibit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Filed</w:t>
            </w:r>
          </w:p>
        </w:tc>
      </w:tr>
      <w:tr>
        <w:trPr>
          <w:trHeight w:val="168"/>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52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Form</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40" w:type="dxa"/>
            <w:vAlign w:val="bottom"/>
          </w:tcPr>
          <w:p>
            <w:pPr>
              <w:spacing w:after="0"/>
              <w:rPr>
                <w:sz w:val="14"/>
                <w:szCs w:val="14"/>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2.1</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w w:val="95"/>
              </w:rPr>
              <w:t>Asset Purchase Agreement, dated as of May 17, 2011, by and between</w:t>
            </w:r>
          </w:p>
        </w:tc>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05/23/2011</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Direct EDI LLC and the registrant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2.2</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w w:val="93"/>
              </w:rPr>
              <w:t>Asset Purchase Agreement, dated as of August 6, 2012, by and between</w:t>
            </w:r>
          </w:p>
        </w:tc>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08/07/2012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Edifice Information Management Systems, Inc. and the registrant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Amended and Restated Certificate of Incorporation</w:t>
            </w:r>
          </w:p>
        </w:tc>
        <w:tc>
          <w:tcPr>
            <w:tcW w:w="640" w:type="dxa"/>
            <w:vAlign w:val="bottom"/>
            <w:gridSpan w:val="3"/>
          </w:tcPr>
          <w:p>
            <w:pPr>
              <w:spacing w:after="0"/>
              <w:rPr>
                <w:sz w:val="20"/>
                <w:szCs w:val="20"/>
                <w:color w:val="auto"/>
              </w:rPr>
            </w:pPr>
            <w:r>
              <w:rPr>
                <w:rFonts w:ascii="Arial" w:cs="Arial" w:eastAsia="Arial" w:hAnsi="Arial"/>
                <w:sz w:val="18"/>
                <w:szCs w:val="18"/>
                <w:color w:val="auto"/>
              </w:rPr>
              <w:t>S-3</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333-182097</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06/13/2012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3.2</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Amended and Restated Bylaws</w:t>
            </w:r>
          </w:p>
        </w:tc>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1999 Equity Incentive Plan**</w:t>
            </w:r>
          </w:p>
        </w:tc>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10.2</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Form of Option Agreement under 1999 Equity Incentive Plan**</w:t>
            </w:r>
          </w:p>
        </w:tc>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10.3</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2001 Stock Option Plan**</w:t>
            </w:r>
          </w:p>
        </w:tc>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w w:val="99"/>
              </w:rPr>
              <w:t>Form of Incentive Stock Option Agreement under 2001 Stock Option</w:t>
            </w:r>
          </w:p>
        </w:tc>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10.5</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w w:val="97"/>
              </w:rPr>
              <w:t>Form of Non-Statutory Stock Option Agreement (Director) under 2001</w:t>
            </w:r>
          </w:p>
        </w:tc>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Stock Option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10.6</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2010 Equity Incentive Plan**</w:t>
            </w:r>
          </w:p>
        </w:tc>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10.7</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w w:val="95"/>
              </w:rPr>
              <w:t>Form of Incentive Stock Option Agreement under 2010 Equity Incentive</w:t>
            </w:r>
          </w:p>
        </w:tc>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10.8</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w w:val="95"/>
              </w:rPr>
              <w:t>Form of Non-Statutory Stock Option Agreement (Employee) under 2010</w:t>
            </w:r>
          </w:p>
        </w:tc>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Equity Incentive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10.9</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w w:val="97"/>
              </w:rPr>
              <w:t>Form of Non-Statutory Stock Option Agreement (Director) under 2010</w:t>
            </w:r>
          </w:p>
        </w:tc>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Equity Incentive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10.10</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Form of Restricted Stock Unit Award Agreement under 2010 Equity</w:t>
            </w:r>
          </w:p>
        </w:tc>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Incentive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10.11</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2002 Management Incentive Agreement between the Company and</w:t>
            </w:r>
          </w:p>
        </w:tc>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Archie C. Black**</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10.12</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w w:val="90"/>
              </w:rPr>
              <w:t>2002 Management Incentive Agreement between the Company and James</w:t>
            </w:r>
          </w:p>
        </w:tc>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J. Frome**</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10.13</w:t>
            </w:r>
          </w:p>
        </w:tc>
        <w:tc>
          <w:tcPr>
            <w:tcW w:w="5960" w:type="dxa"/>
            <w:vAlign w:val="bottom"/>
            <w:gridSpan w:val="3"/>
          </w:tcPr>
          <w:p>
            <w:pPr>
              <w:ind w:left="500"/>
              <w:spacing w:after="0"/>
              <w:rPr>
                <w:sz w:val="20"/>
                <w:szCs w:val="20"/>
                <w:color w:val="auto"/>
              </w:rPr>
            </w:pPr>
            <w:r>
              <w:rPr>
                <w:rFonts w:ascii="Arial" w:cs="Arial" w:eastAsia="Arial" w:hAnsi="Arial"/>
                <w:sz w:val="18"/>
                <w:szCs w:val="18"/>
                <w:color w:val="auto"/>
              </w:rPr>
              <w:t>Non-Employee Director Compensation Policy**</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82"/>
              </w:rPr>
              <w:t>X</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60" w:type="dxa"/>
            <w:vAlign w:val="bottom"/>
            <w:gridSpan w:val="3"/>
          </w:tcPr>
          <w:p>
            <w:pPr>
              <w:ind w:left="508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52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1980" w:type="dxa"/>
            <w:vAlign w:val="bottom"/>
          </w:tcPr>
          <w:p>
            <w:pPr>
              <w:spacing w:after="0"/>
              <w:rPr>
                <w:sz w:val="14"/>
                <w:szCs w:val="14"/>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10.14</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8"/>
              </w:rPr>
              <w:t>Form of Indemnification Agreement for Steve A. Cobb, Michael B.</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Gorman, and George H. Spencer, III</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10.15</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Form of Indemnification Agreement for Independent Directors</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10.16</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Form of Indemnification Agreement for Archie C. Black**</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10.17</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2"/>
              </w:rPr>
              <w:t>Employment Agreement between the Company and Archie C. Black**</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10.18</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0"/>
              </w:rPr>
              <w:t>Form of At-will Confidentiality Agreement Regarding Certain Terms and</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5"/>
              </w:rPr>
              <w:t>Conditions of Employment for Kimberly K. Nelson, James J. Frome,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Michael J. Gray and David J. Novak, Jr.**</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10.19</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2"/>
              </w:rPr>
              <w:t>Revolving Credit Agreement, dated as of September 30, 2011, by and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between the registrant and JPMorgan Chase Bank, N.A.</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10.20</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5"/>
              </w:rPr>
              <w:t>Standard Form Office Lease, dated as of February 14, 2012, by and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between the registrant and CSDV-MN Limited Partnership</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10.21</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89"/>
              </w:rPr>
              <w:t>Form of Restricted Stock Award Agreement under 2010 Equity Incentive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10.22</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87"/>
              </w:rPr>
              <w:t>Separation Agreement between SPS Commerce, Inc. and Michael J. Gray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dated November 19, 2012**</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21.1</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Consent of KPMG LLP</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23.2</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Power of Attorney (included on signature page)</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31.1</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2"/>
              </w:rPr>
              <w:t>Certification of Principal Executive Officer pursuant to Rules 13a-14(a)</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under the Securities Exchange Act of 1934, as amended</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31.2</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3"/>
              </w:rPr>
              <w:t>Certification of Principal Financial Officer pursuant to Rules 13a-14(a)</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under the Securities Exchange Act of 1934, as amended</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80" w:type="dxa"/>
            <w:vAlign w:val="bottom"/>
            <w:gridSpan w:val="3"/>
          </w:tcPr>
          <w:p>
            <w:pPr>
              <w:ind w:left="5080"/>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9"/>
              </w:rPr>
              <w:t>Incorporated By Reference</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9"/>
        </w:trPr>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Date 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File</w:t>
            </w:r>
          </w:p>
        </w:tc>
        <w:tc>
          <w:tcPr>
            <w:tcW w:w="36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First</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Exhibit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r>
      <w:tr>
        <w:trPr>
          <w:trHeight w:val="168"/>
        </w:trPr>
        <w:tc>
          <w:tcPr>
            <w:tcW w:w="6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Form</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r>
      <w:tr>
        <w:trPr>
          <w:trHeight w:val="322"/>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10.18</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56"/>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10/03/2011</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10-Q</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05/08/2012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11/23/2012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220" w:space="280"/>
            <w:col w:w="4800"/>
          </w:cols>
          <w:pgMar w:left="24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2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2400" w:type="dxa"/>
            <w:vAlign w:val="bottom"/>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Exhibit Description</w:t>
            </w:r>
          </w:p>
        </w:tc>
        <w:tc>
          <w:tcPr>
            <w:tcW w:w="1500" w:type="dxa"/>
            <w:vAlign w:val="bottom"/>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100" w:type="dxa"/>
            <w:vAlign w:val="bottom"/>
            <w:gridSpan w:val="3"/>
          </w:tcPr>
          <w:p>
            <w:pPr>
              <w:ind w:left="820"/>
              <w:spacing w:after="0"/>
              <w:rPr>
                <w:sz w:val="20"/>
                <w:szCs w:val="20"/>
                <w:color w:val="auto"/>
              </w:rPr>
            </w:pPr>
            <w:r>
              <w:rPr>
                <w:rFonts w:ascii="Arial" w:cs="Arial" w:eastAsia="Arial" w:hAnsi="Arial"/>
                <w:sz w:val="18"/>
                <w:szCs w:val="18"/>
                <w:color w:val="auto"/>
                <w:w w:val="92"/>
              </w:rPr>
              <w:t>Certification of Chief Executive Officer and Chief Financial</w:t>
            </w:r>
          </w:p>
        </w:tc>
      </w:tr>
      <w:tr>
        <w:trPr>
          <w:trHeight w:val="216"/>
        </w:trPr>
        <w:tc>
          <w:tcPr>
            <w:tcW w:w="520" w:type="dxa"/>
            <w:vAlign w:val="bottom"/>
          </w:tcPr>
          <w:p>
            <w:pPr>
              <w:spacing w:after="0"/>
              <w:rPr>
                <w:sz w:val="18"/>
                <w:szCs w:val="18"/>
                <w:color w:val="auto"/>
              </w:rPr>
            </w:pPr>
          </w:p>
        </w:tc>
        <w:tc>
          <w:tcPr>
            <w:tcW w:w="5100" w:type="dxa"/>
            <w:vAlign w:val="bottom"/>
            <w:gridSpan w:val="3"/>
          </w:tcPr>
          <w:p>
            <w:pPr>
              <w:ind w:left="820"/>
              <w:spacing w:after="0"/>
              <w:rPr>
                <w:sz w:val="20"/>
                <w:szCs w:val="20"/>
                <w:color w:val="auto"/>
              </w:rPr>
            </w:pPr>
            <w:r>
              <w:rPr>
                <w:rFonts w:ascii="Arial" w:cs="Arial" w:eastAsia="Arial" w:hAnsi="Arial"/>
                <w:sz w:val="18"/>
                <w:szCs w:val="18"/>
                <w:color w:val="auto"/>
                <w:w w:val="86"/>
              </w:rPr>
              <w:t>Officer pursuant to 18 U.S.C. Sec. 1350, as adopted pursuant</w:t>
            </w:r>
          </w:p>
        </w:tc>
      </w:tr>
      <w:tr>
        <w:trPr>
          <w:trHeight w:val="222"/>
        </w:trPr>
        <w:tc>
          <w:tcPr>
            <w:tcW w:w="520" w:type="dxa"/>
            <w:vAlign w:val="bottom"/>
          </w:tcPr>
          <w:p>
            <w:pPr>
              <w:spacing w:after="0"/>
              <w:rPr>
                <w:sz w:val="19"/>
                <w:szCs w:val="19"/>
                <w:color w:val="auto"/>
              </w:rPr>
            </w:pPr>
          </w:p>
        </w:tc>
        <w:tc>
          <w:tcPr>
            <w:tcW w:w="5100" w:type="dxa"/>
            <w:vAlign w:val="bottom"/>
            <w:gridSpan w:val="3"/>
          </w:tcPr>
          <w:p>
            <w:pPr>
              <w:ind w:left="820"/>
              <w:spacing w:after="0"/>
              <w:rPr>
                <w:sz w:val="20"/>
                <w:szCs w:val="20"/>
                <w:color w:val="auto"/>
              </w:rPr>
            </w:pPr>
            <w:r>
              <w:rPr>
                <w:rFonts w:ascii="Arial" w:cs="Arial" w:eastAsia="Arial" w:hAnsi="Arial"/>
                <w:sz w:val="18"/>
                <w:szCs w:val="18"/>
                <w:color w:val="auto"/>
              </w:rPr>
              <w:t>to Section 906 of the Sarbanes-Oxley Act of 2002</w:t>
            </w:r>
          </w:p>
        </w:tc>
      </w:tr>
    </w:tbl>
    <w:p>
      <w:pPr>
        <w:spacing w:after="0" w:line="102" w:lineRule="exact"/>
        <w:rPr>
          <w:sz w:val="20"/>
          <w:szCs w:val="20"/>
          <w:color w:val="auto"/>
        </w:rPr>
      </w:pPr>
    </w:p>
    <w:p>
      <w:pPr>
        <w:ind w:right="120" w:firstLine="8"/>
        <w:spacing w:after="0" w:line="475" w:lineRule="auto"/>
        <w:tabs>
          <w:tab w:leader="none" w:pos="1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9"/>
        </w:trPr>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8"/>
              </w:rPr>
              <w:t>Date of</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9"/>
        </w:trPr>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File</w:t>
            </w:r>
          </w:p>
        </w:tc>
        <w:tc>
          <w:tcPr>
            <w:tcW w:w="660" w:type="dxa"/>
            <w:vAlign w:val="bottom"/>
          </w:tcPr>
          <w:p>
            <w:pPr>
              <w:spacing w:after="0"/>
              <w:rPr>
                <w:sz w:val="12"/>
                <w:szCs w:val="12"/>
                <w:color w:val="auto"/>
              </w:rPr>
            </w:pPr>
          </w:p>
        </w:tc>
        <w:tc>
          <w:tcPr>
            <w:tcW w:w="1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First</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8"/>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Form</w:t>
            </w:r>
          </w:p>
        </w:tc>
        <w:tc>
          <w:tcPr>
            <w:tcW w:w="6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6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r>
    </w:tbl>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800" w:space="560"/>
            <w:col w:w="4960"/>
          </w:cols>
          <w:pgMar w:left="240" w:top="459"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ind w:left="3044"/>
        <w:spacing w:after="0"/>
        <w:rPr>
          <w:sz w:val="20"/>
          <w:szCs w:val="20"/>
          <w:color w:val="auto"/>
        </w:rPr>
      </w:pPr>
      <w:r>
        <w:rPr>
          <w:rFonts w:ascii="Arial" w:cs="Arial" w:eastAsia="Arial" w:hAnsi="Arial"/>
          <w:sz w:val="18"/>
          <w:szCs w:val="18"/>
          <w:b w:val="1"/>
          <w:bCs w:val="1"/>
          <w:u w:val="single" w:color="auto"/>
          <w:color w:val="auto"/>
        </w:rPr>
        <w:t>SPS Commerce, Inc. Non-Employee Director Compensation Policy</w:t>
      </w:r>
    </w:p>
    <w:p>
      <w:pPr>
        <w:spacing w:after="0" w:line="229" w:lineRule="exact"/>
        <w:rPr>
          <w:sz w:val="20"/>
          <w:szCs w:val="20"/>
          <w:color w:val="auto"/>
        </w:rPr>
      </w:pPr>
    </w:p>
    <w:p>
      <w:pPr>
        <w:ind w:left="344"/>
        <w:spacing w:after="0"/>
        <w:rPr>
          <w:sz w:val="20"/>
          <w:szCs w:val="20"/>
          <w:color w:val="auto"/>
        </w:rPr>
      </w:pPr>
      <w:r>
        <w:rPr>
          <w:rFonts w:ascii="Arial" w:cs="Arial" w:eastAsia="Arial" w:hAnsi="Arial"/>
          <w:sz w:val="18"/>
          <w:szCs w:val="18"/>
          <w:color w:val="auto"/>
        </w:rPr>
        <w:t>Each non-management director of SPS Commerce, Inc. (the “Company”) will receive:</w:t>
      </w:r>
    </w:p>
    <w:p>
      <w:pPr>
        <w:spacing w:after="0" w:line="131" w:lineRule="exact"/>
        <w:rPr>
          <w:sz w:val="20"/>
          <w:szCs w:val="20"/>
          <w:color w:val="auto"/>
        </w:rPr>
      </w:pPr>
    </w:p>
    <w:p>
      <w:pPr>
        <w:ind w:left="324" w:right="20" w:hanging="324"/>
        <w:spacing w:after="0" w:line="259" w:lineRule="auto"/>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 initial stock option grant to purchase up to $111,000 of shares of our common stock in connection with appointment to the board calculated as the grant date fair value of the option computed in accordance with Financial Accounting Standards Board (FASB) Accounting Standards Codification (ASC) Topic 718, </w:t>
      </w:r>
      <w:r>
        <w:rPr>
          <w:rFonts w:ascii="Arial" w:cs="Arial" w:eastAsia="Arial" w:hAnsi="Arial"/>
          <w:sz w:val="18"/>
          <w:szCs w:val="18"/>
          <w:i w:val="1"/>
          <w:iCs w:val="1"/>
          <w:color w:val="auto"/>
        </w:rPr>
        <w:t>Stock Compensation</w:t>
      </w:r>
      <w:r>
        <w:rPr>
          <w:rFonts w:ascii="Arial" w:cs="Arial" w:eastAsia="Arial" w:hAnsi="Arial"/>
          <w:sz w:val="18"/>
          <w:szCs w:val="18"/>
          <w:color w:val="auto"/>
        </w:rPr>
        <w:t>. Each grant will vest in equal monthly installments over three years for so long as the director remains a member of the board.</w:t>
      </w:r>
    </w:p>
    <w:p>
      <w:pPr>
        <w:spacing w:after="0" w:line="92" w:lineRule="exact"/>
        <w:rPr>
          <w:rFonts w:ascii="Arial" w:cs="Arial" w:eastAsia="Arial" w:hAnsi="Arial"/>
          <w:sz w:val="18"/>
          <w:szCs w:val="18"/>
          <w:color w:val="auto"/>
        </w:rPr>
      </w:pPr>
    </w:p>
    <w:p>
      <w:pPr>
        <w:ind w:left="324" w:right="240" w:hanging="324"/>
        <w:spacing w:after="0" w:line="257" w:lineRule="auto"/>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 annual stock option grant to purchase up to $46,175 of common stock on the date of each annual meeting of stockholders at which the director is elected to the board or continues to serve as a director calculated as the grant date fair value of the option computed in accordance with Financial Accounting Standards Board (FASB) Accounting Standards Codification (ASC) Topic 718, </w:t>
      </w:r>
      <w:r>
        <w:rPr>
          <w:rFonts w:ascii="Arial" w:cs="Arial" w:eastAsia="Arial" w:hAnsi="Arial"/>
          <w:sz w:val="18"/>
          <w:szCs w:val="18"/>
          <w:i w:val="1"/>
          <w:iCs w:val="1"/>
          <w:color w:val="auto"/>
        </w:rPr>
        <w:t>Stock Compensation</w:t>
      </w:r>
      <w:r>
        <w:rPr>
          <w:rFonts w:ascii="Arial" w:cs="Arial" w:eastAsia="Arial" w:hAnsi="Arial"/>
          <w:sz w:val="18"/>
          <w:szCs w:val="18"/>
          <w:color w:val="auto"/>
        </w:rPr>
        <w:t>. Each grant will vest in full on the earlier of one year after the date of grant or the date of the next year’s annual meeting of stockholders, provided the director remains a member of the board as of the vesting date.</w:t>
      </w:r>
    </w:p>
    <w:p>
      <w:pPr>
        <w:spacing w:after="0" w:line="93" w:lineRule="exact"/>
        <w:rPr>
          <w:rFonts w:ascii="Arial" w:cs="Arial" w:eastAsia="Arial" w:hAnsi="Arial"/>
          <w:sz w:val="18"/>
          <w:szCs w:val="18"/>
          <w:color w:val="auto"/>
        </w:rPr>
      </w:pPr>
    </w:p>
    <w:p>
      <w:pPr>
        <w:ind w:left="324" w:right="80" w:hanging="324"/>
        <w:spacing w:after="0" w:line="257" w:lineRule="auto"/>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restricted stock grant to acquire up to $46,175 of restricted common stock on the date of each annual meeting of stockholders at which the director is elected to the board or continues to serve as a director calculated by dividing this amount by the closing sale price for a share of the Company’s common stock on the Nasdaq Global Market on the date of the Company’s annual meeting of stockholders. Vests in four equal installments on the last day of each fiscal quarter with the first vesting occurring on June 30 of the year, provided the recipient remains a member of the board as of the vesting date.</w:t>
      </w:r>
    </w:p>
    <w:p>
      <w:pPr>
        <w:spacing w:after="0" w:line="93" w:lineRule="exact"/>
        <w:rPr>
          <w:rFonts w:ascii="Arial" w:cs="Arial" w:eastAsia="Arial" w:hAnsi="Arial"/>
          <w:sz w:val="18"/>
          <w:szCs w:val="18"/>
          <w:color w:val="auto"/>
        </w:rPr>
      </w:pPr>
    </w:p>
    <w:p>
      <w:pPr>
        <w:ind w:left="324" w:hanging="324"/>
        <w:spacing w:after="0"/>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retainer of $27,500.</w:t>
      </w:r>
    </w:p>
    <w:p>
      <w:pPr>
        <w:spacing w:after="0" w:line="225" w:lineRule="exact"/>
        <w:rPr>
          <w:sz w:val="20"/>
          <w:szCs w:val="20"/>
          <w:color w:val="auto"/>
        </w:rPr>
      </w:pPr>
    </w:p>
    <w:p>
      <w:pPr>
        <w:ind w:left="804"/>
        <w:spacing w:after="0"/>
        <w:rPr>
          <w:sz w:val="20"/>
          <w:szCs w:val="20"/>
          <w:color w:val="auto"/>
        </w:rPr>
      </w:pPr>
      <w:r>
        <w:rPr>
          <w:rFonts w:ascii="Arial" w:cs="Arial" w:eastAsia="Arial" w:hAnsi="Arial"/>
          <w:sz w:val="18"/>
          <w:szCs w:val="18"/>
          <w:color w:val="auto"/>
        </w:rPr>
        <w:t>Each non-management director of the Company that chairs of a committee will receive an annual fee as follows:</w:t>
      </w:r>
    </w:p>
    <w:p>
      <w:pPr>
        <w:spacing w:after="0" w:line="244" w:lineRule="exact"/>
        <w:rPr>
          <w:sz w:val="20"/>
          <w:szCs w:val="20"/>
          <w:color w:val="auto"/>
        </w:rPr>
      </w:pPr>
    </w:p>
    <w:tbl>
      <w:tblPr>
        <w:tblLayout w:type="fixed"/>
        <w:tblInd w:w="1724"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3260" w:type="dxa"/>
            <w:vAlign w:val="bottom"/>
          </w:tcPr>
          <w:p>
            <w:pPr>
              <w:spacing w:after="0"/>
              <w:rPr>
                <w:sz w:val="16"/>
                <w:szCs w:val="16"/>
                <w:color w:val="auto"/>
              </w:rPr>
            </w:pPr>
          </w:p>
        </w:tc>
        <w:tc>
          <w:tcPr>
            <w:tcW w:w="3420" w:type="dxa"/>
            <w:vAlign w:val="bottom"/>
            <w:gridSpan w:val="4"/>
          </w:tcPr>
          <w:p>
            <w:pPr>
              <w:ind w:left="2260"/>
              <w:spacing w:after="0"/>
              <w:rPr>
                <w:sz w:val="20"/>
                <w:szCs w:val="20"/>
                <w:color w:val="auto"/>
              </w:rPr>
            </w:pPr>
            <w:r>
              <w:rPr>
                <w:rFonts w:ascii="Arial" w:cs="Arial" w:eastAsia="Arial" w:hAnsi="Arial"/>
                <w:sz w:val="14"/>
                <w:szCs w:val="14"/>
                <w:b w:val="1"/>
                <w:bCs w:val="1"/>
                <w:color w:val="auto"/>
              </w:rPr>
              <w:t>Annual Cash Fee</w:t>
            </w:r>
          </w:p>
        </w:tc>
      </w:tr>
      <w:tr>
        <w:trPr>
          <w:trHeight w:val="203"/>
        </w:trPr>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w:t>
            </w:r>
          </w:p>
        </w:tc>
        <w:tc>
          <w:tcPr>
            <w:tcW w:w="2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Governance</w:t>
            </w:r>
          </w:p>
        </w:tc>
        <w:tc>
          <w:tcPr>
            <w:tcW w:w="25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Each non-management director of the Company, other than the chair, that serves on a committee will receive an annual fee as follows:</w:t>
      </w:r>
    </w:p>
    <w:p>
      <w:pPr>
        <w:spacing w:after="0" w:line="244" w:lineRule="exact"/>
        <w:rPr>
          <w:sz w:val="20"/>
          <w:szCs w:val="20"/>
          <w:color w:val="auto"/>
        </w:rPr>
      </w:pPr>
    </w:p>
    <w:tbl>
      <w:tblPr>
        <w:tblLayout w:type="fixed"/>
        <w:tblInd w:w="1724" w:type="dxa"/>
        <w:tblCellMar>
          <w:top w:w="0" w:type="dxa"/>
          <w:left w:w="0" w:type="dxa"/>
          <w:bottom w:w="0" w:type="dxa"/>
          <w:right w:w="0" w:type="dxa"/>
        </w:tblCellMar>
      </w:tblPr>
      <w:tr>
        <w:trPr>
          <w:trHeight w:val="19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2340" w:type="dxa"/>
            <w:vAlign w:val="bottom"/>
          </w:tcPr>
          <w:p>
            <w:pPr>
              <w:spacing w:after="0"/>
              <w:rPr>
                <w:sz w:val="16"/>
                <w:szCs w:val="16"/>
                <w:color w:val="auto"/>
              </w:rPr>
            </w:pPr>
          </w:p>
        </w:tc>
        <w:tc>
          <w:tcPr>
            <w:tcW w:w="3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Annual Cash Fee</w:t>
            </w:r>
          </w:p>
        </w:tc>
      </w:tr>
      <w:tr>
        <w:trPr>
          <w:trHeight w:val="203"/>
        </w:trPr>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w:t>
            </w:r>
          </w:p>
        </w:tc>
        <w:tc>
          <w:tcPr>
            <w:tcW w:w="2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Governance</w:t>
            </w:r>
          </w:p>
        </w:tc>
        <w:tc>
          <w:tcPr>
            <w:tcW w:w="26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804"/>
        <w:spacing w:after="0"/>
        <w:rPr>
          <w:sz w:val="20"/>
          <w:szCs w:val="20"/>
          <w:color w:val="auto"/>
        </w:rPr>
      </w:pPr>
      <w:r>
        <w:rPr>
          <w:rFonts w:ascii="Arial" w:cs="Arial" w:eastAsia="Arial" w:hAnsi="Arial"/>
          <w:sz w:val="18"/>
          <w:szCs w:val="18"/>
          <w:color w:val="auto"/>
        </w:rPr>
        <w:t>The chairman of the Company’s board of directors will receive an additional annual fee of $12,000.</w:t>
      </w:r>
    </w:p>
    <w:p>
      <w:pPr>
        <w:sectPr>
          <w:pgSz w:w="11900" w:h="16838" w:orient="portrait"/>
          <w:cols w:equalWidth="0" w:num="1">
            <w:col w:w="11304"/>
          </w:cols>
          <w:pgMar w:left="356" w:top="12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20" w:type="dxa"/>
            <w:vAlign w:val="bottom"/>
          </w:tcPr>
          <w:p>
            <w:pPr>
              <w:ind w:left="7080"/>
              <w:spacing w:after="0"/>
              <w:rPr>
                <w:sz w:val="20"/>
                <w:szCs w:val="20"/>
                <w:color w:val="auto"/>
              </w:rPr>
            </w:pPr>
            <w:r>
              <w:rPr>
                <w:rFonts w:ascii="Arial" w:cs="Arial" w:eastAsia="Arial" w:hAnsi="Arial"/>
                <w:sz w:val="18"/>
                <w:szCs w:val="18"/>
                <w:b w:val="1"/>
                <w:bCs w:val="1"/>
                <w:color w:val="auto"/>
                <w:w w:val="91"/>
              </w:rPr>
              <w:t>Exhibit 21.1</w:t>
            </w:r>
          </w:p>
        </w:tc>
      </w:tr>
      <w:tr>
        <w:trPr>
          <w:trHeight w:val="432"/>
        </w:trPr>
        <w:tc>
          <w:tcPr>
            <w:tcW w:w="3400" w:type="dxa"/>
            <w:vAlign w:val="bottom"/>
          </w:tcPr>
          <w:p>
            <w:pPr>
              <w:spacing w:after="0"/>
              <w:rPr>
                <w:sz w:val="24"/>
                <w:szCs w:val="24"/>
                <w:color w:val="auto"/>
              </w:rPr>
            </w:pPr>
          </w:p>
        </w:tc>
        <w:tc>
          <w:tcPr>
            <w:tcW w:w="8020" w:type="dxa"/>
            <w:vAlign w:val="bottom"/>
          </w:tcPr>
          <w:p>
            <w:pPr>
              <w:ind w:left="760"/>
              <w:spacing w:after="0"/>
              <w:rPr>
                <w:sz w:val="20"/>
                <w:szCs w:val="20"/>
                <w:color w:val="auto"/>
              </w:rPr>
            </w:pPr>
            <w:r>
              <w:rPr>
                <w:rFonts w:ascii="Arial" w:cs="Arial" w:eastAsia="Arial" w:hAnsi="Arial"/>
                <w:sz w:val="18"/>
                <w:szCs w:val="18"/>
                <w:b w:val="1"/>
                <w:bCs w:val="1"/>
                <w:color w:val="auto"/>
              </w:rPr>
              <w:t>List of SPS Commerce, Inc. Subsidiaries</w:t>
            </w:r>
          </w:p>
        </w:tc>
      </w:tr>
      <w:tr>
        <w:trPr>
          <w:trHeight w:val="369"/>
        </w:trPr>
        <w:tc>
          <w:tcPr>
            <w:tcW w:w="3400" w:type="dxa"/>
            <w:vAlign w:val="bottom"/>
          </w:tcPr>
          <w:p>
            <w:pPr>
              <w:spacing w:after="0"/>
              <w:rPr>
                <w:sz w:val="24"/>
                <w:szCs w:val="24"/>
                <w:color w:val="auto"/>
              </w:rPr>
            </w:pPr>
          </w:p>
        </w:tc>
        <w:tc>
          <w:tcPr>
            <w:tcW w:w="8020" w:type="dxa"/>
            <w:vAlign w:val="bottom"/>
          </w:tcPr>
          <w:p>
            <w:pPr>
              <w:ind w:left="6220"/>
              <w:spacing w:after="0"/>
              <w:rPr>
                <w:sz w:val="20"/>
                <w:szCs w:val="20"/>
                <w:color w:val="auto"/>
              </w:rPr>
            </w:pPr>
            <w:r>
              <w:rPr>
                <w:rFonts w:ascii="Arial" w:cs="Arial" w:eastAsia="Arial" w:hAnsi="Arial"/>
                <w:sz w:val="14"/>
                <w:szCs w:val="14"/>
                <w:b w:val="1"/>
                <w:bCs w:val="1"/>
                <w:color w:val="auto"/>
                <w:w w:val="91"/>
              </w:rPr>
              <w:t>State or Other Jurisdiction of</w:t>
            </w:r>
          </w:p>
        </w:tc>
      </w:tr>
      <w:tr>
        <w:trPr>
          <w:trHeight w:val="185"/>
        </w:trPr>
        <w:tc>
          <w:tcPr>
            <w:tcW w:w="3400" w:type="dxa"/>
            <w:vAlign w:val="bottom"/>
          </w:tcPr>
          <w:p>
            <w:pPr>
              <w:spacing w:after="0"/>
              <w:rPr>
                <w:sz w:val="20"/>
                <w:szCs w:val="20"/>
                <w:color w:val="auto"/>
              </w:rPr>
            </w:pPr>
            <w:r>
              <w:rPr>
                <w:rFonts w:ascii="Arial" w:cs="Arial" w:eastAsia="Arial" w:hAnsi="Arial"/>
                <w:sz w:val="14"/>
                <w:szCs w:val="14"/>
                <w:b w:val="1"/>
                <w:bCs w:val="1"/>
                <w:color w:val="auto"/>
              </w:rPr>
              <w:t>Name of Company</w:t>
            </w:r>
          </w:p>
        </w:tc>
        <w:tc>
          <w:tcPr>
            <w:tcW w:w="8020" w:type="dxa"/>
            <w:vAlign w:val="bottom"/>
          </w:tcPr>
          <w:p>
            <w:pPr>
              <w:ind w:left="6260"/>
              <w:spacing w:after="0"/>
              <w:rPr>
                <w:sz w:val="20"/>
                <w:szCs w:val="20"/>
                <w:color w:val="auto"/>
              </w:rPr>
            </w:pPr>
            <w:r>
              <w:rPr>
                <w:rFonts w:ascii="Arial" w:cs="Arial" w:eastAsia="Arial" w:hAnsi="Arial"/>
                <w:sz w:val="14"/>
                <w:szCs w:val="14"/>
                <w:b w:val="1"/>
                <w:bCs w:val="1"/>
                <w:color w:val="auto"/>
                <w:w w:val="96"/>
              </w:rPr>
              <w:t>Incorporation/Organization</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SPS Commerce Australia Pty Ltd</w:t>
            </w:r>
          </w:p>
        </w:tc>
        <w:tc>
          <w:tcPr>
            <w:tcW w:w="8020" w:type="dxa"/>
            <w:vAlign w:val="bottom"/>
            <w:shd w:val="clear" w:color="auto" w:fill="CCEEFF"/>
          </w:tcPr>
          <w:p>
            <w:pPr>
              <w:ind w:left="6220"/>
              <w:spacing w:after="0"/>
              <w:rPr>
                <w:sz w:val="20"/>
                <w:szCs w:val="20"/>
                <w:color w:val="auto"/>
              </w:rPr>
            </w:pPr>
            <w:r>
              <w:rPr>
                <w:rFonts w:ascii="Arial" w:cs="Arial" w:eastAsia="Arial" w:hAnsi="Arial"/>
                <w:sz w:val="18"/>
                <w:szCs w:val="18"/>
                <w:color w:val="auto"/>
              </w:rPr>
              <w:t>Australia</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SPS Commerce Hong Kong Limited</w:t>
            </w:r>
          </w:p>
        </w:tc>
        <w:tc>
          <w:tcPr>
            <w:tcW w:w="8020" w:type="dxa"/>
            <w:vAlign w:val="bottom"/>
          </w:tcPr>
          <w:p>
            <w:pPr>
              <w:ind w:left="6220"/>
              <w:spacing w:after="0"/>
              <w:rPr>
                <w:sz w:val="20"/>
                <w:szCs w:val="20"/>
                <w:color w:val="auto"/>
              </w:rPr>
            </w:pPr>
            <w:r>
              <w:rPr>
                <w:rFonts w:ascii="Arial" w:cs="Arial" w:eastAsia="Arial" w:hAnsi="Arial"/>
                <w:sz w:val="18"/>
                <w:szCs w:val="18"/>
                <w:color w:val="auto"/>
              </w:rPr>
              <w:t>Hong Kong</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SPS International, Inc.</w:t>
            </w:r>
          </w:p>
        </w:tc>
        <w:tc>
          <w:tcPr>
            <w:tcW w:w="8020" w:type="dxa"/>
            <w:vAlign w:val="bottom"/>
            <w:shd w:val="clear" w:color="auto" w:fill="CCEEFF"/>
          </w:tcPr>
          <w:p>
            <w:pPr>
              <w:ind w:left="6220"/>
              <w:spacing w:after="0"/>
              <w:rPr>
                <w:sz w:val="20"/>
                <w:szCs w:val="20"/>
                <w:color w:val="auto"/>
              </w:rPr>
            </w:pPr>
            <w:r>
              <w:rPr>
                <w:rFonts w:ascii="Arial" w:cs="Arial" w:eastAsia="Arial" w:hAnsi="Arial"/>
                <w:sz w:val="18"/>
                <w:szCs w:val="18"/>
                <w:color w:val="auto"/>
              </w:rPr>
              <w:t>Delaware</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Edifice Europe Limited</w:t>
            </w:r>
          </w:p>
        </w:tc>
        <w:tc>
          <w:tcPr>
            <w:tcW w:w="8020" w:type="dxa"/>
            <w:vAlign w:val="bottom"/>
          </w:tcPr>
          <w:p>
            <w:pPr>
              <w:ind w:left="6220"/>
              <w:spacing w:after="0"/>
              <w:rPr>
                <w:sz w:val="20"/>
                <w:szCs w:val="20"/>
                <w:color w:val="auto"/>
              </w:rPr>
            </w:pPr>
            <w:r>
              <w:rPr>
                <w:rFonts w:ascii="Arial" w:cs="Arial" w:eastAsia="Arial" w:hAnsi="Arial"/>
                <w:sz w:val="18"/>
                <w:szCs w:val="18"/>
                <w:color w:val="auto"/>
              </w:rPr>
              <w:t>England and Wales</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Edifice Japan G.K.</w:t>
            </w:r>
          </w:p>
        </w:tc>
        <w:tc>
          <w:tcPr>
            <w:tcW w:w="8020" w:type="dxa"/>
            <w:vAlign w:val="bottom"/>
            <w:shd w:val="clear" w:color="auto" w:fill="CCEEFF"/>
          </w:tcPr>
          <w:p>
            <w:pPr>
              <w:ind w:left="6220"/>
              <w:spacing w:after="0"/>
              <w:rPr>
                <w:sz w:val="20"/>
                <w:szCs w:val="20"/>
                <w:color w:val="auto"/>
              </w:rPr>
            </w:pPr>
            <w:r>
              <w:rPr>
                <w:rFonts w:ascii="Arial" w:cs="Arial" w:eastAsia="Arial" w:hAnsi="Arial"/>
                <w:sz w:val="18"/>
                <w:szCs w:val="18"/>
                <w:color w:val="auto"/>
              </w:rPr>
              <w:t>Japan</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SPS Ukraine LLC</w:t>
            </w:r>
          </w:p>
        </w:tc>
        <w:tc>
          <w:tcPr>
            <w:tcW w:w="8020" w:type="dxa"/>
            <w:vAlign w:val="bottom"/>
          </w:tcPr>
          <w:p>
            <w:pPr>
              <w:ind w:left="6220"/>
              <w:spacing w:after="0"/>
              <w:rPr>
                <w:sz w:val="20"/>
                <w:szCs w:val="20"/>
                <w:color w:val="auto"/>
              </w:rPr>
            </w:pPr>
            <w:r>
              <w:rPr>
                <w:rFonts w:ascii="Arial" w:cs="Arial" w:eastAsia="Arial" w:hAnsi="Arial"/>
                <w:sz w:val="18"/>
                <w:szCs w:val="18"/>
                <w:color w:val="auto"/>
              </w:rPr>
              <w:t>Ukraine</w:t>
            </w:r>
          </w:p>
        </w:tc>
      </w:tr>
    </w:tbl>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10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on Form S-3 (Nos. 333-192392, 333-182097 and 333-174026) and on Form S-8 (Nos. 333-193544, 333-185972, 333-182007, 333-179236, 333-172073, 333-167315 and 333-167314) of SPS Commerce, Inc. of our report dated February 20, 2014, with respect to the consolidated balance sheet of SPS Commerce, Inc. and subsidiaries as of December 31, 2013, and the related consolidated statements of income, stockholders’ equity, and cash flows for the year then ended, and the effectiveness of internal control over financial reporting as of December 31, 2013, which report appears in the December 31, 2013 annual report on Form 10-K of SPS Commerce,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have issued our report dated March 6, 2013, with respect to the consolidated financial statements included in the Annual Report of SPS Commerce, Inc. on Form 10-K for the year ended December 31, 2013. We hereby consent to the incorporation by reference of said report in the Registration Statements of SPS Commerce, Inc. on Forms S-3 (File No. 333-192392, File No. 333-182097 and File No. 333-174026) and on Forms S-8 (File No. 333-193544, File No. 333-185972, File No. 333-182007, File No. 333-179236, File No. 333-172073, File No. 333-167315 and File No. 333-167314).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In connection with the Annual Report on Form 10-K of SPS Commerce, Inc. (the “Company”) for the period ended December 31, 2013,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2"/>
    </w:lvl>
  </w:abstractNum>
  <w:abstractNum w:abstractNumId="19">
    <w:nsid w:val="B03E0C6"/>
    <w:multiLevelType w:val="hybridMultilevel"/>
    <w:lvl w:ilvl="0">
      <w:lvlJc w:val="left"/>
      <w:lvlText w:val="(%1)"/>
      <w:numFmt w:val="decimal"/>
      <w:start w:val="6"/>
    </w:lvl>
  </w:abstractNum>
  <w:abstractNum w:abstractNumId="20">
    <w:nsid w:val="189A769B"/>
    <w:multiLevelType w:val="hybridMultilevel"/>
    <w:lvl w:ilvl="0">
      <w:lvlJc w:val="left"/>
      <w:lvlText w:val="(%1)"/>
      <w:numFmt w:val="decimal"/>
      <w:start w:val="7"/>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decimal"/>
      <w:start w:val="10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2019-12-06T21:59:58Z</dcterms:created>
  <dcterms:modified xsi:type="dcterms:W3CDTF">2019-12-06T21:59:58Z</dcterms:modified>
</cp:coreProperties>
</file>