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4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3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-7620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30480</wp:posOffset>
            </wp:positionV>
            <wp:extent cx="56578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240"/>
          </w:cols>
          <w:pgMar w:left="320" w:top="206" w:right="339" w:bottom="1440" w:gutter="0" w:footer="0" w:header="0"/>
        </w:sectPr>
      </w:pPr>
    </w:p>
    <w:p>
      <w:pPr>
        <w:spacing w:after="0" w:line="12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31" w:lineRule="exact"/>
        <w:rPr>
          <w:sz w:val="24"/>
          <w:szCs w:val="24"/>
          <w:color w:val="auto"/>
        </w:rPr>
      </w:pPr>
    </w:p>
    <w:p>
      <w:pPr>
        <w:sectPr>
          <w:pgSz w:w="11900" w:h="16838" w:orient="portrait"/>
          <w:cols w:equalWidth="0" w:num="2">
            <w:col w:w="7280" w:space="720"/>
            <w:col w:w="3240"/>
          </w:cols>
          <w:pgMar w:left="320" w:top="206" w:right="339" w:bottom="1440" w:gutter="0" w:footer="0" w:header="0"/>
          <w:type w:val="continuous"/>
        </w:sectPr>
      </w:pP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4" w:lineRule="exact"/>
        <w:rPr>
          <w:sz w:val="24"/>
          <w:szCs w:val="24"/>
          <w:color w:val="auto"/>
        </w:rPr>
      </w:pPr>
    </w:p>
    <w:p>
      <w:pPr>
        <w:ind w:left="190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226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109" w:lineRule="exact"/>
        <w:rPr>
          <w:sz w:val="24"/>
          <w:szCs w:val="24"/>
          <w:color w:val="auto"/>
        </w:rPr>
      </w:pPr>
    </w:p>
    <w:p>
      <w:pPr>
        <w:sectPr>
          <w:pgSz w:w="11900" w:h="16838" w:orient="portrait"/>
          <w:cols w:equalWidth="0" w:num="2">
            <w:col w:w="7160" w:space="720"/>
            <w:col w:w="3360"/>
          </w:cols>
          <w:pgMar w:left="320" w:top="20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333 South Seventh Street, Suite 1000, Minneapolis, MN 55402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ectPr>
          <w:pgSz w:w="11900" w:h="16838" w:orient="portrait"/>
          <w:cols w:equalWidth="0" w:num="1">
            <w:col w:w="11240"/>
          </w:cols>
          <w:pgMar w:left="320" w:top="206" w:right="3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Trading Symbol</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SPSC</w:t>
            </w:r>
          </w:p>
        </w:tc>
        <w:tc>
          <w:tcPr>
            <w:tcW w:w="1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060" w:type="dxa"/>
            <w:vAlign w:val="bottom"/>
          </w:tcPr>
          <w:p>
            <w:pPr>
              <w:ind w:left="29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580"/>
        <w:spacing w:after="0" w:line="27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par value $0.001 per share, outstanding at April 24, 2020 was 34,927,767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360" w:type="dxa"/>
            <w:vAlign w:val="bottom"/>
          </w:tcPr>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tc>
        <w:tc>
          <w:tcPr>
            <w:tcW w:w="0" w:type="dxa"/>
            <w:vAlign w:val="bottom"/>
          </w:tcPr>
          <w:p>
            <w:pPr>
              <w:spacing w:after="0"/>
              <w:rPr>
                <w:sz w:val="1"/>
                <w:szCs w:val="1"/>
                <w:color w:val="auto"/>
              </w:rPr>
            </w:pPr>
          </w:p>
        </w:tc>
      </w:tr>
      <w:tr>
        <w:trPr>
          <w:trHeight w:val="401"/>
        </w:trPr>
        <w:tc>
          <w:tcPr>
            <w:tcW w:w="920" w:type="dxa"/>
            <w:vAlign w:val="bottom"/>
          </w:tcPr>
          <w:p>
            <w:pPr>
              <w:spacing w:after="0"/>
              <w:rPr>
                <w:sz w:val="24"/>
                <w:szCs w:val="24"/>
                <w:color w:val="auto"/>
              </w:rPr>
            </w:pPr>
          </w:p>
        </w:tc>
        <w:tc>
          <w:tcPr>
            <w:tcW w:w="896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SPS COMMERCE,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96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QUARTERLY REPORT ON FORM 10-Q</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896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988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tcPr>
          <w:p>
            <w:pPr>
              <w:ind w:left="100"/>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8960" w:type="dxa"/>
            <w:vAlign w:val="bottom"/>
          </w:tcPr>
          <w:p>
            <w:pPr>
              <w:ind w:left="1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8960" w:type="dxa"/>
            <w:vAlign w:val="bottom"/>
          </w:tcPr>
          <w:p>
            <w:pPr>
              <w:ind w:left="100"/>
              <w:spacing w:after="0"/>
              <w:rPr>
                <w:rFonts w:ascii="Arial" w:cs="Arial" w:eastAsia="Arial" w:hAnsi="Arial"/>
                <w:sz w:val="18"/>
                <w:szCs w:val="18"/>
                <w:u w:val="single" w:color="auto"/>
                <w:color w:val="0000EE"/>
                <w:w w:val="93"/>
              </w:rPr>
            </w:pPr>
            <w:hyperlink w:anchor="page4">
              <w:r>
                <w:rPr>
                  <w:rFonts w:ascii="Arial" w:cs="Arial" w:eastAsia="Arial" w:hAnsi="Arial"/>
                  <w:sz w:val="18"/>
                  <w:szCs w:val="18"/>
                  <w:u w:val="single" w:color="auto"/>
                  <w:color w:val="0000EE"/>
                  <w:w w:val="93"/>
                </w:rPr>
                <w:t>Condensed Consolidated Statements of Comprehensive Income for the three months ended March 31, 2020 and 2019</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8960" w:type="dxa"/>
            <w:vAlign w:val="bottom"/>
          </w:tcPr>
          <w:p>
            <w:pPr>
              <w:ind w:left="100"/>
              <w:spacing w:after="0"/>
              <w:rPr>
                <w:rFonts w:ascii="Arial" w:cs="Arial" w:eastAsia="Arial" w:hAnsi="Arial"/>
                <w:sz w:val="18"/>
                <w:szCs w:val="18"/>
                <w:u w:val="single" w:color="auto"/>
                <w:color w:val="0000EE"/>
                <w:w w:val="96"/>
              </w:rPr>
            </w:pPr>
            <w:hyperlink w:anchor="page5">
              <w:r>
                <w:rPr>
                  <w:rFonts w:ascii="Arial" w:cs="Arial" w:eastAsia="Arial" w:hAnsi="Arial"/>
                  <w:sz w:val="18"/>
                  <w:szCs w:val="18"/>
                  <w:u w:val="single" w:color="auto"/>
                  <w:color w:val="0000EE"/>
                  <w:w w:val="96"/>
                </w:rPr>
                <w:t>Condensed Consolidated Statements of Stockholders’ Equity for the three months ended March 31, 2020 and 2019</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896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three months ended March 31, 2020 and 2019</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896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tcPr>
          <w:p>
            <w:pPr>
              <w:ind w:left="1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tcPr>
          <w:p>
            <w:pPr>
              <w:ind w:lef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8960" w:type="dxa"/>
            <w:vAlign w:val="bottom"/>
          </w:tcPr>
          <w:p>
            <w:pPr>
              <w:ind w:lef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8"/>
        </w:trPr>
        <w:tc>
          <w:tcPr>
            <w:tcW w:w="9880" w:type="dxa"/>
            <w:vAlign w:val="bottom"/>
            <w:gridSpan w:val="2"/>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 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tcPr>
          <w:p>
            <w:pPr>
              <w:ind w:lef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8960" w:type="dxa"/>
            <w:vAlign w:val="bottom"/>
          </w:tcPr>
          <w:p>
            <w:pPr>
              <w:ind w:lef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tcPr>
          <w:p>
            <w:pPr>
              <w:ind w:lef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tcPr>
          <w:p>
            <w:pPr>
              <w:ind w:left="1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Defaults Upon Senior Securities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3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8960" w:type="dxa"/>
            <w:vAlign w:val="bottom"/>
          </w:tcPr>
          <w:p>
            <w:pPr>
              <w:ind w:left="1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Mine Safety Disclosures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8960" w:type="dxa"/>
            <w:vAlign w:val="bottom"/>
          </w:tcPr>
          <w:p>
            <w:pPr>
              <w:ind w:left="1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960" w:type="dxa"/>
            <w:vAlign w:val="bottom"/>
          </w:tcPr>
          <w:p>
            <w:pPr>
              <w:ind w:left="1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Exhibits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8"/>
        </w:trPr>
        <w:tc>
          <w:tcPr>
            <w:tcW w:w="920" w:type="dxa"/>
            <w:vAlign w:val="bottom"/>
          </w:tcPr>
          <w:p>
            <w:pPr>
              <w:spacing w:after="0"/>
              <w:rPr>
                <w:rFonts w:ascii="Arial" w:cs="Arial" w:eastAsia="Arial" w:hAnsi="Arial"/>
                <w:sz w:val="18"/>
                <w:szCs w:val="18"/>
                <w:b w:val="1"/>
                <w:bCs w:val="1"/>
                <w:u w:val="single" w:color="auto"/>
                <w:color w:val="0000EE"/>
                <w:w w:val="96"/>
              </w:rPr>
            </w:pPr>
            <w:hyperlink w:anchor="page29">
              <w:r>
                <w:rPr>
                  <w:rFonts w:ascii="Arial" w:cs="Arial" w:eastAsia="Arial" w:hAnsi="Arial"/>
                  <w:sz w:val="18"/>
                  <w:szCs w:val="18"/>
                  <w:b w:val="1"/>
                  <w:bCs w:val="1"/>
                  <w:u w:val="single" w:color="auto"/>
                  <w:color w:val="0000EE"/>
                  <w:w w:val="96"/>
                </w:rPr>
                <w:t>Signatures</w:t>
              </w:r>
            </w:hyperlink>
          </w:p>
        </w:tc>
        <w:tc>
          <w:tcPr>
            <w:tcW w:w="89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0574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except shares)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ind w:right="520"/>
              <w:spacing w:after="0"/>
              <w:rPr>
                <w:sz w:val="20"/>
                <w:szCs w:val="20"/>
                <w:color w:val="auto"/>
              </w:rPr>
            </w:pPr>
            <w:r>
              <w:rPr>
                <w:rFonts w:ascii="Arial" w:cs="Arial" w:eastAsia="Arial" w:hAnsi="Arial"/>
                <w:sz w:val="16"/>
                <w:szCs w:val="16"/>
                <w:color w:val="auto"/>
                <w:w w:val="93"/>
              </w:rPr>
              <w:t>(unaudited)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(2,939)</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30,336</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31,532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35,543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289,854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291,621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less accumulated depreciation of $53,458 and $50,574, respectively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20,857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costs, non-current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439,819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447,440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4,602</w:t>
            </w:r>
          </w:p>
        </w:tc>
        <w:tc>
          <w:tcPr>
            <w:tcW w:w="2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 non-current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18,957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Other liabilities, non-current</w:t>
            </w: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84,631</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92,564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3"/>
              </w:rPr>
              <w:t>Common stock, $0.001 par value; 55,000,000 shares authorized; 36,474,448 and 36,104,619 shares issued;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34,992,825 and 34,863,271 outstanding, respectively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Treasury stock, at cost; 1,481,623 and 1,241,348 shares, respectively</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(58,297)</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(46,297)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57,419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48,973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(5,823)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355,188</w:t>
            </w:r>
          </w:p>
        </w:tc>
        <w:tc>
          <w:tcPr>
            <w:tcW w:w="28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354,876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439,819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447,440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74,192</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(1,241)</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10,863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(3,864)</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investments, net of tax of $24 and $30</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Reclassification of gain on investments into earnings, net of tax of ($26) and ($31)</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comprehensive income (expense)</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2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35,926</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August 22, 2019.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Paid-in</w:t>
            </w:r>
          </w:p>
        </w:tc>
        <w:tc>
          <w:tcPr>
            <w:tcW w:w="8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Retained</w:t>
            </w: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Comprehensive</w:t>
            </w: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CCF0FC"/>
            </w:tcBorders>
          </w:tcPr>
          <w:p>
            <w:pPr>
              <w:spacing w:after="0"/>
              <w:rPr>
                <w:sz w:val="20"/>
                <w:szCs w:val="20"/>
                <w:color w:val="auto"/>
              </w:rPr>
            </w:pPr>
            <w:r>
              <w:rPr>
                <w:rFonts w:ascii="Arial" w:cs="Arial" w:eastAsia="Arial" w:hAnsi="Arial"/>
                <w:sz w:val="13"/>
                <w:szCs w:val="13"/>
                <w:b w:val="1"/>
                <w:bCs w:val="1"/>
                <w:color w:val="auto"/>
              </w:rPr>
              <w:t>(In thousands, except shares) (Unaudited)</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CF0FC"/>
            </w:tcBorders>
          </w:tcPr>
          <w:p>
            <w:pPr>
              <w:spacing w:after="0"/>
              <w:rPr>
                <w:sz w:val="13"/>
                <w:szCs w:val="13"/>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CCF0FC"/>
            </w:tcBorders>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Earnings</w:t>
            </w:r>
          </w:p>
        </w:tc>
        <w:tc>
          <w:tcPr>
            <w:tcW w:w="14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Borders>
              <w:bottom w:val="single" w:sz="8" w:color="CC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Equity</w:t>
            </w:r>
          </w:p>
        </w:tc>
        <w:tc>
          <w:tcPr>
            <w:tcW w:w="8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CF0FC"/>
          </w:tcPr>
          <w:p>
            <w:pPr>
              <w:spacing w:after="0"/>
              <w:rPr>
                <w:sz w:val="20"/>
                <w:szCs w:val="20"/>
                <w:color w:val="auto"/>
              </w:rPr>
            </w:pPr>
            <w:r>
              <w:rPr>
                <w:rFonts w:ascii="Arial" w:cs="Arial" w:eastAsia="Arial" w:hAnsi="Arial"/>
                <w:sz w:val="13"/>
                <w:szCs w:val="13"/>
                <w:color w:val="auto"/>
              </w:rPr>
              <w:t>Balances, December 31, 2018</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34,691,472</w:t>
            </w:r>
          </w:p>
        </w:tc>
        <w:tc>
          <w:tcPr>
            <w:tcW w:w="16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CF0FC"/>
          </w:tcPr>
          <w:p>
            <w:pPr>
              <w:spacing w:after="0"/>
              <w:rPr>
                <w:sz w:val="13"/>
                <w:szCs w:val="13"/>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823,784</w:t>
            </w:r>
          </w:p>
        </w:tc>
        <w:tc>
          <w:tcPr>
            <w:tcW w:w="16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right w:val="single" w:sz="8" w:color="CCF0FC"/>
            </w:tcBorders>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(25,679)</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332,574</w:t>
            </w:r>
          </w:p>
        </w:tc>
        <w:tc>
          <w:tcPr>
            <w:tcW w:w="160" w:type="dxa"/>
            <w:vAlign w:val="bottom"/>
            <w:tcBorders>
              <w:right w:val="single" w:sz="8" w:color="CCF0FC"/>
            </w:tcBorders>
            <w:shd w:val="clear" w:color="auto" w:fill="CCF0FC"/>
          </w:tcPr>
          <w:p>
            <w:pPr>
              <w:spacing w:after="0"/>
              <w:rPr>
                <w:sz w:val="13"/>
                <w:szCs w:val="13"/>
                <w:color w:val="auto"/>
              </w:rPr>
            </w:pPr>
          </w:p>
        </w:tc>
        <w:tc>
          <w:tcPr>
            <w:tcW w:w="180" w:type="dxa"/>
            <w:vAlign w:val="bottom"/>
            <w:shd w:val="clear" w:color="auto" w:fill="CCF0FC"/>
          </w:tcPr>
          <w:p>
            <w:pPr>
              <w:jc w:val="right"/>
              <w:ind w:right="33"/>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15,261</w:t>
            </w:r>
          </w:p>
        </w:tc>
        <w:tc>
          <w:tcPr>
            <w:tcW w:w="14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CCF0FC"/>
            </w:tcBorders>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(3,218)</w:t>
            </w:r>
          </w:p>
        </w:tc>
        <w:tc>
          <w:tcPr>
            <w:tcW w:w="160" w:type="dxa"/>
            <w:vAlign w:val="bottom"/>
            <w:shd w:val="clear" w:color="auto" w:fill="CCF0FC"/>
          </w:tcPr>
          <w:p>
            <w:pPr>
              <w:jc w:val="right"/>
              <w:ind w:right="4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318,974</w:t>
            </w:r>
          </w:p>
        </w:tc>
        <w:tc>
          <w:tcPr>
            <w:tcW w:w="8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3"/>
                <w:szCs w:val="13"/>
                <w:color w:val="auto"/>
              </w:rPr>
              <w:t>Stock-based compensation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vMerge w:val="continue"/>
          </w:tcPr>
          <w:p>
            <w:pPr>
              <w:spacing w:after="0"/>
              <w:rPr>
                <w:sz w:val="12"/>
                <w:szCs w:val="12"/>
                <w:color w:val="auto"/>
              </w:rPr>
            </w:pPr>
          </w:p>
        </w:tc>
        <w:tc>
          <w:tcPr>
            <w:tcW w:w="9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4,966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4,966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316,878</w:t>
            </w:r>
          </w:p>
        </w:tc>
        <w:tc>
          <w:tcPr>
            <w:tcW w:w="16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2,472</w:t>
            </w:r>
          </w:p>
        </w:tc>
        <w:tc>
          <w:tcPr>
            <w:tcW w:w="160" w:type="dxa"/>
            <w:vAlign w:val="bottom"/>
            <w:tcBorders>
              <w:right w:val="single" w:sz="8" w:color="CCF0FC"/>
            </w:tcBorders>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080" w:type="dxa"/>
            <w:vAlign w:val="bottom"/>
            <w:tcBorders>
              <w:right w:val="single" w:sz="8" w:color="CCF0FC"/>
            </w:tcBorders>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2,472</w:t>
            </w:r>
          </w:p>
        </w:tc>
        <w:tc>
          <w:tcPr>
            <w:tcW w:w="8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(67,464)</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67,464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(2,966)</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(2,966)</w:t>
            </w: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Settlement and subsequent return of shares</w:t>
            </w:r>
          </w:p>
        </w:tc>
        <w:tc>
          <w:tcPr>
            <w:tcW w:w="98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(5,522)</w:t>
            </w: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tcBorders>
              <w:right w:val="single" w:sz="8" w:color="CCF0FC"/>
            </w:tcBorders>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(300)</w:t>
            </w: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080" w:type="dxa"/>
            <w:vAlign w:val="bottom"/>
            <w:tcBorders>
              <w:right w:val="single" w:sz="8" w:color="CCF0FC"/>
            </w:tcBorders>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6,813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9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740</w:t>
            </w:r>
          </w:p>
        </w:tc>
        <w:tc>
          <w:tcPr>
            <w:tcW w:w="140" w:type="dxa"/>
            <w:vAlign w:val="bottom"/>
            <w:tcBorders>
              <w:right w:val="single" w:sz="8" w:color="CCF0FC"/>
            </w:tcBorders>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740</w:t>
            </w:r>
          </w:p>
        </w:tc>
        <w:tc>
          <w:tcPr>
            <w:tcW w:w="8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3"/>
                <w:szCs w:val="13"/>
                <w:color w:val="auto"/>
              </w:rPr>
              <w:t>Unrealized loss on investments, net of tax</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(93)</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Reclassification of loss on investments into earnings</w:t>
            </w:r>
          </w:p>
        </w:tc>
        <w:tc>
          <w:tcPr>
            <w:tcW w:w="9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9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90</w:t>
            </w:r>
          </w:p>
        </w:tc>
        <w:tc>
          <w:tcPr>
            <w:tcW w:w="140" w:type="dxa"/>
            <w:vAlign w:val="bottom"/>
            <w:tcBorders>
              <w:right w:val="single" w:sz="8" w:color="CCF0FC"/>
            </w:tcBorders>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Borders>
              <w:bottom w:val="single" w:sz="8" w:color="CCF0FC"/>
            </w:tcBorders>
          </w:tcPr>
          <w:p>
            <w:pPr>
              <w:ind w:left="140"/>
              <w:spacing w:after="0"/>
              <w:rPr>
                <w:sz w:val="20"/>
                <w:szCs w:val="20"/>
                <w:color w:val="auto"/>
              </w:rPr>
            </w:pPr>
            <w:r>
              <w:rPr>
                <w:rFonts w:ascii="Arial" w:cs="Arial" w:eastAsia="Arial" w:hAnsi="Arial"/>
                <w:sz w:val="13"/>
                <w:szCs w:val="13"/>
                <w:color w:val="auto"/>
              </w:rPr>
              <w:t>Adoption of ASU 2018-02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40" w:type="dxa"/>
            <w:vAlign w:val="bottom"/>
            <w:tcBorders>
              <w:bottom w:val="single" w:sz="8" w:color="CC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0" w:type="dxa"/>
            <w:vAlign w:val="bottom"/>
            <w:shd w:val="clear" w:color="auto" w:fill="CCF0FC"/>
          </w:tcPr>
          <w:p>
            <w:pPr>
              <w:spacing w:after="0"/>
              <w:rPr>
                <w:sz w:val="20"/>
                <w:szCs w:val="20"/>
                <w:color w:val="auto"/>
              </w:rPr>
            </w:pPr>
            <w:r>
              <w:rPr>
                <w:rFonts w:ascii="Arial" w:cs="Arial" w:eastAsia="Arial" w:hAnsi="Arial"/>
                <w:sz w:val="13"/>
                <w:szCs w:val="13"/>
                <w:color w:val="auto"/>
              </w:rPr>
              <w:t>Balances, March 31, 2019</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34,935,364</w:t>
            </w:r>
          </w:p>
        </w:tc>
        <w:tc>
          <w:tcPr>
            <w:tcW w:w="16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CF0FC"/>
          </w:tcPr>
          <w:p>
            <w:pPr>
              <w:spacing w:after="0"/>
              <w:rPr>
                <w:sz w:val="13"/>
                <w:szCs w:val="13"/>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891,248</w:t>
            </w:r>
          </w:p>
        </w:tc>
        <w:tc>
          <w:tcPr>
            <w:tcW w:w="26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CF0FC"/>
            </w:tcBorders>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(28,645)</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339,712</w:t>
            </w:r>
          </w:p>
        </w:tc>
        <w:tc>
          <w:tcPr>
            <w:tcW w:w="160" w:type="dxa"/>
            <w:vAlign w:val="bottom"/>
            <w:tcBorders>
              <w:right w:val="single" w:sz="8" w:color="CCF0FC"/>
            </w:tcBorders>
            <w:shd w:val="clear" w:color="auto" w:fill="CCF0FC"/>
          </w:tcPr>
          <w:p>
            <w:pPr>
              <w:spacing w:after="0"/>
              <w:rPr>
                <w:sz w:val="13"/>
                <w:szCs w:val="13"/>
                <w:color w:val="auto"/>
              </w:rPr>
            </w:pPr>
          </w:p>
        </w:tc>
        <w:tc>
          <w:tcPr>
            <w:tcW w:w="180" w:type="dxa"/>
            <w:vAlign w:val="bottom"/>
            <w:shd w:val="clear" w:color="auto" w:fill="CCF0FC"/>
          </w:tcPr>
          <w:p>
            <w:pPr>
              <w:jc w:val="right"/>
              <w:ind w:right="33"/>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22,074</w:t>
            </w:r>
          </w:p>
        </w:tc>
        <w:tc>
          <w:tcPr>
            <w:tcW w:w="14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CCF0FC"/>
            </w:tcBorders>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(2,473)</w:t>
            </w:r>
          </w:p>
        </w:tc>
        <w:tc>
          <w:tcPr>
            <w:tcW w:w="160" w:type="dxa"/>
            <w:vAlign w:val="bottom"/>
            <w:shd w:val="clear" w:color="auto" w:fill="CCF0FC"/>
          </w:tcPr>
          <w:p>
            <w:pPr>
              <w:jc w:val="right"/>
              <w:ind w:right="4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330,704</w:t>
            </w:r>
          </w:p>
        </w:tc>
        <w:tc>
          <w:tcPr>
            <w:tcW w:w="8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spacing w:after="0"/>
              <w:rPr>
                <w:sz w:val="20"/>
                <w:szCs w:val="20"/>
                <w:color w:val="auto"/>
              </w:rPr>
            </w:pPr>
            <w:r>
              <w:rPr>
                <w:rFonts w:ascii="Arial" w:cs="Arial" w:eastAsia="Arial" w:hAnsi="Arial"/>
                <w:sz w:val="13"/>
                <w:szCs w:val="13"/>
                <w:color w:val="auto"/>
              </w:rPr>
              <w:t>Balances, December 31, 2019</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34,863,271</w:t>
            </w:r>
          </w:p>
        </w:tc>
        <w:tc>
          <w:tcPr>
            <w:tcW w:w="160" w:type="dxa"/>
            <w:vAlign w:val="bottom"/>
            <w:shd w:val="clear" w:color="auto" w:fill="CCF0FC"/>
          </w:tcPr>
          <w:p>
            <w:pPr>
              <w:spacing w:after="0"/>
              <w:rPr>
                <w:sz w:val="14"/>
                <w:szCs w:val="14"/>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1,241,348</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right w:val="single" w:sz="8" w:color="CCF0FC"/>
            </w:tcBorders>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(46,297)</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354,115</w:t>
            </w:r>
          </w:p>
        </w:tc>
        <w:tc>
          <w:tcPr>
            <w:tcW w:w="160" w:type="dxa"/>
            <w:vAlign w:val="bottom"/>
            <w:tcBorders>
              <w:right w:val="single" w:sz="8" w:color="CCF0FC"/>
            </w:tcBorders>
            <w:shd w:val="clear" w:color="auto" w:fill="CCF0FC"/>
          </w:tcPr>
          <w:p>
            <w:pPr>
              <w:spacing w:after="0"/>
              <w:rPr>
                <w:sz w:val="14"/>
                <w:szCs w:val="14"/>
                <w:color w:val="auto"/>
              </w:rPr>
            </w:pPr>
          </w:p>
        </w:tc>
        <w:tc>
          <w:tcPr>
            <w:tcW w:w="180" w:type="dxa"/>
            <w:vAlign w:val="bottom"/>
            <w:shd w:val="clear" w:color="auto" w:fill="CCF0FC"/>
          </w:tcPr>
          <w:p>
            <w:pPr>
              <w:jc w:val="right"/>
              <w:ind w:right="33"/>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48,973</w:t>
            </w:r>
          </w:p>
        </w:tc>
        <w:tc>
          <w:tcPr>
            <w:tcW w:w="140" w:type="dxa"/>
            <w:vAlign w:val="bottom"/>
            <w:shd w:val="clear" w:color="auto" w:fill="CCF0FC"/>
          </w:tcPr>
          <w:p>
            <w:pPr>
              <w:spacing w:after="0"/>
              <w:rPr>
                <w:sz w:val="14"/>
                <w:szCs w:val="14"/>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CCF0FC"/>
            </w:tcBorders>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(1,951)</w:t>
            </w:r>
          </w:p>
        </w:tc>
        <w:tc>
          <w:tcPr>
            <w:tcW w:w="160" w:type="dxa"/>
            <w:vAlign w:val="bottom"/>
            <w:shd w:val="clear" w:color="auto" w:fill="CCF0FC"/>
          </w:tcPr>
          <w:p>
            <w:pPr>
              <w:jc w:val="right"/>
              <w:ind w:right="4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354,876</w:t>
            </w:r>
          </w:p>
        </w:tc>
        <w:tc>
          <w:tcPr>
            <w:tcW w:w="8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3"/>
                <w:szCs w:val="13"/>
                <w:color w:val="auto"/>
              </w:rPr>
              <w:t>Stock-based compensation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vMerge w:val="continue"/>
          </w:tcPr>
          <w:p>
            <w:pPr>
              <w:spacing w:after="0"/>
              <w:rPr>
                <w:sz w:val="12"/>
                <w:szCs w:val="12"/>
                <w:color w:val="auto"/>
              </w:rPr>
            </w:pPr>
          </w:p>
        </w:tc>
        <w:tc>
          <w:tcPr>
            <w:tcW w:w="9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3,968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3,968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Exercise of stock options and issuance of restricted stock</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367,814</w:t>
            </w:r>
          </w:p>
        </w:tc>
        <w:tc>
          <w:tcPr>
            <w:tcW w:w="16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3,683</w:t>
            </w:r>
          </w:p>
        </w:tc>
        <w:tc>
          <w:tcPr>
            <w:tcW w:w="160" w:type="dxa"/>
            <w:vAlign w:val="bottom"/>
            <w:tcBorders>
              <w:right w:val="single" w:sz="8" w:color="CCF0FC"/>
            </w:tcBorders>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080" w:type="dxa"/>
            <w:vAlign w:val="bottom"/>
            <w:tcBorders>
              <w:right w:val="single" w:sz="8" w:color="CCF0FC"/>
            </w:tcBorders>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3,683</w:t>
            </w:r>
          </w:p>
        </w:tc>
        <w:tc>
          <w:tcPr>
            <w:tcW w:w="8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820" w:type="dxa"/>
            <w:vAlign w:val="bottom"/>
          </w:tcPr>
          <w:p>
            <w:pPr>
              <w:jc w:val="right"/>
              <w:spacing w:after="0"/>
              <w:rPr>
                <w:sz w:val="20"/>
                <w:szCs w:val="20"/>
                <w:color w:val="auto"/>
              </w:rPr>
            </w:pPr>
            <w:r>
              <w:rPr>
                <w:rFonts w:ascii="Arial" w:cs="Arial" w:eastAsia="Arial" w:hAnsi="Arial"/>
                <w:sz w:val="13"/>
                <w:szCs w:val="13"/>
                <w:color w:val="auto"/>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Repurchases of common stock</w:t>
            </w:r>
          </w:p>
        </w:tc>
        <w:tc>
          <w:tcPr>
            <w:tcW w:w="980" w:type="dxa"/>
            <w:vAlign w:val="bottom"/>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(240,275)</w:t>
            </w: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240,275</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(12,000)</w:t>
            </w:r>
          </w:p>
        </w:tc>
        <w:tc>
          <w:tcPr>
            <w:tcW w:w="100" w:type="dxa"/>
            <w:vAlign w:val="bottom"/>
            <w:shd w:val="clear" w:color="auto" w:fill="CCF0FC"/>
          </w:tcPr>
          <w:p>
            <w:pPr>
              <w:spacing w:after="0"/>
              <w:rPr>
                <w:sz w:val="14"/>
                <w:szCs w:val="14"/>
                <w:color w:val="auto"/>
              </w:rPr>
            </w:pPr>
          </w:p>
        </w:tc>
        <w:tc>
          <w:tcPr>
            <w:tcW w:w="80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080" w:type="dxa"/>
            <w:vAlign w:val="bottom"/>
            <w:tcBorders>
              <w:right w:val="single" w:sz="8" w:color="CCF0FC"/>
            </w:tcBorders>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(12,000)</w:t>
            </w: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9,515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080" w:type="dxa"/>
            <w:vAlign w:val="bottom"/>
            <w:tcBorders>
              <w:right w:val="single" w:sz="8" w:color="CCF0FC"/>
            </w:tcBorders>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(3,864)</w:t>
            </w:r>
          </w:p>
        </w:tc>
        <w:tc>
          <w:tcPr>
            <w:tcW w:w="1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(3,864)</w:t>
            </w: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3"/>
                <w:szCs w:val="13"/>
                <w:color w:val="auto"/>
              </w:rPr>
              <w:t>Unrealized gain on investments, net of tax</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Reclassification of gain on investments into earnings</w:t>
            </w:r>
          </w:p>
        </w:tc>
        <w:tc>
          <w:tcPr>
            <w:tcW w:w="980" w:type="dxa"/>
            <w:vAlign w:val="bottom"/>
            <w:gridSpan w:val="2"/>
            <w:shd w:val="clear" w:color="auto" w:fill="CC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6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tcBorders>
              <w:right w:val="single" w:sz="8" w:color="CCF0FC"/>
            </w:tcBorders>
            <w:gridSpan w:val="2"/>
            <w:shd w:val="clear" w:color="auto" w:fill="CC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080" w:type="dxa"/>
            <w:vAlign w:val="bottom"/>
            <w:tcBorders>
              <w:right w:val="single" w:sz="8" w:color="CCF0FC"/>
            </w:tcBorders>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(79)</w:t>
            </w:r>
          </w:p>
        </w:tc>
        <w:tc>
          <w:tcPr>
            <w:tcW w:w="1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3"/>
                <w:szCs w:val="13"/>
                <w:color w:val="auto"/>
              </w:rPr>
              <w:t>Adoption of ASU 2016-13</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CF0FC"/>
          </w:tcPr>
          <w:p>
            <w:pPr>
              <w:spacing w:after="0"/>
              <w:rPr>
                <w:sz w:val="20"/>
                <w:szCs w:val="20"/>
                <w:color w:val="auto"/>
              </w:rPr>
            </w:pPr>
            <w:r>
              <w:rPr>
                <w:rFonts w:ascii="Arial" w:cs="Arial" w:eastAsia="Arial" w:hAnsi="Arial"/>
                <w:sz w:val="13"/>
                <w:szCs w:val="13"/>
                <w:color w:val="auto"/>
              </w:rPr>
              <w:t>Balances, March 31, 2020</w:t>
            </w: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F0FC"/>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CF0FC"/>
            </w:tcBorders>
            <w:shd w:val="clear" w:color="auto" w:fill="CC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0FC"/>
            </w:tcBorders>
            <w:shd w:val="clear" w:color="auto" w:fill="CC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00" w:type="dxa"/>
            <w:vAlign w:val="bottom"/>
            <w:vMerge w:val="continue"/>
            <w:shd w:val="clear" w:color="auto" w:fill="CCF0FC"/>
          </w:tcPr>
          <w:p>
            <w:pPr>
              <w:spacing w:after="0"/>
              <w:rPr>
                <w:sz w:val="13"/>
                <w:szCs w:val="13"/>
                <w:color w:val="auto"/>
              </w:rPr>
            </w:pP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34,992,825</w:t>
            </w:r>
          </w:p>
        </w:tc>
        <w:tc>
          <w:tcPr>
            <w:tcW w:w="16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CF0FC"/>
          </w:tcPr>
          <w:p>
            <w:pPr>
              <w:spacing w:after="0"/>
              <w:rPr>
                <w:sz w:val="13"/>
                <w:szCs w:val="13"/>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1,481,623</w:t>
            </w:r>
          </w:p>
        </w:tc>
        <w:tc>
          <w:tcPr>
            <w:tcW w:w="16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right w:val="single" w:sz="8" w:color="CCF0FC"/>
            </w:tcBorders>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(58,297)</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361,853</w:t>
            </w:r>
          </w:p>
        </w:tc>
        <w:tc>
          <w:tcPr>
            <w:tcW w:w="160" w:type="dxa"/>
            <w:vAlign w:val="bottom"/>
            <w:tcBorders>
              <w:right w:val="single" w:sz="8" w:color="CCF0FC"/>
            </w:tcBorders>
            <w:shd w:val="clear" w:color="auto" w:fill="CCF0FC"/>
          </w:tcPr>
          <w:p>
            <w:pPr>
              <w:spacing w:after="0"/>
              <w:rPr>
                <w:sz w:val="13"/>
                <w:szCs w:val="13"/>
                <w:color w:val="auto"/>
              </w:rPr>
            </w:pPr>
          </w:p>
        </w:tc>
        <w:tc>
          <w:tcPr>
            <w:tcW w:w="180" w:type="dxa"/>
            <w:vAlign w:val="bottom"/>
            <w:shd w:val="clear" w:color="auto" w:fill="CCF0FC"/>
          </w:tcPr>
          <w:p>
            <w:pPr>
              <w:jc w:val="right"/>
              <w:ind w:right="33"/>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57,419</w:t>
            </w:r>
          </w:p>
        </w:tc>
        <w:tc>
          <w:tcPr>
            <w:tcW w:w="14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CCF0FC"/>
            </w:tcBorders>
            <w:gridSpan w:val="2"/>
            <w:shd w:val="clear" w:color="auto" w:fill="CCF0FC"/>
          </w:tcPr>
          <w:p>
            <w:pPr>
              <w:jc w:val="right"/>
              <w:ind w:right="100"/>
              <w:spacing w:after="0"/>
              <w:rPr>
                <w:sz w:val="20"/>
                <w:szCs w:val="20"/>
                <w:color w:val="auto"/>
              </w:rPr>
            </w:pPr>
            <w:r>
              <w:rPr>
                <w:rFonts w:ascii="Arial" w:cs="Arial" w:eastAsia="Arial" w:hAnsi="Arial"/>
                <w:sz w:val="13"/>
                <w:szCs w:val="13"/>
                <w:color w:val="auto"/>
              </w:rPr>
              <w:t>(5,823)</w:t>
            </w:r>
          </w:p>
        </w:tc>
        <w:tc>
          <w:tcPr>
            <w:tcW w:w="160" w:type="dxa"/>
            <w:vAlign w:val="bottom"/>
            <w:shd w:val="clear" w:color="auto" w:fill="CCF0FC"/>
          </w:tcPr>
          <w:p>
            <w:pPr>
              <w:jc w:val="right"/>
              <w:ind w:right="4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355,188</w:t>
            </w:r>
          </w:p>
        </w:tc>
        <w:tc>
          <w:tcPr>
            <w:tcW w:w="8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Shares have been adjusted for all periods presented to reflect a two-for-one stock split effective August 22,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(Unaudited)</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9,515</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earn-out liability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(256)</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Other current and non-current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(9,302)</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(615)</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14,667</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(3,965)</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(12,460)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(12,447)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(12,000)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for earn-out liability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(8,918)</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 changes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179,252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184,484</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205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For many businesses, implementing and maintaining a suite of supply chain management capabilities is resource-intensive and not a core competency. The solutions offered by SPS Commerce eliminate the need for on-premise software and support staff by taking on that capability on the customer’s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behalf. These solutions also enable our customers to increase their supply cycle agility, optimize their inventory levels and sell-through, reduce operational costs and gain increased visibility into customer orders, helping ensure that suppliers, grocers, distributors, and logistics firms can satisfy retailer requirements.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included in our Annual Report on Form 10-K for the year ended December 31, 2019, as filed with the Securities and Exchange Commission (“SEC’).</w:t>
      </w:r>
    </w:p>
    <w:p>
      <w:pPr>
        <w:spacing w:after="0" w:line="16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 xml:space="preserve">Effective January 1, 2020, we adopted Accounting Standards Update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with a modified-retrospective approach and recorded a $1.1 million cumulative-effect adjustment to retained earnings. Under the standard, in determining the allowances for credit losses, we pool our outstanding accounts receivable invoices based on the contractual due date of payment at the balance sheet date. We take several factors into consideration for estimated credit losses by pool, primarily our historical credit losses. Additional adjustments are made for current and future conditions, primarily the rate of retail bankruptcies across the United States.</w:t>
      </w:r>
    </w:p>
    <w:p>
      <w:pPr>
        <w:spacing w:after="0" w:line="17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On July 25, 2019, the Company announced that its board of directors declared a two-for-one stock split of the Company’s common stock, effected in the form of a 100 percent stock dividend as of the record date on August 8, 2019. The stock split dividend was distributed on August 22, 2019. Earnings per share and weighted average shares outstanding are presented in this Quarterly Report on Form 10-Q after the effect of the 100 percent stock dividend. The two-for-one stock split is reflected in the share amounts in all periods presented in this Quarterly Report on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2057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2"/>
        </w:trPr>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0" w:type="dxa"/>
            <w:vAlign w:val="bottom"/>
          </w:tcPr>
          <w:p>
            <w:pPr>
              <w:ind w:left="2440"/>
              <w:spacing w:after="0"/>
              <w:rPr>
                <w:rFonts w:ascii="Arial" w:cs="Arial" w:eastAsia="Arial" w:hAnsi="Arial"/>
                <w:sz w:val="13"/>
                <w:szCs w:val="13"/>
                <w:u w:val="single" w:color="auto"/>
                <w:color w:val="0000EE"/>
                <w:w w:val="91"/>
              </w:rPr>
            </w:pPr>
            <w:hyperlink w:anchor="page2">
              <w:r>
                <w:rPr>
                  <w:rFonts w:ascii="Arial" w:cs="Arial" w:eastAsia="Arial" w:hAnsi="Arial"/>
                  <w:sz w:val="13"/>
                  <w:szCs w:val="13"/>
                  <w:u w:val="single" w:color="auto"/>
                  <w:color w:val="0000EE"/>
                  <w:w w:val="91"/>
                </w:rPr>
                <w:t>Table of Contents</w:t>
              </w:r>
            </w:hyperlink>
          </w:p>
        </w:tc>
      </w:tr>
      <w:tr>
        <w:trPr>
          <w:trHeight w:val="568"/>
        </w:trPr>
        <w:tc>
          <w:tcPr>
            <w:tcW w:w="6580" w:type="dxa"/>
            <w:vAlign w:val="bottom"/>
            <w:gridSpan w:val="3"/>
          </w:tcPr>
          <w:p>
            <w:pPr>
              <w:spacing w:after="0"/>
              <w:rPr>
                <w:sz w:val="20"/>
                <w:szCs w:val="20"/>
                <w:color w:val="auto"/>
              </w:rPr>
            </w:pPr>
            <w:r>
              <w:rPr>
                <w:rFonts w:ascii="Arial" w:cs="Arial" w:eastAsia="Arial" w:hAnsi="Arial"/>
                <w:sz w:val="18"/>
                <w:szCs w:val="18"/>
                <w:b w:val="1"/>
                <w:bCs w:val="1"/>
                <w:i w:val="1"/>
                <w:iCs w:val="1"/>
                <w:color w:val="1F282C"/>
              </w:rPr>
              <w:t>Recently Adopted Accounting Pronouncements</w:t>
            </w:r>
          </w:p>
        </w:tc>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83"/>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Standard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 Adopted</w:t>
            </w:r>
          </w:p>
        </w:tc>
        <w:tc>
          <w:tcPr>
            <w:tcW w:w="3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Effect on the Financial Statements</w:t>
            </w:r>
          </w:p>
        </w:tc>
      </w:tr>
      <w:tr>
        <w:trPr>
          <w:trHeight w:val="209"/>
        </w:trPr>
        <w:tc>
          <w:tcPr>
            <w:tcW w:w="1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2016-13</w:t>
            </w:r>
            <w:r>
              <w:rPr>
                <w:rFonts w:ascii="Arial" w:cs="Arial" w:eastAsia="Arial" w:hAnsi="Arial"/>
                <w:sz w:val="18"/>
                <w:szCs w:val="18"/>
                <w:color w:val="auto"/>
              </w:rPr>
              <w:t>,</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2016</w:t>
            </w: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amendment replaces the incurred loss</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2020</w:t>
            </w: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The adoption of this standard did not have a</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Financial</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 methodology in current GAAP</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material impact on our condensed</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Instruments - Credit</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a methodology that reflects expected</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consolidated financial statements. See above</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Losses (Topic 326),</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credit losses on instruments within its scope,</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 “Basis for Presentation” for</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Measurement of</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including trade receivables. This is intended</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significant inputs for the allowance for</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Credit Losses on</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provide financial statement users with</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credit losses.</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7"/>
              </w:rPr>
              <w:t>Financial Statements</w:t>
            </w:r>
          </w:p>
        </w:tc>
        <w:tc>
          <w:tcPr>
            <w:tcW w:w="132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more decision-useful information about the</w:t>
            </w:r>
          </w:p>
        </w:tc>
        <w:tc>
          <w:tcPr>
            <w:tcW w:w="126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r>
      <w:tr>
        <w:trPr>
          <w:trHeight w:val="230"/>
        </w:trPr>
        <w:tc>
          <w:tcPr>
            <w:tcW w:w="16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expected credit losses.</w:t>
            </w:r>
          </w:p>
        </w:tc>
        <w:tc>
          <w:tcPr>
            <w:tcW w:w="1260" w:type="dxa"/>
            <w:vAlign w:val="bottom"/>
            <w:shd w:val="clear" w:color="auto" w:fill="CFF0FC"/>
          </w:tcPr>
          <w:p>
            <w:pPr>
              <w:spacing w:after="0"/>
              <w:rPr>
                <w:sz w:val="20"/>
                <w:szCs w:val="20"/>
                <w:color w:val="auto"/>
              </w:rPr>
            </w:pPr>
          </w:p>
        </w:tc>
        <w:tc>
          <w:tcPr>
            <w:tcW w:w="3400" w:type="dxa"/>
            <w:vAlign w:val="bottom"/>
            <w:shd w:val="clear" w:color="auto" w:fill="CFF0FC"/>
          </w:tcPr>
          <w:p>
            <w:pPr>
              <w:spacing w:after="0"/>
              <w:rPr>
                <w:sz w:val="20"/>
                <w:szCs w:val="20"/>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8"/>
                <w:szCs w:val="18"/>
                <w:b w:val="1"/>
                <w:bCs w:val="1"/>
                <w:color w:val="auto"/>
              </w:rPr>
              <w:t>ASU 2018-13</w:t>
            </w:r>
            <w:r>
              <w:rPr>
                <w:rFonts w:ascii="Arial" w:cs="Arial" w:eastAsia="Arial" w:hAnsi="Arial"/>
                <w:sz w:val="18"/>
                <w:szCs w:val="18"/>
                <w:color w:val="auto"/>
              </w:rPr>
              <w:t>, Fair</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August 2018</w:t>
            </w: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This amendment adds, modifies and removes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January 2020</w:t>
            </w:r>
          </w:p>
        </w:tc>
        <w:tc>
          <w:tcPr>
            <w:tcW w:w="3400" w:type="dxa"/>
            <w:vAlign w:val="bottom"/>
          </w:tcPr>
          <w:p>
            <w:pPr>
              <w:ind w:left="140"/>
              <w:spacing w:after="0"/>
              <w:rPr>
                <w:sz w:val="20"/>
                <w:szCs w:val="20"/>
                <w:color w:val="auto"/>
              </w:rPr>
            </w:pPr>
            <w:r>
              <w:rPr>
                <w:rFonts w:ascii="Arial" w:cs="Arial" w:eastAsia="Arial" w:hAnsi="Arial"/>
                <w:sz w:val="18"/>
                <w:szCs w:val="18"/>
                <w:color w:val="auto"/>
                <w:w w:val="92"/>
              </w:rPr>
              <w:t>The adoption of this standard did not have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Value Measurement</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3"/>
              </w:rPr>
              <w:t>several disclosure requirements relative to the</w:t>
            </w:r>
          </w:p>
        </w:tc>
        <w:tc>
          <w:tcPr>
            <w:tcW w:w="126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material impact on our condensed</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(Topic 820),</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three levels of inputs used to measure fair</w:t>
            </w:r>
          </w:p>
        </w:tc>
        <w:tc>
          <w:tcPr>
            <w:tcW w:w="126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Disclosure</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value in accordance with Topic 820, Fair</w:t>
            </w: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Framework -</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Value Measurement.</w:t>
            </w: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Changes to the</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Disclosure</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Requirements for</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Fair Value</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5"/>
        </w:trPr>
        <w:tc>
          <w:tcPr>
            <w:tcW w:w="1660" w:type="dxa"/>
            <w:vAlign w:val="bottom"/>
          </w:tcPr>
          <w:p>
            <w:pPr>
              <w:spacing w:after="0"/>
              <w:rPr>
                <w:sz w:val="20"/>
                <w:szCs w:val="20"/>
                <w:color w:val="auto"/>
              </w:rPr>
            </w:pPr>
            <w:r>
              <w:rPr>
                <w:rFonts w:ascii="Arial" w:cs="Arial" w:eastAsia="Arial" w:hAnsi="Arial"/>
                <w:sz w:val="18"/>
                <w:szCs w:val="18"/>
                <w:color w:val="auto"/>
              </w:rPr>
              <w:t>Measurement</w:t>
            </w:r>
          </w:p>
        </w:tc>
        <w:tc>
          <w:tcPr>
            <w:tcW w:w="1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20"/>
        </w:trPr>
        <w:tc>
          <w:tcPr>
            <w:tcW w:w="1660" w:type="dxa"/>
            <w:vAlign w:val="bottom"/>
          </w:tcPr>
          <w:p>
            <w:pPr>
              <w:spacing w:after="0"/>
              <w:rPr>
                <w:sz w:val="20"/>
                <w:szCs w:val="20"/>
                <w:color w:val="auto"/>
              </w:rPr>
            </w:pPr>
            <w:r>
              <w:rPr>
                <w:rFonts w:ascii="Arial" w:cs="Arial" w:eastAsia="Arial" w:hAnsi="Arial"/>
                <w:sz w:val="18"/>
                <w:szCs w:val="18"/>
                <w:b w:val="1"/>
                <w:bCs w:val="1"/>
                <w:color w:val="auto"/>
              </w:rPr>
              <w:t>ASU 2017-04</w:t>
            </w: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January 2017</w:t>
            </w:r>
          </w:p>
        </w:tc>
        <w:tc>
          <w:tcPr>
            <w:tcW w:w="3600" w:type="dxa"/>
            <w:vAlign w:val="bottom"/>
          </w:tcPr>
          <w:p>
            <w:pPr>
              <w:ind w:left="140"/>
              <w:spacing w:after="0"/>
              <w:rPr>
                <w:sz w:val="20"/>
                <w:szCs w:val="20"/>
                <w:color w:val="auto"/>
              </w:rPr>
            </w:pPr>
            <w:r>
              <w:rPr>
                <w:rFonts w:ascii="Arial" w:cs="Arial" w:eastAsia="Arial" w:hAnsi="Arial"/>
                <w:sz w:val="18"/>
                <w:szCs w:val="18"/>
                <w:color w:val="auto"/>
                <w:w w:val="98"/>
              </w:rPr>
              <w:t>This amendment eliminates Step 2 from the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January 2020</w:t>
            </w:r>
          </w:p>
        </w:tc>
        <w:tc>
          <w:tcPr>
            <w:tcW w:w="3400" w:type="dxa"/>
            <w:vAlign w:val="bottom"/>
          </w:tcPr>
          <w:p>
            <w:pPr>
              <w:ind w:left="140"/>
              <w:spacing w:after="0"/>
              <w:rPr>
                <w:sz w:val="20"/>
                <w:szCs w:val="20"/>
                <w:color w:val="auto"/>
              </w:rPr>
            </w:pPr>
            <w:r>
              <w:rPr>
                <w:rFonts w:ascii="Arial" w:cs="Arial" w:eastAsia="Arial" w:hAnsi="Arial"/>
                <w:sz w:val="18"/>
                <w:szCs w:val="18"/>
                <w:color w:val="auto"/>
                <w:w w:val="92"/>
              </w:rPr>
              <w:t>The adoption of this standard did not have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Intangibles -</w:t>
            </w:r>
          </w:p>
        </w:tc>
        <w:tc>
          <w:tcPr>
            <w:tcW w:w="13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goodwill impairment test.</w:t>
            </w:r>
          </w:p>
        </w:tc>
        <w:tc>
          <w:tcPr>
            <w:tcW w:w="126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material impact on our condensed</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Goodwill and Other</w:t>
            </w:r>
          </w:p>
        </w:tc>
        <w:tc>
          <w:tcPr>
            <w:tcW w:w="1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consolidated financial statements.</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(Topic 350),</w:t>
            </w:r>
          </w:p>
        </w:tc>
        <w:tc>
          <w:tcPr>
            <w:tcW w:w="13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968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Simplifying the Test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three months ended March 31, 2020. See Note A to the consolidated financial statements included in our Annual Report on Form 10-K for the year ended December 31, 2019, as filed with the SEC, for additional information regarding our significant accounting policies.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B –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59,103</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70,038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74,192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 w:name="page9"/>
    <w:bookmarkEnd w:id="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deferred revenue liability for recurring revenue contracts are for one year or less and recognized on a ratable basis over the contract term. We have applied the optional exemption to not disclose information about the remaining performance obligations for contracts which have original durations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jc w:val="both"/>
        <w:ind w:right="460" w:firstLine="510"/>
        <w:spacing w:after="0" w:line="286" w:lineRule="auto"/>
        <w:rPr>
          <w:sz w:val="20"/>
          <w:szCs w:val="20"/>
          <w:color w:val="auto"/>
        </w:rPr>
      </w:pPr>
      <w:r>
        <w:rPr>
          <w:rFonts w:ascii="Arial" w:cs="Arial" w:eastAsia="Arial" w:hAnsi="Arial"/>
          <w:sz w:val="17"/>
          <w:szCs w:val="17"/>
          <w:color w:val="212529"/>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165"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212529"/>
        </w:rPr>
        <w:t>Certain contracts contain set-up fees that constitute a material renewal option right. This material right provides customers a significant future incentive that would not otherwise be available to them unless they entered into the contract, as the set-up fees will not be incurred again upon contract renewal.</w:t>
      </w:r>
    </w:p>
    <w:p>
      <w:pPr>
        <w:spacing w:after="0" w:line="184"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212529"/>
        </w:rPr>
        <w:t xml:space="preserve">For our Fulfillment solution, we have determined that the set-up fees and related costs represent a material renewal option right to our customers as they will not be incurred again upon renewal. These set-up fees and related costs are deferred and recognized ratably over </w:t>
      </w:r>
      <w:r>
        <w:rPr>
          <w:rFonts w:ascii="Arial" w:cs="Arial" w:eastAsia="Arial" w:hAnsi="Arial"/>
          <w:sz w:val="18"/>
          <w:szCs w:val="18"/>
          <w:color w:val="000000"/>
        </w:rPr>
        <w:t>two years</w:t>
      </w:r>
      <w:r>
        <w:rPr>
          <w:rFonts w:ascii="Arial" w:cs="Arial" w:eastAsia="Arial" w:hAnsi="Arial"/>
          <w:sz w:val="18"/>
          <w:szCs w:val="18"/>
          <w:color w:val="212529"/>
        </w:rPr>
        <w:t>, which is the estimated period for which a material right is present for our customers.</w:t>
      </w:r>
    </w:p>
    <w:p>
      <w:pPr>
        <w:spacing w:after="0" w:line="184"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212529"/>
        </w:rPr>
        <w:t xml:space="preserve">For our Analytics solution, we have determined that the set-up fees do not represent a material customer renewal right and, as such, are deferred and recognized ratably over the estimated initial contract term, which is generally </w:t>
      </w:r>
      <w:r>
        <w:rPr>
          <w:rFonts w:ascii="Arial" w:cs="Arial" w:eastAsia="Arial" w:hAnsi="Arial"/>
          <w:sz w:val="18"/>
          <w:szCs w:val="18"/>
          <w:color w:val="000000"/>
        </w:rPr>
        <w:t>one year</w:t>
      </w:r>
      <w:r>
        <w:rPr>
          <w:rFonts w:ascii="Arial" w:cs="Arial" w:eastAsia="Arial" w:hAnsi="Arial"/>
          <w:sz w:val="18"/>
          <w:szCs w:val="18"/>
          <w:color w:val="212529"/>
        </w:rPr>
        <w: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(2,665)</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8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to not disclose information about the remaining performance obligations for contracts which have original durations of one year or less.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Deferred Costs</w:t>
      </w:r>
    </w:p>
    <w:p>
      <w:pPr>
        <w:spacing w:after="0" w:line="12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212529"/>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70"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212529"/>
        </w:rPr>
        <w:t xml:space="preserve">Costs to obtain customer contracts relating to recurring revenues are considered incremental and recoverable costs of obtaining a contract with our customer. These costs are deferred and amortized over the expected period of benefit which we have determined to be </w:t>
      </w:r>
      <w:r>
        <w:rPr>
          <w:rFonts w:ascii="Arial" w:cs="Arial" w:eastAsia="Arial" w:hAnsi="Arial"/>
          <w:sz w:val="16"/>
          <w:szCs w:val="16"/>
          <w:color w:val="000000"/>
        </w:rPr>
        <w:t>two years</w:t>
      </w:r>
      <w:r>
        <w:rPr>
          <w:rFonts w:ascii="Arial" w:cs="Arial" w:eastAsia="Arial" w:hAnsi="Arial"/>
          <w:sz w:val="16"/>
          <w:szCs w:val="16"/>
          <w:color w:val="212529"/>
        </w:rPr>
        <w:t>. Amortization expense is included in sales and marketing expenses in the accompanying condensed consolidated statements of comprehensive income.</w:t>
      </w:r>
    </w:p>
    <w:p>
      <w:pPr>
        <w:spacing w:after="0" w:line="149"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212529"/>
        </w:rPr>
        <w:t xml:space="preserve">Costs to fulfill customer contracts are considered incremental and recoverable costs of obtaining a contract with our customer. These costs are deferred and amortized over the expected period of benefit which we have determined to be </w:t>
      </w:r>
      <w:r>
        <w:rPr>
          <w:rFonts w:ascii="Arial" w:cs="Arial" w:eastAsia="Arial" w:hAnsi="Arial"/>
          <w:sz w:val="18"/>
          <w:szCs w:val="18"/>
          <w:color w:val="000000"/>
        </w:rPr>
        <w:t>two years</w:t>
      </w:r>
      <w:r>
        <w:rPr>
          <w:rFonts w:ascii="Arial" w:cs="Arial" w:eastAsia="Arial" w:hAnsi="Arial"/>
          <w:sz w:val="18"/>
          <w:szCs w:val="18"/>
          <w:color w:val="212529"/>
        </w:rPr>
        <w:t>. Amortization expense is included in cost of revenues in the accompanying condensed consolidated statements of comprehensive income.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deferred costs and amortization of deferred costs: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(12,726)</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46,936</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Financial Instruments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invest primarily in money market funds, certificates of deposit, highly liquid debt instruments of the U.S. government and U.S. corporate debt securities. All investments with remaining maturities of less than one year from the balance sheet date are classified as short-term investments. Investments with remaining maturities of more than one year from the balance sheet date are classified as long-term investments. As of March 31, 2020 and December 31, 2019, all of our investments held were classified as short-term.</w:t>
      </w:r>
    </w:p>
    <w:p>
      <w:pPr>
        <w:spacing w:after="0" w:line="18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Our short-term marketable securities are classified as available-for-sale. We intend to hold marketable securities until maturity; however, we may sell these securities at any time for use in current operations or for other purposes.</w:t>
      </w:r>
    </w:p>
    <w:p>
      <w:pPr>
        <w:spacing w:after="0" w:line="170"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0574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6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180"/>
              <w:spacing w:after="0"/>
              <w:rPr>
                <w:rFonts w:ascii="Arial" w:cs="Arial" w:eastAsia="Arial" w:hAnsi="Arial"/>
                <w:sz w:val="13"/>
                <w:szCs w:val="13"/>
                <w:u w:val="single" w:color="auto"/>
                <w:color w:val="0000EE"/>
                <w:w w:val="91"/>
              </w:rPr>
            </w:pPr>
            <w:hyperlink w:anchor="page2">
              <w:r>
                <w:rPr>
                  <w:rFonts w:ascii="Arial" w:cs="Arial" w:eastAsia="Arial" w:hAnsi="Arial"/>
                  <w:sz w:val="13"/>
                  <w:szCs w:val="13"/>
                  <w:u w:val="single" w:color="auto"/>
                  <w:color w:val="0000EE"/>
                  <w:w w:val="91"/>
                </w:rPr>
                <w:t>Table of Contents</w:t>
              </w:r>
            </w:hyperlink>
          </w:p>
        </w:tc>
      </w:tr>
      <w:tr>
        <w:trPr>
          <w:trHeight w:val="635"/>
        </w:trPr>
        <w:tc>
          <w:tcPr>
            <w:tcW w:w="6180" w:type="dxa"/>
            <w:vAlign w:val="bottom"/>
          </w:tcPr>
          <w:p>
            <w:pPr>
              <w:ind w:left="520"/>
              <w:spacing w:after="0"/>
              <w:rPr>
                <w:sz w:val="20"/>
                <w:szCs w:val="20"/>
                <w:color w:val="auto"/>
              </w:rPr>
            </w:pPr>
            <w:r>
              <w:rPr>
                <w:rFonts w:ascii="Arial" w:cs="Arial" w:eastAsia="Arial" w:hAnsi="Arial"/>
                <w:sz w:val="18"/>
                <w:szCs w:val="18"/>
                <w:color w:val="auto"/>
                <w:w w:val="98"/>
              </w:rPr>
              <w:t>Cash equivalents and short-term investments consisted of the following:</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March 31, 2020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6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40" w:type="dxa"/>
            <w:vAlign w:val="bottom"/>
          </w:tcPr>
          <w:p>
            <w:pPr>
              <w:jc w:val="center"/>
              <w:ind w:right="216"/>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Gains, net</w:t>
            </w:r>
          </w:p>
        </w:tc>
        <w:tc>
          <w:tcPr>
            <w:tcW w:w="3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157,333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157,333</w:t>
            </w:r>
          </w:p>
        </w:tc>
        <w:tc>
          <w:tcPr>
            <w:tcW w:w="10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shd w:val="clear" w:color="auto" w:fill="CFF0FC"/>
          </w:tcPr>
          <w:p>
            <w:pPr>
              <w:spacing w:after="0"/>
              <w:rPr>
                <w:sz w:val="19"/>
                <w:szCs w:val="19"/>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19"/>
                <w:szCs w:val="19"/>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4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FF0FC"/>
          </w:tcPr>
          <w:p>
            <w:pPr>
              <w:spacing w:after="0"/>
              <w:rPr>
                <w:sz w:val="19"/>
                <w:szCs w:val="19"/>
                <w:color w:val="auto"/>
              </w:rPr>
            </w:pPr>
          </w:p>
        </w:tc>
      </w:tr>
      <w:tr>
        <w:trPr>
          <w:trHeight w:val="223"/>
        </w:trPr>
        <w:tc>
          <w:tcPr>
            <w:tcW w:w="6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187,306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187,407</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6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6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40" w:type="dxa"/>
            <w:vAlign w:val="bottom"/>
          </w:tcPr>
          <w:p>
            <w:pPr>
              <w:jc w:val="center"/>
              <w:ind w:right="216"/>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Gains, net</w:t>
            </w:r>
          </w:p>
        </w:tc>
        <w:tc>
          <w:tcPr>
            <w:tcW w:w="3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151,266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FF0FC"/>
          </w:tcPr>
          <w:p>
            <w:pPr>
              <w:spacing w:after="0"/>
              <w:rPr>
                <w:sz w:val="19"/>
                <w:szCs w:val="19"/>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19"/>
                <w:szCs w:val="19"/>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4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FF0FC"/>
          </w:tcPr>
          <w:p>
            <w:pPr>
              <w:spacing w:after="0"/>
              <w:rPr>
                <w:sz w:val="19"/>
                <w:szCs w:val="19"/>
                <w:color w:val="auto"/>
              </w:rPr>
            </w:pPr>
          </w:p>
        </w:tc>
      </w:tr>
      <w:tr>
        <w:trPr>
          <w:trHeight w:val="223"/>
        </w:trPr>
        <w:tc>
          <w:tcPr>
            <w:tcW w:w="6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185,439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79"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00" w:right="2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obtain the fair values of our level 2 available-for-sale securities from a professional pricing service.</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For the earn-out liability related to the EDIAdmin acquisition, the Company utilized the Monte Carlo simulation method to estimate the fair value of this contingent liability as of the balance sheet date. Thousands of iterations of the simulation were performed using forecasted revenues to develop a distribution of future values of recurring revenue which, in turn, provided indicated earn-out payments. The total estimated fair value equals the sum of the average present values of the indicated earn-out payments. Changes in the assumptions used in the simulations described above could have an impact on the payout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057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157,333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307</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405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 xml:space="preserve">During </w:t>
      </w:r>
      <w:r>
        <w:rPr>
          <w:rFonts w:ascii="Arial" w:cs="Arial" w:eastAsia="Arial" w:hAnsi="Arial"/>
          <w:sz w:val="16"/>
          <w:szCs w:val="16"/>
          <w:color w:val="212529"/>
        </w:rPr>
        <w:t>the three months ended March 31, 2020, we recognized expense of $0.1 million in our condensed consolidated statements of comprehensive</w:t>
      </w:r>
      <w:r>
        <w:rPr>
          <w:rFonts w:ascii="Arial" w:cs="Arial" w:eastAsia="Arial" w:hAnsi="Arial"/>
          <w:sz w:val="16"/>
          <w:szCs w:val="16"/>
          <w:color w:val="auto"/>
        </w:rPr>
        <w:t xml:space="preserve"> </w:t>
      </w:r>
      <w:r>
        <w:rPr>
          <w:rFonts w:ascii="Arial" w:cs="Arial" w:eastAsia="Arial" w:hAnsi="Arial"/>
          <w:sz w:val="16"/>
          <w:szCs w:val="16"/>
          <w:color w:val="212529"/>
        </w:rPr>
        <w:t>income due to the remeasurement of the contingent liability and, additionally, we transferred $0.2 million out of Level 3. The remaining earn-out liability is expected to be paid in the first quarter of 2021 and has been measured as Level 3 given the unobservable inputs that are significant to the measurement of the liability. The earn-out has a maximum potential payout of $1.7 million, of which $0.7 million was paid during the three months ended March 31, 2020.</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212529"/>
        </w:rPr>
        <w:t>There were no other transfers in or out of our Level 1, 2, or 3 assets or liabilities during the three months ended March 31, 2020 and 2019.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Nonrecurring Fair Value Measurements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color w:val="212529"/>
        </w:rPr>
        <w:t>measures certain assets and liabilities at fair value on a nonrecurring basis. Assets that are measured at fair value on a nonrecurring</w:t>
      </w:r>
      <w:r>
        <w:rPr>
          <w:rFonts w:ascii="Arial" w:cs="Arial" w:eastAsia="Arial" w:hAnsi="Arial"/>
          <w:sz w:val="18"/>
          <w:szCs w:val="18"/>
          <w:color w:val="auto"/>
        </w:rPr>
        <w:t xml:space="preserve"> </w:t>
      </w:r>
      <w:r>
        <w:rPr>
          <w:rFonts w:ascii="Arial" w:cs="Arial" w:eastAsia="Arial" w:hAnsi="Arial"/>
          <w:sz w:val="18"/>
          <w:szCs w:val="18"/>
          <w:color w:val="212529"/>
        </w:rPr>
        <w:t>basis include long-lived assets, goodwill and indefinite-lived intangible assets, which would generally be recorded at fair value as a result of an impairment charge. Assets acquired and liabilities assumed as part of business combinations are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2" w:name="page13"/>
    <w:bookmarkEnd w:id="12"/>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Other Fair Value Disclosures</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carrying values of the Company's short-term financial instruments, including cash and cash equivalents, accounts receivable, and accounts payable, when applicable, approximate their respective fair values due to their short-term nature.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Allowance for Credit Losses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3"/>
          </w:tcPr>
          <w:p>
            <w:pPr>
              <w:jc w:val="center"/>
              <w:ind w:left="479"/>
              <w:spacing w:after="0" w:line="155" w:lineRule="exact"/>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3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Adoption of ASU 2016-13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credit losses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Write-offs, net of recoveries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center"/>
              <w:ind w:right="4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00AAE5"/>
              </w:rPr>
              <w:t>NOTE F – Goodwill and Intangible Assets, net</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tcPr>
          <w:p>
            <w:pPr>
              <w:ind w:left="520"/>
              <w:spacing w:after="0"/>
              <w:rPr>
                <w:sz w:val="20"/>
                <w:szCs w:val="20"/>
                <w:color w:val="auto"/>
              </w:rPr>
            </w:pPr>
            <w:r>
              <w:rPr>
                <w:rFonts w:ascii="Arial" w:cs="Arial" w:eastAsia="Arial" w:hAnsi="Arial"/>
                <w:sz w:val="18"/>
                <w:szCs w:val="18"/>
                <w:color w:val="auto"/>
                <w:w w:val="99"/>
              </w:rPr>
              <w:t>The changes in the net carrying amount of goodwill was as follows: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3"/>
          </w:tcPr>
          <w:p>
            <w:pPr>
              <w:jc w:val="center"/>
              <w:ind w:left="479"/>
              <w:spacing w:after="0" w:line="155" w:lineRule="exact"/>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3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76,845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center"/>
              <w:ind w:right="4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74,463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70,075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240" w:type="dxa"/>
            <w:vAlign w:val="bottom"/>
            <w:gridSpan w:val="19"/>
          </w:tcPr>
          <w:p>
            <w:pPr>
              <w:ind w:left="520"/>
              <w:spacing w:after="0"/>
              <w:rPr>
                <w:sz w:val="20"/>
                <w:szCs w:val="20"/>
                <w:color w:val="auto"/>
              </w:rPr>
            </w:pPr>
            <w:r>
              <w:rPr>
                <w:rFonts w:ascii="Arial" w:cs="Arial" w:eastAsia="Arial" w:hAnsi="Arial"/>
                <w:sz w:val="18"/>
                <w:szCs w:val="18"/>
                <w:color w:val="auto"/>
                <w:w w:val="93"/>
              </w:rPr>
              <w:t>Intangible assets subject to amortization are amortized over their respective useful lives (ranging from three to ten years). Intangible assets, net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included the following:</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left="120"/>
              <w:spacing w:after="0" w:line="147"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(21,383)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6"/>
              </w:rPr>
              <w:t>(468)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(24,006)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6"/>
              </w:rPr>
              <w:t>(477)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left="120"/>
              <w:spacing w:after="0" w:line="147"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(27,287)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214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(32,301)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232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3" w:name="page14"/>
    <w:bookmarkEnd w:id="1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annual amortization expense related to intangible assets subject to amortization for the next five years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3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00AAE5"/>
              </w:rPr>
              <w:t>NOTE G – Other Assets</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560" w:type="dxa"/>
            <w:vAlign w:val="bottom"/>
            <w:gridSpan w:val="5"/>
          </w:tcPr>
          <w:p>
            <w:pPr>
              <w:ind w:left="520"/>
              <w:spacing w:after="0"/>
              <w:rPr>
                <w:sz w:val="20"/>
                <w:szCs w:val="20"/>
                <w:color w:val="auto"/>
              </w:rPr>
            </w:pPr>
            <w:r>
              <w:rPr>
                <w:rFonts w:ascii="Arial" w:cs="Arial" w:eastAsia="Arial" w:hAnsi="Arial"/>
                <w:sz w:val="18"/>
                <w:szCs w:val="18"/>
                <w:color w:val="auto"/>
                <w:w w:val="98"/>
              </w:rPr>
              <w:t>The changes in the net amount of capitalized implementation costs for software hosting arrangements is as follows: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3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1,188</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impairment losses in relation to the capitalized implementation costs for the three months ended March 31, 2020 and 2019.</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under non-cancellable operating leases, primarily for office space and certain equipment,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remaining term)</w:t>
            </w:r>
          </w:p>
        </w:tc>
        <w:tc>
          <w:tcPr>
            <w:tcW w:w="2060" w:type="dxa"/>
            <w:vAlign w:val="bottom"/>
            <w:gridSpan w:val="3"/>
          </w:tcPr>
          <w:p>
            <w:pPr>
              <w:ind w:left="900"/>
              <w:spacing w:after="0"/>
              <w:rPr>
                <w:sz w:val="20"/>
                <w:szCs w:val="20"/>
                <w:color w:val="auto"/>
              </w:rPr>
            </w:pPr>
            <w:r>
              <w:rPr>
                <w:rFonts w:ascii="Arial" w:cs="Arial" w:eastAsia="Arial" w:hAnsi="Arial"/>
                <w:sz w:val="14"/>
                <w:szCs w:val="14"/>
                <w:b w:val="1"/>
                <w:bCs w:val="1"/>
                <w:color w:val="auto"/>
              </w:rPr>
              <w:t>March 31, 2020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4"/>
          </w:tcPr>
          <w:p>
            <w:pPr>
              <w:ind w:left="8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5"/>
        </w:trPr>
        <w:tc>
          <w:tcPr>
            <w:tcW w:w="5360" w:type="dxa"/>
            <w:vAlign w:val="bottom"/>
            <w:vMerge w:val="continue"/>
          </w:tcPr>
          <w:p>
            <w:pPr>
              <w:spacing w:after="0"/>
              <w:rPr>
                <w:sz w:val="13"/>
                <w:szCs w:val="13"/>
                <w:color w:val="auto"/>
              </w:rPr>
            </w:pPr>
          </w:p>
        </w:tc>
        <w:tc>
          <w:tcPr>
            <w:tcW w:w="15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Remaining Term</w:t>
            </w:r>
          </w:p>
        </w:tc>
        <w:tc>
          <w:tcPr>
            <w:tcW w:w="11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Right-of-Use Asset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Remaining Term</w:t>
            </w: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Right-of-Use Asset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3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ind w:right="496"/>
              <w:spacing w:after="0"/>
              <w:rPr>
                <w:sz w:val="20"/>
                <w:szCs w:val="20"/>
                <w:color w:val="auto"/>
              </w:rPr>
            </w:pPr>
            <w:r>
              <w:rPr>
                <w:rFonts w:ascii="Arial" w:cs="Arial" w:eastAsia="Arial" w:hAnsi="Arial"/>
                <w:sz w:val="18"/>
                <w:szCs w:val="18"/>
                <w:color w:val="auto"/>
                <w:w w:val="92"/>
              </w:rPr>
              <w:t>$10,704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Kyev, Ukraine lease</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 years</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 years</w:t>
            </w:r>
          </w:p>
        </w:tc>
        <w:tc>
          <w:tcPr>
            <w:tcW w:w="1500" w:type="dxa"/>
            <w:vAlign w:val="bottom"/>
            <w:gridSpan w:val="2"/>
          </w:tcPr>
          <w:p>
            <w:pPr>
              <w:jc w:val="center"/>
              <w:ind w:right="156"/>
              <w:spacing w:after="0"/>
              <w:rPr>
                <w:sz w:val="20"/>
                <w:szCs w:val="20"/>
                <w:color w:val="auto"/>
              </w:rPr>
            </w:pPr>
            <w:r>
              <w:rPr>
                <w:rFonts w:ascii="Arial" w:cs="Arial" w:eastAsia="Arial" w:hAnsi="Arial"/>
                <w:sz w:val="18"/>
                <w:szCs w:val="18"/>
                <w:color w:val="auto"/>
                <w:w w:val="93"/>
              </w:rPr>
              <w:t>2,316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Little Falls, NJ lease</w:t>
            </w: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 years</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years</w:t>
            </w:r>
          </w:p>
        </w:tc>
        <w:tc>
          <w:tcPr>
            <w:tcW w:w="1500" w:type="dxa"/>
            <w:vAlign w:val="bottom"/>
            <w:gridSpan w:val="2"/>
            <w:shd w:val="clear" w:color="auto" w:fill="CFF0FC"/>
          </w:tcPr>
          <w:p>
            <w:pPr>
              <w:jc w:val="center"/>
              <w:ind w:right="156"/>
              <w:spacing w:after="0"/>
              <w:rPr>
                <w:sz w:val="20"/>
                <w:szCs w:val="20"/>
                <w:color w:val="auto"/>
              </w:rPr>
            </w:pPr>
            <w:r>
              <w:rPr>
                <w:rFonts w:ascii="Arial" w:cs="Arial" w:eastAsia="Arial" w:hAnsi="Arial"/>
                <w:sz w:val="18"/>
                <w:szCs w:val="18"/>
                <w:color w:val="auto"/>
                <w:w w:val="93"/>
              </w:rPr>
              <w:t>1,574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Other leases</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&lt;1 - 5 years</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&lt;1 - 5 years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ind w:right="496"/>
              <w:spacing w:after="0"/>
              <w:rPr>
                <w:sz w:val="20"/>
                <w:szCs w:val="20"/>
                <w:color w:val="auto"/>
              </w:rPr>
            </w:pPr>
            <w:r>
              <w:rPr>
                <w:rFonts w:ascii="Arial" w:cs="Arial" w:eastAsia="Arial" w:hAnsi="Arial"/>
                <w:sz w:val="18"/>
                <w:szCs w:val="18"/>
                <w:color w:val="auto"/>
                <w:w w:val="92"/>
              </w:rPr>
              <w:t>$15,744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Some of our leases may include options to extend the leases for up to five years. The options to extend our leases are not recognized as part of our Right-of-Use (“ROU”) assets and lease liabilities as it is not reasonably certain that we will exercise those options. Additionally, our agreements do not include options to terminate the leases.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FF0FC"/>
            </w:tcBorders>
            <w:vMerge w:val="continue"/>
          </w:tcPr>
          <w:p>
            <w:pPr>
              <w:spacing w:after="0"/>
              <w:rPr>
                <w:sz w:val="13"/>
                <w:szCs w:val="13"/>
                <w:color w:val="auto"/>
              </w:rPr>
            </w:pPr>
          </w:p>
        </w:tc>
        <w:tc>
          <w:tcPr>
            <w:tcW w:w="3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3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3940" w:type="dxa"/>
            <w:vAlign w:val="bottom"/>
            <w:vMerge w:val="restart"/>
          </w:tcPr>
          <w:p>
            <w:pPr>
              <w:jc w:val="right"/>
              <w:ind w:right="194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0"/>
        </w:trPr>
        <w:tc>
          <w:tcPr>
            <w:tcW w:w="3780" w:type="dxa"/>
            <w:vAlign w:val="bottom"/>
            <w:vMerge w:val="continue"/>
          </w:tcPr>
          <w:p>
            <w:pPr>
              <w:spacing w:after="0"/>
              <w:rPr>
                <w:sz w:val="24"/>
                <w:szCs w:val="24"/>
                <w:color w:val="auto"/>
              </w:rPr>
            </w:pPr>
          </w:p>
        </w:tc>
        <w:tc>
          <w:tcPr>
            <w:tcW w:w="3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5"/>
          </w:tcPr>
          <w:p>
            <w:pPr>
              <w:ind w:left="140"/>
              <w:spacing w:after="0"/>
              <w:rPr>
                <w:sz w:val="20"/>
                <w:szCs w:val="20"/>
                <w:color w:val="auto"/>
              </w:rPr>
            </w:pPr>
            <w:r>
              <w:rPr>
                <w:rFonts w:ascii="Arial" w:cs="Arial" w:eastAsia="Arial" w:hAnsi="Arial"/>
                <w:sz w:val="13"/>
                <w:szCs w:val="13"/>
                <w:b w:val="1"/>
                <w:bCs w:val="1"/>
                <w:color w:val="auto"/>
                <w:w w:val="89"/>
              </w:rPr>
              <w:t>Form 10-Q for the quarterly period ended March 31, 2020</w:t>
            </w:r>
          </w:p>
        </w:tc>
        <w:tc>
          <w:tcPr>
            <w:tcW w:w="0" w:type="dxa"/>
            <w:vAlign w:val="bottom"/>
          </w:tcPr>
          <w:p>
            <w:pPr>
              <w:spacing w:after="0"/>
              <w:rPr>
                <w:sz w:val="1"/>
                <w:szCs w:val="1"/>
                <w:color w:val="auto"/>
              </w:rPr>
            </w:pPr>
          </w:p>
        </w:tc>
      </w:tr>
      <w:tr>
        <w:trPr>
          <w:trHeight w:val="168"/>
        </w:trPr>
        <w:tc>
          <w:tcPr>
            <w:tcW w:w="3780" w:type="dxa"/>
            <w:vAlign w:val="bottom"/>
            <w:tcBorders>
              <w:bottom w:val="single" w:sz="8" w:color="9A9A9A"/>
            </w:tcBorders>
          </w:tcPr>
          <w:p>
            <w:pPr>
              <w:spacing w:after="0"/>
              <w:rPr>
                <w:sz w:val="14"/>
                <w:szCs w:val="14"/>
                <w:color w:val="auto"/>
              </w:rPr>
            </w:pPr>
          </w:p>
        </w:tc>
        <w:tc>
          <w:tcPr>
            <w:tcW w:w="39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cost for short-term leases was not material for the three months ended March 31, 2020 and 2019.</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20" w:type="dxa"/>
            <w:vAlign w:val="bottom"/>
            <w:gridSpan w:val="9"/>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60" w:type="dxa"/>
            <w:vAlign w:val="bottom"/>
            <w:gridSpan w:val="8"/>
          </w:tcPr>
          <w:p>
            <w:pPr>
              <w:jc w:val="right"/>
              <w:ind w:right="1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724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2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7240" w:type="dxa"/>
            <w:vAlign w:val="bottom"/>
          </w:tcPr>
          <w:p>
            <w:pPr>
              <w:ind w:left="5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4"/>
                <w:szCs w:val="24"/>
                <w:color w:val="auto"/>
              </w:rPr>
            </w:pPr>
          </w:p>
        </w:tc>
        <w:tc>
          <w:tcPr>
            <w:tcW w:w="23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March 31, 2020</w:t>
            </w: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4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 years</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years</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020" w:type="dxa"/>
            <w:vAlign w:val="bottom"/>
            <w:gridSpan w:val="3"/>
          </w:tcPr>
          <w:p>
            <w:pPr>
              <w:jc w:val="right"/>
              <w:ind w:right="68"/>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72"/>
        </w:trPr>
        <w:tc>
          <w:tcPr>
            <w:tcW w:w="7240" w:type="dxa"/>
            <w:vAlign w:val="bottom"/>
          </w:tcPr>
          <w:p>
            <w:pPr>
              <w:ind w:left="520"/>
              <w:spacing w:after="0"/>
              <w:rPr>
                <w:sz w:val="20"/>
                <w:szCs w:val="20"/>
                <w:color w:val="auto"/>
              </w:rPr>
            </w:pPr>
            <w:r>
              <w:rPr>
                <w:rFonts w:ascii="Arial" w:cs="Arial" w:eastAsia="Arial" w:hAnsi="Arial"/>
                <w:sz w:val="18"/>
                <w:szCs w:val="18"/>
                <w:color w:val="auto"/>
                <w:w w:val="93"/>
              </w:rPr>
              <w:t>At March 31, 2020, our future minimum payments under operating leases were as follows: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320" w:type="dxa"/>
            <w:vAlign w:val="bottom"/>
            <w:gridSpan w:val="6"/>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bottom w:val="single" w:sz="8" w:color="CFF0FC"/>
            </w:tcBorders>
            <w:shd w:val="clear" w:color="auto" w:fill="CFF0FC"/>
          </w:tcPr>
          <w:p>
            <w:pPr>
              <w:spacing w:after="0"/>
              <w:rPr>
                <w:sz w:val="19"/>
                <w:szCs w:val="19"/>
                <w:color w:val="auto"/>
              </w:rPr>
            </w:pPr>
          </w:p>
        </w:tc>
        <w:tc>
          <w:tcPr>
            <w:tcW w:w="2020" w:type="dxa"/>
            <w:vAlign w:val="bottom"/>
            <w:tcBorders>
              <w:top w:val="single" w:sz="8" w:color="CFF0FC"/>
              <w:bottom w:val="single" w:sz="8" w:color="CFF0FC"/>
            </w:tcBorders>
            <w:gridSpan w:val="3"/>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22,823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Split</w:t>
      </w:r>
    </w:p>
    <w:p>
      <w:pPr>
        <w:spacing w:after="0" w:line="117" w:lineRule="exact"/>
        <w:rPr>
          <w:sz w:val="20"/>
          <w:szCs w:val="20"/>
          <w:color w:val="auto"/>
        </w:rPr>
      </w:pPr>
    </w:p>
    <w:p>
      <w:pPr>
        <w:ind w:right="460" w:firstLine="510"/>
        <w:spacing w:after="0" w:line="308" w:lineRule="auto"/>
        <w:rPr>
          <w:sz w:val="20"/>
          <w:szCs w:val="20"/>
          <w:color w:val="auto"/>
        </w:rPr>
      </w:pPr>
      <w:r>
        <w:rPr>
          <w:rFonts w:ascii="Arial" w:cs="Arial" w:eastAsia="Arial" w:hAnsi="Arial"/>
          <w:sz w:val="17"/>
          <w:szCs w:val="17"/>
          <w:color w:val="auto"/>
        </w:rPr>
        <w:t>On August 22, 2019, we effected a two-for-one stock split of the Company’s common stock. There was no change in the number of authorized common shares of the Company. All share and per share data have been adjusted for all periods presented to reflect the stock split.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Repurchase Program</w:t>
      </w:r>
    </w:p>
    <w:p>
      <w:pPr>
        <w:spacing w:after="0" w:line="11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212529"/>
        </w:rPr>
        <w:t>On November 2, 2019, our board of directors authorized a program to repurchase up to $50 million of common stock. Under the program, purchases may be made from time to time in the open market over two years. For the three months ended March 31, 2020, we repurchased 240,275 shares at a cost of $12.0 million. As of March 31, 2020, $38.0 million of the share repurchase program was available for future share repurchases.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Stock-Based Compensation</w:t>
      </w:r>
    </w:p>
    <w:p>
      <w:pPr>
        <w:spacing w:after="0" w:line="121"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restricted stock and restricted stock units (“RSU”), to employees, non-employee directors and other consultants who provide services to us. We also provide an employee stock purchase plan and 401(k) stock match.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Restricted stock awards result in the issuance of new shares when granted. For other stock-based awards, new shares are issued when the award is exercised, vested or released according to the terms of the agreement. In February 2020, 2.1 million additional shares were reserved for future issuance under our 2010 Equity Incentive Plan. At March 31, 2020, there were approximately 14.0 million shares available for grant under approved equity compensation plans.</w:t>
      </w:r>
    </w:p>
    <w:p>
      <w:pPr>
        <w:spacing w:after="0" w:line="187"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We recognize stock-based compensation expense on a straight-line basis over the vesting period, except for expense relating to retirement-eligible employees that have not given their required notice which is recognized on a pro-rata basis over the notice period prior to retirement.</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Arial" w:cs="Arial" w:eastAsia="Arial" w:hAnsi="Arial"/>
                <w:sz w:val="18"/>
                <w:szCs w:val="18"/>
                <w:color w:val="auto"/>
              </w:rPr>
              <w:t>Stock-based compensation expense by plan type was as follows: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401(k) stock match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As of March 31, 2020, there was approximately $27.1 million of unrecognized stock-based compensation expense under our equity compensation plans, which is expected to be recognized on a straight-line basis over a weighted average period of 2.8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4560" w:type="dxa"/>
            <w:vAlign w:val="bottom"/>
            <w:gridSpan w:val="6"/>
          </w:tcPr>
          <w:p>
            <w:pPr>
              <w:ind w:left="1060"/>
              <w:spacing w:after="0"/>
              <w:rPr>
                <w:sz w:val="20"/>
                <w:szCs w:val="20"/>
                <w:color w:val="auto"/>
              </w:rPr>
            </w:pPr>
            <w:r>
              <w:rPr>
                <w:rFonts w:ascii="Arial" w:cs="Arial" w:eastAsia="Arial" w:hAnsi="Arial"/>
                <w:sz w:val="14"/>
                <w:szCs w:val="14"/>
                <w:b w:val="1"/>
                <w:bCs w:val="1"/>
                <w:color w:val="auto"/>
              </w:rPr>
              <w:t>Three Months Ended March 31, 2020</w:t>
            </w:r>
          </w:p>
        </w:tc>
      </w:tr>
      <w:tr>
        <w:trPr>
          <w:trHeight w:val="146"/>
        </w:trPr>
        <w:tc>
          <w:tcPr>
            <w:tcW w:w="668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jc w:val="center"/>
              <w:ind w:right="95"/>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r>
      <w:tr>
        <w:trPr>
          <w:trHeight w:val="171"/>
        </w:trPr>
        <w:tc>
          <w:tcPr>
            <w:tcW w:w="6680" w:type="dxa"/>
            <w:vAlign w:val="bottom"/>
          </w:tcPr>
          <w:p>
            <w:pPr>
              <w:spacing w:after="0"/>
              <w:rPr>
                <w:sz w:val="14"/>
                <w:szCs w:val="14"/>
                <w:color w:val="auto"/>
              </w:rPr>
            </w:pPr>
          </w:p>
        </w:tc>
        <w:tc>
          <w:tcPr>
            <w:tcW w:w="2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Options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 (per 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1,543,912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86,906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2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(173,192)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19"/>
                <w:szCs w:val="19"/>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1,455,870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Of the total outstanding options at March 31, 2020, 1.1 million were exercisable with a weighted average exercise price of $29.33 per share. The total outstanding options had a weighted average remaining contractual life of 3.1 years.</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three months of 2020 was $14.51 per share.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3.8</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28"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expected volatility of the options is based on the historical volatility of our common stock. We have not issued dividends on our common stock and do not expect to do so in the foreseeable future. Beginning with awards granted in 2020, the expected term of options is derived from historical data on employee exercises and post-vesting employment termination behavior. For awards granted prior to 2020, the expected term of the options was based on the simplified method which did not consider historical employee exercise behavior. The risk-free interest rate is based on the U.S. Treasury rates at the date of grant with maturity dates approximately equal to the expected life at the grant date.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and Restricted Stock Units and Awards</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February 2017, our executive officers were granted performance share unit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18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February 2018, 2019 and 2020, our executive officers were granted PSU awards with vesting contingent on the Company’s total shareholder return as compared to indexed total shareholder return over the course of a fiscal based three-year performance period, starting in the fiscal year of grant. The grant date fair value was estimated using a Monte Carlo simulation that utilizes multiple input variables that determine the probability of satisfying the performance conditions stipulated in the award and calculates the fair market value for the PSUs granted. Expense is recognized on a straight-line basis over the vesting period, regardless of whether the market condition is satisfied.</w:t>
      </w:r>
    </w:p>
    <w:p>
      <w:pPr>
        <w:spacing w:after="0" w:line="18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RSUs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our PSUs and RSUs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9"/>
          </w:tcPr>
          <w:p>
            <w:pPr>
              <w:ind w:left="1060"/>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Weighted 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PSUs and RSUs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Date Fair Value (per share)</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795,086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202,011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(194,622)</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(150,636)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651,839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9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520"/>
              <w:spacing w:after="0"/>
              <w:rPr>
                <w:sz w:val="20"/>
                <w:szCs w:val="20"/>
                <w:color w:val="auto"/>
              </w:rPr>
            </w:pPr>
            <w:r>
              <w:rPr>
                <w:rFonts w:ascii="Arial" w:cs="Arial" w:eastAsia="Arial" w:hAnsi="Arial"/>
                <w:sz w:val="18"/>
                <w:szCs w:val="18"/>
                <w:color w:val="auto"/>
              </w:rPr>
              <w:t>Our restricted stock awards activity was as follows:</w:t>
            </w: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9"/>
          </w:tcPr>
          <w:p>
            <w:pPr>
              <w:ind w:left="1020"/>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3"/>
          </w:tcPr>
          <w:p>
            <w:pPr>
              <w:jc w:val="right"/>
              <w:ind w:right="760"/>
              <w:spacing w:after="0" w:line="147" w:lineRule="exact"/>
              <w:rPr>
                <w:sz w:val="20"/>
                <w:szCs w:val="20"/>
                <w:color w:val="auto"/>
              </w:rPr>
            </w:pPr>
            <w:r>
              <w:rPr>
                <w:rFonts w:ascii="Arial" w:cs="Arial" w:eastAsia="Arial" w:hAnsi="Arial"/>
                <w:sz w:val="14"/>
                <w:szCs w:val="14"/>
                <w:b w:val="1"/>
                <w:bCs w:val="1"/>
                <w:color w:val="auto"/>
              </w:rPr>
              <w:t>Restricted Stock</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jc w:val="center"/>
              <w:ind w:right="96"/>
              <w:spacing w:after="0" w:line="147" w:lineRule="exact"/>
              <w:rPr>
                <w:sz w:val="20"/>
                <w:szCs w:val="20"/>
                <w:color w:val="auto"/>
              </w:rPr>
            </w:pPr>
            <w:r>
              <w:rPr>
                <w:rFonts w:ascii="Arial" w:cs="Arial" w:eastAsia="Arial" w:hAnsi="Arial"/>
                <w:sz w:val="14"/>
                <w:szCs w:val="14"/>
                <w:b w:val="1"/>
                <w:bCs w:val="1"/>
                <w:color w:val="auto"/>
                <w:w w:val="94"/>
              </w:rPr>
              <w:t>Weighted Average Grant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Awards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Date Fair Value (per share)</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Restrictions lapsed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(2,460)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CFF0FC"/>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1680" w:type="dxa"/>
            <w:vAlign w:val="bottom"/>
            <w:vMerge w:val="restart"/>
          </w:tcPr>
          <w:p>
            <w:pPr>
              <w:jc w:val="right"/>
              <w:ind w:right="80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490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9"/>
          </w:tcPr>
          <w:p>
            <w:pPr>
              <w:ind w:left="1420"/>
              <w:spacing w:after="0"/>
              <w:rPr>
                <w:sz w:val="20"/>
                <w:szCs w:val="20"/>
                <w:color w:val="auto"/>
              </w:rPr>
            </w:pPr>
            <w:r>
              <w:rPr>
                <w:rFonts w:ascii="Arial" w:cs="Arial" w:eastAsia="Arial" w:hAnsi="Arial"/>
                <w:sz w:val="13"/>
                <w:szCs w:val="13"/>
                <w:b w:val="1"/>
                <w:bCs w:val="1"/>
                <w:color w:val="auto"/>
                <w:w w:val="89"/>
              </w:rPr>
              <w:t>Form 10-Q for the quarterly period ended March 31, 2020</w:t>
            </w:r>
          </w:p>
        </w:tc>
        <w:tc>
          <w:tcPr>
            <w:tcW w:w="0" w:type="dxa"/>
            <w:vAlign w:val="bottom"/>
          </w:tcPr>
          <w:p>
            <w:pPr>
              <w:spacing w:after="0"/>
              <w:rPr>
                <w:sz w:val="1"/>
                <w:szCs w:val="1"/>
                <w:color w:val="auto"/>
              </w:rPr>
            </w:pPr>
          </w:p>
        </w:tc>
      </w:tr>
      <w:tr>
        <w:trPr>
          <w:trHeight w:val="167"/>
        </w:trPr>
        <w:tc>
          <w:tcPr>
            <w:tcW w:w="490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20574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 w:name="page18"/>
    <w:bookmarkEnd w:id="1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Employee Stock Purchase Plan</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have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1.9 million shares of common stock are reserved for issuance under the plan as of March 31, 2020.</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ESPP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Amount for shares purchased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Shares purchased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401(k) Stock Match</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sponsor a 401(k) retirement savings plan for our U.S. employees where participants can contribute up to 80% of their compensation, subject to the limits established by law. We match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Income Taxes</w:t>
      </w:r>
    </w:p>
    <w:p>
      <w:pPr>
        <w:spacing w:after="0" w:line="121"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we do not have any unrecognized tax benefits nor any material accrued interest or tax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also includes the impact of our outstanding potential common shares, including options, PSUs, RSUs and restricted awards.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common shares that are anti-dilutive are excluded from the calculation of diluted net income per share.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9,515</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35,072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and restricted stock awards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35,926</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August 22, 2019.</w:t>
      </w:r>
    </w:p>
    <w:p>
      <w:pPr>
        <w:spacing w:after="0" w:line="22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For the three months ended March 31, 2020 and 2019, the effect of approximately 309,000 and approximately 69,000 outstanding potential common shares, respectively, were excluded from the calculation of diluted net income per share as they were anti-dilutive.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Geographic Information</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 months ended March 31, 2020 and 2019, 83% and 82% of our revenue, respectively, were attributable to customers based within the United States. No single jurisdiction outside of the U.S. had revenues in excess of 10%.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2020 and 2019, approximately 8% of property and equipment, net was located at subsidiary and office locations outside of the United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many of which may be amplified by the coronavirus (COVID-19) pandemic,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2019, as may be updated in our subsequent Quarterly Reports on Form 10-Q from time to time, including the updates in this Quarterly Report on Form 10-Q.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7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700" w:firstLine="510"/>
        <w:spacing w:after="0" w:line="342" w:lineRule="auto"/>
        <w:rPr>
          <w:sz w:val="20"/>
          <w:szCs w:val="20"/>
          <w:color w:val="auto"/>
        </w:rPr>
      </w:pPr>
      <w:r>
        <w:rPr>
          <w:rFonts w:ascii="Arial" w:cs="Arial" w:eastAsia="Arial" w:hAnsi="Arial"/>
          <w:sz w:val="16"/>
          <w:szCs w:val="16"/>
          <w:color w:val="auto"/>
        </w:rPr>
        <w:t>For the three months ended March 31, 2020, our revenues were $74.2 million, an increase of 11% from the comparable period in 2019, and represented our 77th consecutive quarter of increased revenues. Total operating expenses increased 2% for the same period in 2020 from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and Metrics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several key financial terms and metrics, including annualized average recurring revenues per recurring revenue customer. During the three months ended March 31, 2020, there were no changes in the definitions of our key financial terms and metrics, which are discussed in more detail under the heading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included in our Annual Report on Form 10-K for the year ended December 31, 2019 as filed with the SEC.</w:t>
      </w:r>
    </w:p>
    <w:p>
      <w:pPr>
        <w:spacing w:after="0" w:line="18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9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business combinations are the most critical to fully understand and evaluate our financial condition and results of operations.</w:t>
      </w:r>
    </w:p>
    <w:p>
      <w:pPr>
        <w:spacing w:after="0" w:line="18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During the three months ended March 31, 2020, there were no changes in our critical accounting policies or estimates. See Note A to our condensed consolidated financial statements included in this Quarterly Report on Form 10-Q and in our Annual Report on Form 10-K for the year ended December 31, 2019, as filed with the SEC, for additional information regarding our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March 31, 2020 Compared to Three Months Ended March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 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68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74,192</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66,934</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7,258</w:t>
            </w:r>
          </w:p>
        </w:tc>
        <w:tc>
          <w:tcPr>
            <w:tcW w:w="4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6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23,544</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(861)</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11,536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4,157</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(1,241)</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6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4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10,863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7,853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3,010</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6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1F282C"/>
        </w:rPr>
        <w:t>Revenues</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5% to 31,010 at March 31, 2020 from 29,466 at March 31, 2019.</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Wallet share increased 6% to $9,069 for the three months ended March 31, 2020 from $8,541 for the same period in 2019. The increase was primarily attributable to increased usage of our solutions by our recurring revenue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94% of our total revenues for the three months ended March 31, 2020 and 2019.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Cost of Revenues. </w:t>
      </w:r>
      <w:r>
        <w:rPr>
          <w:rFonts w:ascii="Arial" w:cs="Arial" w:eastAsia="Arial" w:hAnsi="Arial"/>
          <w:sz w:val="18"/>
          <w:szCs w:val="18"/>
          <w:color w:val="000000"/>
        </w:rPr>
        <w:t>The increase in cost of revenues for the three months ended March 31, 2020 was primarily due to an increase in personnel-related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costs of $1.7 million, driven by increased salaries and benefits due to increased headcount and increased contract labor. As we continued to invest in the infrastructure supporting our platform, depreciation expense increased by $0.3 million.</w:t>
      </w:r>
    </w:p>
    <w:p>
      <w:pPr>
        <w:spacing w:after="0" w:line="184"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Sales and Marketing Expenses. </w:t>
      </w:r>
      <w:r>
        <w:rPr>
          <w:rFonts w:ascii="Arial" w:cs="Arial" w:eastAsia="Arial" w:hAnsi="Arial"/>
          <w:sz w:val="18"/>
          <w:szCs w:val="18"/>
          <w:color w:val="000000"/>
        </w:rPr>
        <w:t>The increase in sales and marketing expense for the three months ended March 31, 2020 was primarily due to</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increased headcount which resulted in an increase of $0.6 million in personnel-related costs and an increase of $0.1 million in stock based compensation, offset by a decrease of $0.2 million in variable compensation earned by sales personnel and referral partners, and by a decrease of $0.1 million in promotional expenses.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b w:val="1"/>
          <w:bCs w:val="1"/>
          <w:i w:val="1"/>
          <w:iCs w:val="1"/>
          <w:color w:val="1F282C"/>
        </w:rPr>
        <w:t>Research and Development Expenses</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research and development expense for the three months ended March 31, 2020 was primarily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due to increased headcount which resulted in an increase in personnel costs of $0.7 million and an increase in stock-based compensation expense of $0.4 million.</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000000"/>
        </w:rPr>
        <w:t>The decrease in general and administrative expense for the three months ended March 31, 2020 was driven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by a decrease in stock-based compensation of $1.7 million. This was primarily due to a change in the terms of the Chief Executive Officer’s employment agreement, which changed the expense recognition of equity-based awards from immediate to over a period determined by his retirement notice period. As a result of continued business growth, bad debt expense increased $0.6 million and personnel-related costs increased $0.3 million, compared to the same period in 2019.</w:t>
      </w:r>
    </w:p>
    <w:p>
      <w:pPr>
        <w:spacing w:after="0" w:line="188"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w:t>
      </w:r>
      <w:r>
        <w:rPr>
          <w:rFonts w:ascii="Arial" w:cs="Arial" w:eastAsia="Arial" w:hAnsi="Arial"/>
          <w:sz w:val="18"/>
          <w:szCs w:val="18"/>
          <w:color w:val="000000"/>
        </w:rPr>
        <w:t>Interest income, net, other expense, net, and change in earn-out liability for the three months ended March 31, 2020</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decreased primarily due to realized foreign currency exchange losses.</w:t>
      </w:r>
    </w:p>
    <w:p>
      <w:pPr>
        <w:spacing w:after="0" w:line="170"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w:t>
      </w:r>
      <w:r>
        <w:rPr>
          <w:rFonts w:ascii="Arial" w:cs="Arial" w:eastAsia="Arial" w:hAnsi="Arial"/>
          <w:sz w:val="18"/>
          <w:szCs w:val="18"/>
          <w:color w:val="000000"/>
        </w:rPr>
        <w:t>The increase in income tax expense for the three months ended March 31, 2020 was primarily due to an increase in pre-tax</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income, partially offset by an increase of $0.4 million in discrete tax benefits from stock activity. Excess tax benefits generated upon the settlement or exercise of stock awards are recognized as a reduction to income tax expense and, as a result, we expect that our annual effective income tax rate will be volatile.</w:t>
      </w:r>
    </w:p>
    <w:p>
      <w:pPr>
        <w:spacing w:after="0" w:line="18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b w:val="1"/>
          <w:bCs w:val="1"/>
          <w:i w:val="1"/>
          <w:iCs w:val="1"/>
          <w:color w:val="1F282C"/>
        </w:rPr>
        <w:t xml:space="preserve">Adjusted EBITDA. </w:t>
      </w:r>
      <w:r>
        <w:rPr>
          <w:rFonts w:ascii="Arial" w:cs="Arial" w:eastAsia="Arial" w:hAnsi="Arial"/>
          <w:sz w:val="16"/>
          <w:szCs w:val="16"/>
          <w:color w:val="000000"/>
        </w:rPr>
        <w:t>Adjusted EBITDA, which is a non-GAAP measure of financial performance, consists of net income adjusted for depreciation</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and amortization, interest expense, interest income, income tax expense, stock-based compensation expense, realized loss from foreign currency on cash and investments held, and other adjustments as necessary for a fair presentation. Other adjustments included the impact of the fair value adjustment for the EDIAdmin earn-out liability, returned escrow shares in 2019 related to the acquisition of ToolBox Solutions (“Toolbox”), and impairment of internally developed software in 2019. The following table provides a reconciliation of net income to Adjusted EBITDA: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Borders>
              <w:bottom w:val="single" w:sz="8" w:color="CFF0FC"/>
            </w:tcBorders>
            <w:vMerge w:val="continue"/>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Realized loss from foreign currency on cash and investments held</w:t>
            </w:r>
          </w:p>
        </w:tc>
        <w:tc>
          <w:tcPr>
            <w:tcW w:w="2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440" w:type="dxa"/>
            <w:vAlign w:val="bottom"/>
            <w:vMerge w:val="restart"/>
          </w:tcPr>
          <w:p>
            <w:pPr>
              <w:jc w:val="right"/>
              <w:ind w:right="194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528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5"/>
          </w:tcPr>
          <w:p>
            <w:pPr>
              <w:jc w:val="right"/>
              <w:spacing w:after="0"/>
              <w:rPr>
                <w:sz w:val="20"/>
                <w:szCs w:val="20"/>
                <w:color w:val="auto"/>
              </w:rPr>
            </w:pPr>
            <w:r>
              <w:rPr>
                <w:rFonts w:ascii="Arial" w:cs="Arial" w:eastAsia="Arial" w:hAnsi="Arial"/>
                <w:sz w:val="13"/>
                <w:szCs w:val="13"/>
                <w:b w:val="1"/>
                <w:bCs w:val="1"/>
                <w:color w:val="auto"/>
                <w:w w:val="93"/>
              </w:rPr>
              <w:t>Form 10-Q for the quarterly period ended March 31, 2020</w:t>
            </w:r>
          </w:p>
        </w:tc>
        <w:tc>
          <w:tcPr>
            <w:tcW w:w="0" w:type="dxa"/>
            <w:vAlign w:val="bottom"/>
          </w:tcPr>
          <w:p>
            <w:pPr>
              <w:spacing w:after="0"/>
              <w:rPr>
                <w:sz w:val="1"/>
                <w:szCs w:val="1"/>
                <w:color w:val="auto"/>
              </w:rPr>
            </w:pPr>
          </w:p>
        </w:tc>
      </w:tr>
      <w:tr>
        <w:trPr>
          <w:trHeight w:val="167"/>
        </w:trPr>
        <w:tc>
          <w:tcPr>
            <w:tcW w:w="5280" w:type="dxa"/>
            <w:vAlign w:val="bottom"/>
            <w:tcBorders>
              <w:bottom w:val="single" w:sz="8" w:color="9A9A9A"/>
            </w:tcBorders>
          </w:tcPr>
          <w:p>
            <w:pPr>
              <w:spacing w:after="0"/>
              <w:rPr>
                <w:sz w:val="14"/>
                <w:szCs w:val="14"/>
                <w:color w:val="auto"/>
              </w:rPr>
            </w:pPr>
          </w:p>
        </w:tc>
        <w:tc>
          <w:tcPr>
            <w:tcW w:w="24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b w:val="1"/>
          <w:bCs w:val="1"/>
          <w:i w:val="1"/>
          <w:iCs w:val="1"/>
          <w:color w:val="1F282C"/>
        </w:rPr>
        <w:t xml:space="preserve">Non-GAAP Income per Share. </w:t>
      </w:r>
      <w:r>
        <w:rPr>
          <w:rFonts w:ascii="Arial" w:cs="Arial" w:eastAsia="Arial" w:hAnsi="Arial"/>
          <w:sz w:val="18"/>
          <w:szCs w:val="18"/>
          <w:color w:val="000000"/>
        </w:rPr>
        <w:t>Non-GAAP income per share, which is also a non-GAAP measure of financial performance, consists of net income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plus stock-based compensation expense, amortization expense related to intangible assets, realized 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and impairment of internally developed software in 2019. The following table provides a reconciliation of net income to non-GAAP income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(3,026)</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35,072</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35,926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Shares and per share data have been adjusted for all periods presented to reflect a two-for-one stock split effective August 22,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At March 31, 2020, our principal sources of liquidity were cash, cash equivalents, certificates of deposit and marketable securities of $214.6 million and accounts receivable, net of provision for credit losses of $30.3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the activity within the statement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(8,918)</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increase in operating cash flows was primarily driven by continued business growth, which resulted in increased net income and by continued acquisitions and business expansions which resulted in increased depreciation and amortization of property and equipment, offset by a decrease in stock-based compensation expense. Additionally, the increase was driven by the reimbursement of $2.8 million of funds that were used for tenant improvements to new and existing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20574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change in net cash used in investing activities was primarily driven by increased capital expenditures, due to our business growth and continued investment in our technology.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 change in net cash used in financing activities was primarily due to the increase in cash used for share repurchases as a result of the Company’s lower stock price and due to the earn-out payment of $0.7 million, offset by the increase in net proceeds from stock option exercises.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Effect of Foreign Currency Exchange Rate Changes</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4%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2020 and we do not expect that inflation or changing prices will materially affect our business in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March 31, 2020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Payments Due By Period (in thousands)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27"/>
        </w:trPr>
        <w:tc>
          <w:tcPr>
            <w:tcW w:w="1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Less Than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5"/>
                <w:szCs w:val="15"/>
                <w:color w:val="auto"/>
              </w:rPr>
            </w:pPr>
          </w:p>
        </w:tc>
        <w:tc>
          <w:tcPr>
            <w:tcW w:w="960" w:type="dxa"/>
            <w:vAlign w:val="bottom"/>
          </w:tcPr>
          <w:p>
            <w:pPr>
              <w:jc w:val="right"/>
              <w:ind w:right="239"/>
              <w:spacing w:after="0" w:line="158" w:lineRule="exact"/>
              <w:rPr>
                <w:sz w:val="20"/>
                <w:szCs w:val="20"/>
                <w:color w:val="auto"/>
              </w:rPr>
            </w:pPr>
            <w:r>
              <w:rPr>
                <w:rFonts w:ascii="Arial" w:cs="Arial" w:eastAsia="Arial" w:hAnsi="Arial"/>
                <w:sz w:val="14"/>
                <w:szCs w:val="14"/>
                <w:b w:val="1"/>
                <w:bCs w:val="1"/>
                <w:color w:val="auto"/>
                <w:w w:val="99"/>
              </w:rPr>
              <w:t>3-5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5"/>
                <w:szCs w:val="15"/>
                <w:color w:val="auto"/>
              </w:rPr>
            </w:pPr>
          </w:p>
        </w:tc>
        <w:tc>
          <w:tcPr>
            <w:tcW w:w="920" w:type="dxa"/>
            <w:vAlign w:val="bottom"/>
          </w:tcPr>
          <w:p>
            <w:pPr>
              <w:jc w:val="right"/>
              <w:ind w:right="399"/>
              <w:spacing w:after="0" w:line="158" w:lineRule="exact"/>
              <w:rPr>
                <w:sz w:val="20"/>
                <w:szCs w:val="20"/>
                <w:color w:val="auto"/>
              </w:rPr>
            </w:pPr>
            <w:r>
              <w:rPr>
                <w:rFonts w:ascii="Arial" w:cs="Arial" w:eastAsia="Arial" w:hAnsi="Arial"/>
                <w:sz w:val="14"/>
                <w:szCs w:val="14"/>
                <w:b w:val="1"/>
                <w:bCs w:val="1"/>
                <w:color w:val="auto"/>
              </w:rPr>
              <w:t>Total</w:t>
            </w:r>
          </w:p>
        </w:tc>
      </w:tr>
      <w:tr>
        <w:trPr>
          <w:trHeight w:val="216"/>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10,611</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9,472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25,167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2057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outstanding debt as of March 31, 2020.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dollar and Canadian dollar. As of March 31, 2020, we maintained approximately 4% of our total cash and cash equivalents outside of the U.S. in foreign currencies. We believe that a hypothetical 10% change in foreign currency exchange rates or an inability to access foreign funds would not affect our ability to meet our operational needs or result in a material foreign currency loss.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2020.</w:t>
      </w:r>
    </w:p>
    <w:p>
      <w:pPr>
        <w:spacing w:after="0" w:line="16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For the year ended December 31, 2019, management’s assessment of internal control over financial reporting excluded the internal control of the MAPADOC business, an operating unit of SWK Technologies, Inc., which was acquired on August 26, 2019. Pursuant to the SEC’s general guidance that an assessment of a recently acquired business may be omitted from our scope for a period not to exceed one year from the date of acquisition, the scope of our most recent assessment did not include MAPADOC. Our assessment of the effectiveness of internal control over financial reporting as of September 30, 2020 will include MAPADOC. For the three months ended March 31, 2020, MAPADOC represented approximately 3% of our total consolidated assets and less than 1% of our consolidated revenues.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2020 that have materially affected, or are reasonably likely to materially affect, our internal control over financial reporting. Disclosure regarding changes, if any, in internal control over financial reporting resulting from the MAPADOC acquisition described above will be included in the annual report in which the Company’s assessment that encompasses the acquired business is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 xml:space="preserve">With the exception of the addition of the risk factor noted below, there have been no material changes in our risk factors from those disclosed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Annual Report on Form 10-K for the year ended December 31, 2019 as filed with the SEC.</w:t>
      </w:r>
    </w:p>
    <w:p>
      <w:pPr>
        <w:spacing w:after="0" w:line="142" w:lineRule="exact"/>
        <w:rPr>
          <w:sz w:val="20"/>
          <w:szCs w:val="20"/>
          <w:color w:val="auto"/>
        </w:rPr>
      </w:pPr>
    </w:p>
    <w:p>
      <w:pPr>
        <w:ind w:right="680" w:firstLine="510"/>
        <w:spacing w:after="0" w:line="347" w:lineRule="auto"/>
        <w:rPr>
          <w:sz w:val="20"/>
          <w:szCs w:val="20"/>
          <w:color w:val="auto"/>
        </w:rPr>
      </w:pPr>
      <w:r>
        <w:rPr>
          <w:rFonts w:ascii="Arial" w:cs="Arial" w:eastAsia="Arial" w:hAnsi="Arial"/>
          <w:sz w:val="16"/>
          <w:szCs w:val="16"/>
          <w:b w:val="1"/>
          <w:bCs w:val="1"/>
          <w:color w:val="auto"/>
        </w:rPr>
        <w:t>The extent to which the COVID-19 outbreak and measures taken in response thereto impact our business, results of operations and financial condition will depend on future developments and outcomes, which are highly uncertain and cannot be predicted.</w:t>
      </w:r>
    </w:p>
    <w:p>
      <w:pPr>
        <w:spacing w:after="0" w:line="1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business and financial results may be adversely impacted by health epidemics, pandemics and similar outbreaks. The recent and rapidly spreading COVID-19 pandemic could have adverse impacts on our business, including causing significant volatility in demand for our services due to disruption and downturns in our customers’ businesses and related supply chains, disruptions to our third party technology providers, limitations on our employees' ability to work and travel, significant changes in the economic or political conditions in markets in which we operate. Despite our efforts to manage these impacts, their ultimate impact also depends on factors beyond our knowledge or control, including the duration and severity of any such outbreak and actions taken to contain its spread and mitigate its public health effects. Any of these events could cause or amplify the risks and uncertainties set forth in our Annual Report on Form 10-K for the year ended December 31, 2019, as filed with the SEC, and could materially adversely affect our business, financial condition, results of operations and/or stock price.</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5"/>
          <w:szCs w:val="15"/>
          <w:b w:val="1"/>
          <w:bCs w:val="1"/>
          <w:color w:val="00AAE5"/>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1F282C"/>
        </w:rPr>
        <w:t>(c) Share Repurchases</w:t>
      </w:r>
    </w:p>
    <w:p>
      <w:pPr>
        <w:spacing w:after="0" w:line="121"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first quarter of 2020, the average price paid per share, the number of shares that we purchased as part of our publicly announced repurchase program and the approximate dollar value of shares that still could be repurchased at the end of the applicable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ind w:left="264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Paid 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1 - 31, 2020</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47,404,000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February 1 - 29, 2020</w:t>
            </w:r>
          </w:p>
        </w:tc>
        <w:tc>
          <w:tcPr>
            <w:tcW w:w="1140" w:type="dxa"/>
            <w:vAlign w:val="bottom"/>
          </w:tcPr>
          <w:p>
            <w:pPr>
              <w:jc w:val="right"/>
              <w:spacing w:after="0"/>
              <w:rPr>
                <w:sz w:val="20"/>
                <w:szCs w:val="20"/>
                <w:color w:val="auto"/>
              </w:rPr>
            </w:pPr>
            <w:r>
              <w:rPr>
                <w:rFonts w:ascii="Arial" w:cs="Arial" w:eastAsia="Arial" w:hAnsi="Arial"/>
                <w:sz w:val="18"/>
                <w:szCs w:val="18"/>
                <w:color w:val="auto"/>
              </w:rPr>
              <w:t>64,500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43,718,000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first quarter 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49.94</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right="60" w:hanging="372"/>
        <w:spacing w:after="0" w:line="253"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Pursuant to a $50.0 million share repurchase program that was announced by our board of directors on November 2, 2019. Under the program, purchases may be made from time to time in the open market through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0574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60" w:type="dxa"/>
            <w:vAlign w:val="bottom"/>
            <w:gridSpan w:val="9"/>
          </w:tcPr>
          <w:p>
            <w:pPr>
              <w:ind w:left="1980"/>
              <w:spacing w:after="0"/>
              <w:rPr>
                <w:rFonts w:ascii="Arial" w:cs="Arial" w:eastAsia="Arial" w:hAnsi="Arial"/>
                <w:sz w:val="13"/>
                <w:szCs w:val="13"/>
                <w:u w:val="single" w:color="auto"/>
                <w:color w:val="0000EE"/>
                <w:w w:val="93"/>
              </w:rPr>
            </w:pPr>
            <w:hyperlink w:anchor="page2">
              <w:r>
                <w:rPr>
                  <w:rFonts w:ascii="Arial" w:cs="Arial" w:eastAsia="Arial" w:hAnsi="Arial"/>
                  <w:sz w:val="13"/>
                  <w:szCs w:val="13"/>
                  <w:u w:val="single" w:color="auto"/>
                  <w:color w:val="0000EE"/>
                  <w:w w:val="93"/>
                </w:rPr>
                <w:t>Table of Contents</w:t>
              </w:r>
            </w:hyperlink>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00AAE5"/>
              </w:rPr>
              <w:t>Item 6.</w:t>
            </w:r>
          </w:p>
        </w:tc>
        <w:tc>
          <w:tcPr>
            <w:tcW w:w="10480" w:type="dxa"/>
            <w:vAlign w:val="bottom"/>
            <w:gridSpan w:val="17"/>
          </w:tcPr>
          <w:p>
            <w:pPr>
              <w:ind w:left="240"/>
              <w:spacing w:after="0"/>
              <w:rPr>
                <w:sz w:val="20"/>
                <w:szCs w:val="20"/>
                <w:color w:val="auto"/>
              </w:rPr>
            </w:pPr>
            <w:r>
              <w:rPr>
                <w:rFonts w:ascii="Arial" w:cs="Arial" w:eastAsia="Arial" w:hAnsi="Arial"/>
                <w:sz w:val="18"/>
                <w:szCs w:val="18"/>
                <w:b w:val="1"/>
                <w:bCs w:val="1"/>
                <w:color w:val="00AAE5"/>
              </w:rPr>
              <w:t>Exhibits</w:t>
            </w:r>
          </w:p>
        </w:tc>
      </w:tr>
      <w:tr>
        <w:trPr>
          <w:trHeight w:val="270"/>
        </w:trPr>
        <w:tc>
          <w:tcPr>
            <w:tcW w:w="7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2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80" w:type="dxa"/>
            <w:vAlign w:val="bottom"/>
            <w:tcBorders>
              <w:top w:val="single" w:sz="8" w:color="auto"/>
            </w:tcBorders>
          </w:tcPr>
          <w:p>
            <w:pPr>
              <w:jc w:val="center"/>
              <w:ind w:right="352"/>
              <w:spacing w:after="0" w:line="169" w:lineRule="exact"/>
              <w:rPr>
                <w:sz w:val="20"/>
                <w:szCs w:val="20"/>
                <w:color w:val="auto"/>
              </w:rPr>
            </w:pPr>
            <w:r>
              <w:rPr>
                <w:rFonts w:ascii="Arial" w:cs="Arial" w:eastAsia="Arial" w:hAnsi="Arial"/>
                <w:sz w:val="18"/>
                <w:szCs w:val="18"/>
                <w:color w:val="auto"/>
                <w:w w:val="87"/>
              </w:rPr>
              <w:t>3.1</w:t>
            </w: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74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Certificate of Incorporation (incorporated by reference to Exhibit 4.1 to our Registration Statement on Form S-3 (File No. 333-182097)</w:t>
              </w:r>
            </w:hyperlink>
          </w:p>
        </w:tc>
        <w:tc>
          <w:tcPr>
            <w:tcW w:w="160" w:type="dxa"/>
            <w:vAlign w:val="bottom"/>
            <w:tcBorders>
              <w:top w:val="single" w:sz="8" w:color="auto"/>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filed with the SEC on September 13, 2012).</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80" w:type="dxa"/>
            <w:vAlign w:val="bottom"/>
          </w:tcPr>
          <w:p>
            <w:pPr>
              <w:jc w:val="center"/>
              <w:ind w:right="352"/>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Amended and Restated Bylaws (incorporated by reference to Exhibit 3.1 to our Current Report on Form 8-K (File No. 001-34702) filed</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with the SEC on October 12, 2017).</w:t>
              </w:r>
            </w:hyperlink>
          </w:p>
        </w:tc>
        <w:tc>
          <w:tcPr>
            <w:tcW w:w="7180" w:type="dxa"/>
            <w:vAlign w:val="bottom"/>
            <w:tcBorders>
              <w:top w:val="single" w:sz="8" w:color="0000EE"/>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18"/>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60" w:type="dxa"/>
            <w:vAlign w:val="bottom"/>
            <w:tcBorders>
              <w:bottom w:val="single" w:sz="8" w:color="0000EE"/>
            </w:tcBorders>
            <w:gridSpan w:val="7"/>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Amended and Restated Executive Severance and Change in Control Agreement with Archie C. Black, dated February 13, 2020</w:t>
              </w:r>
            </w:hyperlink>
          </w:p>
        </w:tc>
        <w:tc>
          <w:tcPr>
            <w:tcW w:w="760" w:type="dxa"/>
            <w:vAlign w:val="bottom"/>
            <w:gridSpan w:val="8"/>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(incorporated by reference to Exhibit 10.1 to our Current Report on Form 8-K (File No. 001-34702) filed with the SEC on February 18,</w:t>
              </w:r>
            </w:hyperlink>
          </w:p>
        </w:tc>
        <w:tc>
          <w:tcPr>
            <w:tcW w:w="16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280" w:type="dxa"/>
            <w:vAlign w:val="bottom"/>
            <w:gridSpan w:val="4"/>
          </w:tcPr>
          <w:p>
            <w:pPr>
              <w:ind w:left="560"/>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2020)</w:t>
              </w:r>
              <w:r>
                <w:rPr>
                  <w:rFonts w:ascii="Arial" w:cs="Arial" w:eastAsia="Arial" w:hAnsi="Arial"/>
                  <w:sz w:val="18"/>
                  <w:szCs w:val="18"/>
                  <w:color w:val="000000"/>
                </w:rPr>
                <w:t>.</w:t>
              </w:r>
            </w:hyperlink>
          </w:p>
        </w:tc>
        <w:tc>
          <w:tcPr>
            <w:tcW w:w="1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10.2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40" w:type="dxa"/>
            <w:vAlign w:val="bottom"/>
            <w:tcBorders>
              <w:bottom w:val="single" w:sz="8" w:color="0000EE"/>
            </w:tcBorders>
            <w:gridSpan w:val="9"/>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Form of Amended and Restated Executive Severance and Change in Control Agreement (incorporated by reference to Exhibit 10.2 to</w:t>
              </w:r>
            </w:hyperlink>
          </w:p>
        </w:tc>
        <w:tc>
          <w:tcPr>
            <w:tcW w:w="28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our Current Report on Form 8-K (File No. 001-34702) filed with the SEC on February 18, 2020)</w:t>
              </w:r>
              <w:r>
                <w:rPr>
                  <w:rFonts w:ascii="Arial" w:cs="Arial" w:eastAsia="Arial" w:hAnsi="Arial"/>
                  <w:sz w:val="18"/>
                  <w:szCs w:val="18"/>
                  <w:color w:val="000000"/>
                </w:rPr>
                <w:t>.</w:t>
              </w:r>
            </w:hyperlink>
          </w:p>
        </w:tc>
      </w:tr>
      <w:tr>
        <w:trPr>
          <w:trHeight w:val="358"/>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10.3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60" w:type="dxa"/>
            <w:vAlign w:val="bottom"/>
            <w:tcBorders>
              <w:top w:val="single" w:sz="8" w:color="0000EE"/>
            </w:tcBorders>
            <w:gridSpan w:val="6"/>
          </w:tcPr>
          <w:p>
            <w:pPr>
              <w:spacing w:after="0"/>
              <w:rPr>
                <w:rFonts w:ascii="Arial" w:cs="Arial" w:eastAsia="Arial" w:hAnsi="Arial"/>
                <w:sz w:val="18"/>
                <w:szCs w:val="18"/>
                <w:u w:val="single" w:color="auto"/>
                <w:color w:val="0000EE"/>
                <w:w w:val="91"/>
              </w:rPr>
            </w:pPr>
            <w:hyperlink w:anchor="page30">
              <w:r>
                <w:rPr>
                  <w:rFonts w:ascii="Arial" w:cs="Arial" w:eastAsia="Arial" w:hAnsi="Arial"/>
                  <w:sz w:val="18"/>
                  <w:szCs w:val="18"/>
                  <w:u w:val="single" w:color="auto"/>
                  <w:color w:val="0000EE"/>
                  <w:w w:val="91"/>
                </w:rPr>
                <w:t>Non-Employee Director Compensation Summary, effective December 10, 2019 (filed herewith).</w:t>
              </w:r>
            </w:hyperlink>
          </w:p>
        </w:tc>
        <w:tc>
          <w:tcPr>
            <w:tcW w:w="2960" w:type="dxa"/>
            <w:vAlign w:val="bottom"/>
            <w:gridSpan w:val="9"/>
          </w:tcPr>
          <w:p>
            <w:pPr>
              <w:spacing w:after="0"/>
              <w:rPr>
                <w:sz w:val="24"/>
                <w:szCs w:val="24"/>
                <w:color w:val="auto"/>
              </w:rPr>
            </w:pPr>
          </w:p>
        </w:tc>
      </w:tr>
      <w:tr>
        <w:trPr>
          <w:trHeight w:val="418"/>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Principal Executive Officer pursuant to Rules 13a-14(a) under the Securities Exchange Act of 1934, as amended (filed</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herewith).</w:t>
              </w:r>
            </w:hyperlink>
          </w:p>
        </w:tc>
        <w:tc>
          <w:tcPr>
            <w:tcW w:w="260" w:type="dxa"/>
            <w:vAlign w:val="bottom"/>
            <w:gridSpan w:val="5"/>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Financial Officer pursuant to Rules 13a-14(a) under the Securities Exchange Act of 1934, as amended (filed</w:t>
              </w:r>
            </w:hyperlink>
          </w:p>
        </w:tc>
        <w:tc>
          <w:tcPr>
            <w:tcW w:w="300" w:type="dxa"/>
            <w:vAlign w:val="bottom"/>
            <w:gridSpan w:val="7"/>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herewith).</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80" w:type="dxa"/>
            <w:vAlign w:val="bottom"/>
          </w:tcPr>
          <w:p>
            <w:pPr>
              <w:jc w:val="center"/>
              <w:ind w:right="372"/>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Chief Executive Officer and Chief Financial Officer pursuant to 18 U.S.C. Sec. 1350, as adopted pursuant to Section 906</w:t>
              </w:r>
            </w:hyperlink>
          </w:p>
        </w:tc>
        <w:tc>
          <w:tcPr>
            <w:tcW w:w="6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of the Sarbanes-Oxley Act of 2002 (filed herewith).</w:t>
              </w:r>
            </w:hyperlink>
          </w:p>
        </w:tc>
        <w:tc>
          <w:tcPr>
            <w:tcW w:w="6200" w:type="dxa"/>
            <w:vAlign w:val="bottom"/>
            <w:gridSpan w:val="10"/>
          </w:tcPr>
          <w:p>
            <w:pPr>
              <w:spacing w:after="0"/>
              <w:rPr>
                <w:sz w:val="17"/>
                <w:szCs w:val="17"/>
                <w:color w:val="auto"/>
              </w:rPr>
            </w:pPr>
          </w:p>
        </w:tc>
      </w:tr>
    </w:tbl>
    <w:p>
      <w:pPr>
        <w:spacing w:after="0" w:line="148" w:lineRule="exact"/>
        <w:rPr>
          <w:sz w:val="20"/>
          <w:szCs w:val="20"/>
          <w:color w:val="auto"/>
        </w:rPr>
      </w:pPr>
    </w:p>
    <w:p>
      <w:pPr>
        <w:ind w:left="1340" w:right="380" w:hanging="1332"/>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7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March 31, 2020,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0574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0"/>
          <w:szCs w:val="10"/>
          <w:b w:val="1"/>
          <w:bCs w:val="1"/>
          <w:color w:val="auto"/>
        </w:rPr>
        <w:t>Form 10-Q for the quarterly period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Dated: April 30, 2020</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0574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spacing w:after="0"/>
        <w:tabs>
          <w:tab w:leader="none" w:pos="5540" w:val="left"/>
          <w:tab w:leader="none" w:pos="808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0"/>
          <w:szCs w:val="10"/>
          <w:b w:val="1"/>
          <w:bCs w:val="1"/>
          <w:color w:val="auto"/>
        </w:rPr>
        <w:t>Form 10-Q for the quarterly period ended March 31, 2020</w:t>
      </w:r>
    </w:p>
    <w:p>
      <w:pPr>
        <w:sectPr>
          <w:pgSz w:w="11900" w:h="16838" w:orient="portrait"/>
          <w:cols w:equalWidth="0" w:num="1">
            <w:col w:w="11240"/>
          </w:cols>
          <w:pgMar w:left="320" w:top="12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SUMMARY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December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annual retainer</w:t>
      </w:r>
      <w:r>
        <w:rPr>
          <w:rFonts w:ascii="Arial" w:cs="Arial" w:eastAsia="Arial" w:hAnsi="Arial"/>
          <w:sz w:val="18"/>
          <w:szCs w:val="18"/>
          <w:color w:val="auto"/>
        </w:rPr>
        <w:t>: Annual retainer, payable in cash, of $31,000 per director except for the chairperson who shall receive $61,000.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i w:val="1"/>
                <w:iCs w:val="1"/>
                <w:color w:val="auto"/>
              </w:rPr>
              <w:t>Committee chairs annual retainer</w:t>
            </w:r>
            <w:r>
              <w:rPr>
                <w:rFonts w:ascii="Arial" w:cs="Arial" w:eastAsia="Arial" w:hAnsi="Arial"/>
                <w:sz w:val="18"/>
                <w:szCs w:val="18"/>
                <w:color w:val="auto"/>
              </w:rPr>
              <w:t>: Annual retainers, payable in cash, of:</w:t>
            </w: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10"/>
        </w:trPr>
        <w:tc>
          <w:tcPr>
            <w:tcW w:w="6540" w:type="dxa"/>
            <w:vAlign w:val="bottom"/>
          </w:tcPr>
          <w:p>
            <w:pPr>
              <w:ind w:left="1740"/>
              <w:spacing w:after="0"/>
              <w:rPr>
                <w:sz w:val="20"/>
                <w:szCs w:val="20"/>
                <w:color w:val="auto"/>
              </w:rPr>
            </w:pPr>
            <w:r>
              <w:rPr>
                <w:rFonts w:ascii="Arial" w:cs="Arial" w:eastAsia="Arial" w:hAnsi="Arial"/>
                <w:sz w:val="18"/>
                <w:szCs w:val="18"/>
                <w:color w:val="auto"/>
              </w:rPr>
              <w:t>Audit Committee: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20,000</w:t>
            </w:r>
          </w:p>
        </w:tc>
      </w:tr>
      <w:tr>
        <w:trPr>
          <w:trHeight w:val="216"/>
        </w:trPr>
        <w:tc>
          <w:tcPr>
            <w:tcW w:w="6540" w:type="dxa"/>
            <w:vAlign w:val="bottom"/>
          </w:tcPr>
          <w:p>
            <w:pPr>
              <w:ind w:left="1740"/>
              <w:spacing w:after="0"/>
              <w:rPr>
                <w:sz w:val="20"/>
                <w:szCs w:val="20"/>
                <w:color w:val="auto"/>
              </w:rPr>
            </w:pPr>
            <w:r>
              <w:rPr>
                <w:rFonts w:ascii="Arial" w:cs="Arial" w:eastAsia="Arial" w:hAnsi="Arial"/>
                <w:sz w:val="18"/>
                <w:szCs w:val="18"/>
                <w:color w:val="auto"/>
              </w:rPr>
              <w:t>Compensation Committee:</w:t>
            </w: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12,000</w:t>
            </w:r>
          </w:p>
        </w:tc>
      </w:tr>
      <w:tr>
        <w:trPr>
          <w:trHeight w:val="216"/>
        </w:trPr>
        <w:tc>
          <w:tcPr>
            <w:tcW w:w="6540" w:type="dxa"/>
            <w:vAlign w:val="bottom"/>
          </w:tcPr>
          <w:p>
            <w:pPr>
              <w:ind w:left="1740"/>
              <w:spacing w:after="0"/>
              <w:rPr>
                <w:sz w:val="20"/>
                <w:szCs w:val="20"/>
                <w:color w:val="auto"/>
              </w:rPr>
            </w:pPr>
            <w:r>
              <w:rPr>
                <w:rFonts w:ascii="Arial" w:cs="Arial" w:eastAsia="Arial" w:hAnsi="Arial"/>
                <w:sz w:val="18"/>
                <w:szCs w:val="18"/>
                <w:color w:val="auto"/>
              </w:rPr>
              <w:t>Finance and Strategy Committee:</w:t>
            </w: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30"/>
        </w:trPr>
        <w:tc>
          <w:tcPr>
            <w:tcW w:w="6540" w:type="dxa"/>
            <w:vAlign w:val="bottom"/>
          </w:tcPr>
          <w:p>
            <w:pPr>
              <w:ind w:left="1740"/>
              <w:spacing w:after="0"/>
              <w:rPr>
                <w:sz w:val="20"/>
                <w:szCs w:val="20"/>
                <w:color w:val="auto"/>
              </w:rPr>
            </w:pPr>
            <w:r>
              <w:rPr>
                <w:rFonts w:ascii="Arial" w:cs="Arial" w:eastAsia="Arial" w:hAnsi="Arial"/>
                <w:sz w:val="18"/>
                <w:szCs w:val="18"/>
                <w:color w:val="auto"/>
              </w:rPr>
              <w:t>Governance and Nominating Committee:</w:t>
            </w:r>
          </w:p>
        </w:tc>
        <w:tc>
          <w:tcPr>
            <w:tcW w:w="1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324"/>
        </w:trPr>
        <w:tc>
          <w:tcPr>
            <w:tcW w:w="6540" w:type="dxa"/>
            <w:vAlign w:val="bottom"/>
          </w:tcPr>
          <w:p>
            <w:pPr>
              <w:spacing w:after="0"/>
              <w:rPr>
                <w:sz w:val="20"/>
                <w:szCs w:val="20"/>
                <w:color w:val="auto"/>
              </w:rPr>
            </w:pPr>
            <w:r>
              <w:rPr>
                <w:rFonts w:ascii="Arial" w:cs="Arial" w:eastAsia="Arial" w:hAnsi="Arial"/>
                <w:sz w:val="18"/>
                <w:szCs w:val="18"/>
                <w:i w:val="1"/>
                <w:iCs w:val="1"/>
                <w:color w:val="auto"/>
              </w:rPr>
              <w:t>Committee member annual retainer</w:t>
            </w:r>
            <w:r>
              <w:rPr>
                <w:rFonts w:ascii="Arial" w:cs="Arial" w:eastAsia="Arial" w:hAnsi="Arial"/>
                <w:sz w:val="18"/>
                <w:szCs w:val="18"/>
                <w:color w:val="auto"/>
              </w:rPr>
              <w:t>: Annual retainers, payable in cash, of:</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0"/>
        </w:trPr>
        <w:tc>
          <w:tcPr>
            <w:tcW w:w="6540" w:type="dxa"/>
            <w:vAlign w:val="bottom"/>
          </w:tcPr>
          <w:p>
            <w:pPr>
              <w:ind w:left="1740"/>
              <w:spacing w:after="0"/>
              <w:rPr>
                <w:sz w:val="20"/>
                <w:szCs w:val="20"/>
                <w:color w:val="auto"/>
              </w:rPr>
            </w:pPr>
            <w:r>
              <w:rPr>
                <w:rFonts w:ascii="Arial" w:cs="Arial" w:eastAsia="Arial" w:hAnsi="Arial"/>
                <w:sz w:val="18"/>
                <w:szCs w:val="18"/>
                <w:color w:val="auto"/>
              </w:rPr>
              <w:t>Audit Committee: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6540" w:type="dxa"/>
            <w:vAlign w:val="bottom"/>
          </w:tcPr>
          <w:p>
            <w:pPr>
              <w:ind w:left="1740"/>
              <w:spacing w:after="0"/>
              <w:rPr>
                <w:sz w:val="20"/>
                <w:szCs w:val="20"/>
                <w:color w:val="auto"/>
              </w:rPr>
            </w:pPr>
            <w:r>
              <w:rPr>
                <w:rFonts w:ascii="Arial" w:cs="Arial" w:eastAsia="Arial" w:hAnsi="Arial"/>
                <w:sz w:val="18"/>
                <w:szCs w:val="18"/>
                <w:color w:val="auto"/>
              </w:rPr>
              <w:t>Compensation Committee:</w:t>
            </w: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540" w:type="dxa"/>
            <w:vAlign w:val="bottom"/>
          </w:tcPr>
          <w:p>
            <w:pPr>
              <w:ind w:left="1740"/>
              <w:spacing w:after="0"/>
              <w:rPr>
                <w:sz w:val="20"/>
                <w:szCs w:val="20"/>
                <w:color w:val="auto"/>
              </w:rPr>
            </w:pPr>
            <w:r>
              <w:rPr>
                <w:rFonts w:ascii="Arial" w:cs="Arial" w:eastAsia="Arial" w:hAnsi="Arial"/>
                <w:sz w:val="18"/>
                <w:szCs w:val="18"/>
                <w:color w:val="auto"/>
              </w:rPr>
              <w:t>Finance and Strategy Committee:</w:t>
            </w: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6540" w:type="dxa"/>
            <w:vAlign w:val="bottom"/>
          </w:tcPr>
          <w:p>
            <w:pPr>
              <w:ind w:left="1740"/>
              <w:spacing w:after="0"/>
              <w:rPr>
                <w:sz w:val="20"/>
                <w:szCs w:val="20"/>
                <w:color w:val="auto"/>
              </w:rPr>
            </w:pPr>
            <w:r>
              <w:rPr>
                <w:rFonts w:ascii="Arial" w:cs="Arial" w:eastAsia="Arial" w:hAnsi="Arial"/>
                <w:sz w:val="18"/>
                <w:szCs w:val="18"/>
                <w:color w:val="auto"/>
              </w:rPr>
              <w:t>Governance and Nominating Committee:</w:t>
            </w:r>
          </w:p>
        </w:tc>
        <w:tc>
          <w:tcPr>
            <w:tcW w:w="1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non-statutory stock option grants</w:t>
      </w:r>
      <w:r>
        <w:rPr>
          <w:rFonts w:ascii="Arial" w:cs="Arial" w:eastAsia="Arial" w:hAnsi="Arial"/>
          <w:sz w:val="18"/>
          <w:szCs w:val="18"/>
          <w:color w:val="auto"/>
        </w:rPr>
        <w:t>:</w:t>
      </w:r>
    </w:p>
    <w:p>
      <w:pPr>
        <w:spacing w:after="0" w:line="117" w:lineRule="exact"/>
        <w:rPr>
          <w:sz w:val="20"/>
          <w:szCs w:val="20"/>
          <w:color w:val="auto"/>
        </w:rPr>
      </w:pPr>
    </w:p>
    <w:p>
      <w:pPr>
        <w:ind w:left="880" w:right="380" w:hanging="440"/>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purchase up to $85,000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17" w:lineRule="exact"/>
        <w:rPr>
          <w:rFonts w:ascii="Arial" w:cs="Arial" w:eastAsia="Arial" w:hAnsi="Arial"/>
          <w:sz w:val="18"/>
          <w:szCs w:val="18"/>
          <w:color w:val="auto"/>
        </w:rPr>
      </w:pPr>
    </w:p>
    <w:p>
      <w:pPr>
        <w:ind w:left="880" w:right="78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price per share equal to the closing sales price for a share on the Nasdaq Global Market on the date of the annual meeting of stockholders</w:t>
      </w:r>
    </w:p>
    <w:p>
      <w:pPr>
        <w:spacing w:after="0" w:line="62" w:lineRule="exact"/>
        <w:rPr>
          <w:rFonts w:ascii="Arial" w:cs="Arial" w:eastAsia="Arial" w:hAnsi="Arial"/>
          <w:sz w:val="18"/>
          <w:szCs w:val="18"/>
          <w:color w:val="auto"/>
        </w:rPr>
      </w:pPr>
    </w:p>
    <w:p>
      <w:pPr>
        <w:ind w:left="880" w:right="120" w:hanging="440"/>
        <w:spacing w:after="0" w:line="308"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Maximum term of seven years measured from the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restricted stock and/or deferred stock unit grants</w:t>
      </w:r>
      <w:r>
        <w:rPr>
          <w:rFonts w:ascii="Arial" w:cs="Arial" w:eastAsia="Arial" w:hAnsi="Arial"/>
          <w:sz w:val="18"/>
          <w:szCs w:val="18"/>
          <w:color w:val="auto"/>
        </w:rPr>
        <w:t>:</w:t>
      </w:r>
    </w:p>
    <w:p>
      <w:pPr>
        <w:spacing w:after="0" w:line="117" w:lineRule="exact"/>
        <w:rPr>
          <w:sz w:val="20"/>
          <w:szCs w:val="20"/>
          <w:color w:val="auto"/>
        </w:rPr>
      </w:pPr>
    </w:p>
    <w:p>
      <w:pPr>
        <w:ind w:left="980" w:right="20" w:hanging="432"/>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acquire up to $85,000 of restricted common stock or deferred stock units, or some combination of the two, at the director’s election, calculated by dividing $85,000 by the closing sale price for a share of the Company’s common stock on the Nasdaq Global Market on the date of the Company’s annual meeting of stockholders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17" w:lineRule="exact"/>
        <w:rPr>
          <w:rFonts w:ascii="Arial" w:cs="Arial" w:eastAsia="Arial" w:hAnsi="Arial"/>
          <w:sz w:val="18"/>
          <w:szCs w:val="18"/>
          <w:color w:val="auto"/>
        </w:rPr>
      </w:pPr>
    </w:p>
    <w:p>
      <w:pPr>
        <w:ind w:left="980" w:right="20" w:hanging="432"/>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spacing w:after="0" w:line="38" w:lineRule="exact"/>
        <w:rPr>
          <w:rFonts w:ascii="Arial" w:cs="Arial" w:eastAsia="Arial" w:hAnsi="Arial"/>
          <w:sz w:val="17"/>
          <w:szCs w:val="17"/>
          <w:color w:val="auto"/>
        </w:rPr>
      </w:pPr>
    </w:p>
    <w:p>
      <w:pPr>
        <w:ind w:left="980" w:right="280" w:hanging="432"/>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stock units must be retained until completion of the director’s service on the board, and upon completion of such service, convert into an equal number of shares of the Company’s common stock. A director may defer receipt of the shares for up to ten years after completion of service.</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Reimbursement of expenses</w:t>
      </w:r>
      <w:r>
        <w:rPr>
          <w:rFonts w:ascii="Arial" w:cs="Arial" w:eastAsia="Arial" w:hAnsi="Arial"/>
          <w:sz w:val="18"/>
          <w:szCs w:val="18"/>
          <w:color w:val="auto"/>
        </w:rPr>
        <w:t>: The Company shall reimburse directors for reasonable expenses incurred in connection with attending board and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w:t>
      </w:r>
    </w:p>
    <w:p>
      <w:pPr>
        <w:sectPr>
          <w:pgSz w:w="11900" w:h="16838" w:orient="portrait"/>
          <w:cols w:equalWidth="0" w:num="1">
            <w:col w:w="11240"/>
          </w:cols>
          <w:pgMar w:left="320" w:top="35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2020,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73" Type="http://schemas.openxmlformats.org/officeDocument/2006/relationships/image" Target="media/image62.jpe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jpe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69" Type="http://schemas.openxmlformats.org/officeDocument/2006/relationships/hyperlink" Target="http://www.sec.gov/Archives/edgar/data/1092699/000119312512269607/d365652dex41.htm" TargetMode="External"/><Relationship Id="rId70" Type="http://schemas.openxmlformats.org/officeDocument/2006/relationships/hyperlink" Target="http://www.sec.gov/Archives/edgar/data/1092699/000119312517311896/d430310dex31.htm" TargetMode="External"/><Relationship Id="rId71" Type="http://schemas.openxmlformats.org/officeDocument/2006/relationships/hyperlink" Target="http://www.sec.gov/Archives/edgar/data/1092699/000119312520040291/d890301dex101.htm" TargetMode="External"/><Relationship Id="rId72" Type="http://schemas.openxmlformats.org/officeDocument/2006/relationships/hyperlink" Target="http://www.sec.gov/Archives/edgar/data/1092699/000119312520040291/d89030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2020-04-30T15:18:27Z</dcterms:created>
  <dcterms:modified xsi:type="dcterms:W3CDTF">2020-04-30T15:18:27Z</dcterms:modified>
</cp:coreProperties>
</file>