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April 25, 2016 was 16,883,068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800" w:type="dxa"/>
            <w:vAlign w:val="bottom"/>
            <w:gridSpan w:val="9"/>
            <w:vMerge w:val="restart"/>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0000EE"/>
            </w:tcBorders>
            <w:gridSpan w:val="11"/>
            <w:vMerge w:val="continue"/>
          </w:tcPr>
          <w:p>
            <w:pPr>
              <w:spacing w:after="0"/>
              <w:rPr>
                <w:sz w:val="13"/>
                <w:szCs w:val="13"/>
                <w:color w:val="auto"/>
              </w:rPr>
            </w:pPr>
          </w:p>
        </w:tc>
        <w:tc>
          <w:tcPr>
            <w:tcW w:w="7800" w:type="dxa"/>
            <w:vAlign w:val="bottom"/>
            <w:gridSpan w:val="9"/>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848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March 31, 2016 (unaudited) and December 31, 2015</w:t>
              </w:r>
            </w:hyperlink>
          </w:p>
        </w:tc>
        <w:tc>
          <w:tcPr>
            <w:tcW w:w="2840" w:type="dxa"/>
            <w:vAlign w:val="bottom"/>
            <w:gridSpan w:val="3"/>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gridSpan w:val="18"/>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months ended March 31, 2016 and 2015 (unaudited)</w:t>
              </w:r>
            </w:hyperlink>
          </w:p>
        </w:tc>
        <w:tc>
          <w:tcPr>
            <w:tcW w:w="440" w:type="dxa"/>
            <w:vAlign w:val="bottom"/>
          </w:tcPr>
          <w:p>
            <w:pPr>
              <w:ind w:lef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4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2016 and 2015 (unaudited)</w:t>
              </w:r>
            </w:hyperlink>
          </w:p>
        </w:tc>
        <w:tc>
          <w:tcPr>
            <w:tcW w:w="160" w:type="dxa"/>
            <w:vAlign w:val="bottom"/>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580" w:type="dxa"/>
            <w:vAlign w:val="bottom"/>
            <w:tcBorders>
              <w:top w:val="single" w:sz="8" w:color="0000EE"/>
            </w:tcBorders>
            <w:gridSpan w:val="3"/>
          </w:tcPr>
          <w:p>
            <w:pPr>
              <w:spacing w:after="0"/>
              <w:rPr>
                <w:sz w:val="24"/>
                <w:szCs w:val="24"/>
                <w:color w:val="auto"/>
              </w:rPr>
            </w:pPr>
          </w:p>
        </w:tc>
        <w:tc>
          <w:tcPr>
            <w:tcW w:w="1540" w:type="dxa"/>
            <w:vAlign w:val="bottom"/>
            <w:gridSpan w:val="2"/>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0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ind w:lef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540" w:type="dxa"/>
            <w:vAlign w:val="bottom"/>
            <w:gridSpan w:val="4"/>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Controls and Procedures</w:t>
              </w:r>
            </w:hyperlink>
          </w:p>
        </w:tc>
        <w:tc>
          <w:tcPr>
            <w:tcW w:w="8200" w:type="dxa"/>
            <w:vAlign w:val="bottom"/>
            <w:gridSpan w:val="11"/>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810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6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64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766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822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0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68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b w:val="1"/>
                <w:bCs w:val="1"/>
                <w:color w:val="0000EE"/>
                <w:w w:val="92"/>
              </w:rPr>
            </w:pPr>
            <w:hyperlink w:anchor="page25">
              <w:r>
                <w:rPr>
                  <w:rFonts w:ascii="Arial" w:cs="Arial" w:eastAsia="Arial" w:hAnsi="Arial"/>
                  <w:sz w:val="18"/>
                  <w:szCs w:val="18"/>
                  <w:b w:val="1"/>
                  <w:bCs w:val="1"/>
                  <w:color w:val="0000EE"/>
                  <w:w w:val="92"/>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2015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800" w:type="dxa"/>
            <w:vAlign w:val="bottom"/>
            <w:gridSpan w:val="2"/>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SPS COMMERCE,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color w:val="auto"/>
                <w:w w:val="89"/>
              </w:rPr>
              <w:t>(Unaudited; in thousands, except share amounts)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980" w:type="dxa"/>
            <w:vAlign w:val="bottom"/>
            <w:shd w:val="clear" w:color="auto" w:fill="CCEEFF"/>
          </w:tcPr>
          <w:p>
            <w:pPr>
              <w:jc w:val="center"/>
              <w:ind w:right="159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110,889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10,010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receivable, less allowance for doubtful accounts of $444 and $446, respectively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costs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15,799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162,653</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13,972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50,921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MARKETABLE SECURITIES, non-current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12,529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costs, non-current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5,311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asset, non-current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281,725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vMerge w:val="restart"/>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3,900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2,926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11,334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24,234</w:t>
            </w: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 non-current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rent, non-current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4,486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 liability, non-current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Common stock, $0.001 par value; 55,000,000 shares authorized; 16,881,758 and 16,723,994 shares issued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outstanding, respectively</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272,533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(38,405)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233,393</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281,725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45,599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25,398</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5,069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29,404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24,476</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16,783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17,011</w:t>
            </w:r>
          </w:p>
        </w:tc>
        <w:tc>
          <w:tcPr>
            <w:tcW w:w="0" w:type="dxa"/>
            <w:vAlign w:val="bottom"/>
          </w:tcPr>
          <w:p>
            <w:pPr>
              <w:spacing w:after="0"/>
              <w:rPr>
                <w:sz w:val="1"/>
                <w:szCs w:val="1"/>
                <w:color w:val="auto"/>
              </w:rPr>
            </w:pPr>
          </w:p>
        </w:tc>
      </w:tr>
      <w:tr>
        <w:trPr>
          <w:trHeight w:val="324"/>
        </w:trPr>
        <w:tc>
          <w:tcPr>
            <w:tcW w:w="98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Unrealized gain on investments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8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earn-out liability</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Changes in assets and liabilities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Deferred costs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(863)</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current and non-current assets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compensation</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23"/>
        </w:trPr>
        <w:tc>
          <w:tcPr>
            <w:tcW w:w="20" w:type="dxa"/>
            <w:vAlign w:val="bottom"/>
          </w:tcPr>
          <w:p>
            <w:pPr>
              <w:spacing w:after="0"/>
              <w:rPr>
                <w:sz w:val="19"/>
                <w:szCs w:val="19"/>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Deferred rent</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8"/>
                <w:szCs w:val="18"/>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(2,308)</w:t>
            </w: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Business acquisitions, net of cash acquired</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(17,942)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(20,053)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(2,308)</w:t>
            </w: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r>
      <w:tr>
        <w:trPr>
          <w:trHeight w:val="223"/>
        </w:trPr>
        <w:tc>
          <w:tcPr>
            <w:tcW w:w="20" w:type="dxa"/>
            <w:vAlign w:val="bottom"/>
          </w:tcPr>
          <w:p>
            <w:pPr>
              <w:spacing w:after="0"/>
              <w:rPr>
                <w:sz w:val="19"/>
                <w:szCs w:val="19"/>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 changes</w:t>
            </w:r>
          </w:p>
        </w:tc>
        <w:tc>
          <w:tcPr>
            <w:tcW w:w="2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(10,649)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121,538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130,795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110,889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133,550</w:t>
            </w: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2015 condensed consolidated balance sheet data was derived from our audited financial statements at that date. For further information, refer to the consolidated financial statements and accompanying notes for the year ended December 31, 2015 included in our Annual Report on Form 10-K as filed with the Securities and Exchange Commission on February 24,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the three months ended March 31, 2016, there were no material changes in our significant accounting policies. See Note A to the consolidated financial statements included in our Annual Report on Form 10-K for the year ended December 31, 2015, as filed with the Securities and Exchange Commission on February 24, 2016,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requires an entity to recognize the amount of revenue to which it expects to be entitled for the transfer of promised goods or services to customers accounting requirements for the recognition of revenue from contracts with customers. This guidance will replace most existing revenue recognition guidance in U.S. GAAP when it becomes effective. These new requirements are effective for annual reporting periods beginning after December 15, 2017, and interim periods within those annual periods. We are currently evaluating the impact of this guidance on our results of operations and financial position.</w:t>
      </w:r>
    </w:p>
    <w:p>
      <w:pPr>
        <w:spacing w:after="0" w:line="15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amends the guidance requiring companies to separate deferred income tax liabilities and assets into current and non-current amounts in a classified statement of financial position. This accounting guidance simplifies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presentation of deferred income taxes, such that deferred tax liabilities and assets be classified as non-current in a classified statement of financial position. This accounting guidance is effective for us beginning in the first quarter of 2017, but we elected to early adopt this guidance prospectively as of December 31, 2015. As a result, we have classified all deferred tax liabilities and assets as non-current in the condensed consolidated balance sheet at March 31, 2016.</w:t>
      </w:r>
    </w:p>
    <w:p>
      <w:pPr>
        <w:spacing w:after="0" w:line="14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will supersede the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are currently evaluating the impact this guidance will have on the consolidated financial statements and related disclosures.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In March 2016, the FASB issued ASU 2016-09, Compensation – Stock Compensation (Topic 718):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which will simplify the income tax consequences, accounting for forfeitures and classification on the Statements of Consolidated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This standard is effective for fiscal years, and interim periods within those fiscal years, beginning after December 15, 2016, with early adoption permitted. We are currently evaluating the impact this guidance will have on the consolidated financial statements and related disclosures.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Toolbox Solutions, Inc.</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On January 5, 2016, we completed our acquisition of all of the outstanding common shares of Toolbox Solutions, Inc., a privately held company providing point-of-sale analytics and category management services to retailers and consumer packaged goods suppliers in North America. This acquisition expands our retail network and strengthens our analytics offerings. Pursuant to the share purchase agreement, we paid $17.9 million in cash and issued $3.3 million in stock, or 48,668 shares of common stock, to the shareholders of Toolbox Solutions. Furthermore, up to an additional 16,222 shares of common stock will be payable contingent upon the completion of certain revenue milestones. See Note C for subsequent measurements of this contingent liability.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Price Allocation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 third-party valuation firm to assist us in the determination of the 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assets.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The purchase price consisted of the following (in thousands):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SPS Commerce, Inc. common stock</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share-based earn-out liability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final purchase price is subject to a net working capital adjustment to be determined by SPS Commerce and the sellers, pursuant to the terms of the purchase agreement. The number of shares of our common stock issued for the acquisition was 48,668 shares as calculated according to the terms of the purchase agreement. The fair value of the shares issued was determined using the closing price of our common stock on the acquisition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net of cash acquired of $359,000, and liabilities assumed at the acquisition date (in thousands):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15,430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(1,031)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(2,221)</w:t>
            </w:r>
          </w:p>
        </w:tc>
      </w:tr>
      <w:tr>
        <w:trPr>
          <w:trHeight w:val="223"/>
        </w:trPr>
        <w:tc>
          <w:tcPr>
            <w:tcW w:w="70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22,236</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Purchased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estimated fair value of the purchased intangible assets and their estimated useful lives: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color w:val="auto"/>
                <w:w w:val="93"/>
              </w:rPr>
              <w:t>Estimated</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Purchased Intangible Assets</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5"/>
              <w:spacing w:after="0" w:line="149" w:lineRule="exact"/>
              <w:rPr>
                <w:sz w:val="20"/>
                <w:szCs w:val="20"/>
                <w:color w:val="auto"/>
              </w:rPr>
            </w:pPr>
            <w:r>
              <w:rPr>
                <w:rFonts w:ascii="Arial" w:cs="Arial" w:eastAsia="Arial" w:hAnsi="Arial"/>
                <w:sz w:val="14"/>
                <w:szCs w:val="14"/>
                <w:color w:val="auto"/>
                <w:w w:val="90"/>
              </w:rPr>
              <w:t>Fair Value</w:t>
            </w:r>
          </w:p>
        </w:tc>
        <w:tc>
          <w:tcPr>
            <w:tcW w:w="760" w:type="dxa"/>
            <w:vAlign w:val="bottom"/>
          </w:tcPr>
          <w:p>
            <w:pPr>
              <w:spacing w:after="0"/>
              <w:rPr>
                <w:sz w:val="12"/>
                <w:szCs w:val="12"/>
                <w:color w:val="auto"/>
              </w:rPr>
            </w:pPr>
          </w:p>
        </w:tc>
        <w:tc>
          <w:tcPr>
            <w:tcW w:w="6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167"/>
        </w:trPr>
        <w:tc>
          <w:tcPr>
            <w:tcW w:w="4260" w:type="dxa"/>
            <w:vAlign w:val="bottom"/>
            <w:gridSpan w:val="2"/>
            <w:vMerge w:val="continue"/>
          </w:tcPr>
          <w:p>
            <w:pPr>
              <w:spacing w:after="0"/>
              <w:rPr>
                <w:sz w:val="14"/>
                <w:szCs w:val="14"/>
                <w:color w:val="auto"/>
              </w:rPr>
            </w:pPr>
          </w:p>
        </w:tc>
        <w:tc>
          <w:tcPr>
            <w:tcW w:w="2980" w:type="dxa"/>
            <w:vAlign w:val="bottom"/>
            <w:gridSpan w:val="3"/>
          </w:tcPr>
          <w:p>
            <w:pPr>
              <w:ind w:left="2160"/>
              <w:spacing w:after="0"/>
              <w:rPr>
                <w:sz w:val="20"/>
                <w:szCs w:val="20"/>
                <w:color w:val="auto"/>
              </w:rPr>
            </w:pPr>
            <w:r>
              <w:rPr>
                <w:rFonts w:ascii="Arial" w:cs="Arial" w:eastAsia="Arial" w:hAnsi="Arial"/>
                <w:sz w:val="14"/>
                <w:szCs w:val="14"/>
                <w:color w:val="auto"/>
                <w:w w:val="90"/>
              </w:rPr>
              <w:t>(in thousands)</w:t>
            </w:r>
          </w:p>
        </w:tc>
        <w:tc>
          <w:tcPr>
            <w:tcW w:w="7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Subscriber relationships</w:t>
            </w:r>
          </w:p>
        </w:tc>
        <w:tc>
          <w:tcPr>
            <w:tcW w:w="26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Developed technology</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values of purchased intangible assets are preliminary and are subject to adjustment as additional information becomes available about the facts and circumstances that existed at the acquisition date. The purchased intangible assets are being amortized on a straight-line basis over their estimated useful lives. Amortization expense for the period from January 5, 2016 through March 31, 2016 was $337,000.</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Acquisition-Related Costs and Post-Acquisition Operating Results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Acquisition-related costs were $107,000 and are included in our condensed consolidated statements of income for the three months ended March 31, 2016. The operating results of Toolbox Solutions, Inc. have been included in our condensed consolidated financial statements from January 5, 2016, the closing date of the acquisition. For the period from January 5, 2016 through March 31, 2016, approximately $1.6 million of our revenues were derived from Toolbox Solutions’ customers. The amount of operating income or loss from Toolbox Solutions was not separately identifiable due to our integration.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pro forma financial information in the table below presents the combined operating results of SPS Commerce and Toolbox Solutions as if the acquisition had occurred on January 1, 2015. The pro forma information includes the historical operating results of each company and pro forma adjustments for the approximate $1.5 million of annual amortization expense related to purchased intangible assets and the additional impact on the provision or benefit for income taxes, resulting from the combined income and intangible amortization expense, using our statutory blended income tax rate of 26.5%.</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67"/>
        </w:trPr>
        <w:tc>
          <w:tcPr>
            <w:tcW w:w="460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340" w:type="dxa"/>
            <w:vAlign w:val="bottom"/>
          </w:tcPr>
          <w:p>
            <w:pPr>
              <w:spacing w:after="0"/>
              <w:rPr>
                <w:sz w:val="14"/>
                <w:szCs w:val="14"/>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color w:val="auto"/>
              </w:rPr>
              <w:t>2016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total revenue</w:t>
            </w:r>
          </w:p>
        </w:tc>
        <w:tc>
          <w:tcPr>
            <w:tcW w:w="2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$45,829</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$38,717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2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Basic</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pro forma financial information is presented for informational purposes only and is not necessarily indicative of the results of operations that would have actually been reported had the acquisition occurred on January 1, 2015, nor is it necessarily indicative of our results of operations for any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invest primarily in money market funds,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marketable securities. Investments with remaining maturities of more than one year from the balance sheet date are classified as marketable securities, non-current. Short-term marketable securities and marketable securities, non-current, are also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6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Our fixed income investments are carried at fair value and unrealized gains and losses on these investments are included in other comprehensive income (loss) in the condensed consolidated statements of comprehensive income (loss). Realized gains or losses are included in other income (expense) in the condensed consolidated statements of comprehensive income (loss). When a determination has been made that an other-than-temporary decline in fair value has occurred, the amount of the decline that is related to a credit loss is realized and is included in other income (expense), net in the condensed consolidated statements of comprehensive income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marketable securities, consisted of the following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color w:val="auto"/>
              </w:rPr>
              <w:t>March 31, 2016</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16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95"/>
              </w:rPr>
              <w:t>Amortized</w:t>
            </w:r>
          </w:p>
        </w:tc>
        <w:tc>
          <w:tcPr>
            <w:tcW w:w="118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580" w:type="dxa"/>
            <w:vAlign w:val="bottom"/>
          </w:tcPr>
          <w:p>
            <w:pPr>
              <w:jc w:val="right"/>
              <w:ind w:right="99"/>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color w:val="auto"/>
                <w:w w:val="90"/>
              </w:rPr>
              <w:t>Cost</w:t>
            </w:r>
          </w:p>
        </w:tc>
        <w:tc>
          <w:tcPr>
            <w:tcW w:w="12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color w:val="auto"/>
                <w:w w:val="98"/>
              </w:rPr>
              <w:t>Gains</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Losses</w:t>
            </w:r>
          </w:p>
        </w:tc>
        <w:tc>
          <w:tcPr>
            <w:tcW w:w="2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800" w:type="dxa"/>
            <w:vAlign w:val="bottom"/>
            <w:gridSpan w:val="3"/>
          </w:tcPr>
          <w:p>
            <w:pPr>
              <w:jc w:val="right"/>
              <w:ind w:right="540"/>
              <w:spacing w:after="0"/>
              <w:rPr>
                <w:sz w:val="20"/>
                <w:szCs w:val="20"/>
                <w:color w:val="auto"/>
              </w:rPr>
            </w:pPr>
            <w:r>
              <w:rPr>
                <w:rFonts w:ascii="Arial" w:cs="Arial" w:eastAsia="Arial" w:hAnsi="Arial"/>
                <w:sz w:val="18"/>
                <w:szCs w:val="18"/>
                <w:color w:val="auto"/>
              </w:rPr>
              <w:t>$ 65,300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$65,300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3800" w:type="dxa"/>
            <w:vAlign w:val="bottom"/>
            <w:gridSpan w:val="3"/>
          </w:tcPr>
          <w:p>
            <w:pPr>
              <w:jc w:val="right"/>
              <w:ind w:right="540"/>
              <w:spacing w:after="0"/>
              <w:rPr>
                <w:sz w:val="20"/>
                <w:szCs w:val="20"/>
                <w:color w:val="auto"/>
              </w:rPr>
            </w:pPr>
            <w:r>
              <w:rPr>
                <w:rFonts w:ascii="Arial" w:cs="Arial" w:eastAsia="Arial" w:hAnsi="Arial"/>
                <w:sz w:val="18"/>
                <w:szCs w:val="18"/>
                <w:color w:val="auto"/>
              </w:rPr>
              <w:t>10,043</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3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3800" w:type="dxa"/>
            <w:vAlign w:val="bottom"/>
            <w:gridSpan w:val="3"/>
          </w:tcPr>
          <w:p>
            <w:pPr>
              <w:jc w:val="right"/>
              <w:ind w:right="540"/>
              <w:spacing w:after="0"/>
              <w:rPr>
                <w:sz w:val="20"/>
                <w:szCs w:val="20"/>
                <w:color w:val="auto"/>
              </w:rPr>
            </w:pPr>
            <w:r>
              <w:rPr>
                <w:rFonts w:ascii="Arial" w:cs="Arial" w:eastAsia="Arial" w:hAnsi="Arial"/>
                <w:sz w:val="18"/>
                <w:szCs w:val="18"/>
                <w:color w:val="auto"/>
              </w:rPr>
              <w:t>7,489</w:t>
            </w:r>
          </w:p>
        </w:tc>
        <w:tc>
          <w:tcPr>
            <w:tcW w:w="1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obligations</w:t>
            </w:r>
          </w:p>
        </w:tc>
        <w:tc>
          <w:tcPr>
            <w:tcW w:w="3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$ 87,823</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Due within two years</w:t>
            </w:r>
          </w:p>
        </w:tc>
        <w:tc>
          <w:tcPr>
            <w:tcW w:w="2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40" w:type="dxa"/>
            <w:vAlign w:val="bottom"/>
            <w:vMerge w:val="restart"/>
          </w:tcPr>
          <w:p>
            <w:pPr>
              <w:jc w:val="right"/>
              <w:ind w:right="890"/>
              <w:spacing w:after="0"/>
              <w:rPr>
                <w:sz w:val="20"/>
                <w:szCs w:val="20"/>
                <w:color w:val="auto"/>
              </w:rPr>
            </w:pPr>
            <w:r>
              <w:rPr>
                <w:rFonts w:ascii="Arial" w:cs="Arial" w:eastAsia="Arial" w:hAnsi="Arial"/>
                <w:sz w:val="18"/>
                <w:szCs w:val="18"/>
                <w:color w:val="auto"/>
              </w:rPr>
              <w:t>9</w:t>
            </w: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color w:val="auto"/>
              </w:rPr>
              <w:t>December 31, 2015</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96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98"/>
              </w:rPr>
              <w:t>Amortized</w:t>
            </w:r>
          </w:p>
        </w:tc>
        <w:tc>
          <w:tcPr>
            <w:tcW w:w="280" w:type="dxa"/>
            <w:vAlign w:val="bottom"/>
          </w:tcPr>
          <w:p>
            <w:pPr>
              <w:spacing w:after="0"/>
              <w:rPr>
                <w:sz w:val="10"/>
                <w:szCs w:val="10"/>
                <w:color w:val="auto"/>
              </w:rPr>
            </w:pPr>
          </w:p>
        </w:tc>
        <w:tc>
          <w:tcPr>
            <w:tcW w:w="90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9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33"/>
              <w:spacing w:after="0" w:line="123" w:lineRule="exact"/>
              <w:rPr>
                <w:sz w:val="20"/>
                <w:szCs w:val="20"/>
                <w:color w:val="auto"/>
              </w:rPr>
            </w:pPr>
            <w:r>
              <w:rPr>
                <w:rFonts w:ascii="Arial" w:cs="Arial" w:eastAsia="Arial" w:hAnsi="Arial"/>
                <w:sz w:val="14"/>
                <w:szCs w:val="14"/>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w w:val="85"/>
              </w:rPr>
              <w:t>Losses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79,717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79,717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U.S. treasury securities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obligations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102,244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color w:val="auto"/>
                <w:w w:val="71"/>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Due within two years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do not believe any of the unrealized losses represent an other-than-temporary impairment based on our valuation of available evidence as of March 31, 2016. We expect to receive the full principal and interest on all of these cash equivalents and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900" w:right="60" w:hanging="325"/>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 Measurements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available-for-sale U.S. treasury securities, U.S. agency obligations, commercial paper and corporate debt securities are measured at fair value using level 2 inputs. We obtain the fair values of our level 2 available-for-sale securities from a professional pricing service.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Measurements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valuation technique used to measure the fair value of our share-based earn-out liability was based on the present value of probability-weighted future cash flows related to the contingent earn-out criteria and the fair value of our common stock on each reporting date. While the fair value of our common stock is an observable input, the probability-weighted future cash flows related to the outcome of the earn-out represent a significant unobservable input to the valuation methodology. Accordingly, we have classified the earn-out liability as a Level 3 measurement.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9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color w:val="auto"/>
              </w:rPr>
              <w:t>Level 2</w:t>
            </w:r>
          </w:p>
        </w:tc>
        <w:tc>
          <w:tcPr>
            <w:tcW w:w="640" w:type="dxa"/>
            <w:vAlign w:val="bottom"/>
            <w:gridSpan w:val="2"/>
          </w:tcPr>
          <w:p>
            <w:pPr>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at March 31, 2016:</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65,300</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10,046</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10,046</w:t>
            </w:r>
          </w:p>
        </w:tc>
        <w:tc>
          <w:tcPr>
            <w:tcW w:w="0" w:type="dxa"/>
            <w:vAlign w:val="bottom"/>
          </w:tcPr>
          <w:p>
            <w:pPr>
              <w:spacing w:after="0"/>
              <w:rPr>
                <w:sz w:val="1"/>
                <w:szCs w:val="1"/>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Commerical paper</w:t>
            </w:r>
          </w:p>
        </w:tc>
        <w:tc>
          <w:tcPr>
            <w:tcW w:w="1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2,495</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7,495</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U.S. agency obligations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2,503</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65,300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22,539</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87,839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Liabilities at March 31, 2016: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earn-out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6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$ 666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Assets at December 31, 2015: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79,717</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10,008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Commerical paper</w:t>
            </w:r>
          </w:p>
        </w:tc>
        <w:tc>
          <w:tcPr>
            <w:tcW w:w="10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2,500</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7,462</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U.S. agency obligations</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2,498</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22,468</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102,185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40" w:firstLine="456"/>
        <w:spacing w:after="0" w:line="277" w:lineRule="auto"/>
        <w:rPr>
          <w:sz w:val="20"/>
          <w:szCs w:val="20"/>
          <w:color w:val="auto"/>
        </w:rPr>
      </w:pPr>
      <w:r>
        <w:rPr>
          <w:rFonts w:ascii="Arial" w:cs="Arial" w:eastAsia="Arial" w:hAnsi="Arial"/>
          <w:sz w:val="18"/>
          <w:szCs w:val="18"/>
          <w:color w:val="auto"/>
        </w:rPr>
        <w:t>We classify our cash and cash equivalents and marketable securities within Level 1 or Level 2 because we use quoted market prices or alternative pricing sources and models utilizing market observable inputs to determine their fair value.</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described above, we classify our share-based earn-out liability in connection with our acquisition of Toolbox Solutions within Level 3 as factors used to develop the estimated fair value are unobservable. Our fair value estimate of this liability was $1.0 million at the date of acquisition and subsequent changes in the fair value of the share-based earn-out liability, whether due to changes in our probability assessment or the fair value of our common stock, are recognized in earnings in the period when the change in the estimated fair value occurs. During the quarter ended March 31, 2016, we recognized a $365,000 change in the fair value of our share-based earn-out liability in other income (expense), net in our condensed consolidated statements of comprehensive income primarily due to the change in the fair value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Intangible Assets, net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change in our goodwill for the three months ended March 31, 2016 was due to the acquisition of Toolbox Solutions (see Note B) of $15.4 million as well as the effect of foreign currency translation.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March 31, 2016</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color w:val="auto"/>
                <w:w w:val="99"/>
              </w:rPr>
              <w:t>December 31, 2015</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8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62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0"/>
                <w:szCs w:val="10"/>
                <w:color w:val="auto"/>
              </w:rPr>
            </w:pPr>
          </w:p>
        </w:tc>
        <w:tc>
          <w:tcPr>
            <w:tcW w:w="9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tcPr>
          <w:p>
            <w:pPr>
              <w:ind w:left="40"/>
              <w:spacing w:after="0" w:line="123" w:lineRule="exact"/>
              <w:rPr>
                <w:sz w:val="20"/>
                <w:szCs w:val="20"/>
                <w:color w:val="auto"/>
              </w:rPr>
            </w:pPr>
            <w:r>
              <w:rPr>
                <w:rFonts w:ascii="Arial" w:cs="Arial" w:eastAsia="Arial" w:hAnsi="Arial"/>
                <w:sz w:val="14"/>
                <w:szCs w:val="14"/>
                <w:color w:val="auto"/>
              </w:rPr>
              <w:t>Carrying</w:t>
            </w: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900" w:type="dxa"/>
            <w:vAlign w:val="bottom"/>
            <w:gridSpan w:val="5"/>
          </w:tcPr>
          <w:p>
            <w:pPr>
              <w:ind w:left="60"/>
              <w:spacing w:after="0"/>
              <w:rPr>
                <w:sz w:val="20"/>
                <w:szCs w:val="20"/>
                <w:color w:val="auto"/>
              </w:rPr>
            </w:pPr>
            <w:r>
              <w:rPr>
                <w:rFonts w:ascii="Arial" w:cs="Arial" w:eastAsia="Arial" w:hAnsi="Arial"/>
                <w:sz w:val="14"/>
                <w:szCs w:val="14"/>
                <w:color w:val="auto"/>
              </w:rPr>
              <w:t>Amount</w:t>
            </w: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$34,483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$21,642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$26,337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(11,856)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$14,481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(1,699)</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573</w:t>
            </w:r>
          </w:p>
        </w:tc>
        <w:tc>
          <w:tcPr>
            <w:tcW w:w="880" w:type="dxa"/>
            <w:vAlign w:val="bottom"/>
            <w:gridSpan w:val="4"/>
          </w:tcPr>
          <w:p>
            <w:pPr>
              <w:jc w:val="right"/>
              <w:ind w:right="68"/>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(1,653)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1,630</w:t>
            </w:r>
          </w:p>
        </w:tc>
        <w:tc>
          <w:tcPr>
            <w:tcW w:w="88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38,985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(15,140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28,990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(13,909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60" w:type="dxa"/>
            <w:vAlign w:val="bottom"/>
            <w:gridSpan w:val="8"/>
          </w:tcPr>
          <w:p>
            <w:pPr>
              <w:ind w:left="460"/>
              <w:spacing w:after="0"/>
              <w:rPr>
                <w:sz w:val="20"/>
                <w:szCs w:val="20"/>
                <w:color w:val="auto"/>
              </w:rPr>
            </w:pPr>
            <w:r>
              <w:rPr>
                <w:rFonts w:ascii="Arial" w:cs="Arial" w:eastAsia="Arial" w:hAnsi="Arial"/>
                <w:sz w:val="18"/>
                <w:szCs w:val="18"/>
                <w:color w:val="auto"/>
                <w:w w:val="92"/>
              </w:rPr>
              <w:t>At March 31, 2016, future amortization expense for intangible assets was as follows (in thousands):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$ 3,602</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23,845</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E – Commitments and Contingencies</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9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Operating Leases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11"/>
          </w:tcPr>
          <w:p>
            <w:pPr>
              <w:ind w:left="460"/>
              <w:spacing w:after="0"/>
              <w:rPr>
                <w:sz w:val="20"/>
                <w:szCs w:val="20"/>
                <w:color w:val="auto"/>
              </w:rPr>
            </w:pPr>
            <w:r>
              <w:rPr>
                <w:rFonts w:ascii="Arial" w:cs="Arial" w:eastAsia="Arial" w:hAnsi="Arial"/>
                <w:sz w:val="18"/>
                <w:szCs w:val="18"/>
                <w:color w:val="auto"/>
                <w:w w:val="97"/>
              </w:rPr>
              <w:t>At March 31, 2016, our future minimum payments under operating leases were as follows (in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4"/>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$ 2,508</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14,708</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Stock-Based Compensation</w:t>
      </w:r>
    </w:p>
    <w:p>
      <w:pPr>
        <w:spacing w:after="0" w:line="121"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February 2016, 1,003,439 additional shares were reserved for future issuance under our 2010 Equity Incentive Plan. At March 31, 2016, there were approximately 3.9 million shares available for grant under approved equity compensation plans.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40" w:firstLine="456"/>
        <w:spacing w:after="0" w:line="277" w:lineRule="auto"/>
        <w:rPr>
          <w:sz w:val="20"/>
          <w:szCs w:val="20"/>
          <w:color w:val="auto"/>
        </w:rPr>
      </w:pPr>
      <w:r>
        <w:rPr>
          <w:rFonts w:ascii="Arial" w:cs="Arial" w:eastAsia="Arial" w:hAnsi="Arial"/>
          <w:sz w:val="18"/>
          <w:szCs w:val="18"/>
          <w:color w:val="auto"/>
        </w:rPr>
        <w:t>We recorded stock-based compensation expense of $1.9 million and $1.5 million for the three months ended March 31, 2016 and 2015, respectively. This expense was allocated as follows (in thousands):</w:t>
      </w:r>
    </w:p>
    <w:p>
      <w:pPr>
        <w:spacing w:after="0" w:line="193" w:lineRule="exact"/>
        <w:rPr>
          <w:sz w:val="20"/>
          <w:szCs w:val="20"/>
          <w:color w:val="auto"/>
        </w:rPr>
      </w:pPr>
    </w:p>
    <w:p>
      <w:pPr>
        <w:jc w:val="center"/>
        <w:ind w:left="7060"/>
        <w:spacing w:after="0"/>
        <w:rPr>
          <w:sz w:val="20"/>
          <w:szCs w:val="20"/>
          <w:color w:val="auto"/>
        </w:rPr>
      </w:pPr>
      <w:r>
        <w:rPr>
          <w:rFonts w:ascii="Arial" w:cs="Arial" w:eastAsia="Arial" w:hAnsi="Arial"/>
          <w:sz w:val="14"/>
          <w:szCs w:val="14"/>
          <w:color w:val="auto"/>
        </w:rPr>
        <w:t>Three Months Ended</w:t>
      </w:r>
    </w:p>
    <w:p>
      <w:pPr>
        <w:jc w:val="center"/>
        <w:ind w:left="706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7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2016</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1,927</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1,499</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 March 31, 2016, there was approximately $19.1 million of unrecognized stock-based compensation expense under our equity compensation plans, which is expected to be recognized on a straightline basis over a weighted average period of 3.1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943,103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293,173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(9,479)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1,169,701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Of the total outstanding options at March 31, 2016, 651,062 were exercisable with a weighted average exercise price of $31.10 per share. The total outstanding options had a weighted average remaining contractual life of 5.0 years.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three months of 2016 was $16.08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50"/>
        </w:trPr>
        <w:tc>
          <w:tcPr>
            <w:tcW w:w="2680" w:type="dxa"/>
            <w:vAlign w:val="bottom"/>
          </w:tcPr>
          <w:p>
            <w:pPr>
              <w:spacing w:after="0"/>
              <w:rPr>
                <w:sz w:val="24"/>
                <w:szCs w:val="24"/>
                <w:color w:val="auto"/>
              </w:rPr>
            </w:pPr>
          </w:p>
        </w:tc>
        <w:tc>
          <w:tcPr>
            <w:tcW w:w="5080" w:type="dxa"/>
            <w:vAlign w:val="bottom"/>
          </w:tcPr>
          <w:p>
            <w:pPr>
              <w:jc w:val="right"/>
              <w:ind w:right="371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900" w:type="dxa"/>
            <w:vAlign w:val="bottom"/>
            <w:gridSpan w:val="3"/>
          </w:tcPr>
          <w:p>
            <w:pPr>
              <w:jc w:val="center"/>
              <w:ind w:left="959"/>
              <w:spacing w:after="0"/>
              <w:rPr>
                <w:sz w:val="20"/>
                <w:szCs w:val="20"/>
                <w:color w:val="auto"/>
              </w:rPr>
            </w:pPr>
            <w:r>
              <w:rPr>
                <w:rFonts w:ascii="Arial" w:cs="Arial" w:eastAsia="Arial" w:hAnsi="Arial"/>
                <w:sz w:val="14"/>
                <w:szCs w:val="14"/>
                <w:color w:val="auto"/>
                <w:w w:val="92"/>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60" w:type="dxa"/>
            <w:vAlign w:val="bottom"/>
            <w:gridSpan w:val="2"/>
          </w:tcPr>
          <w:p>
            <w:pPr>
              <w:jc w:val="center"/>
              <w:ind w:left="1379"/>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140,565</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107,263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2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(2,666)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5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193,162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number of restricted stock units outstanding at March 31, 2016 included 193,162 units that have vested, but for which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gridSpan w:val="3"/>
          </w:tcPr>
          <w:p>
            <w:pPr>
              <w:jc w:val="center"/>
              <w:ind w:left="1002"/>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center"/>
              <w:ind w:left="208"/>
              <w:spacing w:after="0"/>
              <w:rPr>
                <w:sz w:val="20"/>
                <w:szCs w:val="20"/>
                <w:color w:val="auto"/>
              </w:rPr>
            </w:pPr>
            <w:r>
              <w:rPr>
                <w:rFonts w:ascii="Arial" w:cs="Arial" w:eastAsia="Arial" w:hAnsi="Arial"/>
                <w:sz w:val="14"/>
                <w:szCs w:val="14"/>
                <w:color w:val="auto"/>
                <w:w w:val="92"/>
              </w:rPr>
              <w:t>Weighted Average</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Awards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80" w:type="dxa"/>
            <w:vAlign w:val="bottom"/>
            <w:gridSpan w:val="2"/>
          </w:tcPr>
          <w:p>
            <w:pPr>
              <w:jc w:val="center"/>
              <w:ind w:left="1442"/>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5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453"/>
              <w:spacing w:after="0"/>
              <w:rPr>
                <w:sz w:val="20"/>
                <w:szCs w:val="20"/>
                <w:color w:val="auto"/>
              </w:rPr>
            </w:pPr>
            <w:r>
              <w:rPr>
                <w:rFonts w:ascii="Arial" w:cs="Arial" w:eastAsia="Arial" w:hAnsi="Arial"/>
                <w:sz w:val="18"/>
                <w:szCs w:val="18"/>
                <w:color w:val="auto"/>
                <w:w w:val="93"/>
              </w:rPr>
              <w:t>67.39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15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3"/>
              </w:rPr>
              <w:t>67.37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2016</w:t>
            </w:r>
          </w:p>
        </w:tc>
        <w:tc>
          <w:tcPr>
            <w:tcW w:w="1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1.1 million shares of common stock are reserved for issuance under the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offering period that began on January 1, 2016, we withheld approximately $426,000 from employees participating in the plan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the three months ended March 31, 2016, we recorded approximately $107,000 of stock-based compensation expense associated with the employee stock purchase plan. The fair value was estimated based on the market price of our common stock at the beginning of the offering period using the Black-Scholes option pricing model with the following assumptions: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350"/>
        </w:trPr>
        <w:tc>
          <w:tcPr>
            <w:tcW w:w="2680" w:type="dxa"/>
            <w:vAlign w:val="bottom"/>
          </w:tcPr>
          <w:p>
            <w:pPr>
              <w:spacing w:after="0"/>
              <w:rPr>
                <w:sz w:val="24"/>
                <w:szCs w:val="24"/>
                <w:color w:val="auto"/>
              </w:rPr>
            </w:pPr>
          </w:p>
        </w:tc>
        <w:tc>
          <w:tcPr>
            <w:tcW w:w="5080" w:type="dxa"/>
            <w:vAlign w:val="bottom"/>
          </w:tcPr>
          <w:p>
            <w:pPr>
              <w:jc w:val="right"/>
              <w:ind w:right="371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 Our provisions for income taxes included current foreign and state income tax expense, as well as deferred tax expense.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we do not have any unrecognized tax benefits nor any accrued interest or tax penalties.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Net Income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93"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Three Months Ended</w:t>
      </w:r>
    </w:p>
    <w:p>
      <w:pPr>
        <w:jc w:val="center"/>
        <w:ind w:left="672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1,044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700"/>
              <w:spacing w:after="0"/>
              <w:rPr>
                <w:sz w:val="20"/>
                <w:szCs w:val="20"/>
                <w:color w:val="auto"/>
              </w:rPr>
            </w:pPr>
            <w:r>
              <w:rPr>
                <w:rFonts w:ascii="Arial" w:cs="Arial" w:eastAsia="Arial" w:hAnsi="Arial"/>
                <w:sz w:val="18"/>
                <w:szCs w:val="18"/>
                <w:color w:val="auto"/>
              </w:rPr>
              <w:t>Restricted stock units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stock purchase plan</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diluted</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17,029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Basic</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 of approximately 325,000 and 256,000 outstanding potential common shares was excluded from the calculation of diluted net income per share for the three months ended March 31, 2016 and 2015, respectively, as they were anti-dilutive.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three months ended March 31, 2016, our revenues were $45.6 million, an increase of 23% from the comparable period in 2015, and represented our 61</w:t>
      </w:r>
      <w:r>
        <w:rPr>
          <w:rFonts w:ascii="Arial" w:cs="Arial" w:eastAsia="Arial" w:hAnsi="Arial"/>
          <w:sz w:val="14"/>
          <w:szCs w:val="14"/>
          <w:color w:val="auto"/>
        </w:rPr>
        <w:t>st</w:t>
      </w:r>
      <w:r>
        <w:rPr>
          <w:rFonts w:ascii="Arial" w:cs="Arial" w:eastAsia="Arial" w:hAnsi="Arial"/>
          <w:sz w:val="17"/>
          <w:szCs w:val="17"/>
          <w:color w:val="auto"/>
        </w:rPr>
        <w:t xml:space="preserve"> consecutive quarter of increased revenues. Total operating expenses increased 20% for the same period in 2016 from 2015.</w:t>
      </w:r>
    </w:p>
    <w:p>
      <w:pPr>
        <w:spacing w:after="0" w:line="14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January 5, 2016, we entered into an stock purchase agreement with Toolbox Solutions, Inc., a privately-held information services company specializing in the collection, analysis and distribution of point-of-sale data used by retailers and suppliers to improve their supply chain efficiencies. Under the stock purchase agreement, we purchased and acquired substantially all of the assets of Toolbox Solutions for $17.9 million in cash, 48,668 shares of our common stock, and a share-based earn-out liability at an original fair value of $1.0 million. We also assumed certain liabilities of Toolbox Solutions. This acquisition allows us to expand our point-of-sale analytic offerings, expand our base of recurring revenue customers and add suppliers to our network. See Note B to our condensed consolidated financial statements included in this Quarterly Report on Form 10-Q for additional information regarding the acquisition of Toolbox Solutions.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three months ended March 31, 2016,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2015 as filed with the Securities and Exchange Commission on February 24, 2016.</w:t>
      </w:r>
    </w:p>
    <w:p>
      <w:pPr>
        <w:spacing w:after="0" w:line="154"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purchased intangible assets are the most critical to aid in fully understanding and evaluating our financial condition and results of operations.</w:t>
      </w:r>
    </w:p>
    <w:p>
      <w:pPr>
        <w:spacing w:after="0" w:line="15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During the three months ended March 31, 2016, there were no changes in our significant accounting policies or estimates. See Note A to our condensed consolidated financial statements included in this Quarterly Report on Form 10-Q and in our Annual Report on Form 10-K for the year ended December 31, 2015, as filed with the Securities and Exchange Commission on February 24, 2016, for additional information regarding our accounting policies.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gridSpan w:val="8"/>
          </w:tcPr>
          <w:p>
            <w:pPr>
              <w:jc w:val="right"/>
              <w:ind w:right="1220"/>
              <w:spacing w:after="0"/>
              <w:rPr>
                <w:sz w:val="20"/>
                <w:szCs w:val="20"/>
                <w:color w:val="auto"/>
              </w:rPr>
            </w:pPr>
            <w:r>
              <w:rPr>
                <w:rFonts w:ascii="Arial" w:cs="Arial" w:eastAsia="Arial" w:hAnsi="Arial"/>
                <w:sz w:val="14"/>
                <w:szCs w:val="14"/>
                <w:color w:val="auto"/>
              </w:rPr>
              <w:t>Three Months Ended March 31,</w:t>
            </w:r>
          </w:p>
        </w:tc>
        <w:tc>
          <w:tcPr>
            <w:tcW w:w="120" w:type="dxa"/>
            <w:vAlign w:val="bottom"/>
          </w:tcPr>
          <w:p>
            <w:pPr>
              <w:spacing w:after="0"/>
              <w:rPr>
                <w:sz w:val="14"/>
                <w:szCs w:val="14"/>
                <w:color w:val="auto"/>
              </w:rPr>
            </w:pPr>
          </w:p>
        </w:tc>
        <w:tc>
          <w:tcPr>
            <w:tcW w:w="1520" w:type="dxa"/>
            <w:vAlign w:val="bottom"/>
            <w:gridSpan w:val="3"/>
            <w:vMerge w:val="restart"/>
          </w:tcPr>
          <w:p>
            <w:pPr>
              <w:jc w:val="right"/>
              <w:ind w:right="6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93"/>
              <w:spacing w:after="0" w:line="142" w:lineRule="exact"/>
              <w:rPr>
                <w:sz w:val="20"/>
                <w:szCs w:val="20"/>
                <w:color w:val="auto"/>
              </w:rPr>
            </w:pPr>
            <w:r>
              <w:rPr>
                <w:rFonts w:ascii="Arial" w:cs="Arial" w:eastAsia="Arial" w:hAnsi="Arial"/>
                <w:sz w:val="14"/>
                <w:szCs w:val="14"/>
                <w:color w:val="auto"/>
                <w:w w:val="89"/>
              </w:rPr>
              <w:t>2016</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592"/>
              <w:spacing w:after="0" w:line="142" w:lineRule="exact"/>
              <w:rPr>
                <w:sz w:val="20"/>
                <w:szCs w:val="20"/>
                <w:color w:val="auto"/>
              </w:rPr>
            </w:pPr>
            <w:r>
              <w:rPr>
                <w:rFonts w:ascii="Arial" w:cs="Arial" w:eastAsia="Arial" w:hAnsi="Arial"/>
                <w:sz w:val="14"/>
                <w:szCs w:val="14"/>
                <w:color w:val="auto"/>
                <w:w w:val="89"/>
              </w:rPr>
              <w:t>2015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 of revenue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45,599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36,970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$8,629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14,881</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11,572</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3,309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30,718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25,398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5,320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15,889</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13,744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2,145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5,069</w:t>
            </w: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4,069</w:t>
            </w: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1,000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5,818</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1,467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316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29,404</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24,476</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4,928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392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108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405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820" w:type="dxa"/>
            <w:vAlign w:val="bottom"/>
            <w:gridSpan w:val="2"/>
          </w:tcPr>
          <w:p>
            <w:pPr>
              <w:jc w:val="right"/>
              <w:ind w:right="128"/>
              <w:spacing w:after="0"/>
              <w:rPr>
                <w:sz w:val="20"/>
                <w:szCs w:val="20"/>
                <w:color w:val="auto"/>
              </w:rPr>
            </w:pPr>
            <w:r>
              <w:rPr>
                <w:rFonts w:ascii="Arial" w:cs="Arial" w:eastAsia="Arial" w:hAnsi="Arial"/>
                <w:sz w:val="18"/>
                <w:szCs w:val="18"/>
                <w:color w:val="auto"/>
              </w:rPr>
              <w:t>513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905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820" w:type="dxa"/>
            <w:vAlign w:val="bottom"/>
            <w:gridSpan w:val="2"/>
          </w:tcPr>
          <w:p>
            <w:pPr>
              <w:jc w:val="right"/>
              <w:ind w:right="68"/>
              <w:spacing w:after="0"/>
              <w:rPr>
                <w:sz w:val="20"/>
                <w:szCs w:val="20"/>
                <w:color w:val="auto"/>
              </w:rPr>
            </w:pPr>
            <w:r>
              <w:rPr>
                <w:rFonts w:ascii="Arial" w:cs="Arial" w:eastAsia="Arial" w:hAnsi="Arial"/>
                <w:sz w:val="18"/>
                <w:szCs w:val="18"/>
                <w:color w:val="auto"/>
              </w:rPr>
              <w:t>(447)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458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to Three Months Ended March 31, 2015</w:t>
      </w:r>
    </w:p>
    <w:p>
      <w:pPr>
        <w:spacing w:after="0" w:line="11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March 31, 2016 increased $8.6 million, or 23%, to $45.6 million from $37.0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2015. The increase in revenues resulted from two primary factors: the increase in recurring revenue customers and the increase in annualized average recurring revenues per recurring revenue customer, which we also refer to as wallet share.</w:t>
      </w:r>
    </w:p>
    <w:p>
      <w:pPr>
        <w:spacing w:after="0" w:line="87" w:lineRule="exact"/>
        <w:rPr>
          <w:sz w:val="20"/>
          <w:szCs w:val="20"/>
          <w:color w:val="auto"/>
        </w:rPr>
      </w:pPr>
    </w:p>
    <w:p>
      <w:pPr>
        <w:ind w:left="900" w:right="6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17% to $7,053 for the three months ended March 31, 2016 from $6,013 for the same period in 2015. This increase in wallet share was primarily attributable to increased fees resulting from increased usage of our solutions by our recurring revenue customers and growth in larger customers.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23,817 at March 31, 2016 from 22,436 at March 31, 2015.</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Recurring revenues from recurring revenue customers accounted for 91% of our total revenues, respectively, for the three months ended March 31, 2016, compared to 90% for the same period in 2015.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three months ended March 31, 2016 increased $3.3 million, or 29%, to $14.9 million from $11.6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2015. The increase in cost of revenues for the three-month period in 2016 was primarily due to increased headcount, which resulted in higher personnel-related costs of approximately $2.3 million, occupancy costs of approximately $178,000 and stock based compensation expense of $108,000 compared to the same period in 2015. We also incurred higher software and cloud-based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subscription costs of $398,000 and depreciation expense of $229,000 as compared to the same period in 2015 for continued investment in the infrastructure supporting our solutions. As a percentage of revenues, cost of revenues were 33% for the three months ended March 31, 2016, compared to 31% for the same period in 2015. Going forward, we anticipate that cost of revenues will increase in absolute dollars as we continue to expand our business.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March 31, 2016 increased $2.1 million, or 16%,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$15.9 million from $13.7 million for the same period in 2015. The increase in sales and marketing expenses for the three-month period in 2016 was due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headcount, which resulted in higher personnel-related costs of approximately $1.7 million, as well as increased variable compensation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$476,000 earned by sales personnel and referral partners from new business compared to the same period in 2015. As a percentage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revenues, sales and marketing expenses were 35% for the three months ended March 31, 2016, compared to 37% for the same period in 2015. As we expand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business, we will continue to add resources to our sales and marketing efforts over time, and we expect that these expenses will continue to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absolute dollars.</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three months ended March 31, 2016 increased $1.0 million, or 25%,</w:t>
      </w:r>
      <w:r>
        <w:rPr>
          <w:rFonts w:ascii="Arial" w:cs="Arial" w:eastAsia="Arial" w:hAnsi="Arial"/>
          <w:sz w:val="18"/>
          <w:szCs w:val="18"/>
          <w:i w:val="1"/>
          <w:iCs w:val="1"/>
          <w:color w:val="auto"/>
        </w:rPr>
        <w:t xml:space="preserve"> </w:t>
      </w:r>
      <w:r>
        <w:rPr>
          <w:rFonts w:ascii="Arial" w:cs="Arial" w:eastAsia="Arial" w:hAnsi="Arial"/>
          <w:sz w:val="18"/>
          <w:szCs w:val="18"/>
          <w:color w:val="auto"/>
        </w:rPr>
        <w:t>to $5.1 million from $4.1 million for the same period in 2015. The increase in research and development expenses for the three-month period in 2016 was primarily due to increased headcount, which resulted in higher personnel costs of approximately $898,000 compared to the same period in 2015. As a percentage of revenues, research and development expenses were 11% for each of the three months ended March 31, 2016 compared to 11% for the same period in 2015. As we enhance and expand our solutions and applications, we expect that research and development expenses will continue to increase in absolute dollars.</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March 31, 2016 increased $1.5 million, or 25%,</w:t>
      </w:r>
      <w:r>
        <w:rPr>
          <w:rFonts w:ascii="Arial" w:cs="Arial" w:eastAsia="Arial" w:hAnsi="Arial"/>
          <w:sz w:val="16"/>
          <w:szCs w:val="16"/>
          <w:i w:val="1"/>
          <w:iCs w:val="1"/>
          <w:color w:val="auto"/>
        </w:rPr>
        <w:t xml:space="preserve"> </w:t>
      </w:r>
      <w:r>
        <w:rPr>
          <w:rFonts w:ascii="Arial" w:cs="Arial" w:eastAsia="Arial" w:hAnsi="Arial"/>
          <w:sz w:val="16"/>
          <w:szCs w:val="16"/>
          <w:color w:val="auto"/>
        </w:rPr>
        <w:t>to $7.3 million from $5.8 million for the same period in 2015. The increase in general and administrative expenses for the three-month period in 2016 was due to increased headcount, which resulted in higher personnel-related costs of approximately $480,000 and stock based compensation expenses of approximately $206,000 compared to the same period in 2015. We also incurred higher legal and audit fees of approximately $143,000 due in part to the acquisition of Toolbox Solutions, bad debt expense of $166,000 and software subscription costs of approximately $107,000 compared to the same period in 2015. As a percentage of revenues, general and administrative expenses were 16% for each of the three months ended March 31, 2016 and 2015, respectively. Going forward, we expect that general and administrative expenses will continue to increase in absolute dollars as we expand our business.</w:t>
      </w:r>
    </w:p>
    <w:p>
      <w:pPr>
        <w:spacing w:after="0" w:line="16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for the three months ended March 31, 2016 increased $316,000, or 37%, to $1.2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$845,000 for the same period in 2015 primarily due to the amortization of Toolbox Solutions’ intangible assets.</w:t>
      </w:r>
    </w:p>
    <w:p>
      <w:pPr>
        <w:spacing w:after="0" w:line="170"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for the three months ended March 31, 2016 included $365,000 for an adjustment for the fair value of the Toolbox</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share-based earn-out liability due to the change in the stock price from date of acquisition through March 31, 2016.</w:t>
      </w:r>
    </w:p>
    <w:p>
      <w:pPr>
        <w:spacing w:after="0" w:line="14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recorded income tax expense of $708,000 for the three months ended March 31, 2016. We recorded income tax expense of</w:t>
      </w:r>
      <w:r>
        <w:rPr>
          <w:rFonts w:ascii="Arial" w:cs="Arial" w:eastAsia="Arial" w:hAnsi="Arial"/>
          <w:sz w:val="17"/>
          <w:szCs w:val="17"/>
          <w:i w:val="1"/>
          <w:iCs w:val="1"/>
          <w:color w:val="auto"/>
        </w:rPr>
        <w:t xml:space="preserve"> </w:t>
      </w:r>
      <w:r>
        <w:rPr>
          <w:rFonts w:ascii="Arial" w:cs="Arial" w:eastAsia="Arial" w:hAnsi="Arial"/>
          <w:sz w:val="17"/>
          <w:szCs w:val="17"/>
          <w:color w:val="auto"/>
        </w:rPr>
        <w:t>$261,000 for three months ended March 31, 2015. The increase in income tax expense for the three-month period in 2016 was primarily due to increased pretax book income. For the full year 2016, we expect that our annual effective income tax rate will be approximately 40%.</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plus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stock-based compensation expense and other adjustments as necessary for a fair presentation. Other adjustments included the impact of the fair value adjustment for the Toolbox Solutions share-based earn-out liability. The following table provides a reconciliation of net income to Adjusted EBITDA (in thousands):</w:t>
      </w:r>
    </w:p>
    <w:p>
      <w:pPr>
        <w:spacing w:after="0" w:line="209"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Three Months Ended</w:t>
      </w:r>
    </w:p>
    <w:p>
      <w:pPr>
        <w:jc w:val="center"/>
        <w:ind w:left="702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1,541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3,196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5,956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209" w:lineRule="exact"/>
        <w:rPr>
          <w:sz w:val="20"/>
          <w:szCs w:val="20"/>
          <w:color w:val="auto"/>
        </w:rPr>
      </w:pPr>
    </w:p>
    <w:p>
      <w:pPr>
        <w:jc w:val="center"/>
        <w:ind w:left="6800"/>
        <w:spacing w:after="0"/>
        <w:rPr>
          <w:sz w:val="20"/>
          <w:szCs w:val="20"/>
          <w:color w:val="auto"/>
        </w:rPr>
      </w:pPr>
      <w:r>
        <w:rPr>
          <w:rFonts w:ascii="Arial" w:cs="Arial" w:eastAsia="Arial" w:hAnsi="Arial"/>
          <w:sz w:val="14"/>
          <w:szCs w:val="14"/>
          <w:color w:val="auto"/>
        </w:rPr>
        <w:t>Three Months Ended</w:t>
      </w:r>
    </w:p>
    <w:p>
      <w:pPr>
        <w:jc w:val="center"/>
        <w:ind w:left="6800"/>
        <w:spacing w:after="0" w:line="231" w:lineRule="auto"/>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17,029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March 31, 2016, our principal sources of liquidity were cash, cash equivalents and marketable securities of $133.4 million and accounts receivable, net of allowance for doubtful accounts, of $20.4 million.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Net cash provided by operating activities was $6.9 million and $3.1 million for the three months ended March 31, 2016 and 2015, respectively. The increase in operating cash flows as compared to the same period in 2015 was primarily due to deferred revenue and the timing of payments for accounts payable, which is offset by accrued compensation and accrued expenses.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Net cash used in investing activities was $20.1 million and $2.3 million for the three months ended March 31, 2016 and 2015, respectively. The increase in net cash used in investing activities as compared to the same period in 2015 was primarily due to the acquisition of Toolbox Solutions for $17.9 million. For the three months ended March 31, 2016 and 2015, we had capital expenditures of $2.1 million and $2.3 million, respectively. Our capital expenditures are for supporting our business growth and existing customer base, as well as for our internal use such as equipment for our employees.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Net cash provided by financing activities was $2.1 million and $2.3 million for the three months ended March 31, 2016 and 2015, respectively, related to the exercise of stock options offset by the excess tax benefit from the exercise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10% of our total cash and cash equivalents outside of the United States in foreign currencies, primarily in Australian and Canadian dollars. We believe that a significant change in foreign currency exchange rates or an inability to access these funds would not affect our ability to meet our operational needs.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believe our cash, cash equivalents,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2016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March 31, 2016 are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color w:val="auto"/>
                <w:w w:val="93"/>
              </w:rPr>
              <w:t>Payments Due By Period (in thousands)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1"/>
              </w:rPr>
              <w:t>Less Than</w:t>
            </w: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4"/>
              </w:rPr>
              <w:t>More Than</w:t>
            </w:r>
          </w:p>
        </w:tc>
        <w:tc>
          <w:tcPr>
            <w:tcW w:w="100" w:type="dxa"/>
            <w:vAlign w:val="bottom"/>
          </w:tcPr>
          <w:p>
            <w:pPr>
              <w:spacing w:after="0"/>
              <w:rPr>
                <w:sz w:val="10"/>
                <w:szCs w:val="10"/>
                <w:color w:val="auto"/>
              </w:rPr>
            </w:pPr>
          </w:p>
        </w:tc>
      </w:tr>
      <w:tr>
        <w:trPr>
          <w:trHeight w:val="167"/>
        </w:trPr>
        <w:tc>
          <w:tcPr>
            <w:tcW w:w="7200" w:type="dxa"/>
            <w:vAlign w:val="bottom"/>
          </w:tcPr>
          <w:p>
            <w:pPr>
              <w:spacing w:after="0"/>
              <w:rPr>
                <w:sz w:val="20"/>
                <w:szCs w:val="20"/>
                <w:color w:val="auto"/>
              </w:rPr>
            </w:pPr>
            <w:r>
              <w:rPr>
                <w:rFonts w:ascii="Arial" w:cs="Arial" w:eastAsia="Arial" w:hAnsi="Arial"/>
                <w:sz w:val="14"/>
                <w:szCs w:val="14"/>
                <w:color w:val="auto"/>
              </w:rPr>
              <w:t>Contractual Obligations</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Total</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1 Year</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1-3 Years</w:t>
            </w: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3-5 Years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5 Years</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$14,708</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$ 2,508</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$ 5,868</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$ 4,471</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1,861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do not enter into investments for trading or speculative purposes.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outstanding debt as of March 31, 2016.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and Canadian dollars. As we expand internationally, our results of operations and cash flows will be impacted by foreign currency fluctuations. We have not used any forward contracts or currency borrowings to hedge our exposure to foreign currency exchange risk, although we may do so in the future.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2016.</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this first quarter of 2016, we acquired the net assets of Toolbox Solutions, Inc. Toolbox Solutions represented approximately 11% of our total consolidated assets and 3% of our consolidated revenues as of and for the three months ended March 31, 2016. The scope of our assessment of the effectiveness of internal control over financial reporting does not include Toolbox Solutions. This exclusion is in accordance with the SEC’s general guidance that an assessment of a recently acquired business may be omitted from our scope in the year of acquisition.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2016 that have materially affected, or are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2015 as filed with the Securities and Exchange Commission on February 24, 2016.</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April 29, 2016</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72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2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81"/>
        </w:trPr>
        <w:tc>
          <w:tcPr>
            <w:tcW w:w="700" w:type="dxa"/>
            <w:vAlign w:val="bottom"/>
            <w:gridSpan w:val="3"/>
          </w:tcPr>
          <w:p>
            <w:pPr>
              <w:jc w:val="right"/>
              <w:ind w:right="220"/>
              <w:spacing w:after="0"/>
              <w:rPr>
                <w:sz w:val="20"/>
                <w:szCs w:val="20"/>
                <w:color w:val="auto"/>
              </w:rPr>
            </w:pPr>
            <w:r>
              <w:rPr>
                <w:rFonts w:ascii="Arial" w:cs="Arial" w:eastAsia="Arial" w:hAnsi="Arial"/>
                <w:sz w:val="14"/>
                <w:szCs w:val="14"/>
                <w:i w:val="1"/>
                <w:iCs w:val="1"/>
                <w:color w:val="auto"/>
                <w:w w:val="92"/>
              </w:rPr>
              <w:t>Number</w:t>
            </w:r>
          </w:p>
        </w:tc>
        <w:tc>
          <w:tcPr>
            <w:tcW w:w="5120" w:type="dxa"/>
            <w:vAlign w:val="bottom"/>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i w:val="1"/>
                <w:iCs w:val="1"/>
                <w:color w:val="auto"/>
              </w:rPr>
              <w:t>Description</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77"/>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w w:val="92"/>
              </w:rPr>
              <w:t>Certificate of Incorporation (incorporated by reference to Exhibit 4.1 to our Registration Statement on Form S-3 (File No. 333-182097) filed with</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rPr>
              <w:t>the Commission on September 13, 2012).</w:t>
            </w:r>
          </w:p>
        </w:tc>
      </w:tr>
      <w:tr>
        <w:trPr>
          <w:trHeight w:val="310"/>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w w:val="92"/>
              </w:rPr>
              <w:t>Bylaws (incorporated by reference to Exhibit 3.2 to our Registration Statement on Form S-1/A (File No. 333-163476) filed with the Commission</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rPr>
              <w:t>on March 5, 2010).</w:t>
            </w: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w w:val="91"/>
              </w:rPr>
              <w:t>Certification of Principal Executive Officer pursuant to Rules 13a-14(a) under the Securities Exchange Act of 1934, as amended (filed herewith).</w:t>
            </w: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w w:val="92"/>
              </w:rPr>
              <w:t>Certification of Principal Financial Officer pursuant to Rules 13a-14(a) under the Securities Exchange Act of 1934, as amended (filed herewith).</w:t>
            </w:r>
          </w:p>
        </w:tc>
      </w:tr>
      <w:tr>
        <w:trPr>
          <w:trHeight w:val="310"/>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 1350, as adopted pursuant to Section 906 of the</w:t>
            </w: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480" w:type="dxa"/>
            <w:vAlign w:val="bottom"/>
            <w:gridSpan w:val="2"/>
          </w:tcPr>
          <w:p>
            <w:pPr>
              <w:jc w:val="right"/>
              <w:ind w:right="128"/>
              <w:spacing w:after="0"/>
              <w:rPr>
                <w:sz w:val="20"/>
                <w:szCs w:val="20"/>
                <w:color w:val="auto"/>
              </w:rPr>
            </w:pPr>
            <w:r>
              <w:rPr>
                <w:rFonts w:ascii="Arial" w:cs="Arial" w:eastAsia="Arial" w:hAnsi="Arial"/>
                <w:sz w:val="18"/>
                <w:szCs w:val="18"/>
                <w:color w:val="auto"/>
                <w:w w:val="86"/>
              </w:rPr>
              <w:t>101</w:t>
            </w:r>
          </w:p>
        </w:tc>
        <w:tc>
          <w:tcPr>
            <w:tcW w:w="220" w:type="dxa"/>
            <w:vAlign w:val="bottom"/>
          </w:tcPr>
          <w:p>
            <w:pPr>
              <w:spacing w:after="0"/>
              <w:rPr>
                <w:sz w:val="24"/>
                <w:szCs w:val="24"/>
                <w:color w:val="auto"/>
              </w:rPr>
            </w:pPr>
          </w:p>
        </w:tc>
        <w:tc>
          <w:tcPr>
            <w:tcW w:w="10720" w:type="dxa"/>
            <w:vAlign w:val="bottom"/>
            <w:gridSpan w:val="3"/>
          </w:tcPr>
          <w:p>
            <w:pPr>
              <w:ind w:left="220"/>
              <w:spacing w:after="0"/>
              <w:rPr>
                <w:sz w:val="20"/>
                <w:szCs w:val="20"/>
                <w:color w:val="auto"/>
              </w:rPr>
            </w:pPr>
            <w:r>
              <w:rPr>
                <w:rFonts w:ascii="Arial" w:cs="Arial" w:eastAsia="Arial" w:hAnsi="Arial"/>
                <w:sz w:val="18"/>
                <w:szCs w:val="18"/>
                <w:color w:val="auto"/>
              </w:rPr>
              <w:t>Interactive Data Files Pursuant to Rule 405 of Regulation S-T (filed herewith).</w:t>
            </w: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2016,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2019-12-29T11:10:29Z</dcterms:created>
  <dcterms:modified xsi:type="dcterms:W3CDTF">2019-12-29T11:10:29Z</dcterms:modified>
</cp:coreProperties>
</file>