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sectPr>
      </w:pPr>
    </w:p>
    <w:bookmarkStart w:id="1" w:name="page2"/>
    <w:bookmarkEnd w:id="1"/>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0"/>
          <w:szCs w:val="20"/>
          <w:color w:val="auto"/>
        </w:rPr>
      </w:pPr>
    </w:p>
    <w:p>
      <w:pPr>
        <w:sectPr>
          <w:pgSz w:w="11900" w:h="16838" w:orient="portrait"/>
          <w:cols w:equalWidth="0" w:num="4">
            <w:col w:w="8180" w:space="220"/>
            <w:col w:w="260" w:space="100"/>
            <w:col w:w="160" w:space="180"/>
            <w:col w:w="232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April 24, 2014 was 16,203,384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100" w:type="dxa"/>
            <w:vAlign w:val="bottom"/>
            <w:gridSpan w:val="9"/>
            <w:vMerge w:val="restart"/>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1"/>
            <w:vMerge w:val="continue"/>
          </w:tcPr>
          <w:p>
            <w:pPr>
              <w:spacing w:after="0"/>
              <w:rPr>
                <w:sz w:val="13"/>
                <w:szCs w:val="13"/>
                <w:color w:val="auto"/>
              </w:rPr>
            </w:pPr>
          </w:p>
        </w:tc>
        <w:tc>
          <w:tcPr>
            <w:tcW w:w="7100" w:type="dxa"/>
            <w:vAlign w:val="bottom"/>
            <w:gridSpan w:val="9"/>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78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March 31, 2014 (unaudited) and December 31, 2013</w:t>
              </w:r>
            </w:hyperlink>
          </w:p>
        </w:tc>
        <w:tc>
          <w:tcPr>
            <w:tcW w:w="214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months ended March 31, 2014 and 2013 (unaudited)</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00" w:type="dxa"/>
            <w:vAlign w:val="bottom"/>
            <w:gridSpan w:val="18"/>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for the three months ended March 31, 2014 and 2013 (unaudited)</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580" w:type="dxa"/>
            <w:vAlign w:val="bottom"/>
            <w:tcBorders>
              <w:top w:val="single" w:sz="8" w:color="0000EE"/>
            </w:tcBorders>
            <w:gridSpan w:val="4"/>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84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Controls and Procedures</w:t>
              </w:r>
            </w:hyperlink>
          </w:p>
        </w:tc>
        <w:tc>
          <w:tcPr>
            <w:tcW w:w="7500" w:type="dxa"/>
            <w:vAlign w:val="bottom"/>
            <w:gridSpan w:val="11"/>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OTHER INFORMATION</w:t>
              </w:r>
            </w:hyperlink>
          </w:p>
        </w:tc>
        <w:tc>
          <w:tcPr>
            <w:tcW w:w="7400" w:type="dxa"/>
            <w:vAlign w:val="bottom"/>
            <w:gridSpan w:val="10"/>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7960" w:type="dxa"/>
            <w:vAlign w:val="bottom"/>
            <w:gridSpan w:val="1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494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6960" w:type="dxa"/>
            <w:vAlign w:val="bottom"/>
            <w:gridSpan w:val="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Mine Safety Disclosures</w:t>
              </w:r>
            </w:hyperlink>
          </w:p>
        </w:tc>
        <w:tc>
          <w:tcPr>
            <w:tcW w:w="7520" w:type="dxa"/>
            <w:vAlign w:val="bottom"/>
            <w:gridSpan w:val="1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7980" w:type="dxa"/>
            <w:vAlign w:val="bottom"/>
            <w:gridSpan w:val="1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b w:val="1"/>
                <w:bCs w:val="1"/>
                <w:color w:val="0000EE"/>
                <w:w w:val="92"/>
              </w:rPr>
            </w:pPr>
            <w:hyperlink w:anchor="page19">
              <w:r>
                <w:rPr>
                  <w:rFonts w:ascii="Arial" w:cs="Arial" w:eastAsia="Arial" w:hAnsi="Arial"/>
                  <w:sz w:val="18"/>
                  <w:szCs w:val="18"/>
                  <w:b w:val="1"/>
                  <w:bCs w:val="1"/>
                  <w:color w:val="0000EE"/>
                  <w:w w:val="92"/>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2013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5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800" w:type="dxa"/>
            <w:vAlign w:val="bottom"/>
            <w:gridSpan w:val="2"/>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SPS COMMERCE,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color w:val="auto"/>
                <w:w w:val="89"/>
              </w:rPr>
              <w:t>(Unaudited; in thousands, except share amounts)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980" w:type="dxa"/>
            <w:vAlign w:val="bottom"/>
            <w:shd w:val="clear" w:color="auto" w:fill="CCEEFF"/>
          </w:tcPr>
          <w:p>
            <w:pPr>
              <w:jc w:val="center"/>
              <w:ind w:right="159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134,603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131,294</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Accounts receivable, less allowance for doubtful accounts of $233 and $237, respectively</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12,166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11,611</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income taxes, 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r>
      <w:tr>
        <w:trPr>
          <w:trHeight w:val="223"/>
        </w:trPr>
        <w:tc>
          <w:tcPr>
            <w:tcW w:w="54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160,377</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156,075</w:t>
            </w:r>
          </w:p>
        </w:tc>
        <w:tc>
          <w:tcPr>
            <w:tcW w:w="100" w:type="dxa"/>
            <w:vAlign w:val="bottom"/>
          </w:tcPr>
          <w:p>
            <w:pPr>
              <w:spacing w:after="0"/>
              <w:rPr>
                <w:sz w:val="19"/>
                <w:szCs w:val="19"/>
                <w:color w:val="auto"/>
              </w:rPr>
            </w:pP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25,487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25,487</w:t>
            </w: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income taxes, net of current portion</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10,697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10,870</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3"/>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226,559</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223,330</w:t>
            </w:r>
          </w:p>
        </w:tc>
        <w:tc>
          <w:tcPr>
            <w:tcW w:w="10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7,694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7,981</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revenue, 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6,493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6,335</w:t>
            </w: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2,762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30,557</w:t>
            </w:r>
          </w:p>
        </w:tc>
      </w:tr>
      <w:tr>
        <w:trPr>
          <w:trHeight w:val="223"/>
        </w:trPr>
        <w:tc>
          <w:tcPr>
            <w:tcW w:w="934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3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55,000,000 shares authorized; 16,182,693 and 16,092,121 shares issued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 w:type="dxa"/>
            <w:vAlign w:val="bottom"/>
            <w:shd w:val="clear" w:color="auto" w:fill="CCEEFF"/>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241,500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239,549</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(46,419)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(46,792)</w:t>
            </w:r>
          </w:p>
        </w:tc>
      </w:tr>
      <w:tr>
        <w:trPr>
          <w:trHeight w:val="230"/>
        </w:trPr>
        <w:tc>
          <w:tcPr>
            <w:tcW w:w="540" w:type="dxa"/>
            <w:vAlign w:val="bottom"/>
          </w:tcPr>
          <w:p>
            <w:pPr>
              <w:spacing w:after="0"/>
              <w:rPr>
                <w:sz w:val="20"/>
                <w:szCs w:val="20"/>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195,097</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192,773</w:t>
            </w:r>
          </w:p>
        </w:tc>
        <w:tc>
          <w:tcPr>
            <w:tcW w:w="100" w:type="dxa"/>
            <w:vAlign w:val="bottom"/>
          </w:tcPr>
          <w:p>
            <w:pPr>
              <w:spacing w:after="0"/>
              <w:rPr>
                <w:sz w:val="20"/>
                <w:szCs w:val="20"/>
                <w:color w:val="auto"/>
              </w:rPr>
            </w:pPr>
          </w:p>
        </w:tc>
      </w:tr>
      <w:tr>
        <w:trPr>
          <w:trHeight w:val="216"/>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226,559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223,330</w:t>
            </w: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19,684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16,686</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10,884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19,086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16,492</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15,564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2,831</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r>
      <w:tr>
        <w:trPr>
          <w:trHeight w:val="230"/>
        </w:trPr>
        <w:tc>
          <w:tcPr>
            <w:tcW w:w="20" w:type="dxa"/>
            <w:vAlign w:val="bottom"/>
          </w:tcPr>
          <w:p>
            <w:pPr>
              <w:spacing w:after="0"/>
              <w:rPr>
                <w:sz w:val="20"/>
                <w:szCs w:val="20"/>
                <w:color w:val="auto"/>
              </w:rPr>
            </w:pPr>
          </w:p>
        </w:tc>
        <w:tc>
          <w:tcPr>
            <w:tcW w:w="96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(1,089)</w:t>
            </w: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(1,089)</w:t>
            </w: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131,294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66,050</w:t>
            </w: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134,603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72,559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2013 condensed consolidated balance sheet data was derived from our audited financial statements at that date. For further information, refer to the consolidated financial statements and accompanying notes for the year ended December 31, 2013 included in our Annual Report on Form 10-K as filed with the Securities and Exchange Commission on February 20, 2014.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the three months ended March 31, 2014, there were no material changes in our significant accounting policies. See Note A to the consolidated financial statements included in our Annual Report on Form 10-K for the year ended December 31, 2013, as filed with the Securities and Exchange Commission on February 20, 2014,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evaluated all recent accounting pronouncements and believe that none of them will have a material effect on our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change in our goodwill for the three months ended March 31,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March 31, 2014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December 31,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920" w:type="dxa"/>
            <w:vAlign w:val="bottom"/>
          </w:tcPr>
          <w:p>
            <w:pPr>
              <w:spacing w:after="0"/>
              <w:rPr>
                <w:sz w:val="10"/>
                <w:szCs w:val="10"/>
                <w:color w:val="auto"/>
              </w:rPr>
            </w:pPr>
          </w:p>
        </w:tc>
        <w:tc>
          <w:tcPr>
            <w:tcW w:w="70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00" w:type="dxa"/>
            <w:vAlign w:val="bottom"/>
          </w:tcPr>
          <w:p>
            <w:pPr>
              <w:spacing w:after="0"/>
              <w:rPr>
                <w:sz w:val="10"/>
                <w:szCs w:val="10"/>
                <w:color w:val="auto"/>
              </w:rPr>
            </w:pPr>
          </w:p>
        </w:tc>
        <w:tc>
          <w:tcPr>
            <w:tcW w:w="106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94"/>
              </w:rPr>
              <w:t>Carrying</w:t>
            </w:r>
          </w:p>
        </w:tc>
        <w:tc>
          <w:tcPr>
            <w:tcW w:w="24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9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900" w:type="dxa"/>
            <w:vAlign w:val="bottom"/>
            <w:gridSpan w:val="2"/>
          </w:tcPr>
          <w:p>
            <w:pPr>
              <w:ind w:left="200"/>
              <w:spacing w:after="0"/>
              <w:rPr>
                <w:sz w:val="20"/>
                <w:szCs w:val="20"/>
                <w:color w:val="auto"/>
              </w:rPr>
            </w:pPr>
            <w:r>
              <w:rPr>
                <w:rFonts w:ascii="Arial" w:cs="Arial" w:eastAsia="Arial" w:hAnsi="Arial"/>
                <w:sz w:val="14"/>
                <w:szCs w:val="14"/>
                <w:color w:val="auto"/>
              </w:rPr>
              <w:t>Net</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7"/>
              </w:rPr>
              <w:t>(7,007)</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$16,153</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$23,160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0"/>
              </w:rPr>
              <w:t>(6,376)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(1,498)</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(1,412)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7"/>
        </w:trPr>
        <w:tc>
          <w:tcPr>
            <w:tcW w:w="5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24,870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(8,505)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16,365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(7,788)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17,082</w:t>
            </w:r>
          </w:p>
        </w:tc>
      </w:tr>
      <w:tr>
        <w:trPr>
          <w:trHeight w:val="20"/>
        </w:trPr>
        <w:tc>
          <w:tcPr>
            <w:tcW w:w="5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intangible assets was $717,000 for each of the three months ended March 31, 2014 and 2013, respectively.</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w w:val="98"/>
              </w:rPr>
              <w:t>At March 31, 2014, future amortization expense for intangible assets was as follows (in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borrowings outstanding at March 31, 2014 and we were in compliance with all covenants under the revolving credit agreement as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Stock-Based Compensation</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2014, 965,527 additional shares were reserved for future issuance under our 2010 Equity Incentive Plan. At March 31, 2014, there were approximately 2.6 million shares available for grant under approved equity compensation plans.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recorded non-cash stock-based compensation expense of $1.3 million and $924,000 for the three months ended March 31, 2014 and 2013, respectively. This expense was allocated as follows (in thousands):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Three Months Ended</w:t>
            </w:r>
          </w:p>
        </w:tc>
      </w:tr>
      <w:tr>
        <w:trPr>
          <w:trHeight w:val="167"/>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color w:val="auto"/>
                <w:w w:val="96"/>
              </w:rPr>
              <w:t>March 31,</w:t>
            </w:r>
          </w:p>
        </w:tc>
      </w:t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2014</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4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$ 924</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of March 31, 2014, there was approximately $11.5 million of unrecognized stock-based compensation expense under our equity compensation plans, which is expected to be recognized on a straight line basis over a weighted average period of 3.1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4"/>
          </w:tcPr>
          <w:p>
            <w:pPr>
              <w:jc w:val="center"/>
              <w:ind w:left="108"/>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1,097,223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119,143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(9,067)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1,142,222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Of the total outstanding options at March 31, 2014, 684,071 were exercisable with a weighted average exercise price of $15.74 per share. The total outstanding options had a weighted average remaining contractual life of 5.9 years.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three months of 2014 was $26.24 and this was estimated on the date of grant using the Black-Scholes option pricing model with the following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4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50"/>
        </w:trPr>
        <w:tc>
          <w:tcPr>
            <w:tcW w:w="3340" w:type="dxa"/>
            <w:vAlign w:val="bottom"/>
          </w:tcPr>
          <w:p>
            <w:pPr>
              <w:spacing w:after="0"/>
              <w:rPr>
                <w:sz w:val="24"/>
                <w:szCs w:val="24"/>
                <w:color w:val="auto"/>
              </w:rPr>
            </w:pPr>
          </w:p>
        </w:tc>
        <w:tc>
          <w:tcPr>
            <w:tcW w:w="4420" w:type="dxa"/>
            <w:vAlign w:val="bottom"/>
          </w:tcPr>
          <w:p>
            <w:pPr>
              <w:jc w:val="right"/>
              <w:ind w:right="375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00" w:type="dxa"/>
            <w:vAlign w:val="bottom"/>
            <w:gridSpan w:val="3"/>
          </w:tcPr>
          <w:p>
            <w:pPr>
              <w:jc w:val="center"/>
              <w:ind w:left="979"/>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2"/>
          </w:tcPr>
          <w:p>
            <w:pPr>
              <w:jc w:val="center"/>
              <w:ind w:left="1419"/>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102,644</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38,236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(25,732)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(1,145)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number of restricted stock units outstanding at March 31, 2014 included 4,942 units that have vested but for which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920" w:type="dxa"/>
            <w:vAlign w:val="bottom"/>
            <w:gridSpan w:val="3"/>
          </w:tcPr>
          <w:p>
            <w:pPr>
              <w:jc w:val="center"/>
              <w:ind w:left="962"/>
              <w:spacing w:after="0"/>
              <w:rPr>
                <w:sz w:val="20"/>
                <w:szCs w:val="20"/>
                <w:color w:val="auto"/>
              </w:rPr>
            </w:pPr>
            <w:r>
              <w:rPr>
                <w:rFonts w:ascii="Arial" w:cs="Arial" w:eastAsia="Arial" w:hAnsi="Arial"/>
                <w:sz w:val="14"/>
                <w:szCs w:val="14"/>
                <w:color w:val="auto"/>
                <w:w w:val="94"/>
              </w:rPr>
              <w:t>Restricted Stock</w:t>
            </w:r>
          </w:p>
        </w:tc>
        <w:tc>
          <w:tcPr>
            <w:tcW w:w="1560" w:type="dxa"/>
            <w:vAlign w:val="bottom"/>
            <w:gridSpan w:val="4"/>
          </w:tcPr>
          <w:p>
            <w:pPr>
              <w:jc w:val="center"/>
              <w:ind w:left="228"/>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Awards</w:t>
            </w:r>
          </w:p>
        </w:tc>
        <w:tc>
          <w:tcPr>
            <w:tcW w:w="40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60" w:type="dxa"/>
            <w:vAlign w:val="bottom"/>
            <w:gridSpan w:val="2"/>
          </w:tcPr>
          <w:p>
            <w:pPr>
              <w:jc w:val="center"/>
              <w:ind w:left="1422"/>
              <w:spacing w:after="0"/>
              <w:rPr>
                <w:sz w:val="20"/>
                <w:szCs w:val="20"/>
                <w:color w:val="auto"/>
              </w:rPr>
            </w:pPr>
            <w:r>
              <w:rPr>
                <w:rFonts w:ascii="Arial" w:cs="Arial" w:eastAsia="Arial" w:hAnsi="Arial"/>
                <w:sz w:val="14"/>
                <w:szCs w:val="14"/>
                <w:color w:val="auto"/>
                <w:w w:val="93"/>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453"/>
              <w:spacing w:after="0"/>
              <w:rPr>
                <w:sz w:val="20"/>
                <w:szCs w:val="20"/>
                <w:color w:val="auto"/>
              </w:rPr>
            </w:pPr>
            <w:r>
              <w:rPr>
                <w:rFonts w:ascii="Arial" w:cs="Arial" w:eastAsia="Arial" w:hAnsi="Arial"/>
                <w:sz w:val="18"/>
                <w:szCs w:val="18"/>
                <w:color w:val="auto"/>
                <w:w w:val="93"/>
              </w:rPr>
              <w:t>48.66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15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48.66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453"/>
              <w:spacing w:after="0"/>
              <w:rPr>
                <w:sz w:val="20"/>
                <w:szCs w:val="20"/>
                <w:color w:val="auto"/>
              </w:rPr>
            </w:pPr>
            <w:r>
              <w:rPr>
                <w:rFonts w:ascii="Arial" w:cs="Arial" w:eastAsia="Arial" w:hAnsi="Arial"/>
                <w:sz w:val="18"/>
                <w:szCs w:val="18"/>
                <w:color w:val="auto"/>
                <w:w w:val="93"/>
              </w:rPr>
              <w:t>48.66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offering period that began on January 1, 2014, we withheld approximately $369,000 from employees participating in the plan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the three months ended March 31, 2014, we recorded approximately $106,000 of stock-based compensation expense associated with the employee stock purchase plan. The fair value was estimated based on the market price of our common stock at the beginning of each offering period and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0.50</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350"/>
        </w:trPr>
        <w:tc>
          <w:tcPr>
            <w:tcW w:w="2780" w:type="dxa"/>
            <w:vAlign w:val="bottom"/>
          </w:tcPr>
          <w:p>
            <w:pPr>
              <w:spacing w:after="0"/>
              <w:rPr>
                <w:sz w:val="24"/>
                <w:szCs w:val="24"/>
                <w:color w:val="auto"/>
              </w:rPr>
            </w:pPr>
          </w:p>
        </w:tc>
        <w:tc>
          <w:tcPr>
            <w:tcW w:w="4980" w:type="dxa"/>
            <w:vAlign w:val="bottom"/>
          </w:tcPr>
          <w:p>
            <w:pPr>
              <w:jc w:val="right"/>
              <w:ind w:right="37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meals and entertainment expense, employee stock purchase plan expense, as well as the federal R&amp;D credit.</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We recorded income tax expense of $218,000 for the three months ended March 31, 2014. We recorded an income tax benefit of $66,000 for the three months ended March 31, 2013. Our provisions for income taxes included current foreign and state income tax expense, as well as deferred tax expense.</w:t>
      </w:r>
    </w:p>
    <w:p>
      <w:pPr>
        <w:spacing w:after="0" w:line="124"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We are subject to U.S federal income tax as well as income tax in various state and international jurisdictions. We are generally subject to tax examinations for all prior years due to our net operating loss carryforwards. As of March 31, 2014, we were not under any income tax audits by tax authorities.</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As of March 31, 2014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Net Income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93" w:lineRule="exact"/>
        <w:rPr>
          <w:sz w:val="20"/>
          <w:szCs w:val="20"/>
          <w:color w:val="auto"/>
        </w:rPr>
      </w:pPr>
    </w:p>
    <w:p>
      <w:pPr>
        <w:jc w:val="center"/>
        <w:ind w:left="6660"/>
        <w:spacing w:after="0"/>
        <w:rPr>
          <w:sz w:val="20"/>
          <w:szCs w:val="20"/>
          <w:color w:val="auto"/>
        </w:rPr>
      </w:pPr>
      <w:r>
        <w:rPr>
          <w:rFonts w:ascii="Arial" w:cs="Arial" w:eastAsia="Arial" w:hAnsi="Arial"/>
          <w:sz w:val="14"/>
          <w:szCs w:val="14"/>
          <w:color w:val="auto"/>
        </w:rPr>
        <w:t>Three Months Ended</w:t>
      </w:r>
    </w:p>
    <w:p>
      <w:pPr>
        <w:jc w:val="center"/>
        <w:ind w:left="666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55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basic</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16,155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14,884</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purchase plan</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552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diluted</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16,830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15,564</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 of approximately 120,000 and 201,000 outstanding potential common shares was excluded from the calculation of diluted net income per share for the three months ended March 31, 2014 and 2013,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For the three months ended March 31, 2014, our revenues were $28.9 million, an increase of 22% from the comparable period in 2013, and represented our 53</w:t>
      </w:r>
      <w:r>
        <w:rPr>
          <w:rFonts w:ascii="Arial" w:cs="Arial" w:eastAsia="Arial" w:hAnsi="Arial"/>
          <w:sz w:val="15"/>
          <w:szCs w:val="15"/>
          <w:color w:val="auto"/>
        </w:rPr>
        <w:t>rd</w:t>
      </w:r>
      <w:r>
        <w:rPr>
          <w:rFonts w:ascii="Arial" w:cs="Arial" w:eastAsia="Arial" w:hAnsi="Arial"/>
          <w:sz w:val="18"/>
          <w:szCs w:val="18"/>
          <w:color w:val="auto"/>
        </w:rPr>
        <w:t xml:space="preserve"> consecutive quarter of increased revenues. Total operating expenses increased 16% and net income increased 87% for the same period in 2014 from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three months ended March 31, 2014,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2013 as filed with the Securities and Exchange Commission on February 20, 2014.</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and stock-based compensation are the most critical to aid in fully understanding and evaluating our financial condition and results of operations.</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During the three months ended March 31, 2014, there were no changes in our significant accounting policies or estimates. See Note A to our consolidated financial statements included in this Quarterly Report on Form 10-Q and in our Annual Report on Form 10-K for the year ended December 31, 2013, as filed with the Securities and Exchange Commission on February 20, 2014, for additional information regarding our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gridSpan w:val="7"/>
          </w:tcPr>
          <w:p>
            <w:pPr>
              <w:jc w:val="right"/>
              <w:ind w:right="1320"/>
              <w:spacing w:after="0"/>
              <w:rPr>
                <w:sz w:val="20"/>
                <w:szCs w:val="20"/>
                <w:color w:val="auto"/>
              </w:rPr>
            </w:pPr>
            <w:r>
              <w:rPr>
                <w:rFonts w:ascii="Arial" w:cs="Arial" w:eastAsia="Arial" w:hAnsi="Arial"/>
                <w:sz w:val="14"/>
                <w:szCs w:val="14"/>
                <w:color w:val="auto"/>
              </w:rPr>
              <w:t>Three Months Ended March 31,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96"/>
              </w:rPr>
              <w:t>2014</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w w:val="89"/>
              </w:rPr>
              <w:t>2013</w:t>
            </w:r>
          </w:p>
        </w:tc>
        <w:tc>
          <w:tcPr>
            <w:tcW w:w="40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860" w:type="dxa"/>
            <w:vAlign w:val="bottom"/>
          </w:tcPr>
          <w:p>
            <w:pPr>
              <w:jc w:val="right"/>
              <w:ind w:right="492"/>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28,939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23,752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7"/>
              </w:rPr>
              <w:t>$5,187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8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29.7</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2,189</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19,684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16,686</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2,998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10,884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1,659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2,974</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2,503</w:t>
            </w:r>
          </w:p>
        </w:tc>
        <w:tc>
          <w:tcPr>
            <w:tcW w:w="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471</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464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717</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8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19,086</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16,492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69.4</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2,594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404</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(0.3)</w:t>
            </w:r>
          </w:p>
        </w:tc>
        <w:tc>
          <w:tcPr>
            <w:tcW w:w="860" w:type="dxa"/>
            <w:vAlign w:val="bottom"/>
            <w:vMerge w:val="restart"/>
          </w:tcPr>
          <w:p>
            <w:pPr>
              <w:jc w:val="right"/>
              <w:ind w:right="272"/>
              <w:spacing w:after="0"/>
              <w:rPr>
                <w:sz w:val="20"/>
                <w:szCs w:val="20"/>
                <w:color w:val="auto"/>
              </w:rPr>
            </w:pPr>
            <w:r>
              <w:rPr>
                <w:rFonts w:ascii="Arial" w:cs="Arial" w:eastAsia="Arial" w:hAnsi="Arial"/>
                <w:sz w:val="18"/>
                <w:szCs w:val="18"/>
                <w:color w:val="auto"/>
              </w:rPr>
              <w:t>54</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3"/>
              </w:rPr>
              <w:t>(88.5)</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458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(284)</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to Three Months Ended March 31, 2013</w:t>
      </w:r>
    </w:p>
    <w:p>
      <w:pPr>
        <w:spacing w:after="0" w:line="11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March 31, 2014 increased $5.2 million, or 22%, to $28.9 million from $23.8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2013.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9% to 20,016 at March 31, 2014 from 18,398 at March 31, 2013.</w:t>
      </w:r>
    </w:p>
    <w:p>
      <w:pPr>
        <w:spacing w:after="0" w:line="130" w:lineRule="exact"/>
        <w:rPr>
          <w:rFonts w:ascii="Arial" w:cs="Arial" w:eastAsia="Arial" w:hAnsi="Arial"/>
          <w:sz w:val="18"/>
          <w:szCs w:val="18"/>
          <w:color w:val="auto"/>
        </w:rPr>
      </w:pPr>
    </w:p>
    <w:p>
      <w:pPr>
        <w:ind w:left="1480" w:right="60" w:hanging="446"/>
        <w:spacing w:after="0" w:line="286"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13% to $5,220 for the three months ended March 31, 2014 from $4,634 for the same period in 2013. This increase in wallet share was primarily attributable to increased fees resulting from increased usage of our solutions by our recurring revenue customers and growth in larger customers.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Recurring revenues from recurring revenue customers accounted for 90% of our total revenues for the three months ended March 31, 2014, compared to 89% for the same period in 2013.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March 31, 2014 increased $2.2 million, or 31%, to $9.3 million from $7.1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2013. The increase in cost of revenues for the three month period in 2014 was primarily due to increased headcount in 2014 which resulted in higher personnel costs. Also contributing to the increase were higher costs of resale and increased expenses for software subscriptions in 2014 as compared to 2013. As a percentage of revenues, cost of revenues was 32% for the three months ended March 31, 2014, compared to 30% for the same period in 2013. Going forward, we anticipate that cost of revenues will increase in absolute dollars as we continue to expand our business.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March 31, 2014 increased $1.7 million, or 18%, to</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$10.9 million from $9.2 million for the same period in 2013. The increase in sales and marketing expenses for the three month period in 2014 was primarily due to increased headcount in 2014, which resulted in higher personnel costs, as well as increased commissions earned by sales personnel from new business. We also had increased expenses for stock-based compensation in 2014 as compared to 2013. As a percentage of revenues, sales and marketing expenses were 38% for the three months ended March 31, 2014 compared to 39% for the same period in 2013. As we expand our business, we will continue to add resources to our sales and marketing efforts over time, and we expect that these expenses will continue to increase in absolute dollars.</w:t>
      </w:r>
    </w:p>
    <w:p>
      <w:pPr>
        <w:spacing w:after="0" w:line="16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three months ended March 31, 2014 increased $471,000, or 19%, to</w:t>
      </w:r>
      <w:r>
        <w:rPr>
          <w:rFonts w:ascii="Arial" w:cs="Arial" w:eastAsia="Arial" w:hAnsi="Arial"/>
          <w:sz w:val="17"/>
          <w:szCs w:val="17"/>
          <w:i w:val="1"/>
          <w:iCs w:val="1"/>
          <w:color w:val="auto"/>
        </w:rPr>
        <w:t xml:space="preserve"> </w:t>
      </w:r>
      <w:r>
        <w:rPr>
          <w:rFonts w:ascii="Arial" w:cs="Arial" w:eastAsia="Arial" w:hAnsi="Arial"/>
          <w:sz w:val="17"/>
          <w:szCs w:val="17"/>
          <w:color w:val="auto"/>
        </w:rPr>
        <w:t>$3.0 million from $2.5 million for the same period in 2013. The increase in research and development expenses for the three month period in 2014 was primarily due to increased headcount in 2014, which resulted in higher personnel costs. We also had increased expenses for stock-based compensation, depreciation and software subscriptions in 2014 as compared to 2013. As a percentage of revenues, research and development expenses were approximately 10% for each of the three months ended March 31, 2014 and 2013, respectively. As we enhance and expand our solutions and applications, we expect that research and development expenses will continue to increase in absolute dollars.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2014 increased $464,000, or 12%, to</w:t>
      </w:r>
      <w:r>
        <w:rPr>
          <w:rFonts w:ascii="Arial" w:cs="Arial" w:eastAsia="Arial" w:hAnsi="Arial"/>
          <w:sz w:val="16"/>
          <w:szCs w:val="16"/>
          <w:i w:val="1"/>
          <w:iCs w:val="1"/>
          <w:color w:val="auto"/>
        </w:rPr>
        <w:t xml:space="preserve"> </w:t>
      </w:r>
      <w:r>
        <w:rPr>
          <w:rFonts w:ascii="Arial" w:cs="Arial" w:eastAsia="Arial" w:hAnsi="Arial"/>
          <w:sz w:val="16"/>
          <w:szCs w:val="16"/>
          <w:color w:val="auto"/>
        </w:rPr>
        <w:t>$4.5 million from $4.0 million for the same period in 2013. The increase in general and administrative expenses for the three month period in 2014 was primarily due to increased stock-based compensation and software maintenance and subscriptions expenses in 2014 as compared to 2013. As a percentage of revenues, general and administrative expenses were 16% for the three months ended March 31, 2014 compared to 17% for the same period in 2013. Going forward, we expect that general and administrative expenses will continue to increase in absolute dollars as we expand our business.</w:t>
      </w:r>
    </w:p>
    <w:p>
      <w:pPr>
        <w:spacing w:after="0" w:line="15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We recorded income tax expense of $218,000 for the three months ended March 31, 2014. We recorded an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$66,000 for the three months ended March 31, 2013. Our provisions for income taxes included current foreign and state income tax expense, as well as deferred tax expense. We expect that our annual effective income tax rate will be approximately 40%.</w:t>
      </w:r>
    </w:p>
    <w:p>
      <w:pPr>
        <w:spacing w:after="0" w:line="16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increase in income tax expense for the three months ended March 31, 2014, compared to the same period in 2013, was primarily due increased pretax income in 2014 as well as a discrete tax benefit in 2013 for the retroactive benefit of the 2012 federal R&amp;D credit. The American Taxpayer Relief Act of 2012 was enacted on January 2, 2013 and extended the federal R&amp;D credit from January 1, 2012 through December 31, 2013.</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which is a non-GAAP measure of financial performance, consists of net income plus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interest expense, interest income, income tax expense, non-cash, stock-based compensation expense and other adjustments as necessary for a fair presentation. The following table provides a reconciliation of net income to Adjusted EBITDA (in thousands):</w:t>
      </w:r>
    </w:p>
    <w:p>
      <w:pPr>
        <w:spacing w:after="0" w:line="188" w:lineRule="exact"/>
        <w:rPr>
          <w:sz w:val="20"/>
          <w:szCs w:val="20"/>
          <w:color w:val="auto"/>
        </w:rPr>
      </w:pPr>
    </w:p>
    <w:p>
      <w:pPr>
        <w:jc w:val="center"/>
        <w:ind w:left="6900"/>
        <w:spacing w:after="0"/>
        <w:rPr>
          <w:sz w:val="20"/>
          <w:szCs w:val="20"/>
          <w:color w:val="auto"/>
        </w:rPr>
      </w:pPr>
      <w:r>
        <w:rPr>
          <w:rFonts w:ascii="Arial" w:cs="Arial" w:eastAsia="Arial" w:hAnsi="Arial"/>
          <w:sz w:val="14"/>
          <w:szCs w:val="14"/>
          <w:color w:val="auto"/>
        </w:rPr>
        <w:t>Three Months Ended</w:t>
      </w:r>
    </w:p>
    <w:p>
      <w:pPr>
        <w:jc w:val="center"/>
        <w:ind w:left="69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2014</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6"/>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1,171</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1,998</w:t>
            </w:r>
          </w:p>
        </w:tc>
        <w:tc>
          <w:tcPr>
            <w:tcW w:w="120" w:type="dxa"/>
            <w:vAlign w:val="bottom"/>
          </w:tcPr>
          <w:p>
            <w:pPr>
              <w:spacing w:after="0"/>
              <w:rPr>
                <w:sz w:val="19"/>
                <w:szCs w:val="19"/>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3,902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2,922</w:t>
            </w:r>
          </w:p>
        </w:tc>
        <w:tc>
          <w:tcPr>
            <w:tcW w:w="12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209"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 Ended</w:t>
      </w:r>
    </w:p>
    <w:p>
      <w:pPr>
        <w:jc w:val="center"/>
        <w:ind w:left="68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536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Non-GAAP income</w:t>
            </w:r>
          </w:p>
        </w:tc>
        <w:tc>
          <w:tcPr>
            <w:tcW w:w="15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Basic</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14,884</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15,564</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At March 31, 2014, our principal sources of liquidity were cash and cash equivalents of $134.6 million and accounts receivable, net of allowance for doubtful accounts, of $12.2 million. Our working capital at March 31, 2014 was $140.9 million compared to $137.2 million at December 31, 2013. The increase in working capital from December 31, 2013 to March 31, 2014 resulted from the following:</w:t>
      </w:r>
    </w:p>
    <w:p>
      <w:pPr>
        <w:spacing w:after="0" w:line="87" w:lineRule="exact"/>
        <w:rPr>
          <w:sz w:val="20"/>
          <w:szCs w:val="20"/>
          <w:color w:val="auto"/>
        </w:rPr>
      </w:pPr>
    </w:p>
    <w:p>
      <w:pPr>
        <w:ind w:left="900" w:right="3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 million increase in cash and cash equivalents, due primarily to the $3.6 million of cash provided by operations and the $587,000 of cash received from the exercise of stock options, reduced by the $861,000 of cash used for capital expenditures;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$555,000 increase in net accounts receivable, as new accounts slightly exceeded collections of outstanding balances for the three months ended March 31, 2014;</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$491,000 increase in deferred costs, current, for expenses related to increased implementation resources and commission payments for new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$445,000 increase in accounts payable, primarily due to timing of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$287,000 decrease in accrued compensation and benefits, due primarily to payroll timing;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$268,000 increase in accrued expenses and other current liabilities due primarily to accrued professional service fees;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$158,000 increase in deferred revenue, current, due to new business for the three months ended March 31,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Net cash provided by operating activities was $3.6 million for the three months ended March 31, 2014 compared to $6.5 million for the same period in 2013. The slight increase in net income, the changes in non-cash expenses, including increased depreciation and stock-based compensation, and the changes in our working capital accounts, including those discussed above, resulted in the overall decrease in net cash provided by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Net cash used in investing activities was $861,000 and $1.1 million for the three months ended March 31, 2014 and 2013, respectively, all for capital expenditures. Our capital expenditures are for supporting our business growth and existing customer base, as well as for our internal use such as equipment for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cash provided by financing activities was $612,000 and $1.0 million for the three months ended March 31, 2014 and 2013, respectively, all related to the exercise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March 31, 2014 and we were in compliance with all covenants under the revolving credit agreement as of that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continue to increase as we grow our business.</w:t>
      </w:r>
    </w:p>
    <w:p>
      <w:pPr>
        <w:spacing w:after="0" w:line="17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believe our cash and cash equivalents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2014. We do not expect that inflation or changing prices will materially affect our business in the foreseeable future.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March 31, 2014. We therefore do not have any material risk to interest rate fluctuations unless we borrow under our credit facility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2014 that have materially affected, or are reasonably likely to materially affect, our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2013 as filed with the Securities and Exchange Commission on February 20, 2014.</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May 1, 2014</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040" w:type="dxa"/>
            <w:vAlign w:val="bottom"/>
            <w:gridSpan w:val="2"/>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ind w:left="40"/>
              <w:spacing w:after="0"/>
              <w:rPr>
                <w:sz w:val="20"/>
                <w:szCs w:val="20"/>
                <w:color w:val="auto"/>
              </w:rPr>
            </w:pPr>
            <w:r>
              <w:rPr>
                <w:rFonts w:ascii="Arial" w:cs="Arial" w:eastAsia="Arial" w:hAnsi="Arial"/>
                <w:sz w:val="14"/>
                <w:szCs w:val="14"/>
                <w:i w:val="1"/>
                <w:iCs w:val="1"/>
                <w:color w:val="auto"/>
                <w:w w:val="99"/>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8"/>
              </w:rPr>
              <w:t>Number</w:t>
            </w:r>
          </w:p>
        </w:tc>
        <w:tc>
          <w:tcPr>
            <w:tcW w:w="53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i w:val="1"/>
                <w:iCs w:val="1"/>
                <w:color w:val="auto"/>
                <w:w w:val="94"/>
              </w:rPr>
              <w:t>Description</w:t>
            </w: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(incorporated by reference to Exhibit 4.1 to our Registration Statement on Form S-3 (File No. 333-182097) filed with the Commission on June 13, 2012).</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(incorporated by reference to Exhibit 3.2 to our Registration Statement on Form S-1/A (File No. 333-163476) filed with the Commission on March 5, 2010).</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117"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62" w:lineRule="exact"/>
        <w:rPr>
          <w:sz w:val="20"/>
          <w:szCs w:val="20"/>
          <w:color w:val="auto"/>
        </w:rPr>
      </w:pPr>
    </w:p>
    <w:p>
      <w:pPr>
        <w:ind w:left="5620" w:right="4820" w:hanging="5612"/>
        <w:spacing w:after="0" w:line="536" w:lineRule="auto"/>
        <w:tabs>
          <w:tab w:leader="none" w:pos="92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(filed herewith). 19</w:t>
      </w:r>
    </w:p>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2014,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2019-12-06T22:00:29Z</dcterms:created>
  <dcterms:modified xsi:type="dcterms:W3CDTF">2019-12-06T22:00:29Z</dcterms:modified>
</cp:coreProperties>
</file>