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80" w:type="dxa"/>
            <w:vAlign w:val="bottom"/>
            <w:tcBorders>
              <w:bottom w:val="single" w:sz="8" w:color="auto"/>
            </w:tcBorders>
          </w:tcPr>
          <w:p>
            <w:pPr>
              <w:spacing w:after="0"/>
              <w:rPr>
                <w:sz w:val="17"/>
                <w:szCs w:val="17"/>
                <w:color w:val="auto"/>
              </w:rPr>
            </w:pPr>
          </w:p>
        </w:tc>
      </w:tr>
      <w:tr>
        <w:trPr>
          <w:trHeight w:val="397"/>
        </w:trPr>
        <w:tc>
          <w:tcPr>
            <w:tcW w:w="43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001-34702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44" w:lineRule="exact"/>
        <w:rPr>
          <w:sz w:val="24"/>
          <w:szCs w:val="24"/>
          <w:color w:val="auto"/>
        </w:rPr>
      </w:pPr>
    </w:p>
    <w:p>
      <w:pPr>
        <w:sectPr>
          <w:pgSz w:w="11900" w:h="16838" w:orient="portrait"/>
          <w:cols w:equalWidth="0" w:num="2">
            <w:col w:w="7500" w:space="720"/>
            <w:col w:w="3200"/>
          </w:cols>
          <w:pgMar w:left="240" w:top="314"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8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3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April 24, 2013 was 15,014,247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1"/>
        </w:trPr>
        <w:tc>
          <w:tcPr>
            <w:tcW w:w="300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6880" w:type="dxa"/>
            <w:vAlign w:val="bottom"/>
            <w:gridSpan w:val="8"/>
          </w:tcPr>
          <w:p>
            <w:pPr>
              <w:spacing w:after="0"/>
              <w:rPr>
                <w:sz w:val="23"/>
                <w:szCs w:val="23"/>
                <w:color w:val="auto"/>
              </w:rPr>
            </w:pPr>
          </w:p>
        </w:tc>
        <w:tc>
          <w:tcPr>
            <w:tcW w:w="1440" w:type="dxa"/>
            <w:vAlign w:val="bottom"/>
          </w:tcPr>
          <w:p>
            <w:pPr>
              <w:spacing w:after="0"/>
              <w:rPr>
                <w:sz w:val="23"/>
                <w:szCs w:val="23"/>
                <w:color w:val="auto"/>
              </w:rPr>
            </w:pPr>
          </w:p>
        </w:tc>
      </w:tr>
      <w:tr>
        <w:trPr>
          <w:trHeight w:val="304"/>
        </w:trPr>
        <w:tc>
          <w:tcPr>
            <w:tcW w:w="2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7860" w:type="dxa"/>
            <w:vAlign w:val="bottom"/>
            <w:gridSpan w:val="13"/>
          </w:tcPr>
          <w:p>
            <w:pPr>
              <w:spacing w:after="0"/>
              <w:rPr>
                <w:sz w:val="24"/>
                <w:szCs w:val="24"/>
                <w:color w:val="auto"/>
              </w:rPr>
            </w:pPr>
          </w:p>
        </w:tc>
        <w:tc>
          <w:tcPr>
            <w:tcW w:w="144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698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2013 (unaudited) and December 31, 2012</w:t>
              </w:r>
            </w:hyperlink>
          </w:p>
        </w:tc>
        <w:tc>
          <w:tcPr>
            <w:tcW w:w="246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2013 and 2012 (unaudited)</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26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March 31, 2013 and 2012 (unaudited)</w:t>
              </w:r>
            </w:hyperlink>
          </w:p>
        </w:tc>
        <w:tc>
          <w:tcPr>
            <w:tcW w:w="1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47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680" w:type="dxa"/>
            <w:vAlign w:val="bottom"/>
            <w:gridSpan w:val="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9880" w:type="dxa"/>
            <w:vAlign w:val="bottom"/>
            <w:gridSpan w:val="2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8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04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3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 Controls and Procedures</w:t>
              </w:r>
            </w:hyperlink>
          </w:p>
        </w:tc>
        <w:tc>
          <w:tcPr>
            <w:tcW w:w="7580" w:type="dxa"/>
            <w:vAlign w:val="bottom"/>
            <w:gridSpan w:val="11"/>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9880" w:type="dxa"/>
            <w:vAlign w:val="bottom"/>
            <w:gridSpan w:val="21"/>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OTHER INFORMATION</w:t>
              </w:r>
            </w:hyperlink>
          </w:p>
        </w:tc>
        <w:tc>
          <w:tcPr>
            <w:tcW w:w="1440" w:type="dxa"/>
            <w:vAlign w:val="bottom"/>
          </w:tcPr>
          <w:p>
            <w:pPr>
              <w:spacing w:after="0"/>
              <w:rPr>
                <w:sz w:val="24"/>
                <w:szCs w:val="24"/>
                <w:color w:val="auto"/>
              </w:rPr>
            </w:pPr>
          </w:p>
        </w:tc>
      </w:tr>
      <w:tr>
        <w:trPr>
          <w:trHeight w:val="304"/>
        </w:trPr>
        <w:tc>
          <w:tcPr>
            <w:tcW w:w="1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 Legal Proceedings</w:t>
              </w:r>
            </w:hyperlink>
          </w:p>
        </w:tc>
        <w:tc>
          <w:tcPr>
            <w:tcW w:w="840" w:type="dxa"/>
            <w:vAlign w:val="bottom"/>
            <w:tcBorders>
              <w:top w:val="single" w:sz="8" w:color="0000EE"/>
            </w:tcBorders>
            <w:gridSpan w:val="4"/>
          </w:tcPr>
          <w:p>
            <w:pPr>
              <w:spacing w:after="0"/>
              <w:rPr>
                <w:sz w:val="24"/>
                <w:szCs w:val="24"/>
                <w:color w:val="auto"/>
              </w:rPr>
            </w:pPr>
          </w:p>
        </w:tc>
        <w:tc>
          <w:tcPr>
            <w:tcW w:w="7180" w:type="dxa"/>
            <w:vAlign w:val="bottom"/>
            <w:gridSpan w:val="10"/>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5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1A. Risk Factors</w:t>
              </w:r>
            </w:hyperlink>
          </w:p>
        </w:tc>
        <w:tc>
          <w:tcPr>
            <w:tcW w:w="8320" w:type="dxa"/>
            <w:vAlign w:val="bottom"/>
            <w:gridSpan w:val="16"/>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2. Unregistered Sales of Equity Securities and Use of Proceeds</w:t>
              </w:r>
            </w:hyperlink>
          </w:p>
        </w:tc>
        <w:tc>
          <w:tcPr>
            <w:tcW w:w="5080" w:type="dxa"/>
            <w:vAlign w:val="bottom"/>
            <w:gridSpan w:val="7"/>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2300" w:type="dxa"/>
            <w:vAlign w:val="bottom"/>
            <w:tcBorders>
              <w:bottom w:val="single" w:sz="8" w:color="0000EE"/>
            </w:tcBorders>
            <w:gridSpan w:val="10"/>
          </w:tcPr>
          <w:p>
            <w:pPr>
              <w:ind w:left="20"/>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Defaults Upon Senior Securities</w:t>
              </w:r>
            </w:hyperlink>
          </w:p>
        </w:tc>
        <w:tc>
          <w:tcPr>
            <w:tcW w:w="706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4.</w:t>
              </w:r>
            </w:hyperlink>
          </w:p>
        </w:tc>
        <w:tc>
          <w:tcPr>
            <w:tcW w:w="1760" w:type="dxa"/>
            <w:vAlign w:val="bottom"/>
            <w:tcBorders>
              <w:bottom w:val="single" w:sz="8" w:color="0000EE"/>
            </w:tcBorders>
            <w:gridSpan w:val="7"/>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Mine Safety Disclosures</w:t>
              </w:r>
            </w:hyperlink>
          </w:p>
        </w:tc>
        <w:tc>
          <w:tcPr>
            <w:tcW w:w="7600" w:type="dxa"/>
            <w:vAlign w:val="bottom"/>
            <w:gridSpan w:val="1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5.</w:t>
              </w:r>
            </w:hyperlink>
          </w:p>
        </w:tc>
        <w:tc>
          <w:tcPr>
            <w:tcW w:w="1320" w:type="dxa"/>
            <w:vAlign w:val="bottom"/>
            <w:tcBorders>
              <w:bottom w:val="single" w:sz="8" w:color="0000EE"/>
            </w:tcBorders>
            <w:gridSpan w:val="4"/>
          </w:tcPr>
          <w:p>
            <w:pPr>
              <w:ind w:left="20"/>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Other Information</w:t>
              </w:r>
            </w:hyperlink>
          </w:p>
        </w:tc>
        <w:tc>
          <w:tcPr>
            <w:tcW w:w="8040" w:type="dxa"/>
            <w:vAlign w:val="bottom"/>
            <w:gridSpan w:val="1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8740" w:type="dxa"/>
            <w:vAlign w:val="bottom"/>
            <w:gridSpan w:val="17"/>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880" w:type="dxa"/>
            <w:vAlign w:val="bottom"/>
            <w:gridSpan w:val="21"/>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Signatures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2012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8800" w:type="dxa"/>
            <w:vAlign w:val="bottom"/>
          </w:tcPr>
          <w:p>
            <w:pPr>
              <w:jc w:val="center"/>
              <w:ind w:left="1352"/>
              <w:spacing w:after="0"/>
              <w:rPr>
                <w:sz w:val="20"/>
                <w:szCs w:val="20"/>
                <w:color w:val="auto"/>
              </w:rPr>
            </w:pPr>
            <w:r>
              <w:rPr>
                <w:rFonts w:ascii="Arial" w:cs="Arial" w:eastAsia="Arial" w:hAnsi="Arial"/>
                <w:sz w:val="18"/>
                <w:szCs w:val="18"/>
                <w:b w:val="1"/>
                <w:bCs w:val="1"/>
                <w:color w:val="auto"/>
                <w:w w:val="99"/>
              </w:rPr>
              <w:t>PART I. – FINANCIAL INFORMATION</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00"/>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6"/>
        </w:trPr>
        <w:tc>
          <w:tcPr>
            <w:tcW w:w="600" w:type="dxa"/>
            <w:vAlign w:val="bottom"/>
          </w:tcPr>
          <w:p>
            <w:pPr>
              <w:spacing w:after="0"/>
              <w:rPr>
                <w:sz w:val="24"/>
                <w:szCs w:val="24"/>
                <w:color w:val="auto"/>
              </w:rPr>
            </w:pPr>
          </w:p>
        </w:tc>
        <w:tc>
          <w:tcPr>
            <w:tcW w:w="880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SPS COMMERCE, INC.</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00" w:type="dxa"/>
            <w:vAlign w:val="bottom"/>
          </w:tcPr>
          <w:p>
            <w:pPr>
              <w:spacing w:after="0"/>
              <w:rPr>
                <w:sz w:val="19"/>
                <w:szCs w:val="19"/>
                <w:color w:val="auto"/>
              </w:rPr>
            </w:pPr>
          </w:p>
        </w:tc>
        <w:tc>
          <w:tcPr>
            <w:tcW w:w="880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600" w:type="dxa"/>
            <w:vAlign w:val="bottom"/>
          </w:tcPr>
          <w:p>
            <w:pPr>
              <w:spacing w:after="0"/>
              <w:rPr>
                <w:sz w:val="19"/>
                <w:szCs w:val="19"/>
                <w:color w:val="auto"/>
              </w:rPr>
            </w:pPr>
          </w:p>
        </w:tc>
        <w:tc>
          <w:tcPr>
            <w:tcW w:w="8800" w:type="dxa"/>
            <w:vAlign w:val="bottom"/>
          </w:tcPr>
          <w:p>
            <w:pPr>
              <w:jc w:val="center"/>
              <w:ind w:left="1332"/>
              <w:spacing w:after="0"/>
              <w:rPr>
                <w:sz w:val="20"/>
                <w:szCs w:val="20"/>
                <w:color w:val="auto"/>
              </w:rPr>
            </w:pPr>
            <w:r>
              <w:rPr>
                <w:rFonts w:ascii="Arial" w:cs="Arial" w:eastAsia="Arial" w:hAnsi="Arial"/>
                <w:sz w:val="18"/>
                <w:szCs w:val="18"/>
                <w:color w:val="auto"/>
                <w:w w:val="86"/>
              </w:rPr>
              <w:t>(Unaudited; in thousands, except share amounts)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0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00" w:type="dxa"/>
            <w:vAlign w:val="bottom"/>
            <w:tcBorders>
              <w:bottom w:val="single" w:sz="8" w:color="CCEEFF"/>
            </w:tcBorders>
          </w:tcPr>
          <w:p>
            <w:pPr>
              <w:spacing w:after="0"/>
              <w:rPr>
                <w:sz w:val="14"/>
                <w:szCs w:val="14"/>
                <w:color w:val="auto"/>
              </w:rPr>
            </w:pPr>
          </w:p>
        </w:tc>
        <w:tc>
          <w:tcPr>
            <w:tcW w:w="8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00" w:type="dxa"/>
            <w:vAlign w:val="bottom"/>
            <w:shd w:val="clear" w:color="auto" w:fill="CCEEFF"/>
          </w:tcPr>
          <w:p>
            <w:pPr>
              <w:spacing w:after="0"/>
              <w:rPr>
                <w:sz w:val="17"/>
                <w:szCs w:val="17"/>
                <w:color w:val="auto"/>
              </w:rPr>
            </w:pPr>
          </w:p>
        </w:tc>
        <w:tc>
          <w:tcPr>
            <w:tcW w:w="8800" w:type="dxa"/>
            <w:vAlign w:val="bottom"/>
            <w:shd w:val="clear" w:color="auto" w:fill="CCEEFF"/>
          </w:tcPr>
          <w:p>
            <w:pPr>
              <w:ind w:left="36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72,559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66,050</w:t>
            </w: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Accounts receivable, less allowance for doubtful accounts of $226 and $227, respectively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10,788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10,940</w:t>
            </w: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18"/>
                <w:szCs w:val="18"/>
                <w:color w:val="auto"/>
              </w:rPr>
            </w:pPr>
          </w:p>
        </w:tc>
      </w:tr>
      <w:tr>
        <w:trPr>
          <w:trHeight w:val="221"/>
        </w:trPr>
        <w:tc>
          <w:tcPr>
            <w:tcW w:w="600" w:type="dxa"/>
            <w:vAlign w:val="bottom"/>
          </w:tcPr>
          <w:p>
            <w:pPr>
              <w:spacing w:after="0"/>
              <w:rPr>
                <w:sz w:val="19"/>
                <w:szCs w:val="19"/>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95,652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91,511</w:t>
            </w:r>
          </w:p>
        </w:tc>
      </w:tr>
      <w:tr>
        <w:trPr>
          <w:trHeight w:val="218"/>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25,487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20,240</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10,925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162,779</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159,201</w:t>
            </w:r>
          </w:p>
        </w:tc>
      </w:tr>
      <w:tr>
        <w:trPr>
          <w:trHeight w:val="20"/>
        </w:trPr>
        <w:tc>
          <w:tcPr>
            <w:tcW w:w="60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00" w:type="dxa"/>
            <w:vAlign w:val="bottom"/>
            <w:shd w:val="clear" w:color="auto" w:fill="CCEEFF"/>
          </w:tcPr>
          <w:p>
            <w:pPr>
              <w:spacing w:after="0"/>
              <w:rPr>
                <w:sz w:val="18"/>
                <w:szCs w:val="18"/>
                <w:color w:val="auto"/>
              </w:rPr>
            </w:pPr>
          </w:p>
        </w:tc>
        <w:tc>
          <w:tcPr>
            <w:tcW w:w="880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6,697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23"/>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14,471</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r>
      <w:tr>
        <w:trPr>
          <w:trHeight w:val="223"/>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r>
      <w:tr>
        <w:trPr>
          <w:trHeight w:val="216"/>
        </w:trPr>
        <w:tc>
          <w:tcPr>
            <w:tcW w:w="600" w:type="dxa"/>
            <w:vAlign w:val="bottom"/>
            <w:shd w:val="clear" w:color="auto" w:fill="CCEEFF"/>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25,790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24,384</w:t>
            </w: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$0.001 par value; 55,000,000 shares authorized; 15,001,667 and 14,812,759 shares issued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00" w:type="dxa"/>
            <w:vAlign w:val="bottom"/>
            <w:shd w:val="clear" w:color="auto" w:fill="CCEEFF"/>
          </w:tcPr>
          <w:p>
            <w:pPr>
              <w:spacing w:after="0"/>
              <w:rPr>
                <w:sz w:val="19"/>
                <w:szCs w:val="19"/>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184,618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182,645</w:t>
            </w:r>
          </w:p>
        </w:tc>
      </w:tr>
      <w:tr>
        <w:trPr>
          <w:trHeight w:val="216"/>
        </w:trPr>
        <w:tc>
          <w:tcPr>
            <w:tcW w:w="9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(47,644)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(47,843)</w:t>
            </w:r>
          </w:p>
        </w:tc>
      </w:tr>
      <w:tr>
        <w:trPr>
          <w:trHeight w:val="230"/>
        </w:trPr>
        <w:tc>
          <w:tcPr>
            <w:tcW w:w="60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136,989</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134,817</w:t>
            </w:r>
          </w:p>
        </w:tc>
        <w:tc>
          <w:tcPr>
            <w:tcW w:w="100" w:type="dxa"/>
            <w:vAlign w:val="bottom"/>
          </w:tcPr>
          <w:p>
            <w:pPr>
              <w:spacing w:after="0"/>
              <w:rPr>
                <w:sz w:val="20"/>
                <w:szCs w:val="20"/>
                <w:color w:val="auto"/>
              </w:rPr>
            </w:pPr>
          </w:p>
        </w:tc>
      </w:tr>
      <w:tr>
        <w:trPr>
          <w:trHeight w:val="216"/>
        </w:trPr>
        <w:tc>
          <w:tcPr>
            <w:tcW w:w="60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162,779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159,201</w:t>
            </w:r>
          </w:p>
        </w:tc>
      </w:tr>
      <w:tr>
        <w:trPr>
          <w:trHeight w:val="20"/>
        </w:trPr>
        <w:tc>
          <w:tcPr>
            <w:tcW w:w="60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23,752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12,086</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16,492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14,884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13,185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(1,089)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(1,089)</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66,050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72,559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SPS COMMERCE,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2012 balance sheet data was derived from our audited financial statements at that date. For further information, refer to the consolidated financial statements and accompanying notes for the year ended December 31, 2012 included in our Annual Report on Form 10-K as filed with the Securities and Exchange Commission on March 6,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March 31, 2013, there were no material changes in our significant accounting policies. See Note A to the consolidated financial statements included in our Annual Report on Form 10-K for the year ended December 31, 2012, as filed with the Securities and Exchange Commission on March 6, 2013,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B –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8"/>
              </w:rPr>
              <w:t>March 31, 2013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1"/>
              </w:rPr>
              <w:t>December 31, 2012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060" w:type="dxa"/>
            <w:vAlign w:val="bottom"/>
          </w:tcPr>
          <w:p>
            <w:pPr>
              <w:spacing w:after="0"/>
              <w:rPr>
                <w:sz w:val="11"/>
                <w:szCs w:val="11"/>
                <w:color w:val="auto"/>
              </w:rPr>
            </w:pPr>
          </w:p>
        </w:tc>
        <w:tc>
          <w:tcPr>
            <w:tcW w:w="70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1"/>
                <w:szCs w:val="11"/>
                <w:color w:val="auto"/>
              </w:rPr>
            </w:pPr>
          </w:p>
        </w:tc>
        <w:tc>
          <w:tcPr>
            <w:tcW w:w="90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w w:val="98"/>
              </w:rPr>
              <w:t>Carrying</w:t>
            </w:r>
          </w:p>
        </w:tc>
        <w:tc>
          <w:tcPr>
            <w:tcW w:w="240" w:type="dxa"/>
            <w:vAlign w:val="bottom"/>
          </w:tcPr>
          <w:p>
            <w:pPr>
              <w:spacing w:after="0"/>
              <w:rPr>
                <w:sz w:val="11"/>
                <w:szCs w:val="11"/>
                <w:color w:val="auto"/>
              </w:rPr>
            </w:pPr>
          </w:p>
        </w:tc>
        <w:tc>
          <w:tcPr>
            <w:tcW w:w="96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060" w:type="dxa"/>
            <w:vAlign w:val="bottom"/>
          </w:tcPr>
          <w:p>
            <w:pPr>
              <w:spacing w:after="0"/>
              <w:rPr>
                <w:sz w:val="13"/>
                <w:szCs w:val="13"/>
                <w:color w:val="auto"/>
              </w:rPr>
            </w:pPr>
          </w:p>
        </w:tc>
        <w:tc>
          <w:tcPr>
            <w:tcW w:w="7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3"/>
                <w:szCs w:val="13"/>
                <w:color w:val="auto"/>
              </w:rPr>
            </w:pP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3"/>
                <w:szCs w:val="13"/>
                <w:color w:val="auto"/>
              </w:rPr>
            </w:pP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96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(4,482)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$18,678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(3,850)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845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(5,347)</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19,523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20,240</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for intangible assets was $717,000 and $260,000 for the three months ended March 31, 2013 and 2012, respectively.</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w w:val="97"/>
              </w:rPr>
              <w:t>At March 31, 2013, future amortization expense for intangible assets was as follows (in thousands):</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2016</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table above does not include amounts related to non-competition agreements where the term of the agreement has not yet started. The term of such agreements, and the related amortization, begins with the termination of employment of the respective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March 31, 2013 and we were in compliance with all covenants under the revolving credit agreement as of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D – Stock-Based Compensation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to employees, non-employee directors and other consultants who provide services to us. Each award exercised or vested results in the issuance of new shares. In January 2013, 888,765 additional shares were reserved for future issuance under our 2010 Equity Incentive Plan. At March 31, 2013, there were approximately 1.8 million shares available for grant under approved equity compensation plans.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recorded non-cash stock-based compensation expense of $924,000 and $612,000 for the three months ended March 31, 2013 and 2012,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expense was allocated as follows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color w:val="auto"/>
              </w:rPr>
              <w:t>Three Months Ended</w:t>
            </w:r>
          </w:p>
        </w:tc>
      </w:tr>
      <w:tr>
        <w:trPr>
          <w:trHeight w:val="159"/>
        </w:trPr>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w w:val="86"/>
              </w:rPr>
              <w:t>March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color w:val="auto"/>
                <w:w w:val="76"/>
              </w:rPr>
              <w:t>2013</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924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2013, there was approximately $9.9 million of unrecognized stock-based compensation expense under our equity compensation plans, which is expected to be recognized on a straight line basis over a weighted average period of 3.2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center"/>
              <w:ind w:left="112"/>
              <w:spacing w:after="0"/>
              <w:rPr>
                <w:sz w:val="20"/>
                <w:szCs w:val="20"/>
                <w:color w:val="auto"/>
              </w:rPr>
            </w:pPr>
            <w:r>
              <w:rPr>
                <w:rFonts w:ascii="Arial" w:cs="Arial" w:eastAsia="Arial" w:hAnsi="Arial"/>
                <w:sz w:val="14"/>
                <w:szCs w:val="14"/>
                <w:color w:val="auto"/>
                <w:w w:val="85"/>
              </w:rPr>
              <w:t>Weighted 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Exercise Price</w:t>
            </w:r>
          </w:p>
        </w:tc>
      </w:tr>
      <w:tr>
        <w:trPr>
          <w:trHeight w:val="159"/>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760" w:type="dxa"/>
            <w:vAlign w:val="bottom"/>
          </w:tcPr>
          <w:p>
            <w:pPr>
              <w:jc w:val="right"/>
              <w:ind w:right="238"/>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1,370,141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201,006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(175,222)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1,394,617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Of the total outstanding options at March 31, 2013, 736,542 were exercisable with a weighted average exercise price of $9.49 per share. The total outstanding options had a weighted average remaining contractual life of 5.7 years.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three months of 2013 was $14.00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46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356"/>
        </w:trPr>
        <w:tc>
          <w:tcPr>
            <w:tcW w:w="3300" w:type="dxa"/>
            <w:vAlign w:val="bottom"/>
          </w:tcPr>
          <w:p>
            <w:pPr>
              <w:spacing w:after="0"/>
              <w:rPr>
                <w:sz w:val="24"/>
                <w:szCs w:val="24"/>
                <w:color w:val="auto"/>
              </w:rPr>
            </w:pPr>
          </w:p>
        </w:tc>
        <w:tc>
          <w:tcPr>
            <w:tcW w:w="4460" w:type="dxa"/>
            <w:vAlign w:val="bottom"/>
          </w:tcPr>
          <w:p>
            <w:pPr>
              <w:jc w:val="right"/>
              <w:ind w:right="3752"/>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27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 Units and Awards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Restricted stock units vest over four years and restricted stock awards vest over one year. Upon vesting, the holder is entitled to receive shares of our common stock. Our restricted stock units and restricted stock awards activity was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Units and</w:t>
            </w:r>
          </w:p>
        </w:tc>
        <w:tc>
          <w:tcPr>
            <w:tcW w:w="1440" w:type="dxa"/>
            <w:vAlign w:val="bottom"/>
            <w:gridSpan w:val="4"/>
          </w:tcPr>
          <w:p>
            <w:pPr>
              <w:jc w:val="right"/>
              <w:ind w:right="12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Awards</w:t>
            </w:r>
          </w:p>
        </w:tc>
        <w:tc>
          <w:tcPr>
            <w:tcW w:w="3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5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3"/>
              </w:rPr>
              <w:t>(#)</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3"/>
              </w:rPr>
              <w:t>Value ($/share)</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73,516</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57,205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(13,686)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117,035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Effective July 1, 2012, we adopted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July 1 and January 1 of each calendar year. A total of 1.2 million shares of common stock are reserved for issuance under the plan.</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2013, we have withheld approximately $271,000 from employees participating in the plan for the offering period that began on January 1, 2013 and a total of approximately 1.2 million shares were available for future purchases under the plan.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March 31, 2013, we recorded approximately $93,000 of stock-based compensation expense associated with the employee stock purchase plan. The fair value was estimated based on the market price of our common stock at the beginning of the offering period, which was $37.27 per share, and using the Black-Scholes option pricing model with the following assumptions: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recorded an income tax benefit of $66,000 for the three months ended March 31, 2013. We recorded income tax expense of $153,000 for the three months ended March 31, 2012. We record our interim provision for income taxes based on our estimated annual effective tax rate for the year. Our provisions for income taxes included current foreign and state income tax expense, as well as deferred tax expense.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decrease in income tax expense for the three months ended March 31, 2013, compared to the three months ended March 31, 2012, was primarily due to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2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income taxes in the U.S. federal and various state and international jurisdictions. As of March 31, 2013, we are generally subject to tax examinations for all prior years due to our net operating loss carryforwards.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March 31, 2013,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Net Income Per Share</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and awards. Potential common shares that are anti-dilutive are excluded from the calculation of diluted net income per share.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r>
      <w:tr>
        <w:trPr>
          <w:trHeight w:val="159"/>
        </w:trPr>
        <w:tc>
          <w:tcPr>
            <w:tcW w:w="5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9"/>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basic</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14,884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12,163</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860"/>
              <w:spacing w:after="0"/>
              <w:rPr>
                <w:sz w:val="20"/>
                <w:szCs w:val="20"/>
                <w:color w:val="auto"/>
              </w:rPr>
            </w:pPr>
            <w:r>
              <w:rPr>
                <w:rFonts w:ascii="Arial" w:cs="Arial" w:eastAsia="Arial" w:hAnsi="Arial"/>
                <w:sz w:val="18"/>
                <w:szCs w:val="18"/>
                <w:color w:val="auto"/>
              </w:rPr>
              <w:t>Restricted stock units and awards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stock purchase plan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2"/>
        </w:trPr>
        <w:tc>
          <w:tcPr>
            <w:tcW w:w="554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diluted</w:t>
            </w:r>
          </w:p>
        </w:tc>
        <w:tc>
          <w:tcPr>
            <w:tcW w:w="1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15,564</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13,185</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2013, the effect of approximately 201,000 outstanding potential common shares was excluded from the calculation of diluted net income per share because they were anti-dilutive. For the three months ended March 31, 2012, the effect of all outstanding potential common shares was included in the calculation of diluted net income per share.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continue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allow us to offer new functionalities.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three months ended March 31, 2013,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2012 as filed with the Securities and Exchange Commission on March 6, 2013.</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three months ended March 31, 2013, there were no significant changes in our critical accounting policies or estimates.</w:t>
      </w:r>
    </w:p>
    <w:p>
      <w:pPr>
        <w:spacing w:after="0" w:line="17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2012, as filed with the Securities and Exchange Commission on March 6, 2013, for additional information regarding our critical accounting policies, as well as a description of our other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vMerge w:val="restart"/>
          </w:tcPr>
          <w:p>
            <w:pPr>
              <w:jc w:val="right"/>
              <w:ind w:right="6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596"/>
              <w:spacing w:after="0" w:line="142" w:lineRule="exact"/>
              <w:rPr>
                <w:sz w:val="20"/>
                <w:szCs w:val="20"/>
                <w:color w:val="auto"/>
              </w:rPr>
            </w:pPr>
            <w:r>
              <w:rPr>
                <w:rFonts w:ascii="Arial" w:cs="Arial" w:eastAsia="Arial" w:hAnsi="Arial"/>
                <w:sz w:val="14"/>
                <w:szCs w:val="14"/>
                <w:color w:val="auto"/>
                <w:w w:val="83"/>
              </w:rPr>
              <w:t>2013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595"/>
              <w:spacing w:after="0" w:line="142" w:lineRule="exact"/>
              <w:rPr>
                <w:sz w:val="20"/>
                <w:szCs w:val="20"/>
                <w:color w:val="auto"/>
              </w:rPr>
            </w:pPr>
            <w:r>
              <w:rPr>
                <w:rFonts w:ascii="Arial" w:cs="Arial" w:eastAsia="Arial" w:hAnsi="Arial"/>
                <w:sz w:val="14"/>
                <w:szCs w:val="14"/>
                <w:color w:val="auto"/>
                <w:w w:val="76"/>
              </w:rPr>
              <w:t>2012</w:t>
            </w:r>
          </w:p>
        </w:tc>
        <w:tc>
          <w:tcPr>
            <w:tcW w:w="3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23,752</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16,534</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87"/>
              </w:rPr>
              <w:t>$7,218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7,066</w:t>
            </w:r>
          </w:p>
        </w:tc>
        <w:tc>
          <w:tcPr>
            <w:tcW w:w="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26.9</w:t>
            </w: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2,618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16,686</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12,086</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4,600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2,778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2,503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771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859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457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16,492</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11,627</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w:t>
            </w:r>
          </w:p>
        </w:tc>
        <w:tc>
          <w:tcPr>
            <w:tcW w:w="7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4,865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2.8</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color w:val="auto"/>
              </w:rPr>
              <w:t>(265)</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13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(0.3)</w:t>
            </w:r>
          </w:p>
        </w:tc>
        <w:tc>
          <w:tcPr>
            <w:tcW w:w="720" w:type="dxa"/>
            <w:vAlign w:val="bottom"/>
            <w:vMerge w:val="restart"/>
          </w:tcPr>
          <w:p>
            <w:pPr>
              <w:jc w:val="right"/>
              <w:ind w:right="75"/>
              <w:spacing w:after="0"/>
              <w:rPr>
                <w:sz w:val="20"/>
                <w:szCs w:val="20"/>
                <w:color w:val="auto"/>
              </w:rPr>
            </w:pPr>
            <w:r>
              <w:rPr>
                <w:rFonts w:ascii="Arial" w:cs="Arial" w:eastAsia="Arial" w:hAnsi="Arial"/>
                <w:sz w:val="18"/>
                <w:szCs w:val="18"/>
                <w:color w:val="auto"/>
              </w:rPr>
              <w:t>(11)</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3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Income tax benefit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720" w:type="dxa"/>
            <w:vAlign w:val="bottom"/>
          </w:tcPr>
          <w:p>
            <w:pPr>
              <w:jc w:val="right"/>
              <w:ind w:right="135"/>
              <w:spacing w:after="0"/>
              <w:rPr>
                <w:sz w:val="20"/>
                <w:szCs w:val="20"/>
                <w:color w:val="auto"/>
              </w:rPr>
            </w:pPr>
            <w:r>
              <w:rPr>
                <w:rFonts w:ascii="Arial" w:cs="Arial" w:eastAsia="Arial" w:hAnsi="Arial"/>
                <w:sz w:val="18"/>
                <w:szCs w:val="18"/>
                <w:color w:val="auto"/>
              </w:rPr>
              <w:t>219</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right"/>
        <w:ind w:right="5620"/>
        <w:spacing w:after="0" w:line="440" w:lineRule="auto"/>
        <w:rPr>
          <w:sz w:val="20"/>
          <w:szCs w:val="20"/>
          <w:color w:val="auto"/>
        </w:rPr>
      </w:pPr>
      <w:r>
        <w:rPr>
          <w:rFonts w:ascii="Arial" w:cs="Arial" w:eastAsia="Arial" w:hAnsi="Arial"/>
          <w:sz w:val="18"/>
          <w:szCs w:val="18"/>
          <w:color w:val="auto"/>
        </w:rPr>
        <w:t>Due to rounding, totals may not equal the sum of the line items in the table above. 12</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Months Ended March 31, 2013 compared to Three Months Ended March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the three months ended March 31, 2013 increased $7.2 million, or 44%, to $23.8 million from $16.5 million for the same period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Our fiscal quarter ended March 31, 2013 represented our 49</w:t>
      </w:r>
      <w:r>
        <w:rPr>
          <w:rFonts w:ascii="Arial" w:cs="Arial" w:eastAsia="Arial" w:hAnsi="Arial"/>
          <w:sz w:val="11"/>
          <w:szCs w:val="11"/>
          <w:color w:val="auto"/>
        </w:rPr>
        <w:t>th</w:t>
      </w:r>
      <w:r>
        <w:rPr>
          <w:rFonts w:ascii="Arial" w:cs="Arial" w:eastAsia="Arial" w:hAnsi="Arial"/>
          <w:sz w:val="18"/>
          <w:szCs w:val="18"/>
          <w:color w:val="auto"/>
        </w:rPr>
        <w:t xml:space="preserve"> consecutive quarter of increased revenues.</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51"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12% to 18,398 at March 31, 2013 from 16,433 at March 31, 2012.</w:t>
      </w:r>
    </w:p>
    <w:p>
      <w:pPr>
        <w:spacing w:after="0" w:line="90" w:lineRule="exact"/>
        <w:rPr>
          <w:rFonts w:ascii="Arial" w:cs="Arial" w:eastAsia="Arial" w:hAnsi="Arial"/>
          <w:sz w:val="18"/>
          <w:szCs w:val="18"/>
          <w:color w:val="auto"/>
        </w:rPr>
      </w:pPr>
    </w:p>
    <w:p>
      <w:pPr>
        <w:ind w:left="1480" w:right="80" w:hanging="446"/>
        <w:spacing w:after="0" w:line="306"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increased 31% to $4,634 for the three months ended March 31, 2013 from $3,529 for the same period in 2012. This increase was primarily attributable to increased fees resulting from increased usage of our solutions by our recurring revenue customers and growth in larger customers, including those acquired from Edifice in 2012.</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Recurring revenues from recurring revenue customers accounted for 89% of our total revenues for the three months ended March 31, 2013, compared to 87% for the same period in 2012.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0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March 31, 2013 increased $2.6 million, or 59%, to $7.1 million from $4.4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2012. The increase in cost of revenues was primarily due to increased headcount in 2013 which resulted in higher personnel costs. Also contributing to the increase were higher expenses for depreciation and occupancy in 2013 as compared to 2012. As a percentage of revenues, cost of revenues was 30% for the three months ended March 31, 2013, compared to 27% for the same period in 2012. Going forward, we anticipate that cost of revenues will increase in absolute dollars as we continue to expand our business.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March 31, 2013 increased $2.8 million, or 43%, to $9.2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$6.4 million for the same period in 2012. The increase in sales and marketing expenses was primarily due to increased headcount in 2013 which resulted in higher personnel costs, as well as increased commissions earned by sales personnel from new business. We also had increased expenses for marketing, depreciation, stock-based compensation and occupancy in 2013 as compared to 2012. As a percentage of revenues, sales and marketing expenses were 39% for each of the three months ended March 31, 2013 and 2012. As we expand our business, we will continue to add resources to our sales and marketing efforts over time, and we expect that these expenses will continue to increase in absolute dollars.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2013 increased $771,000, or 45%, to $2.5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$1.7 million for the same period in 2012. The increase in research and development expenses was primarily due to increased headcount in 2013 which resulted in higher personnel costs. Expenses for depreciation, occupancy and stock-based compensation also increased in 2013 as compared to 2012. As a percentage of revenues, research and development expenses were 11% for each of the three months ended March 31, 2013 and 2012. As we enhance and expand our solutions and applications, we expect that research and development expenses will continue to increase in absolute dollars.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General and Administrative Expenses. </w:t>
      </w:r>
      <w:r>
        <w:rPr>
          <w:rFonts w:ascii="Arial" w:cs="Arial" w:eastAsia="Arial" w:hAnsi="Arial"/>
          <w:sz w:val="16"/>
          <w:szCs w:val="16"/>
          <w:color w:val="auto"/>
        </w:rPr>
        <w:t>General and administrative expenses for the three months ended March 31, 2013 increased $859,000, or 27%,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 million from $3.2 million for the same period in 2012. The increase in general and administrative expenses was primarily due to increased headcount in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resulted in higher personnel costs, as well as increased stock-based compensation, depreciation and software maintenance expenses.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general and administrative expenses were 17% for the three months ended March 31, 2013 compared to 19% for the same period in 2012. 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forward, we expect that general and administrative expenses will continue to increase in absolute dollars as we expand our business.</w:t>
      </w:r>
    </w:p>
    <w:p>
      <w:pPr>
        <w:spacing w:after="0" w:line="16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$717,000 for the three months ended March 31, 2013, compared to $260,000 for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2012. The increase in amortization expense in 2013 from 2012 was the result of the August 2012 acquisition of Edifice.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Interest income for the three months ended March 31, 2013 was $23,000, compared to $15,000 for the same period in 2012.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three months ended March 31, 2013 was $84,000 and $65,000 for the same period in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We recorded an income tax benefit of $66,000 for the three months ended March 31, 2013 and income tax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$153,000 for the three months ended March 31, 2012. We record our interim provision for income taxes based on our estimated annual effective tax rate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Our provisions for income taxes included current foreign and state income tax expense, as well as deferred tax expense. The decrease in income tax expense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for the three months ended March 31, 2013, compared to the three months ended March 31, 2012, was primarily due to a discrete tax benefit of $117,000 in 2013</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retroactive benefit of the 2012 federal R&amp;D credit. The American Taxpayer Relief Act of 2012 was enacted on January 2, 2013 and extended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R&amp;D credit from January 1, 2012 through December 31, 2013.</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(benefit)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30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59"/>
        </w:trPr>
        <w:tc>
          <w:tcPr>
            <w:tcW w:w="5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4"/>
          </w:tcPr>
          <w:p>
            <w:pPr>
              <w:jc w:val="right"/>
              <w:ind w:right="3"/>
              <w:spacing w:after="0" w:line="159" w:lineRule="exact"/>
              <w:rPr>
                <w:sz w:val="20"/>
                <w:szCs w:val="20"/>
                <w:color w:val="auto"/>
              </w:rPr>
            </w:pPr>
            <w:r>
              <w:rPr>
                <w:rFonts w:ascii="Arial" w:cs="Arial" w:eastAsia="Arial" w:hAnsi="Arial"/>
                <w:sz w:val="14"/>
                <w:szCs w:val="14"/>
                <w:color w:val="auto"/>
              </w:rPr>
              <w:t>March 31,</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9"/>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Depreciation and amortization of property and equipment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(benefit) expense</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EBITDA</w:t>
            </w:r>
          </w:p>
        </w:tc>
        <w:tc>
          <w:tcPr>
            <w:tcW w:w="1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20"/>
                <w:szCs w:val="20"/>
                <w:color w:val="auto"/>
              </w:rPr>
            </w:pPr>
            <w:r>
              <w:rPr>
                <w:rFonts w:ascii="Arial" w:cs="Arial" w:eastAsia="Arial" w:hAnsi="Arial"/>
                <w:sz w:val="18"/>
                <w:szCs w:val="18"/>
                <w:color w:val="auto"/>
              </w:rPr>
              <w:t>Adjusted EBITDA</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2,922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ind w:left="4240"/>
              <w:spacing w:after="0"/>
              <w:rPr>
                <w:sz w:val="20"/>
                <w:szCs w:val="20"/>
                <w:color w:val="auto"/>
              </w:rPr>
            </w:pPr>
            <w:r>
              <w:rPr>
                <w:rFonts w:ascii="Arial" w:cs="Arial" w:eastAsia="Arial" w:hAnsi="Arial"/>
                <w:sz w:val="18"/>
                <w:szCs w:val="18"/>
                <w:color w:val="auto"/>
              </w:rPr>
              <w:t>14</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ind w:right="2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r>
      <w:tr>
        <w:trPr>
          <w:trHeight w:val="159"/>
        </w:trPr>
        <w:tc>
          <w:tcPr>
            <w:tcW w:w="5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2013</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Non-GAAP income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Basic</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14,884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12,163</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15,564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13,185</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r>
      <w:tr>
        <w:trPr>
          <w:trHeight w:val="222"/>
        </w:trPr>
        <w:tc>
          <w:tcPr>
            <w:tcW w:w="53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March 31, 2013, our principal sources of liquidity were cash and cash equivalents of $72.6 million and accounts receivable, net of allowance for doubtful accounts, of $10.8 million. Our working capital at March 31, 2013 was $80.0 million compared to $77.0 million at December 31, 2012. The increase in working capital from December 31, 2012 to March 31, 2013 resulted from the following:</w:t>
      </w:r>
    </w:p>
    <w:p>
      <w:pPr>
        <w:spacing w:after="0" w:line="59" w:lineRule="exact"/>
        <w:rPr>
          <w:sz w:val="20"/>
          <w:szCs w:val="20"/>
          <w:color w:val="auto"/>
        </w:rPr>
      </w:pPr>
    </w:p>
    <w:p>
      <w:pPr>
        <w:ind w:left="900" w:right="2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 million increase in cash and cash equivalents, due primarily to cash provided by operations and the exercise of stock options, reduced by the cash used for capital expenditures;</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$152,000 decrease in net accounts receivable, as collections of outstanding balances slightly exceeded new accounts for the three months ended March 31, 2013;</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$514,000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 million decrease in prepaid expenses and other current assets, primarily related to the Edifice acquisition in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$177,000 increase in accounts payable, primarily due to timing of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$659,000 increase in accrued compensation and benefits, due primarily to increased headcount and payroll timing;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$14,000 decrease in accrued expenses and other current liabilities;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$328,000 increase in deferred revenue, current, due to new business for the three months ended March 31, 2013.</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Flows from Operating Activities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cash provided by operating activities was $6.5 million for the three months ended March 31, 2013 compared to $1.6 million for the same period in 2012. The slight decrease in net income, the changes in non-cash expenses, including increased depreciation, amortization and stock-based compensation, and the changes in our working capital accounts, including those discussed above, resulted in the overall increase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Net cash used in investing activities was $1.1 million and $630,000 for the three months ended March 31, 2013 and 2012, respectively, all for capital expenditures. Our capital expenditures are for supporting our business growth and existing customer base, as well as for our internal use such as equipment for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cash provided by financing activities was $1.0 million and $104,000 for the three months ended March 31, 2013 and 2012, respectively, all from the exercise of stock options.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March 31, 2013 and we were in compliance with all covenants under the revolving credit agreement as of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2013. We do not expect that inflation or changing prices will materially affect our business in the foreseeable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March 31, 2013. We therefore do not have any material risk to interest rate fluctuations unless we borrow under our credit facility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2013 that have materially affected, or are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2012 as filed with the Securities and Exchange Commission on March 6,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18</w:t>
      </w:r>
    </w:p>
    <w:p>
      <w:pPr>
        <w:sectPr>
          <w:pgSz w:w="11900" w:h="16838" w:orient="portrait"/>
          <w:cols w:equalWidth="0" w:num="1">
            <w:col w:w="11380"/>
          </w:cols>
          <w:pgMar w:left="240" w:top="274" w:right="279" w:bottom="1440" w:gutter="0" w:footer="0" w:header="0"/>
        </w:sectPr>
      </w:pPr>
    </w:p>
    <w:bookmarkStart w:id="18" w:name="page19"/>
    <w:bookmarkEnd w:id="18"/>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May 2, 2013</w:t>
      </w:r>
      <w:r>
        <w:rPr>
          <w:sz w:val="20"/>
          <w:szCs w:val="20"/>
          <w:color w:val="auto"/>
        </w:rPr>
        <w:tab/>
      </w:r>
      <w:r>
        <w:rPr>
          <w:rFonts w:ascii="Arial" w:cs="Arial" w:eastAsia="Arial" w:hAnsi="Arial"/>
          <w:sz w:val="16"/>
          <w:szCs w:val="16"/>
          <w:b w:val="1"/>
          <w:bCs w:val="1"/>
          <w:color w:val="auto"/>
        </w:rPr>
        <w:t>SPS COMMERCE,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240" w:top="274" w:right="7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460" w:type="dxa"/>
            <w:vAlign w:val="bottom"/>
          </w:tcPr>
          <w:p>
            <w:pPr>
              <w:spacing w:after="0"/>
              <w:rPr>
                <w:sz w:val="20"/>
                <w:szCs w:val="20"/>
                <w:color w:val="auto"/>
              </w:rPr>
            </w:pPr>
            <w:r>
              <w:rPr>
                <w:rFonts w:ascii="Arial" w:cs="Arial" w:eastAsia="Arial" w:hAnsi="Arial"/>
                <w:sz w:val="14"/>
                <w:szCs w:val="14"/>
                <w:i w:val="1"/>
                <w:iCs w:val="1"/>
                <w:color w:val="auto"/>
              </w:rPr>
              <w:t>Exhibit</w:t>
            </w:r>
          </w:p>
        </w:tc>
        <w:tc>
          <w:tcPr>
            <w:tcW w:w="56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159"/>
        </w:trPr>
        <w:tc>
          <w:tcPr>
            <w:tcW w:w="4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w w:val="88"/>
              </w:rPr>
              <w:t>Number</w:t>
            </w:r>
          </w:p>
        </w:tc>
        <w:tc>
          <w:tcPr>
            <w:tcW w:w="560" w:type="dxa"/>
            <w:vAlign w:val="bottom"/>
          </w:tcPr>
          <w:p>
            <w:pPr>
              <w:spacing w:after="0"/>
              <w:rPr>
                <w:sz w:val="13"/>
                <w:szCs w:val="13"/>
                <w:color w:val="auto"/>
              </w:rPr>
            </w:pPr>
          </w:p>
        </w:tc>
        <w:tc>
          <w:tcPr>
            <w:tcW w:w="10400" w:type="dxa"/>
            <w:vAlign w:val="bottom"/>
          </w:tcPr>
          <w:p>
            <w:pPr>
              <w:spacing w:after="0" w:line="159" w:lineRule="exact"/>
              <w:rPr>
                <w:sz w:val="20"/>
                <w:szCs w:val="20"/>
                <w:color w:val="auto"/>
              </w:rPr>
            </w:pPr>
            <w:r>
              <w:rPr>
                <w:rFonts w:ascii="Arial" w:cs="Arial" w:eastAsia="Arial" w:hAnsi="Arial"/>
                <w:sz w:val="14"/>
                <w:szCs w:val="14"/>
                <w:i w:val="1"/>
                <w:iCs w:val="1"/>
                <w:color w:val="auto"/>
              </w:rPr>
              <w:t>Description</w:t>
            </w:r>
          </w:p>
        </w:tc>
      </w:tr>
      <w:tr>
        <w:trPr>
          <w:trHeight w:val="20"/>
        </w:trPr>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Certificate of Incorporation (incorporated by reference to Exhibit 4.1 to our Registration Statement on Form S-3 (File No. 333-182097) filed with</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the Commission on June 13, 2012).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Bylaws (incorporated by reference to Exhibit 3.2 to our Registration Statement on Form S-1/A (File No. 333-163476) filed with the Commission</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on March 5, 2010).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Certification of Principal Executive Officer pursuant to Rules 13a-14(a) under the Securities Exchange Act of 1934, as amended (filed herewith).</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Certification of Principal Financial Officer pursuant to Rules 13a-14(a) under the Securities Exchange Act of 1934, as amended (filed herewith).</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 1350, as adopted pursuant to Section 906 of the</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620" w:right="4860" w:hanging="5612"/>
        <w:spacing w:after="0" w:line="525" w:lineRule="auto"/>
        <w:tabs>
          <w:tab w:leader="none" w:pos="101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20</w:t>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2019-12-06T22:37:00Z</dcterms:created>
  <dcterms:modified xsi:type="dcterms:W3CDTF">2019-12-06T22:37:00Z</dcterms:modified>
</cp:coreProperties>
</file>